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69F" w:rsidRPr="0075569F" w:rsidRDefault="0075569F" w:rsidP="0075569F">
      <w:pPr>
        <w:keepNext/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outlineLvl w:val="0"/>
        <w:rPr>
          <w:rFonts w:ascii="Platinum Bg" w:hAnsi="Platinum Bg"/>
          <w:b/>
          <w:spacing w:val="40"/>
          <w:sz w:val="22"/>
          <w:szCs w:val="20"/>
          <w:lang w:val="en-US" w:eastAsia="en-US"/>
        </w:rPr>
      </w:pPr>
      <w:r w:rsidRPr="0075569F">
        <w:rPr>
          <w:rFonts w:ascii="Bookman Old Style" w:hAnsi="Bookman Old Style"/>
          <w:b/>
          <w:noProof/>
          <w:spacing w:val="30"/>
          <w:szCs w:val="20"/>
          <w:lang w:val="en-US" w:eastAsia="en-US"/>
        </w:rPr>
        <w:drawing>
          <wp:anchor distT="0" distB="0" distL="114300" distR="114300" simplePos="0" relativeHeight="251662336" behindDoc="1" locked="0" layoutInCell="1" allowOverlap="1" wp14:anchorId="4D05A148" wp14:editId="6C0912D5">
            <wp:simplePos x="0" y="0"/>
            <wp:positionH relativeFrom="column">
              <wp:posOffset>2205355</wp:posOffset>
            </wp:positionH>
            <wp:positionV relativeFrom="paragraph">
              <wp:posOffset>-173355</wp:posOffset>
            </wp:positionV>
            <wp:extent cx="1343025" cy="1333500"/>
            <wp:effectExtent l="0" t="0" r="9525" b="0"/>
            <wp:wrapNone/>
            <wp:docPr id="3" name="Picture 3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37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569F" w:rsidRPr="0075569F" w:rsidRDefault="0075569F" w:rsidP="0075569F">
      <w:pPr>
        <w:keepNext/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outlineLvl w:val="0"/>
        <w:rPr>
          <w:rFonts w:ascii="Platinum Bg" w:hAnsi="Platinum Bg"/>
          <w:b/>
          <w:spacing w:val="40"/>
          <w:sz w:val="22"/>
          <w:szCs w:val="20"/>
          <w:lang w:eastAsia="en-US"/>
        </w:rPr>
      </w:pPr>
      <w:r w:rsidRPr="0075569F">
        <w:rPr>
          <w:rFonts w:ascii="Platinum Bg" w:hAnsi="Platinum Bg"/>
          <w:b/>
          <w:spacing w:val="40"/>
          <w:sz w:val="22"/>
          <w:szCs w:val="20"/>
          <w:lang w:eastAsia="en-US"/>
        </w:rPr>
        <w:t>П</w:t>
      </w:r>
    </w:p>
    <w:p w:rsidR="0075569F" w:rsidRPr="0075569F" w:rsidRDefault="0075569F" w:rsidP="0075569F">
      <w:pPr>
        <w:keepNext/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outlineLvl w:val="0"/>
        <w:rPr>
          <w:rFonts w:ascii="Platinum Bg" w:hAnsi="Platinum Bg"/>
          <w:b/>
          <w:spacing w:val="40"/>
          <w:sz w:val="40"/>
          <w:szCs w:val="40"/>
          <w:lang w:eastAsia="en-US"/>
        </w:rPr>
      </w:pPr>
      <w:r w:rsidRPr="0075569F">
        <w:rPr>
          <w:rFonts w:ascii="Platinum Bg" w:hAnsi="Platinum Bg"/>
          <w:b/>
          <w:spacing w:val="40"/>
          <w:sz w:val="40"/>
          <w:szCs w:val="40"/>
          <w:lang w:eastAsia="en-US"/>
        </w:rPr>
        <w:tab/>
      </w:r>
      <w:r w:rsidRPr="0075569F">
        <w:rPr>
          <w:rFonts w:ascii="Platinum Bg" w:hAnsi="Platinum Bg"/>
          <w:b/>
          <w:spacing w:val="40"/>
          <w:sz w:val="40"/>
          <w:szCs w:val="40"/>
          <w:lang w:eastAsia="en-US"/>
        </w:rPr>
        <w:tab/>
      </w:r>
      <w:r w:rsidRPr="0075569F">
        <w:rPr>
          <w:rFonts w:ascii="Platinum Bg" w:hAnsi="Platinum Bg"/>
          <w:b/>
          <w:spacing w:val="40"/>
          <w:sz w:val="40"/>
          <w:szCs w:val="40"/>
          <w:lang w:eastAsia="en-US"/>
        </w:rPr>
        <w:tab/>
      </w:r>
      <w:r w:rsidRPr="0075569F">
        <w:rPr>
          <w:rFonts w:ascii="Platinum Bg" w:hAnsi="Platinum Bg"/>
          <w:b/>
          <w:spacing w:val="40"/>
          <w:sz w:val="40"/>
          <w:szCs w:val="40"/>
          <w:lang w:eastAsia="en-US"/>
        </w:rPr>
        <w:tab/>
      </w:r>
      <w:r w:rsidRPr="0075569F">
        <w:rPr>
          <w:rFonts w:ascii="Platinum Bg" w:hAnsi="Platinum Bg"/>
          <w:b/>
          <w:spacing w:val="40"/>
          <w:sz w:val="40"/>
          <w:szCs w:val="40"/>
          <w:lang w:eastAsia="en-US"/>
        </w:rPr>
        <w:tab/>
      </w:r>
      <w:r w:rsidRPr="0075569F">
        <w:rPr>
          <w:rFonts w:ascii="Platinum Bg" w:hAnsi="Platinum Bg"/>
          <w:b/>
          <w:spacing w:val="40"/>
          <w:sz w:val="40"/>
          <w:szCs w:val="40"/>
          <w:lang w:eastAsia="en-US"/>
        </w:rPr>
        <w:tab/>
      </w:r>
      <w:r w:rsidRPr="0075569F">
        <w:rPr>
          <w:rFonts w:ascii="Platinum Bg" w:hAnsi="Platinum Bg"/>
          <w:b/>
          <w:spacing w:val="40"/>
          <w:sz w:val="40"/>
          <w:szCs w:val="40"/>
          <w:lang w:eastAsia="en-US"/>
        </w:rPr>
        <w:tab/>
      </w:r>
      <w:r w:rsidRPr="0075569F">
        <w:rPr>
          <w:rFonts w:ascii="Platinum Bg" w:hAnsi="Platinum Bg"/>
          <w:b/>
          <w:spacing w:val="40"/>
          <w:sz w:val="40"/>
          <w:szCs w:val="40"/>
          <w:lang w:eastAsia="en-US"/>
        </w:rPr>
        <w:tab/>
      </w:r>
      <w:r w:rsidRPr="0075569F">
        <w:rPr>
          <w:rFonts w:ascii="Platinum Bg" w:hAnsi="Platinum Bg"/>
          <w:b/>
          <w:spacing w:val="40"/>
          <w:sz w:val="40"/>
          <w:szCs w:val="40"/>
          <w:lang w:eastAsia="en-US"/>
        </w:rPr>
        <w:tab/>
      </w:r>
      <w:r w:rsidRPr="0075569F">
        <w:rPr>
          <w:rFonts w:ascii="Platinum Bg" w:hAnsi="Platinum Bg"/>
          <w:b/>
          <w:spacing w:val="40"/>
          <w:sz w:val="40"/>
          <w:szCs w:val="40"/>
          <w:lang w:eastAsia="en-US"/>
        </w:rPr>
        <w:tab/>
      </w:r>
    </w:p>
    <w:p w:rsidR="0075569F" w:rsidRPr="0075569F" w:rsidRDefault="0075569F" w:rsidP="0075569F">
      <w:pPr>
        <w:keepNext/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outlineLvl w:val="0"/>
        <w:rPr>
          <w:rFonts w:ascii="Platinum Bg" w:hAnsi="Platinum Bg"/>
          <w:spacing w:val="40"/>
          <w:sz w:val="36"/>
          <w:szCs w:val="36"/>
          <w:lang w:eastAsia="en-US"/>
        </w:rPr>
      </w:pPr>
    </w:p>
    <w:p w:rsidR="0075569F" w:rsidRPr="0075569F" w:rsidRDefault="0075569F" w:rsidP="0075569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Platinum Bg" w:hAnsi="Platinum Bg"/>
          <w:spacing w:val="40"/>
          <w:sz w:val="36"/>
          <w:szCs w:val="36"/>
          <w:lang w:eastAsia="en-US"/>
        </w:rPr>
      </w:pPr>
    </w:p>
    <w:p w:rsidR="0075569F" w:rsidRPr="0075569F" w:rsidRDefault="0075569F" w:rsidP="0075569F">
      <w:pPr>
        <w:keepNext/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outlineLvl w:val="0"/>
        <w:rPr>
          <w:rFonts w:ascii="Platinum Bg" w:hAnsi="Platinum Bg"/>
          <w:spacing w:val="40"/>
          <w:sz w:val="36"/>
          <w:szCs w:val="36"/>
          <w:lang w:eastAsia="en-US"/>
        </w:rPr>
      </w:pPr>
      <w:r w:rsidRPr="0075569F">
        <w:rPr>
          <w:rFonts w:ascii="Platinum Bg" w:hAnsi="Platinum Bg"/>
          <w:spacing w:val="40"/>
          <w:sz w:val="36"/>
          <w:szCs w:val="36"/>
          <w:lang w:eastAsia="en-US"/>
        </w:rPr>
        <w:t>РЕПУБЛИКА БЪЛГАРИЯ</w:t>
      </w:r>
    </w:p>
    <w:p w:rsidR="0075569F" w:rsidRPr="0075569F" w:rsidRDefault="0075569F" w:rsidP="0075569F">
      <w:pPr>
        <w:keepNext/>
        <w:pBdr>
          <w:bottom w:val="single" w:sz="4" w:space="1" w:color="auto"/>
        </w:pBdr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outlineLvl w:val="0"/>
        <w:rPr>
          <w:rFonts w:ascii="Bookman Old Style" w:hAnsi="Bookman Old Style"/>
          <w:b/>
          <w:spacing w:val="20"/>
          <w:sz w:val="32"/>
          <w:szCs w:val="32"/>
          <w:lang w:eastAsia="en-US"/>
        </w:rPr>
      </w:pPr>
      <w:r w:rsidRPr="0075569F">
        <w:rPr>
          <w:rFonts w:ascii="Platinum Bg" w:hAnsi="Platinum Bg"/>
          <w:spacing w:val="20"/>
          <w:sz w:val="32"/>
          <w:szCs w:val="32"/>
          <w:lang w:eastAsia="en-US"/>
        </w:rPr>
        <w:t>Заместник-министър на земеделието, храните</w:t>
      </w:r>
      <w:r w:rsidRPr="0075569F">
        <w:rPr>
          <w:rFonts w:ascii="Bookman Old Style" w:hAnsi="Bookman Old Style"/>
          <w:b/>
          <w:noProof/>
          <w:spacing w:val="20"/>
          <w:sz w:val="32"/>
          <w:szCs w:val="32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0" allowOverlap="1" wp14:anchorId="332460C1" wp14:editId="15A08AD5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11430" b="19050"/>
                <wp:wrapNone/>
                <wp:docPr id="1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AAAEB" id="Line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  </w:pict>
          </mc:Fallback>
        </mc:AlternateContent>
      </w:r>
      <w:r w:rsidRPr="0075569F">
        <w:rPr>
          <w:rFonts w:ascii="Platinum Bg" w:hAnsi="Platinum Bg"/>
          <w:spacing w:val="20"/>
          <w:sz w:val="32"/>
          <w:szCs w:val="32"/>
          <w:lang w:eastAsia="en-US"/>
        </w:rPr>
        <w:t xml:space="preserve"> и горите</w:t>
      </w:r>
    </w:p>
    <w:p w:rsidR="00C41E0B" w:rsidRPr="00E46923" w:rsidRDefault="00C41E0B" w:rsidP="00C41E0B">
      <w:pPr>
        <w:rPr>
          <w:lang w:eastAsia="en-GB"/>
        </w:rPr>
      </w:pPr>
    </w:p>
    <w:p w:rsidR="00C41E0B" w:rsidRPr="00E46923" w:rsidRDefault="00C41E0B" w:rsidP="00C41E0B">
      <w:pPr>
        <w:tabs>
          <w:tab w:val="center" w:pos="4153"/>
          <w:tab w:val="right" w:pos="8306"/>
        </w:tabs>
        <w:spacing w:before="120"/>
        <w:rPr>
          <w:lang w:eastAsia="en-US"/>
        </w:rPr>
      </w:pPr>
    </w:p>
    <w:p w:rsidR="0075569F" w:rsidRPr="0075569F" w:rsidRDefault="0075569F" w:rsidP="0075569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lang w:eastAsia="en-US"/>
        </w:rPr>
      </w:pPr>
      <w:r w:rsidRPr="0075569F">
        <w:rPr>
          <w:lang w:eastAsia="en-US"/>
        </w:rPr>
        <w:t xml:space="preserve">…………………….  </w:t>
      </w:r>
    </w:p>
    <w:p w:rsidR="0075569F" w:rsidRPr="0075569F" w:rsidRDefault="0075569F" w:rsidP="0075569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lang w:eastAsia="en-US"/>
        </w:rPr>
      </w:pPr>
      <w:r w:rsidRPr="0075569F">
        <w:rPr>
          <w:lang w:eastAsia="en-US"/>
        </w:rPr>
        <w:t>……………  20</w:t>
      </w:r>
      <w:r w:rsidRPr="0075569F">
        <w:rPr>
          <w:lang w:val="en-GB" w:eastAsia="en-US"/>
        </w:rPr>
        <w:t>21</w:t>
      </w:r>
      <w:r w:rsidRPr="0075569F">
        <w:rPr>
          <w:lang w:eastAsia="en-US"/>
        </w:rPr>
        <w:t xml:space="preserve"> г.</w:t>
      </w:r>
    </w:p>
    <w:p w:rsidR="0075569F" w:rsidRDefault="0075569F" w:rsidP="0075569F">
      <w:pPr>
        <w:spacing w:line="360" w:lineRule="auto"/>
        <w:rPr>
          <w:b/>
          <w:bCs/>
          <w:lang w:val="en-US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361"/>
        <w:gridCol w:w="4961"/>
      </w:tblGrid>
      <w:tr w:rsidR="0075569F" w:rsidRPr="0075569F" w:rsidTr="005B76D3">
        <w:tc>
          <w:tcPr>
            <w:tcW w:w="4361" w:type="dxa"/>
            <w:shd w:val="clear" w:color="auto" w:fill="auto"/>
          </w:tcPr>
          <w:p w:rsidR="0075569F" w:rsidRDefault="0075569F" w:rsidP="0075569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bCs/>
                <w:lang w:val="en-US" w:eastAsia="en-US"/>
              </w:rPr>
            </w:pPr>
          </w:p>
          <w:p w:rsidR="0075569F" w:rsidRPr="0075569F" w:rsidRDefault="0075569F" w:rsidP="0075569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bCs/>
                <w:lang w:eastAsia="en-US"/>
              </w:rPr>
            </w:pPr>
            <w:r w:rsidRPr="0075569F">
              <w:rPr>
                <w:b/>
                <w:bCs/>
                <w:lang w:eastAsia="en-US"/>
              </w:rPr>
              <w:t>ДО</w:t>
            </w:r>
          </w:p>
          <w:p w:rsidR="0075569F" w:rsidRPr="0075569F" w:rsidRDefault="0075569F" w:rsidP="0075569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bCs/>
                <w:lang w:eastAsia="en-US"/>
              </w:rPr>
            </w:pPr>
            <w:r w:rsidRPr="0075569F">
              <w:rPr>
                <w:b/>
                <w:bCs/>
                <w:lang w:eastAsia="en-US"/>
              </w:rPr>
              <w:t>МИНИСТЪРА НА ЗЕМЕДЕЛИЕТО, ХРАНИТЕ И ГОРИТЕ</w:t>
            </w:r>
          </w:p>
          <w:p w:rsidR="0075569F" w:rsidRPr="0075569F" w:rsidRDefault="0075569F" w:rsidP="0075569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lang w:eastAsia="en-US"/>
              </w:rPr>
            </w:pPr>
            <w:r w:rsidRPr="0075569F">
              <w:rPr>
                <w:b/>
                <w:bCs/>
                <w:lang w:eastAsia="en-US"/>
              </w:rPr>
              <w:t>Г-ЖА ДЕСИСЛАВА ТАНЕВА</w:t>
            </w:r>
          </w:p>
        </w:tc>
        <w:tc>
          <w:tcPr>
            <w:tcW w:w="4961" w:type="dxa"/>
            <w:shd w:val="clear" w:color="auto" w:fill="auto"/>
          </w:tcPr>
          <w:p w:rsidR="0075569F" w:rsidRPr="0075569F" w:rsidRDefault="0075569F" w:rsidP="007556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  <w:r w:rsidRPr="0075569F">
              <w:rPr>
                <w:b/>
              </w:rPr>
              <w:t>ОДОБРИЛ,</w:t>
            </w:r>
          </w:p>
          <w:p w:rsidR="0075569F" w:rsidRPr="0075569F" w:rsidRDefault="0075569F" w:rsidP="0075569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bCs/>
                <w:lang w:eastAsia="en-US"/>
              </w:rPr>
            </w:pPr>
            <w:r w:rsidRPr="0075569F">
              <w:rPr>
                <w:b/>
              </w:rPr>
              <w:t xml:space="preserve">МИНИСТЪР </w:t>
            </w:r>
            <w:r w:rsidRPr="0075569F">
              <w:rPr>
                <w:b/>
                <w:bCs/>
                <w:lang w:eastAsia="en-US"/>
              </w:rPr>
              <w:t xml:space="preserve">НА ЗЕМЕДЕЛИЕТО, </w:t>
            </w:r>
          </w:p>
          <w:p w:rsidR="0075569F" w:rsidRPr="0075569F" w:rsidRDefault="0075569F" w:rsidP="0075569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bCs/>
                <w:lang w:eastAsia="en-US"/>
              </w:rPr>
            </w:pPr>
            <w:r w:rsidRPr="0075569F">
              <w:rPr>
                <w:b/>
                <w:bCs/>
                <w:lang w:eastAsia="en-US"/>
              </w:rPr>
              <w:t>ХРАНИТЕ И ГОРИТЕ:</w:t>
            </w:r>
          </w:p>
          <w:p w:rsidR="0075569F" w:rsidRPr="0075569F" w:rsidRDefault="0075569F" w:rsidP="0075569F">
            <w:pPr>
              <w:widowControl w:val="0"/>
              <w:shd w:val="clear" w:color="auto" w:fill="FFFFFF"/>
              <w:tabs>
                <w:tab w:val="left" w:leader="dot" w:pos="3802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outlineLvl w:val="0"/>
              <w:rPr>
                <w:b/>
                <w:lang w:eastAsia="en-US"/>
              </w:rPr>
            </w:pPr>
            <w:r w:rsidRPr="0075569F">
              <w:rPr>
                <w:b/>
                <w:bCs/>
                <w:lang w:eastAsia="en-US"/>
              </w:rPr>
              <w:t>ДЕСИСЛАВА ТАНЕВА</w:t>
            </w:r>
            <w:r w:rsidRPr="0075569F">
              <w:rPr>
                <w:b/>
                <w:lang w:eastAsia="en-US"/>
              </w:rPr>
              <w:t xml:space="preserve"> </w:t>
            </w:r>
          </w:p>
        </w:tc>
      </w:tr>
    </w:tbl>
    <w:p w:rsidR="00C41E0B" w:rsidRPr="0075569F" w:rsidRDefault="0092000C" w:rsidP="0075569F">
      <w:pPr>
        <w:spacing w:line="360" w:lineRule="auto"/>
        <w:ind w:left="5028" w:hanging="4938"/>
        <w:rPr>
          <w:b/>
          <w:bCs/>
          <w:lang w:val="en-US"/>
        </w:rPr>
      </w:pPr>
      <w:r w:rsidRPr="00E46923">
        <w:rPr>
          <w:b/>
        </w:rPr>
        <w:tab/>
      </w:r>
    </w:p>
    <w:p w:rsidR="00793B6C" w:rsidRPr="00E46923" w:rsidRDefault="00793B6C" w:rsidP="00223150">
      <w:pPr>
        <w:spacing w:line="360" w:lineRule="auto"/>
        <w:rPr>
          <w:b/>
        </w:rPr>
      </w:pPr>
    </w:p>
    <w:p w:rsidR="003946E1" w:rsidRPr="00E46923" w:rsidRDefault="003946E1" w:rsidP="00223150">
      <w:pPr>
        <w:pStyle w:val="Heading1"/>
        <w:spacing w:line="360" w:lineRule="auto"/>
        <w:ind w:left="-426" w:right="-468"/>
        <w:rPr>
          <w:spacing w:val="44"/>
          <w:sz w:val="24"/>
          <w:szCs w:val="24"/>
        </w:rPr>
      </w:pPr>
      <w:r w:rsidRPr="00E46923">
        <w:rPr>
          <w:spacing w:val="44"/>
          <w:sz w:val="24"/>
          <w:szCs w:val="24"/>
        </w:rPr>
        <w:t>ДОКЛАД</w:t>
      </w:r>
    </w:p>
    <w:p w:rsidR="00951F3B" w:rsidRPr="00F46108" w:rsidRDefault="00951F3B" w:rsidP="00223150">
      <w:pPr>
        <w:spacing w:line="360" w:lineRule="auto"/>
        <w:jc w:val="center"/>
        <w:rPr>
          <w:b/>
        </w:rPr>
      </w:pPr>
      <w:r w:rsidRPr="00F46108">
        <w:rPr>
          <w:b/>
        </w:rPr>
        <w:t xml:space="preserve">от </w:t>
      </w:r>
      <w:r w:rsidR="00820CCD" w:rsidRPr="00F46108">
        <w:rPr>
          <w:b/>
        </w:rPr>
        <w:t>Лозана Василева</w:t>
      </w:r>
      <w:r w:rsidRPr="00F46108">
        <w:rPr>
          <w:b/>
        </w:rPr>
        <w:t xml:space="preserve"> – заместник-министър на земеделието, храните и горите</w:t>
      </w:r>
    </w:p>
    <w:p w:rsidR="00C41E0B" w:rsidRPr="00F46108" w:rsidRDefault="00C41E0B" w:rsidP="00223150">
      <w:pPr>
        <w:spacing w:line="360" w:lineRule="auto"/>
        <w:ind w:left="-426"/>
        <w:jc w:val="both"/>
        <w:rPr>
          <w:b/>
        </w:rPr>
      </w:pPr>
    </w:p>
    <w:p w:rsidR="00793B6C" w:rsidRPr="00E46923" w:rsidRDefault="00793B6C" w:rsidP="0075569F">
      <w:pPr>
        <w:spacing w:line="360" w:lineRule="auto"/>
        <w:ind w:left="1077" w:hanging="1077"/>
        <w:jc w:val="both"/>
      </w:pPr>
      <w:r w:rsidRPr="00E46923">
        <w:rPr>
          <w:b/>
        </w:rPr>
        <w:t>Относно</w:t>
      </w:r>
      <w:r w:rsidR="003946E1" w:rsidRPr="00E46923">
        <w:rPr>
          <w:b/>
        </w:rPr>
        <w:t>:</w:t>
      </w:r>
      <w:r w:rsidR="003946E1" w:rsidRPr="00E46923">
        <w:t xml:space="preserve"> </w:t>
      </w:r>
      <w:r w:rsidR="00820CCD" w:rsidRPr="00E46923">
        <w:rPr>
          <w:bCs/>
        </w:rPr>
        <w:t>Проект на Наредба за изменение и допълнение на Наредба № 7 от 2015 г.  за  прилагане на мярка 10 „Агроекология и климат“ от Програмата за развитие на селските райони за периода 2014 – 2020 г.</w:t>
      </w:r>
    </w:p>
    <w:p w:rsidR="00C41E0B" w:rsidRPr="00E46923" w:rsidRDefault="00C41E0B" w:rsidP="00223150">
      <w:pPr>
        <w:spacing w:line="360" w:lineRule="auto"/>
        <w:ind w:firstLine="708"/>
        <w:jc w:val="both"/>
        <w:rPr>
          <w:b/>
        </w:rPr>
      </w:pPr>
    </w:p>
    <w:p w:rsidR="003946E1" w:rsidRPr="00E46923" w:rsidRDefault="00295E5A" w:rsidP="00223150">
      <w:pPr>
        <w:spacing w:after="120" w:line="360" w:lineRule="auto"/>
        <w:jc w:val="both"/>
        <w:rPr>
          <w:bCs/>
        </w:rPr>
      </w:pPr>
      <w:r w:rsidRPr="00E46923">
        <w:rPr>
          <w:b/>
        </w:rPr>
        <w:t>УВАЖАЕМ</w:t>
      </w:r>
      <w:r w:rsidR="00015F75" w:rsidRPr="00E46923">
        <w:rPr>
          <w:b/>
        </w:rPr>
        <w:t>А</w:t>
      </w:r>
      <w:r w:rsidRPr="00E46923">
        <w:rPr>
          <w:b/>
        </w:rPr>
        <w:t xml:space="preserve"> ГОСПО</w:t>
      </w:r>
      <w:r w:rsidR="00015F75" w:rsidRPr="00E46923">
        <w:rPr>
          <w:b/>
        </w:rPr>
        <w:t>ЖО</w:t>
      </w:r>
      <w:r w:rsidR="003946E1" w:rsidRPr="00E46923">
        <w:rPr>
          <w:b/>
        </w:rPr>
        <w:t xml:space="preserve"> МИНИСТЪР,</w:t>
      </w:r>
    </w:p>
    <w:p w:rsidR="00456176" w:rsidRPr="003E636D" w:rsidRDefault="00456176" w:rsidP="0075569F">
      <w:pPr>
        <w:spacing w:line="360" w:lineRule="auto"/>
        <w:ind w:firstLine="709"/>
        <w:jc w:val="both"/>
        <w:rPr>
          <w:bCs/>
        </w:rPr>
      </w:pPr>
      <w:r w:rsidRPr="00E46923">
        <w:rPr>
          <w:bCs/>
        </w:rPr>
        <w:t>На основание чл. 9а</w:t>
      </w:r>
      <w:r w:rsidR="00915168" w:rsidRPr="00E46923">
        <w:rPr>
          <w:bCs/>
        </w:rPr>
        <w:t>, т.</w:t>
      </w:r>
      <w:r w:rsidR="00A44A29">
        <w:rPr>
          <w:bCs/>
        </w:rPr>
        <w:t xml:space="preserve"> </w:t>
      </w:r>
      <w:r w:rsidR="00915168" w:rsidRPr="00E46923">
        <w:rPr>
          <w:bCs/>
        </w:rPr>
        <w:t>2</w:t>
      </w:r>
      <w:r w:rsidRPr="00E46923">
        <w:rPr>
          <w:bCs/>
        </w:rPr>
        <w:t xml:space="preserve"> от Закона за подпомагане на земеделските производители  внасям за одобрение проект на На</w:t>
      </w:r>
      <w:r w:rsidR="00E467CA" w:rsidRPr="00E46923">
        <w:rPr>
          <w:bCs/>
        </w:rPr>
        <w:t xml:space="preserve">редба за изменение и допълнение </w:t>
      </w:r>
      <w:r w:rsidRPr="00E46923">
        <w:rPr>
          <w:bCs/>
        </w:rPr>
        <w:t>на Наредба № 7 от 2015</w:t>
      </w:r>
      <w:r w:rsidR="00CC679D" w:rsidRPr="00E46923">
        <w:rPr>
          <w:bCs/>
        </w:rPr>
        <w:t xml:space="preserve"> </w:t>
      </w:r>
      <w:r w:rsidRPr="00E46923">
        <w:rPr>
          <w:bCs/>
        </w:rPr>
        <w:t>г.  за  прилагане на мярка 10 „Агроекология и климат“ от Програмата за развитие на селските райони за периода 2014 –</w:t>
      </w:r>
      <w:r w:rsidR="00CC679D" w:rsidRPr="00E46923">
        <w:rPr>
          <w:bCs/>
        </w:rPr>
        <w:t xml:space="preserve"> 2020 г. </w:t>
      </w:r>
      <w:r w:rsidR="00A44A29" w:rsidRPr="003E636D">
        <w:rPr>
          <w:bCs/>
        </w:rPr>
        <w:t>(</w:t>
      </w:r>
      <w:r w:rsidR="00A44A29">
        <w:rPr>
          <w:bCs/>
        </w:rPr>
        <w:t xml:space="preserve">НИД на </w:t>
      </w:r>
      <w:r w:rsidR="00CC679D" w:rsidRPr="00E46923">
        <w:rPr>
          <w:bCs/>
        </w:rPr>
        <w:t>Наредба № 7 от 2015 г.</w:t>
      </w:r>
      <w:r w:rsidR="00A44A29" w:rsidRPr="003E636D">
        <w:rPr>
          <w:bCs/>
        </w:rPr>
        <w:t>)</w:t>
      </w:r>
      <w:r w:rsidR="00CC679D" w:rsidRPr="00E46923">
        <w:rPr>
          <w:bCs/>
        </w:rPr>
        <w:t>.</w:t>
      </w:r>
    </w:p>
    <w:p w:rsidR="00C41E0B" w:rsidRPr="00E46923" w:rsidRDefault="00C41E0B" w:rsidP="00223150">
      <w:pPr>
        <w:spacing w:line="360" w:lineRule="auto"/>
        <w:ind w:firstLine="709"/>
        <w:jc w:val="both"/>
        <w:rPr>
          <w:b/>
          <w:bCs/>
        </w:rPr>
      </w:pPr>
      <w:r w:rsidRPr="00E46923">
        <w:rPr>
          <w:b/>
          <w:bCs/>
        </w:rPr>
        <w:t>Причини, които налагат приемането на акта</w:t>
      </w:r>
    </w:p>
    <w:p w:rsidR="00F02A30" w:rsidRPr="00E46923" w:rsidRDefault="00E3523C" w:rsidP="00137F1E">
      <w:pPr>
        <w:spacing w:line="360" w:lineRule="auto"/>
        <w:ind w:firstLine="709"/>
        <w:jc w:val="both"/>
        <w:rPr>
          <w:bCs/>
        </w:rPr>
      </w:pPr>
      <w:r w:rsidRPr="00E46923">
        <w:rPr>
          <w:bCs/>
        </w:rPr>
        <w:t>През 2020 г. завърши програмният период за прилагане на Общата селскостопанска политика</w:t>
      </w:r>
      <w:r w:rsidR="00F9667C" w:rsidRPr="00E46923">
        <w:rPr>
          <w:bCs/>
        </w:rPr>
        <w:t xml:space="preserve"> (ОСП)</w:t>
      </w:r>
      <w:r w:rsidRPr="00E46923">
        <w:rPr>
          <w:bCs/>
        </w:rPr>
        <w:t xml:space="preserve"> на Европейския съюз. </w:t>
      </w:r>
      <w:r w:rsidR="00F9667C" w:rsidRPr="00E46923">
        <w:rPr>
          <w:bCs/>
        </w:rPr>
        <w:t xml:space="preserve">Процедурата във връзка със законодателните предложения на Комисията относно ОСП след 2020 г. не приключи навреме, за да се даде възможност на държавите членки и на Комисията да подготвят </w:t>
      </w:r>
      <w:r w:rsidR="00F9667C" w:rsidRPr="00E46923">
        <w:rPr>
          <w:bCs/>
        </w:rPr>
        <w:lastRenderedPageBreak/>
        <w:t xml:space="preserve">всички елементи, необходими за прилагането на новата правна рамка и на стратегическите планове по ОСП от 1 януари 2021 г., както беше първоначално предложено. Затова се </w:t>
      </w:r>
      <w:r w:rsidR="00F06107" w:rsidRPr="00E46923">
        <w:rPr>
          <w:bCs/>
        </w:rPr>
        <w:t>наложи</w:t>
      </w:r>
      <w:r w:rsidR="00F9667C" w:rsidRPr="00E46923">
        <w:rPr>
          <w:bCs/>
        </w:rPr>
        <w:t xml:space="preserve"> продължаване на прилагането на правилата на сегашната рамк</w:t>
      </w:r>
      <w:r w:rsidR="00C44BCD" w:rsidRPr="00E46923">
        <w:rPr>
          <w:bCs/>
        </w:rPr>
        <w:t>а на ОСП през 2021 г. и 2022 г., като удължения период е отразен и в предложеното десето изменение на Програмата за развитие на селските райони за периода 2014 – 2020 г. (ПРСР 2014 – 2020 г.)</w:t>
      </w:r>
      <w:r w:rsidR="009D210E" w:rsidRPr="00E46923">
        <w:rPr>
          <w:bCs/>
        </w:rPr>
        <w:t>. Измененията в ПРСР 2014 – 2020 г., са свързани с оптимизиране на правилата за кандидатстване по мярка 10 „</w:t>
      </w:r>
      <w:r w:rsidR="002F7B72" w:rsidRPr="00E46923">
        <w:rPr>
          <w:bCs/>
        </w:rPr>
        <w:t xml:space="preserve">Агроекология и климат“, </w:t>
      </w:r>
      <w:r w:rsidR="009D210E" w:rsidRPr="00E46923">
        <w:rPr>
          <w:bCs/>
        </w:rPr>
        <w:t xml:space="preserve">както и с </w:t>
      </w:r>
      <w:r w:rsidR="00737D14" w:rsidRPr="00E46923">
        <w:rPr>
          <w:bCs/>
        </w:rPr>
        <w:t>въвеждането</w:t>
      </w:r>
      <w:r w:rsidR="002F7B72" w:rsidRPr="00E46923">
        <w:rPr>
          <w:bCs/>
        </w:rPr>
        <w:t xml:space="preserve"> на приложимите правила от </w:t>
      </w:r>
      <w:r w:rsidR="009D210E" w:rsidRPr="00E46923">
        <w:rPr>
          <w:bCs/>
        </w:rPr>
        <w:t>Регламент (ЕС) 2020/2220 на Европейския парламент и на Съвета от 23 декември 2020 година за определяне на някои преходни разпоредби във връзка с подпомагането от Европейския земеделски фонд за развитие на селските райони (ЕЗФРСР) и от Европейския фонд за гарантиране на земеделието (ЕФГЗ) през 2021 г. и 2022 г. и за изменение на регламенти (ЕС)</w:t>
      </w:r>
      <w:r w:rsidR="00F46108">
        <w:rPr>
          <w:bCs/>
        </w:rPr>
        <w:t xml:space="preserve">           </w:t>
      </w:r>
      <w:r w:rsidR="009D210E" w:rsidRPr="00E46923">
        <w:rPr>
          <w:bCs/>
        </w:rPr>
        <w:t xml:space="preserve"> № 1305/2013, (ЕС) № 1306/2013 и (ЕС) № 1307/2013 по отношение на ресурсите и на прилагането през 2021 г. и 2022 г. и Регламент (ЕС) № 1308/2013 по отношение на ресурсите и разпределението на това подпомагане за 2021 г. и 202</w:t>
      </w:r>
      <w:r w:rsidR="002F7B72" w:rsidRPr="00E46923">
        <w:rPr>
          <w:bCs/>
        </w:rPr>
        <w:t xml:space="preserve">2 г. </w:t>
      </w:r>
      <w:r w:rsidR="00A44A29" w:rsidRPr="00A44A29">
        <w:rPr>
          <w:bCs/>
        </w:rPr>
        <w:t xml:space="preserve">(OB L 437, 28 декември 2020 г.) </w:t>
      </w:r>
      <w:r w:rsidR="002F7B72" w:rsidRPr="00E46923">
        <w:rPr>
          <w:bCs/>
        </w:rPr>
        <w:t>(Регламент (ЕС) 2020/2220).</w:t>
      </w:r>
      <w:r w:rsidR="00F02A30" w:rsidRPr="00E46923">
        <w:rPr>
          <w:bCs/>
        </w:rPr>
        <w:t xml:space="preserve"> </w:t>
      </w:r>
      <w:r w:rsidR="00961A62" w:rsidRPr="00E46923">
        <w:rPr>
          <w:bCs/>
        </w:rPr>
        <w:t xml:space="preserve">Предложените промени в </w:t>
      </w:r>
      <w:r w:rsidR="00F02A30" w:rsidRPr="00E46923">
        <w:rPr>
          <w:bCs/>
        </w:rPr>
        <w:t xml:space="preserve">ангажиментите по направленията </w:t>
      </w:r>
      <w:r w:rsidR="003B061B" w:rsidRPr="00E46923">
        <w:rPr>
          <w:bCs/>
        </w:rPr>
        <w:t>на мярка 10 „Агроекология и климат“ от ПРСР 2014-2020 г.</w:t>
      </w:r>
      <w:r w:rsidR="00567CEC" w:rsidRPr="00E46923">
        <w:rPr>
          <w:bCs/>
        </w:rPr>
        <w:t>,</w:t>
      </w:r>
      <w:r w:rsidR="003B061B" w:rsidRPr="00E46923">
        <w:rPr>
          <w:bCs/>
        </w:rPr>
        <w:t xml:space="preserve"> </w:t>
      </w:r>
      <w:r w:rsidR="00F02A30" w:rsidRPr="00E46923">
        <w:rPr>
          <w:bCs/>
        </w:rPr>
        <w:t>на първо място отчитат прогнозните финансови средства по мярката и възможността новите ангажименти да бъдат по-кратки, без това да има неблагоприятен ефект върху бюджета</w:t>
      </w:r>
      <w:r w:rsidR="00961A62" w:rsidRPr="00E46923">
        <w:rPr>
          <w:bCs/>
        </w:rPr>
        <w:t xml:space="preserve">, като </w:t>
      </w:r>
      <w:r w:rsidR="003B061B" w:rsidRPr="00E46923">
        <w:rPr>
          <w:bCs/>
        </w:rPr>
        <w:t>осигурят непрекъснатост</w:t>
      </w:r>
      <w:r w:rsidR="00961A62" w:rsidRPr="00E46923">
        <w:rPr>
          <w:bCs/>
        </w:rPr>
        <w:t xml:space="preserve"> на изпълняваните дейности по направленията</w:t>
      </w:r>
      <w:r w:rsidR="00CA4EC2" w:rsidRPr="00E46923">
        <w:rPr>
          <w:bCs/>
        </w:rPr>
        <w:t xml:space="preserve"> и</w:t>
      </w:r>
      <w:r w:rsidR="00137F1E" w:rsidRPr="00E46923">
        <w:rPr>
          <w:bCs/>
        </w:rPr>
        <w:t xml:space="preserve"> </w:t>
      </w:r>
      <w:r w:rsidR="00567CEC" w:rsidRPr="00E46923">
        <w:rPr>
          <w:bCs/>
        </w:rPr>
        <w:t>на второ място се</w:t>
      </w:r>
      <w:r w:rsidR="00137F1E" w:rsidRPr="00E46923">
        <w:rPr>
          <w:bCs/>
        </w:rPr>
        <w:t xml:space="preserve"> цели да се уеднакви нормативната уредба на национално ниво, като се съобразят промените, настъпили в националното законодателство и правото на Европейския съюз.</w:t>
      </w:r>
    </w:p>
    <w:p w:rsidR="00961A62" w:rsidRPr="00D4605B" w:rsidRDefault="00961A62" w:rsidP="00E20B44">
      <w:pPr>
        <w:spacing w:line="360" w:lineRule="auto"/>
        <w:ind w:firstLine="709"/>
        <w:jc w:val="both"/>
        <w:rPr>
          <w:bCs/>
        </w:rPr>
      </w:pPr>
      <w:r w:rsidRPr="00E46923">
        <w:rPr>
          <w:bCs/>
        </w:rPr>
        <w:t xml:space="preserve">Програмата за развитие на селските райони се изготвя от държавите членки и се одобрява от Европейската комисия (ЕК) при съблюдаване на разпоредбите на Регламент (ЕС) № 1305/2013 г. на Европейския парламент и на Съвета от 17 декември 2013 година относно подпомагане на развитието на селските райони от Европейския земеделски фонд за развитие на селските райони (ЕЗФРСР) и за отмяна на Регламент (ЕО) № 1698/2005 на Съвета (ОВ L 347, 20 декември 2013 г.) (Регламент (ЕС) </w:t>
      </w:r>
      <w:r w:rsidR="00F46108">
        <w:rPr>
          <w:bCs/>
        </w:rPr>
        <w:t xml:space="preserve">               </w:t>
      </w:r>
      <w:r w:rsidRPr="00E46923">
        <w:rPr>
          <w:bCs/>
        </w:rPr>
        <w:t>№ 1305/2013 г.). Съгласно чл. 6 от Регламент (ЕС) № 1305/2013 г., ЕЗФРСР действа в държавите членки чрез програмите за развитие на селските райони.</w:t>
      </w:r>
    </w:p>
    <w:p w:rsidR="00347C58" w:rsidRPr="00E46923" w:rsidRDefault="00E467CA" w:rsidP="00D4605B">
      <w:pPr>
        <w:spacing w:line="360" w:lineRule="auto"/>
        <w:ind w:firstLine="709"/>
        <w:jc w:val="both"/>
        <w:rPr>
          <w:bCs/>
        </w:rPr>
      </w:pPr>
      <w:r w:rsidRPr="00E46923">
        <w:rPr>
          <w:bCs/>
        </w:rPr>
        <w:t>Т</w:t>
      </w:r>
      <w:r w:rsidR="00AA4623" w:rsidRPr="00E46923">
        <w:rPr>
          <w:bCs/>
        </w:rPr>
        <w:t>екстове</w:t>
      </w:r>
      <w:r w:rsidR="000C4505">
        <w:rPr>
          <w:bCs/>
        </w:rPr>
        <w:t>те</w:t>
      </w:r>
      <w:r w:rsidR="00AA4623" w:rsidRPr="00E46923">
        <w:rPr>
          <w:bCs/>
        </w:rPr>
        <w:t xml:space="preserve"> </w:t>
      </w:r>
      <w:r w:rsidR="00F06107" w:rsidRPr="00E46923">
        <w:rPr>
          <w:bCs/>
        </w:rPr>
        <w:t xml:space="preserve">в </w:t>
      </w:r>
      <w:r w:rsidR="00347C58" w:rsidRPr="00E46923">
        <w:rPr>
          <w:bCs/>
        </w:rPr>
        <w:t xml:space="preserve">НИД </w:t>
      </w:r>
      <w:r w:rsidR="00F06107" w:rsidRPr="00E46923">
        <w:rPr>
          <w:bCs/>
        </w:rPr>
        <w:t xml:space="preserve">на Наредба № 7 от 2015 г., </w:t>
      </w:r>
      <w:r w:rsidR="003E636D">
        <w:rPr>
          <w:bCs/>
        </w:rPr>
        <w:t xml:space="preserve">определящи, че новите ангажименти от 2021 г. ще се изпълняват с продължителност </w:t>
      </w:r>
      <w:r w:rsidR="00AB70EE">
        <w:rPr>
          <w:bCs/>
        </w:rPr>
        <w:t>една</w:t>
      </w:r>
      <w:r w:rsidR="003E636D">
        <w:rPr>
          <w:bCs/>
        </w:rPr>
        <w:t xml:space="preserve"> година</w:t>
      </w:r>
      <w:r w:rsidR="001844F9">
        <w:rPr>
          <w:bCs/>
        </w:rPr>
        <w:t>, като отразяват финансовите разчети на мярката и</w:t>
      </w:r>
      <w:r w:rsidR="00D4605B">
        <w:rPr>
          <w:bCs/>
          <w:lang w:val="en-US"/>
        </w:rPr>
        <w:t xml:space="preserve"> </w:t>
      </w:r>
      <w:r w:rsidR="003B061B" w:rsidRPr="00E46923">
        <w:rPr>
          <w:bCs/>
        </w:rPr>
        <w:t xml:space="preserve">са резултат на </w:t>
      </w:r>
      <w:r w:rsidR="00AA4623" w:rsidRPr="00E46923">
        <w:rPr>
          <w:bCs/>
        </w:rPr>
        <w:t xml:space="preserve">предложени за обсъждане и приети </w:t>
      </w:r>
      <w:r w:rsidR="003B061B" w:rsidRPr="00E46923">
        <w:rPr>
          <w:bCs/>
        </w:rPr>
        <w:t xml:space="preserve">промени в ПРСР 2014-2020 г. </w:t>
      </w:r>
      <w:r w:rsidR="00AA4623" w:rsidRPr="00E46923">
        <w:rPr>
          <w:bCs/>
        </w:rPr>
        <w:t xml:space="preserve">на </w:t>
      </w:r>
      <w:r w:rsidRPr="00E46923">
        <w:rPr>
          <w:bCs/>
        </w:rPr>
        <w:t>проведеното петнадесето заседание на Комитета за наблюдение на</w:t>
      </w:r>
      <w:r w:rsidR="00A44A29" w:rsidRPr="00D4605B">
        <w:rPr>
          <w:bCs/>
        </w:rPr>
        <w:t xml:space="preserve"> </w:t>
      </w:r>
      <w:r w:rsidR="00A44A29">
        <w:rPr>
          <w:bCs/>
        </w:rPr>
        <w:t>ПРСР 2014-2020 г.</w:t>
      </w:r>
      <w:r w:rsidRPr="00E46923">
        <w:rPr>
          <w:bCs/>
        </w:rPr>
        <w:t xml:space="preserve">, чрез видеоконферентна връзка на </w:t>
      </w:r>
      <w:r w:rsidRPr="00E46923">
        <w:rPr>
          <w:bCs/>
        </w:rPr>
        <w:lastRenderedPageBreak/>
        <w:t>22.12.2020 година</w:t>
      </w:r>
      <w:r w:rsidR="00C51F51" w:rsidRPr="00E46923">
        <w:rPr>
          <w:bCs/>
        </w:rPr>
        <w:t xml:space="preserve"> и промени в ПРСР 2014-2020 г., гласувани на писмена процедура на Комитета по наблюдение на ПРСР 2014 – 2020 г., пров</w:t>
      </w:r>
      <w:r w:rsidR="004B3B93" w:rsidRPr="00E46923">
        <w:rPr>
          <w:bCs/>
        </w:rPr>
        <w:t>едена</w:t>
      </w:r>
      <w:r w:rsidR="00AE1C72" w:rsidRPr="00E46923">
        <w:rPr>
          <w:bCs/>
        </w:rPr>
        <w:t xml:space="preserve"> в периода 23-30.11.2020 година</w:t>
      </w:r>
      <w:r w:rsidR="00AB70EE">
        <w:rPr>
          <w:bCs/>
        </w:rPr>
        <w:t>.</w:t>
      </w:r>
      <w:r w:rsidR="003E636D">
        <w:rPr>
          <w:bCs/>
        </w:rPr>
        <w:t xml:space="preserve"> </w:t>
      </w:r>
    </w:p>
    <w:p w:rsidR="00D17FBC" w:rsidRPr="00E46923" w:rsidRDefault="00D17FBC" w:rsidP="00223150">
      <w:pPr>
        <w:spacing w:line="360" w:lineRule="auto"/>
        <w:ind w:firstLine="709"/>
        <w:jc w:val="both"/>
        <w:rPr>
          <w:bCs/>
        </w:rPr>
      </w:pPr>
      <w:r w:rsidRPr="00E46923">
        <w:rPr>
          <w:bCs/>
        </w:rPr>
        <w:t xml:space="preserve">По отношение на направление „Възстановяване и поддържане на земите с висока природна стойност (ВПС 1)“ се създава възможността в случай, че са изключени площи от обхвата на мярката, поради влезли в сила заповеди за обявяване на зони по Натура 2000, ангажимента да продължи да се изпълнява с останалите площи, а когато всички площи са включени в зони по Натура 2000 и ангажимента се прекрати, да не се изисква възстановяване на полученото финансово подпомагане по направлението или да  бъде продължен ангажимента по дейности за паша само с площи от ангажимента, които не са изключени от обхвата  на мярката. </w:t>
      </w:r>
    </w:p>
    <w:p w:rsidR="000459A0" w:rsidRPr="00E46923" w:rsidRDefault="00C51F51" w:rsidP="000459A0">
      <w:pPr>
        <w:spacing w:line="360" w:lineRule="auto"/>
        <w:ind w:firstLine="709"/>
        <w:jc w:val="both"/>
        <w:rPr>
          <w:bCs/>
        </w:rPr>
      </w:pPr>
      <w:r w:rsidRPr="00E46923">
        <w:rPr>
          <w:bCs/>
        </w:rPr>
        <w:t xml:space="preserve">На база извършен анализ и съответно преизчисления </w:t>
      </w:r>
      <w:r w:rsidR="000459A0" w:rsidRPr="00E46923">
        <w:rPr>
          <w:bCs/>
        </w:rPr>
        <w:t>са предложени промени в размера на подпомагане по дейности</w:t>
      </w:r>
      <w:r w:rsidR="00347C58" w:rsidRPr="00E46923">
        <w:rPr>
          <w:bCs/>
        </w:rPr>
        <w:t>те</w:t>
      </w:r>
      <w:r w:rsidR="000459A0" w:rsidRPr="00E46923">
        <w:rPr>
          <w:bCs/>
        </w:rPr>
        <w:t xml:space="preserve"> от</w:t>
      </w:r>
      <w:r w:rsidR="00347C58" w:rsidRPr="00E46923">
        <w:rPr>
          <w:bCs/>
        </w:rPr>
        <w:t xml:space="preserve"> направление „Възстановяване и поддържане на земите с висока природна стойност (ВПС 1)“ към</w:t>
      </w:r>
      <w:r w:rsidR="000459A0" w:rsidRPr="00E46923">
        <w:rPr>
          <w:bCs/>
        </w:rPr>
        <w:t xml:space="preserve"> мярка 10 „Агроекология и климат“, като изчислените нови нива на подпомагане, приложими за кампания 2021 и след нея, са гласувани от членовете на комитета и са изпратени за одобрение от ЕК с десетото изменение на програмата, което поражда и необходимостта от включването им</w:t>
      </w:r>
      <w:r w:rsidR="00347C58" w:rsidRPr="00E46923">
        <w:rPr>
          <w:bCs/>
        </w:rPr>
        <w:t xml:space="preserve"> в</w:t>
      </w:r>
      <w:r w:rsidR="000459A0" w:rsidRPr="00E46923">
        <w:rPr>
          <w:bCs/>
        </w:rPr>
        <w:t xml:space="preserve"> проекта на НИД</w:t>
      </w:r>
      <w:r w:rsidR="00347C58" w:rsidRPr="00E46923">
        <w:rPr>
          <w:bCs/>
        </w:rPr>
        <w:t xml:space="preserve"> на Наредба № 7 от 2015 г.</w:t>
      </w:r>
    </w:p>
    <w:p w:rsidR="00347C58" w:rsidRPr="00E46923" w:rsidRDefault="00347C58" w:rsidP="00347C58">
      <w:pPr>
        <w:spacing w:line="360" w:lineRule="auto"/>
        <w:ind w:firstLine="709"/>
        <w:jc w:val="both"/>
        <w:rPr>
          <w:bCs/>
        </w:rPr>
      </w:pPr>
      <w:r w:rsidRPr="00E46923">
        <w:rPr>
          <w:bCs/>
        </w:rPr>
        <w:t xml:space="preserve">Предвиден е </w:t>
      </w:r>
      <w:r w:rsidR="003E636D">
        <w:rPr>
          <w:bCs/>
        </w:rPr>
        <w:t xml:space="preserve">едногодишен срок </w:t>
      </w:r>
      <w:r w:rsidRPr="00E46923">
        <w:rPr>
          <w:bCs/>
        </w:rPr>
        <w:t>за изпълнение на нови ангажиме</w:t>
      </w:r>
      <w:r w:rsidR="00725218">
        <w:rPr>
          <w:bCs/>
        </w:rPr>
        <w:t>нти за дейности от направления</w:t>
      </w:r>
      <w:r w:rsidRPr="00E46923">
        <w:rPr>
          <w:bCs/>
        </w:rPr>
        <w:t xml:space="preserve">, като в съответствие с чл. 7, параграф 2 от Регламент (ЕС) 2020/2220 г. продължителността на ангажимента може да бъде от </w:t>
      </w:r>
      <w:r w:rsidRPr="00AA52A0">
        <w:rPr>
          <w:bCs/>
        </w:rPr>
        <w:t>1 до 3 години.</w:t>
      </w:r>
      <w:r w:rsidRPr="00E46923">
        <w:rPr>
          <w:bCs/>
        </w:rPr>
        <w:t xml:space="preserve"> </w:t>
      </w:r>
    </w:p>
    <w:p w:rsidR="00352E12" w:rsidRPr="00E46923" w:rsidRDefault="00352E12" w:rsidP="000459A0">
      <w:pPr>
        <w:spacing w:line="360" w:lineRule="auto"/>
        <w:ind w:firstLine="709"/>
        <w:jc w:val="both"/>
        <w:rPr>
          <w:bCs/>
        </w:rPr>
      </w:pPr>
      <w:r w:rsidRPr="00E46923">
        <w:rPr>
          <w:bCs/>
        </w:rPr>
        <w:t>По отношение на</w:t>
      </w:r>
      <w:r w:rsidR="00107AE0" w:rsidRPr="00E46923">
        <w:rPr>
          <w:bCs/>
        </w:rPr>
        <w:t xml:space="preserve"> част от</w:t>
      </w:r>
      <w:r w:rsidRPr="00E46923">
        <w:rPr>
          <w:bCs/>
        </w:rPr>
        <w:t xml:space="preserve"> </w:t>
      </w:r>
      <w:r w:rsidR="00107AE0" w:rsidRPr="00E46923">
        <w:rPr>
          <w:bCs/>
        </w:rPr>
        <w:t xml:space="preserve">прилаганите </w:t>
      </w:r>
      <w:r w:rsidR="00567CEC" w:rsidRPr="00E46923">
        <w:rPr>
          <w:bCs/>
        </w:rPr>
        <w:t>дейностите по направление „Контрол на почвената ерозия“</w:t>
      </w:r>
      <w:r w:rsidRPr="00E46923">
        <w:rPr>
          <w:bCs/>
        </w:rPr>
        <w:t>, са въведени нови</w:t>
      </w:r>
      <w:r w:rsidR="00107AE0" w:rsidRPr="00E46923">
        <w:rPr>
          <w:bCs/>
        </w:rPr>
        <w:t xml:space="preserve"> </w:t>
      </w:r>
      <w:r w:rsidRPr="00E46923">
        <w:rPr>
          <w:bCs/>
        </w:rPr>
        <w:t xml:space="preserve">допустими разходи за: </w:t>
      </w:r>
    </w:p>
    <w:p w:rsidR="00352E12" w:rsidRPr="00E46923" w:rsidRDefault="00352E12" w:rsidP="00753785">
      <w:pPr>
        <w:spacing w:line="360" w:lineRule="auto"/>
        <w:ind w:firstLine="708"/>
        <w:jc w:val="both"/>
        <w:rPr>
          <w:bCs/>
        </w:rPr>
      </w:pPr>
      <w:r w:rsidRPr="00E46923">
        <w:rPr>
          <w:bCs/>
        </w:rPr>
        <w:t>- Противоерозионни мероприятия в лозя и трайни насаждения - чрез затревяване на междуредията на лозята и трайните насаждения - поддържане на нисък тревостой на междуредовото затревяване и вътрешноредово окопаване на насажденията</w:t>
      </w:r>
      <w:r w:rsidR="00107AE0" w:rsidRPr="00E46923">
        <w:rPr>
          <w:bCs/>
        </w:rPr>
        <w:t>, както</w:t>
      </w:r>
      <w:r w:rsidRPr="00E46923">
        <w:rPr>
          <w:bCs/>
        </w:rPr>
        <w:t xml:space="preserve"> и прокарване и поддържане на оттокоотвеждащи бразди напречно на склона. </w:t>
      </w:r>
    </w:p>
    <w:p w:rsidR="00352E12" w:rsidRDefault="00352E12" w:rsidP="00753785">
      <w:pPr>
        <w:spacing w:line="360" w:lineRule="auto"/>
        <w:ind w:firstLine="708"/>
        <w:jc w:val="both"/>
        <w:rPr>
          <w:bCs/>
        </w:rPr>
      </w:pPr>
      <w:r w:rsidRPr="00E46923">
        <w:rPr>
          <w:bCs/>
        </w:rPr>
        <w:t>- Противоерозионни мероприятие в обработваеми земи: за създаване и поддържане на буферни ивици с медоносна тревна растителност и поясно редуване на окопни със слята повърхност култури перпендикулярно на склона.</w:t>
      </w:r>
    </w:p>
    <w:p w:rsidR="003E636D" w:rsidRDefault="00EC6A52" w:rsidP="00753785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Създава се </w:t>
      </w:r>
      <w:r w:rsidRPr="00C0444F">
        <w:rPr>
          <w:bCs/>
        </w:rPr>
        <w:t xml:space="preserve">приложение № </w:t>
      </w:r>
      <w:r w:rsidR="00C0444F">
        <w:rPr>
          <w:bCs/>
        </w:rPr>
        <w:t>10</w:t>
      </w:r>
      <w:r>
        <w:rPr>
          <w:bCs/>
        </w:rPr>
        <w:t xml:space="preserve"> списък с допустими култури от групата на трайните насаждения, подходящи за прилагане на дейността по</w:t>
      </w:r>
      <w:r w:rsidRPr="00E46923">
        <w:rPr>
          <w:bCs/>
        </w:rPr>
        <w:t xml:space="preserve"> затревяване на междуредията на лозята и трайните насаждения - поддържане на нисък тревостой на междуредовото затревяване и вътрешноредово окопаване на насажденията</w:t>
      </w:r>
      <w:r>
        <w:rPr>
          <w:bCs/>
        </w:rPr>
        <w:t xml:space="preserve">. Въвежда се </w:t>
      </w:r>
      <w:r w:rsidR="003337C6">
        <w:rPr>
          <w:bCs/>
        </w:rPr>
        <w:t>условие</w:t>
      </w:r>
      <w:r>
        <w:rPr>
          <w:bCs/>
        </w:rPr>
        <w:t xml:space="preserve"> за заявените площи по дейността да се изискват </w:t>
      </w:r>
      <w:r w:rsidR="003E636D">
        <w:rPr>
          <w:bCs/>
        </w:rPr>
        <w:t>документ</w:t>
      </w:r>
      <w:r>
        <w:rPr>
          <w:bCs/>
        </w:rPr>
        <w:t>и</w:t>
      </w:r>
      <w:r w:rsidR="003E636D">
        <w:rPr>
          <w:bCs/>
        </w:rPr>
        <w:t>, удостоверяващ</w:t>
      </w:r>
      <w:r>
        <w:rPr>
          <w:bCs/>
        </w:rPr>
        <w:t>и</w:t>
      </w:r>
      <w:r w:rsidR="003E636D">
        <w:rPr>
          <w:bCs/>
        </w:rPr>
        <w:t xml:space="preserve"> че </w:t>
      </w:r>
      <w:r>
        <w:rPr>
          <w:bCs/>
        </w:rPr>
        <w:t xml:space="preserve">за заявените </w:t>
      </w:r>
      <w:r w:rsidR="003E636D">
        <w:rPr>
          <w:bCs/>
        </w:rPr>
        <w:t>насаждения</w:t>
      </w:r>
      <w:r>
        <w:rPr>
          <w:bCs/>
        </w:rPr>
        <w:t xml:space="preserve"> не е изтекла продължителността на периода на плододаване, в </w:t>
      </w:r>
      <w:r>
        <w:rPr>
          <w:bCs/>
        </w:rPr>
        <w:lastRenderedPageBreak/>
        <w:t xml:space="preserve">т.ч. </w:t>
      </w:r>
      <w:r w:rsidR="003E636D">
        <w:rPr>
          <w:bCs/>
        </w:rPr>
        <w:t>оценка</w:t>
      </w:r>
      <w:r>
        <w:rPr>
          <w:bCs/>
        </w:rPr>
        <w:t>та им</w:t>
      </w:r>
      <w:r w:rsidR="003E636D">
        <w:rPr>
          <w:bCs/>
        </w:rPr>
        <w:t xml:space="preserve"> </w:t>
      </w:r>
      <w:r>
        <w:rPr>
          <w:bCs/>
        </w:rPr>
        <w:t xml:space="preserve">по реда на </w:t>
      </w:r>
      <w:r w:rsidR="00AE6937">
        <w:rPr>
          <w:bCs/>
        </w:rPr>
        <w:t>Н</w:t>
      </w:r>
      <w:r w:rsidR="00AE6937" w:rsidRPr="00AE6937">
        <w:rPr>
          <w:bCs/>
        </w:rPr>
        <w:t>аредба за базисните цени на трай</w:t>
      </w:r>
      <w:r w:rsidR="00AE6937">
        <w:rPr>
          <w:bCs/>
        </w:rPr>
        <w:t>ните насаждения</w:t>
      </w:r>
      <w:r w:rsidR="00EC2F1D">
        <w:rPr>
          <w:bCs/>
        </w:rPr>
        <w:t>, приета с Постановление № 151 на Министерския съвет от 1991 г.</w:t>
      </w:r>
      <w:r w:rsidR="00AE6937">
        <w:rPr>
          <w:bCs/>
        </w:rPr>
        <w:t xml:space="preserve"> (</w:t>
      </w:r>
      <w:r w:rsidR="00EC2F1D" w:rsidRPr="00EC2F1D">
        <w:rPr>
          <w:bCs/>
        </w:rPr>
        <w:t>обн., ДВ, бр. 65 от 1991 г</w:t>
      </w:r>
      <w:r w:rsidR="00EC2F1D" w:rsidRPr="00322CB7">
        <w:rPr>
          <w:bCs/>
        </w:rPr>
        <w:t>.</w:t>
      </w:r>
      <w:r w:rsidR="00AE6937" w:rsidRPr="00322CB7">
        <w:rPr>
          <w:bCs/>
        </w:rPr>
        <w:t>).</w:t>
      </w:r>
      <w:r w:rsidR="004B20DE" w:rsidRPr="00322CB7">
        <w:rPr>
          <w:bCs/>
        </w:rPr>
        <w:t xml:space="preserve"> </w:t>
      </w:r>
      <w:r w:rsidR="00322CB7">
        <w:rPr>
          <w:bCs/>
        </w:rPr>
        <w:t>Във връзка с</w:t>
      </w:r>
      <w:r w:rsidR="00322CB7" w:rsidRPr="00322CB7">
        <w:t xml:space="preserve"> </w:t>
      </w:r>
      <w:r w:rsidR="00322CB7" w:rsidRPr="00322CB7">
        <w:rPr>
          <w:bCs/>
        </w:rPr>
        <w:t xml:space="preserve">дейността за създаване и поддържане на буферни ивици </w:t>
      </w:r>
      <w:r w:rsidR="00322CB7">
        <w:rPr>
          <w:bCs/>
        </w:rPr>
        <w:t>с медоносна тревна растителност се създава</w:t>
      </w:r>
      <w:r w:rsidR="004B20DE" w:rsidRPr="00322CB7">
        <w:rPr>
          <w:bCs/>
        </w:rPr>
        <w:t xml:space="preserve"> Приложение № 11 </w:t>
      </w:r>
      <w:r w:rsidR="00C0444F" w:rsidRPr="00322CB7">
        <w:rPr>
          <w:bCs/>
        </w:rPr>
        <w:t>с</w:t>
      </w:r>
      <w:r w:rsidR="00C0444F" w:rsidRPr="00322CB7">
        <w:t xml:space="preserve"> </w:t>
      </w:r>
      <w:r w:rsidR="00C0444F" w:rsidRPr="00322CB7">
        <w:rPr>
          <w:bCs/>
        </w:rPr>
        <w:t>медоносните тревни растения, които следва да се</w:t>
      </w:r>
      <w:r w:rsidR="00C0444F">
        <w:rPr>
          <w:bCs/>
        </w:rPr>
        <w:t xml:space="preserve"> зася</w:t>
      </w:r>
      <w:r w:rsidR="00AA3FEB">
        <w:rPr>
          <w:bCs/>
        </w:rPr>
        <w:t>ват при изпълнение на дейността.</w:t>
      </w:r>
    </w:p>
    <w:p w:rsidR="00107AE0" w:rsidRPr="00E46923" w:rsidRDefault="00107AE0" w:rsidP="00F02A30">
      <w:pPr>
        <w:spacing w:line="360" w:lineRule="auto"/>
        <w:ind w:firstLine="708"/>
        <w:jc w:val="both"/>
        <w:rPr>
          <w:bCs/>
        </w:rPr>
      </w:pPr>
      <w:r w:rsidRPr="00E46923">
        <w:rPr>
          <w:bCs/>
        </w:rPr>
        <w:t>Поради измененията и допълненията</w:t>
      </w:r>
      <w:r w:rsidR="00567CEC" w:rsidRPr="00E46923">
        <w:rPr>
          <w:bCs/>
        </w:rPr>
        <w:t xml:space="preserve"> </w:t>
      </w:r>
      <w:r w:rsidRPr="00E46923">
        <w:rPr>
          <w:bCs/>
        </w:rPr>
        <w:t>в цитираните дейности по направлението се правят промени в чл. 36 от Наредба № 7 от 2015 г.</w:t>
      </w:r>
      <w:r w:rsidR="00AE0CA9" w:rsidRPr="003E636D">
        <w:rPr>
          <w:bCs/>
        </w:rPr>
        <w:t xml:space="preserve"> за прилагане на мярка 10 </w:t>
      </w:r>
      <w:r w:rsidR="00AE0CA9">
        <w:rPr>
          <w:bCs/>
        </w:rPr>
        <w:t>„</w:t>
      </w:r>
      <w:r w:rsidR="00AE0CA9" w:rsidRPr="003E636D">
        <w:rPr>
          <w:bCs/>
        </w:rPr>
        <w:t>Агроекология и климат</w:t>
      </w:r>
      <w:r w:rsidR="00AE0CA9">
        <w:rPr>
          <w:bCs/>
        </w:rPr>
        <w:t>“</w:t>
      </w:r>
      <w:r w:rsidR="00AE0CA9" w:rsidRPr="003E636D">
        <w:rPr>
          <w:bCs/>
        </w:rPr>
        <w:t xml:space="preserve"> от Програмата за развитие на селските райони за периода 2014 – 2020 г. (обн., ДВ, бр. 16 от 2015 г.)</w:t>
      </w:r>
      <w:r w:rsidR="00AE0CA9">
        <w:rPr>
          <w:bCs/>
        </w:rPr>
        <w:t xml:space="preserve"> </w:t>
      </w:r>
      <w:r w:rsidR="00AE0CA9" w:rsidRPr="003E636D">
        <w:rPr>
          <w:bCs/>
        </w:rPr>
        <w:t>(Наредба № 7 от 2015 г.)</w:t>
      </w:r>
      <w:r w:rsidRPr="00E46923">
        <w:rPr>
          <w:bCs/>
        </w:rPr>
        <w:t>, както и в чл. 46 във връзк</w:t>
      </w:r>
      <w:r w:rsidR="00F02A30" w:rsidRPr="00E46923">
        <w:rPr>
          <w:bCs/>
        </w:rPr>
        <w:t>а с изискването да се предостави</w:t>
      </w:r>
      <w:r w:rsidRPr="00E46923">
        <w:rPr>
          <w:bCs/>
        </w:rPr>
        <w:t xml:space="preserve"> документ </w:t>
      </w:r>
      <w:r w:rsidR="00EC6A52">
        <w:rPr>
          <w:bCs/>
        </w:rPr>
        <w:t>за</w:t>
      </w:r>
      <w:r w:rsidR="00EC6A52" w:rsidRPr="00E46923">
        <w:rPr>
          <w:bCs/>
        </w:rPr>
        <w:t xml:space="preserve"> </w:t>
      </w:r>
      <w:r w:rsidRPr="00E46923">
        <w:rPr>
          <w:bCs/>
        </w:rPr>
        <w:t xml:space="preserve">закупуване на тревните смески и семена на медоносни растения при изпълнение на ангажименти свързани със затревяване или създаване на буферни ивици с медоносни растителност. </w:t>
      </w:r>
    </w:p>
    <w:p w:rsidR="000B5B7F" w:rsidRPr="003E636D" w:rsidRDefault="006802CF" w:rsidP="0075569F">
      <w:pPr>
        <w:spacing w:line="360" w:lineRule="auto"/>
        <w:ind w:firstLine="709"/>
        <w:jc w:val="both"/>
        <w:rPr>
          <w:bCs/>
        </w:rPr>
      </w:pPr>
      <w:r w:rsidRPr="00E46923">
        <w:rPr>
          <w:bCs/>
        </w:rPr>
        <w:t>Практиката</w:t>
      </w:r>
      <w:r w:rsidR="00F9667C" w:rsidRPr="00E46923">
        <w:rPr>
          <w:bCs/>
        </w:rPr>
        <w:t xml:space="preserve"> по прилагане на</w:t>
      </w:r>
      <w:r w:rsidR="009474F4" w:rsidRPr="00E46923">
        <w:rPr>
          <w:bCs/>
        </w:rPr>
        <w:t xml:space="preserve"> </w:t>
      </w:r>
      <w:r w:rsidR="009474F4" w:rsidRPr="00E46923">
        <w:t>направление „Традиционни практики за сезонна паша (пасторализъм)“ от</w:t>
      </w:r>
      <w:r w:rsidR="00F9667C" w:rsidRPr="00E46923">
        <w:rPr>
          <w:bCs/>
        </w:rPr>
        <w:t xml:space="preserve"> </w:t>
      </w:r>
      <w:r w:rsidRPr="00E46923">
        <w:t xml:space="preserve">мярка 10 „Агроекология и климат“ </w:t>
      </w:r>
      <w:r w:rsidR="00F9667C" w:rsidRPr="00E46923">
        <w:t>показа необходимост</w:t>
      </w:r>
      <w:r w:rsidR="009474F4" w:rsidRPr="00E46923">
        <w:t>та</w:t>
      </w:r>
      <w:r w:rsidR="00F9667C" w:rsidRPr="00E46923">
        <w:t xml:space="preserve"> от усъвършенстване и </w:t>
      </w:r>
      <w:r w:rsidR="009474F4" w:rsidRPr="00E46923">
        <w:t>повишаване изискванията</w:t>
      </w:r>
      <w:r w:rsidR="00F9667C" w:rsidRPr="00E46923">
        <w:t xml:space="preserve"> </w:t>
      </w:r>
      <w:r w:rsidR="009474F4" w:rsidRPr="00E46923">
        <w:t xml:space="preserve">в направлението. В резултат на проведени междуинституционални срещи между представители на Министерство на околната среда и водите и представители на </w:t>
      </w:r>
      <w:r w:rsidR="0010751D">
        <w:rPr>
          <w:color w:val="000000"/>
        </w:rPr>
        <w:t>Министерството на земеделието, храните и горите</w:t>
      </w:r>
      <w:r w:rsidR="009474F4" w:rsidRPr="00E46923">
        <w:t xml:space="preserve"> и </w:t>
      </w:r>
      <w:r w:rsidR="0010751D">
        <w:rPr>
          <w:bCs/>
        </w:rPr>
        <w:t>Държавен фонд „Земеделие“ - Разплащателна агенция</w:t>
      </w:r>
      <w:r w:rsidR="009474F4" w:rsidRPr="00E46923">
        <w:t xml:space="preserve"> беше изпратено писмо с вх. № 0403-214 oт 23.11.2020 г., в което са посочени нуждата от краткосрочни мерки за подобряването на пасищните екосистеми в националните паркове. </w:t>
      </w:r>
      <w:r w:rsidR="00413D0A" w:rsidRPr="00E46923">
        <w:t>Т</w:t>
      </w:r>
      <w:r w:rsidR="00744EC7" w:rsidRPr="00E46923">
        <w:t>ова нал</w:t>
      </w:r>
      <w:r w:rsidR="00805FF5" w:rsidRPr="00E46923">
        <w:t xml:space="preserve">ожи </w:t>
      </w:r>
      <w:r w:rsidR="00744EC7" w:rsidRPr="00E46923">
        <w:t>да бъдат направени доп</w:t>
      </w:r>
      <w:r w:rsidR="00DC3B73" w:rsidRPr="00E46923">
        <w:t>ъ</w:t>
      </w:r>
      <w:r w:rsidR="00744EC7" w:rsidRPr="00E46923">
        <w:t xml:space="preserve">лнения </w:t>
      </w:r>
      <w:r w:rsidR="009474F4" w:rsidRPr="00E46923">
        <w:t xml:space="preserve">в Приложение </w:t>
      </w:r>
      <w:r w:rsidR="00EC6A52">
        <w:t xml:space="preserve">№ </w:t>
      </w:r>
      <w:r w:rsidR="009474F4" w:rsidRPr="00E46923">
        <w:t>6</w:t>
      </w:r>
      <w:r w:rsidR="0010751D" w:rsidRPr="0010751D">
        <w:t xml:space="preserve"> към чл. 16 и чл. 23, ал. 2</w:t>
      </w:r>
      <w:r w:rsidR="009474F4" w:rsidRPr="00E46923">
        <w:t xml:space="preserve"> </w:t>
      </w:r>
      <w:r w:rsidR="0010751D">
        <w:t xml:space="preserve">от </w:t>
      </w:r>
      <w:r w:rsidR="00805FF5" w:rsidRPr="00E46923">
        <w:rPr>
          <w:bCs/>
        </w:rPr>
        <w:t>Наредба № 7 от 2015</w:t>
      </w:r>
      <w:r w:rsidR="009474F4" w:rsidRPr="00E46923">
        <w:rPr>
          <w:bCs/>
        </w:rPr>
        <w:t xml:space="preserve"> г., във връзка с чл. 17 и чл. 21 от Закона за защитените територии. Добавят се </w:t>
      </w:r>
      <w:r w:rsidR="00A3118C" w:rsidRPr="00E46923">
        <w:rPr>
          <w:bCs/>
        </w:rPr>
        <w:t>изисквания към направлението съгласно които животните с</w:t>
      </w:r>
      <w:r w:rsidR="0010751D">
        <w:rPr>
          <w:bCs/>
        </w:rPr>
        <w:t>а</w:t>
      </w:r>
      <w:r w:rsidR="00A3118C" w:rsidRPr="00E46923">
        <w:rPr>
          <w:bCs/>
        </w:rPr>
        <w:t xml:space="preserve"> придружавани от пастир (гледач), ако не се придр</w:t>
      </w:r>
      <w:r w:rsidR="003A1A8C" w:rsidRPr="00E46923">
        <w:rPr>
          <w:bCs/>
        </w:rPr>
        <w:t>ужават от земеделския стопанин</w:t>
      </w:r>
      <w:r w:rsidR="00AF3FE1" w:rsidRPr="00E46923">
        <w:rPr>
          <w:bCs/>
        </w:rPr>
        <w:t xml:space="preserve">, а за бенефициентите, които осъществяват дейността с придружаващи стадото кучета, на същите да бъдат </w:t>
      </w:r>
      <w:r w:rsidR="00A3118C" w:rsidRPr="00E46923">
        <w:rPr>
          <w:bCs/>
        </w:rPr>
        <w:t>поставя</w:t>
      </w:r>
      <w:r w:rsidR="00AF3FE1" w:rsidRPr="00E46923">
        <w:rPr>
          <w:bCs/>
        </w:rPr>
        <w:t>ни</w:t>
      </w:r>
      <w:r w:rsidR="00A3118C" w:rsidRPr="00E46923">
        <w:rPr>
          <w:bCs/>
        </w:rPr>
        <w:t xml:space="preserve"> </w:t>
      </w:r>
      <w:r w:rsidR="00A3118C" w:rsidRPr="001E2C2A">
        <w:rPr>
          <w:bCs/>
        </w:rPr>
        <w:t>спъвачк</w:t>
      </w:r>
      <w:r w:rsidR="001E2C2A" w:rsidRPr="00753785">
        <w:rPr>
          <w:bCs/>
        </w:rPr>
        <w:t>и</w:t>
      </w:r>
      <w:r w:rsidR="00A3118C" w:rsidRPr="00E46923">
        <w:rPr>
          <w:bCs/>
        </w:rPr>
        <w:t>.</w:t>
      </w:r>
      <w:r w:rsidR="0005239B" w:rsidRPr="00E46923">
        <w:rPr>
          <w:bCs/>
        </w:rPr>
        <w:t xml:space="preserve"> </w:t>
      </w:r>
    </w:p>
    <w:p w:rsidR="00AE3055" w:rsidRPr="00E46923" w:rsidRDefault="00AE3055" w:rsidP="00223150">
      <w:pPr>
        <w:spacing w:line="360" w:lineRule="auto"/>
        <w:ind w:firstLine="709"/>
        <w:jc w:val="both"/>
        <w:rPr>
          <w:b/>
          <w:bCs/>
        </w:rPr>
      </w:pPr>
      <w:r w:rsidRPr="00E46923">
        <w:rPr>
          <w:b/>
          <w:bCs/>
        </w:rPr>
        <w:t xml:space="preserve">Цели  </w:t>
      </w:r>
    </w:p>
    <w:p w:rsidR="00837337" w:rsidRPr="003E636D" w:rsidRDefault="0005239B" w:rsidP="0075569F">
      <w:pPr>
        <w:spacing w:line="360" w:lineRule="auto"/>
        <w:ind w:firstLine="709"/>
        <w:jc w:val="both"/>
        <w:rPr>
          <w:bCs/>
        </w:rPr>
      </w:pPr>
      <w:r w:rsidRPr="00E46923">
        <w:rPr>
          <w:bCs/>
        </w:rPr>
        <w:t>С предложените промени в нормативната уредба се цели да се отговори на предизвикателствата, възникнали в процеса на прилагането на ПРСР 2014 - 2020 г., както и ефективно управление на финансови средства по мярката. Част от промените целят да се осигури съответствие на текстове, включени в предложенията за десетото изменение на ПРСР 2014 - 2020 г. и приложимото европейско и национално законодателство.</w:t>
      </w:r>
    </w:p>
    <w:p w:rsidR="00C41E0B" w:rsidRPr="00E46923" w:rsidRDefault="00C41E0B" w:rsidP="00223150">
      <w:pPr>
        <w:spacing w:line="360" w:lineRule="auto"/>
        <w:ind w:firstLine="709"/>
        <w:jc w:val="both"/>
        <w:rPr>
          <w:b/>
          <w:bCs/>
        </w:rPr>
      </w:pPr>
      <w:r w:rsidRPr="00E46923">
        <w:rPr>
          <w:b/>
          <w:bCs/>
        </w:rPr>
        <w:t>Финансови и други средства, необходими за прилагането на новата уредба</w:t>
      </w:r>
    </w:p>
    <w:p w:rsidR="00AD2890" w:rsidRPr="003E636D" w:rsidRDefault="00DC1F17" w:rsidP="0075569F">
      <w:pPr>
        <w:spacing w:line="360" w:lineRule="auto"/>
        <w:ind w:firstLine="709"/>
        <w:jc w:val="both"/>
        <w:rPr>
          <w:bCs/>
        </w:rPr>
      </w:pPr>
      <w:r w:rsidRPr="00E46923">
        <w:rPr>
          <w:bCs/>
        </w:rPr>
        <w:t>Проект</w:t>
      </w:r>
      <w:r w:rsidR="00C41E0B" w:rsidRPr="00E46923">
        <w:rPr>
          <w:bCs/>
        </w:rPr>
        <w:t>ът</w:t>
      </w:r>
      <w:r w:rsidR="00AE3055" w:rsidRPr="00E46923">
        <w:rPr>
          <w:bCs/>
        </w:rPr>
        <w:t xml:space="preserve"> на </w:t>
      </w:r>
      <w:r w:rsidR="000B5B7F">
        <w:rPr>
          <w:bCs/>
        </w:rPr>
        <w:t xml:space="preserve">НИД </w:t>
      </w:r>
      <w:r w:rsidR="009B76E6" w:rsidRPr="00E46923">
        <w:rPr>
          <w:bCs/>
        </w:rPr>
        <w:t xml:space="preserve">на </w:t>
      </w:r>
      <w:r w:rsidR="0005239B" w:rsidRPr="00E46923">
        <w:rPr>
          <w:bCs/>
        </w:rPr>
        <w:t xml:space="preserve">Наредба № 7 от 2015 г.  </w:t>
      </w:r>
      <w:r w:rsidR="00AE3055" w:rsidRPr="00E46923">
        <w:rPr>
          <w:bCs/>
        </w:rPr>
        <w:t xml:space="preserve">не води до въздействие върху държавния бюджет. Той не предвижда разходването на допълнителни средства от </w:t>
      </w:r>
      <w:r w:rsidR="00AE3055" w:rsidRPr="00E46923">
        <w:rPr>
          <w:bCs/>
        </w:rPr>
        <w:lastRenderedPageBreak/>
        <w:t xml:space="preserve">бюджета на </w:t>
      </w:r>
      <w:r w:rsidR="005937E5" w:rsidRPr="00E46923">
        <w:rPr>
          <w:bCs/>
        </w:rPr>
        <w:t xml:space="preserve">Министерството на земеделието, храните и горите и на </w:t>
      </w:r>
      <w:r w:rsidR="00AE3055" w:rsidRPr="00E46923">
        <w:rPr>
          <w:bCs/>
        </w:rPr>
        <w:t>Държавен фонд „Земеделие“</w:t>
      </w:r>
      <w:r w:rsidR="005937E5" w:rsidRPr="00E46923">
        <w:rPr>
          <w:bCs/>
        </w:rPr>
        <w:t>, както</w:t>
      </w:r>
      <w:r w:rsidR="00AE3055" w:rsidRPr="00E46923">
        <w:rPr>
          <w:bCs/>
        </w:rPr>
        <w:t xml:space="preserve"> и допълнителна финансова тежест за кандидатите и бенефициентите на подпомагане.</w:t>
      </w:r>
      <w:r w:rsidR="000B5B7F" w:rsidRPr="000B5B7F">
        <w:t xml:space="preserve"> </w:t>
      </w:r>
      <w:r w:rsidR="000B5B7F" w:rsidRPr="000B5B7F">
        <w:rPr>
          <w:bCs/>
        </w:rPr>
        <w:t>Финансовите средства ще бъдат предвидени в сметката за средствата от Европейския съюз на</w:t>
      </w:r>
      <w:r w:rsidR="000B5B7F">
        <w:rPr>
          <w:bCs/>
        </w:rPr>
        <w:t xml:space="preserve"> Държавен фонд „Земеделие“ - Разплащателна агенция</w:t>
      </w:r>
      <w:r w:rsidR="00842593">
        <w:rPr>
          <w:bCs/>
        </w:rPr>
        <w:t xml:space="preserve"> </w:t>
      </w:r>
      <w:r w:rsidR="00842593" w:rsidRPr="00842593">
        <w:rPr>
          <w:bCs/>
        </w:rPr>
        <w:t>като плащанията</w:t>
      </w:r>
      <w:r w:rsidR="00842593">
        <w:rPr>
          <w:bCs/>
        </w:rPr>
        <w:t xml:space="preserve"> съгласно чл</w:t>
      </w:r>
      <w:r w:rsidR="00842593" w:rsidRPr="006A5066">
        <w:rPr>
          <w:bCs/>
        </w:rPr>
        <w:t>. 11</w:t>
      </w:r>
      <w:r w:rsidR="00842593">
        <w:rPr>
          <w:bCs/>
        </w:rPr>
        <w:t xml:space="preserve"> от Наредбата се </w:t>
      </w:r>
      <w:r w:rsidR="00842593" w:rsidRPr="00842593">
        <w:rPr>
          <w:bCs/>
        </w:rPr>
        <w:t xml:space="preserve">предоставят в рамките на предвидените финансови средства по мярка </w:t>
      </w:r>
      <w:r w:rsidR="00842593">
        <w:rPr>
          <w:bCs/>
        </w:rPr>
        <w:t>10</w:t>
      </w:r>
      <w:r w:rsidR="00842593" w:rsidRPr="00842593">
        <w:rPr>
          <w:bCs/>
        </w:rPr>
        <w:t xml:space="preserve"> „</w:t>
      </w:r>
      <w:r w:rsidR="00842593">
        <w:rPr>
          <w:bCs/>
        </w:rPr>
        <w:t>Агроекология и климат</w:t>
      </w:r>
      <w:r w:rsidR="00842593" w:rsidRPr="00842593">
        <w:rPr>
          <w:bCs/>
        </w:rPr>
        <w:t>" от Програмата за развитие на селските райони за периода 2014 - 2020 г</w:t>
      </w:r>
      <w:r w:rsidR="006A5066">
        <w:rPr>
          <w:bCs/>
        </w:rPr>
        <w:t>одина</w:t>
      </w:r>
      <w:r w:rsidR="00842593" w:rsidRPr="00842593">
        <w:rPr>
          <w:bCs/>
        </w:rPr>
        <w:t>.</w:t>
      </w:r>
    </w:p>
    <w:p w:rsidR="00AD2890" w:rsidRPr="00E46923" w:rsidRDefault="00AD2890" w:rsidP="00AD2890">
      <w:pPr>
        <w:pStyle w:val="NormalWeb"/>
        <w:spacing w:line="360" w:lineRule="auto"/>
        <w:ind w:firstLine="708"/>
        <w:rPr>
          <w:b/>
          <w:color w:val="auto"/>
        </w:rPr>
      </w:pPr>
      <w:r w:rsidRPr="00E46923">
        <w:rPr>
          <w:b/>
          <w:color w:val="auto"/>
        </w:rPr>
        <w:t>Очаквани резултати от прилагането на акта</w:t>
      </w:r>
    </w:p>
    <w:p w:rsidR="000B5B7F" w:rsidRPr="003E636D" w:rsidRDefault="00AD2890" w:rsidP="0075569F">
      <w:pPr>
        <w:pStyle w:val="NormalWeb"/>
        <w:spacing w:line="360" w:lineRule="auto"/>
        <w:ind w:firstLine="708"/>
        <w:rPr>
          <w:color w:val="auto"/>
        </w:rPr>
      </w:pPr>
      <w:r w:rsidRPr="00E46923">
        <w:rPr>
          <w:color w:val="auto"/>
        </w:rPr>
        <w:t>С проекта на НИД на Наредба № 7 от 2015 г. се очаква да се постигнат целите от издаването на акта и да се осигури по-пълно прилагане на ПРСР 2014 – 2020 г. С проекта на наредба ще бъде осигурена по-голяма публичност и информираност на земеделските стопани за дейностите и направление, съответно някой с нови нива на подпомагане в преходния период 2021 – 2022 г.</w:t>
      </w:r>
      <w:r w:rsidR="000B5B7F">
        <w:rPr>
          <w:color w:val="auto"/>
        </w:rPr>
        <w:t xml:space="preserve"> </w:t>
      </w:r>
      <w:r w:rsidRPr="00E46923">
        <w:rPr>
          <w:color w:val="auto"/>
        </w:rPr>
        <w:t>По такъв начин ще се съобрази националното и европейското законодателство в областта на селското стопанство.</w:t>
      </w:r>
    </w:p>
    <w:p w:rsidR="00C41E0B" w:rsidRPr="00E46923" w:rsidRDefault="00C41E0B" w:rsidP="00223150">
      <w:pPr>
        <w:spacing w:line="360" w:lineRule="auto"/>
        <w:ind w:firstLine="709"/>
        <w:jc w:val="both"/>
        <w:rPr>
          <w:b/>
        </w:rPr>
      </w:pPr>
      <w:r w:rsidRPr="00E46923">
        <w:rPr>
          <w:b/>
        </w:rPr>
        <w:t>Анализ за съответствие с правото на Европейския съюз</w:t>
      </w:r>
    </w:p>
    <w:p w:rsidR="00837337" w:rsidRPr="00E46923" w:rsidRDefault="00837337" w:rsidP="004C01BF">
      <w:pPr>
        <w:spacing w:line="360" w:lineRule="auto"/>
        <w:ind w:firstLine="709"/>
        <w:jc w:val="both"/>
      </w:pPr>
      <w:r w:rsidRPr="00E46923">
        <w:t>В периода  23.11.2020 г. – 30.11.2020 г., беше проведена писмена процедура на Комитета по наблюдение на ПРСР 2014-2020 г., като до членовете на Комитета беше изпратено за гласуване предложение на Управляващия орган на ПРСР 2014-2020 г.</w:t>
      </w:r>
      <w:r w:rsidR="00AD2890" w:rsidRPr="00E46923">
        <w:t xml:space="preserve">, което в включено в </w:t>
      </w:r>
      <w:r w:rsidRPr="00E46923">
        <w:t xml:space="preserve">десетото  изменение и допълнение на </w:t>
      </w:r>
      <w:r w:rsidR="000B5B7F" w:rsidRPr="00E46923">
        <w:t xml:space="preserve">ПРСР </w:t>
      </w:r>
      <w:r w:rsidRPr="00E46923">
        <w:t>2014-2020 г. На проведеното 15</w:t>
      </w:r>
      <w:r w:rsidR="000B5B7F">
        <w:t xml:space="preserve"> - </w:t>
      </w:r>
      <w:r w:rsidRPr="00E46923">
        <w:t xml:space="preserve">то заседание на Комитета за наблюдение на </w:t>
      </w:r>
      <w:r w:rsidR="000B5B7F" w:rsidRPr="00E46923">
        <w:t xml:space="preserve">ПРСР </w:t>
      </w:r>
      <w:r w:rsidRPr="00E46923">
        <w:t>2014-2020 г., чрез видеоконферентна връзка на</w:t>
      </w:r>
      <w:r w:rsidR="00AD2890" w:rsidRPr="00E46923">
        <w:t xml:space="preserve"> </w:t>
      </w:r>
      <w:r w:rsidRPr="00E46923">
        <w:t>22.12.2020 г., бяха гласувани и допълнителни текстове</w:t>
      </w:r>
      <w:r w:rsidR="00842593">
        <w:t>, които налагат</w:t>
      </w:r>
      <w:r w:rsidR="00AF71A7">
        <w:t xml:space="preserve"> </w:t>
      </w:r>
      <w:r w:rsidRPr="00E46923">
        <w:t xml:space="preserve">изменение и допълнение на </w:t>
      </w:r>
      <w:r w:rsidRPr="00E46923">
        <w:rPr>
          <w:bCs/>
        </w:rPr>
        <w:t xml:space="preserve">Наредба № 7 от 2015 </w:t>
      </w:r>
      <w:r w:rsidR="000B5B7F" w:rsidRPr="00E46923">
        <w:t>г</w:t>
      </w:r>
      <w:r w:rsidR="006A5066">
        <w:t>одина</w:t>
      </w:r>
      <w:r w:rsidRPr="00E46923">
        <w:t xml:space="preserve">. </w:t>
      </w:r>
    </w:p>
    <w:p w:rsidR="00837337" w:rsidRPr="00E46923" w:rsidRDefault="00837337" w:rsidP="00837337">
      <w:pPr>
        <w:spacing w:line="360" w:lineRule="auto"/>
        <w:ind w:firstLine="709"/>
        <w:jc w:val="both"/>
      </w:pPr>
      <w:r w:rsidRPr="00E46923">
        <w:t>Мярка 10</w:t>
      </w:r>
      <w:r w:rsidR="000B5B7F">
        <w:t xml:space="preserve"> „</w:t>
      </w:r>
      <w:r w:rsidRPr="00E46923">
        <w:t>Агроекология и климат</w:t>
      </w:r>
      <w:r w:rsidR="000B5B7F">
        <w:t>“</w:t>
      </w:r>
      <w:r w:rsidRPr="00E46923">
        <w:t xml:space="preserve"> е регламентирана на ниво право на Европейския съюз в чл. 28 от Регламент (ЕС) № 1305/2013. С измененията на тази разпоредба в параграф 5 се добавят текстове по отношение на новите ангажименти, които ще бъдат поемани от 2021 г., като в програмите си за развитие на селските райони държавите членки определят по-кратък период - от една до три години.</w:t>
      </w:r>
    </w:p>
    <w:p w:rsidR="00837337" w:rsidRPr="00E46923" w:rsidRDefault="00837337" w:rsidP="0029349C">
      <w:pPr>
        <w:spacing w:line="360" w:lineRule="auto"/>
        <w:ind w:firstLine="708"/>
        <w:jc w:val="both"/>
      </w:pPr>
      <w:r w:rsidRPr="0029349C">
        <w:t>Ако държавите членки предвидят годишно удължаване на ангажиментите след изтичането на първоначалния период, от 2022 г. това удължаване не трябва да надхвърля една година.</w:t>
      </w:r>
      <w:r w:rsidRPr="00E46923">
        <w:t xml:space="preserve"> </w:t>
      </w:r>
      <w:r w:rsidRPr="004F024E">
        <w:t xml:space="preserve">В </w:t>
      </w:r>
      <w:r w:rsidR="00AF71A7" w:rsidRPr="004F024E">
        <w:t>тази връзка се въвеждат</w:t>
      </w:r>
      <w:r w:rsidR="00AD2890" w:rsidRPr="004F024E">
        <w:t xml:space="preserve"> допълнителни изисквания </w:t>
      </w:r>
      <w:r w:rsidRPr="004F024E">
        <w:t>произтичащи от прилагането на чл. 17 и чл. 21 от Закона за защитените територии.</w:t>
      </w:r>
    </w:p>
    <w:p w:rsidR="00837337" w:rsidRDefault="00837337" w:rsidP="0075569F">
      <w:pPr>
        <w:spacing w:line="360" w:lineRule="auto"/>
        <w:ind w:firstLine="709"/>
        <w:jc w:val="both"/>
      </w:pPr>
      <w:r w:rsidRPr="00E46923">
        <w:t xml:space="preserve">С оглед съобразяването с новите преходни правила съгласно </w:t>
      </w:r>
      <w:r w:rsidRPr="00E46923">
        <w:rPr>
          <w:bCs/>
        </w:rPr>
        <w:t xml:space="preserve">Регламент (ЕС) 2020/2220 </w:t>
      </w:r>
      <w:r w:rsidRPr="00E46923">
        <w:t xml:space="preserve">се налагат изменения </w:t>
      </w:r>
      <w:r w:rsidR="009009B3">
        <w:t>и д</w:t>
      </w:r>
      <w:r w:rsidR="00466191">
        <w:t xml:space="preserve">опълнения </w:t>
      </w:r>
      <w:r w:rsidRPr="00E46923">
        <w:t xml:space="preserve">в </w:t>
      </w:r>
      <w:r w:rsidRPr="00E46923">
        <w:rPr>
          <w:bCs/>
        </w:rPr>
        <w:t xml:space="preserve">Наредба № 7 от 2015 </w:t>
      </w:r>
      <w:r w:rsidRPr="00E46923">
        <w:t>г</w:t>
      </w:r>
      <w:r w:rsidR="00666B90">
        <w:t>одина</w:t>
      </w:r>
      <w:r w:rsidR="00ED5AA3">
        <w:t>, като п</w:t>
      </w:r>
      <w:r w:rsidR="00ED5AA3" w:rsidRPr="00ED5AA3">
        <w:t xml:space="preserve">роектът на наредба не съдържа разпоредби, транспониращи актове на Европейския съюз, поради което не е приложена таблица на съответствието </w:t>
      </w:r>
      <w:r w:rsidR="00ED5AA3">
        <w:t>с правото на Европейския съюз.</w:t>
      </w:r>
    </w:p>
    <w:p w:rsidR="00C41E0B" w:rsidRPr="00E46923" w:rsidRDefault="00C41E0B" w:rsidP="00223150">
      <w:pPr>
        <w:spacing w:line="360" w:lineRule="auto"/>
        <w:ind w:firstLine="709"/>
        <w:jc w:val="both"/>
        <w:rPr>
          <w:b/>
          <w:bCs/>
        </w:rPr>
      </w:pPr>
      <w:r w:rsidRPr="00E46923">
        <w:rPr>
          <w:b/>
          <w:bCs/>
        </w:rPr>
        <w:lastRenderedPageBreak/>
        <w:t>Информация за проведените обществени консултации</w:t>
      </w:r>
    </w:p>
    <w:p w:rsidR="00837337" w:rsidRPr="00E46923" w:rsidRDefault="00837337" w:rsidP="00837337">
      <w:pPr>
        <w:spacing w:line="360" w:lineRule="auto"/>
        <w:ind w:firstLine="709"/>
        <w:jc w:val="both"/>
        <w:rPr>
          <w:bCs/>
        </w:rPr>
      </w:pPr>
      <w:r w:rsidRPr="00E46923">
        <w:rPr>
          <w:bCs/>
        </w:rPr>
        <w:t xml:space="preserve">На основание чл. 26, ал. 3 и 4 от Закона за нормативните актове проекта на наредба и проекта на доклад (мотиви) са публикувани за обществена консултация на интернет страницата на Министерството на земеделието, храните и горите и на Портала за обществени консултации със срок за предложения и становища 30 дни. </w:t>
      </w:r>
    </w:p>
    <w:p w:rsidR="00837337" w:rsidRPr="00E46923" w:rsidRDefault="00837337" w:rsidP="00837337">
      <w:pPr>
        <w:spacing w:line="360" w:lineRule="auto"/>
        <w:ind w:firstLine="709"/>
        <w:jc w:val="both"/>
        <w:rPr>
          <w:bCs/>
        </w:rPr>
      </w:pPr>
      <w:r w:rsidRPr="00E46923">
        <w:rPr>
          <w:bCs/>
        </w:rPr>
        <w:t>Съгласно чл. 26, ал. 5 от Закона за нормативните актове справката за постъпилите предложения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223150" w:rsidRPr="00E46923" w:rsidRDefault="00837337" w:rsidP="00837337">
      <w:pPr>
        <w:spacing w:line="360" w:lineRule="auto"/>
        <w:ind w:firstLine="709"/>
        <w:jc w:val="both"/>
        <w:rPr>
          <w:bCs/>
        </w:rPr>
      </w:pPr>
      <w:r w:rsidRPr="00E46923">
        <w:rPr>
          <w:bCs/>
        </w:rPr>
        <w:t>Проектът на наредба, ведно с проекта на доклад към него,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:rsidR="00417447" w:rsidRPr="00E46923" w:rsidRDefault="00417447" w:rsidP="00223150">
      <w:pPr>
        <w:spacing w:line="360" w:lineRule="auto"/>
        <w:ind w:firstLine="709"/>
        <w:jc w:val="both"/>
      </w:pPr>
    </w:p>
    <w:p w:rsidR="00951F3B" w:rsidRPr="00E46923" w:rsidRDefault="00951F3B" w:rsidP="00223150">
      <w:pPr>
        <w:spacing w:after="120" w:line="360" w:lineRule="auto"/>
        <w:jc w:val="both"/>
        <w:rPr>
          <w:b/>
          <w:noProof/>
          <w:shd w:val="clear" w:color="auto" w:fill="FEFEFE"/>
        </w:rPr>
      </w:pPr>
      <w:r w:rsidRPr="00E46923">
        <w:rPr>
          <w:b/>
          <w:noProof/>
          <w:shd w:val="clear" w:color="auto" w:fill="FEFEFE"/>
        </w:rPr>
        <w:t>УВАЖАЕМА ГОСПОЖО МИНИСТЪР,</w:t>
      </w:r>
    </w:p>
    <w:p w:rsidR="00223150" w:rsidRPr="003E636D" w:rsidRDefault="00951F3B" w:rsidP="005461E0">
      <w:pPr>
        <w:spacing w:after="120" w:line="360" w:lineRule="auto"/>
        <w:ind w:firstLine="709"/>
        <w:jc w:val="both"/>
        <w:rPr>
          <w:bCs/>
          <w:noProof/>
        </w:rPr>
      </w:pPr>
      <w:r w:rsidRPr="00E46923">
        <w:rPr>
          <w:noProof/>
          <w:shd w:val="clear" w:color="auto" w:fill="FEFEFE"/>
        </w:rPr>
        <w:t xml:space="preserve">Във връзка с изложеното, предлагам да издадете приложената </w:t>
      </w:r>
      <w:r w:rsidR="00DC1F17" w:rsidRPr="00E46923">
        <w:rPr>
          <w:bCs/>
        </w:rPr>
        <w:t xml:space="preserve">Наредба за изменение и допълнение на Наредба № </w:t>
      </w:r>
      <w:r w:rsidR="00EC2DF2" w:rsidRPr="00E46923">
        <w:rPr>
          <w:bCs/>
        </w:rPr>
        <w:t>7</w:t>
      </w:r>
      <w:r w:rsidR="00DC1F17" w:rsidRPr="00E46923">
        <w:rPr>
          <w:bCs/>
        </w:rPr>
        <w:t xml:space="preserve"> от 2015 г. за условията и реда за прилагане на схемите за директни плащания</w:t>
      </w:r>
      <w:r w:rsidRPr="00E46923">
        <w:rPr>
          <w:bCs/>
          <w:noProof/>
        </w:rPr>
        <w:t>.</w:t>
      </w:r>
    </w:p>
    <w:tbl>
      <w:tblPr>
        <w:tblW w:w="8512" w:type="dxa"/>
        <w:tblInd w:w="668" w:type="dxa"/>
        <w:tblLook w:val="01E0" w:firstRow="1" w:lastRow="1" w:firstColumn="1" w:lastColumn="1" w:noHBand="0" w:noVBand="0"/>
      </w:tblPr>
      <w:tblGrid>
        <w:gridCol w:w="1781"/>
        <w:gridCol w:w="6731"/>
      </w:tblGrid>
      <w:tr w:rsidR="00612565" w:rsidRPr="00612565" w:rsidTr="00D50B38">
        <w:tc>
          <w:tcPr>
            <w:tcW w:w="1781" w:type="dxa"/>
          </w:tcPr>
          <w:p w:rsidR="005461E0" w:rsidRPr="00612565" w:rsidRDefault="00612565" w:rsidP="005461E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Приложения</w:t>
            </w:r>
            <w:r w:rsidR="005461E0" w:rsidRPr="00612565">
              <w:rPr>
                <w:b/>
                <w:bCs/>
                <w:lang w:eastAsia="en-US"/>
              </w:rPr>
              <w:t xml:space="preserve">: </w:t>
            </w:r>
          </w:p>
        </w:tc>
        <w:tc>
          <w:tcPr>
            <w:tcW w:w="6731" w:type="dxa"/>
          </w:tcPr>
          <w:p w:rsidR="005461E0" w:rsidRPr="00612565" w:rsidRDefault="005461E0" w:rsidP="005461E0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245" w:hanging="245"/>
              <w:contextualSpacing/>
              <w:jc w:val="both"/>
              <w:textAlignment w:val="baseline"/>
              <w:rPr>
                <w:lang w:eastAsia="en-US"/>
              </w:rPr>
            </w:pPr>
            <w:r w:rsidRPr="00612565">
              <w:rPr>
                <w:bCs/>
              </w:rPr>
              <w:t xml:space="preserve">Проект на Наредба за изменение и допълнение на Наредба № 7 от 2015 г.  за  прилагане на мярка 10 „Агроекология и климат“ от Програмата за развитие на селските райони за периода 2014 – 2020 г. </w:t>
            </w:r>
          </w:p>
          <w:p w:rsidR="005461E0" w:rsidRPr="00612565" w:rsidRDefault="005461E0" w:rsidP="005461E0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245" w:hanging="245"/>
              <w:contextualSpacing/>
              <w:jc w:val="both"/>
              <w:textAlignment w:val="baseline"/>
              <w:rPr>
                <w:lang w:eastAsia="en-US"/>
              </w:rPr>
            </w:pPr>
            <w:r w:rsidRPr="00612565">
              <w:rPr>
                <w:lang w:eastAsia="en-US"/>
              </w:rPr>
              <w:t>Справка за отразяване на постъпилите становища;</w:t>
            </w:r>
          </w:p>
          <w:p w:rsidR="005461E0" w:rsidRPr="00612565" w:rsidRDefault="005461E0" w:rsidP="005461E0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245" w:hanging="245"/>
              <w:contextualSpacing/>
              <w:jc w:val="both"/>
              <w:textAlignment w:val="baseline"/>
              <w:rPr>
                <w:lang w:eastAsia="en-US"/>
              </w:rPr>
            </w:pPr>
            <w:r w:rsidRPr="00612565">
              <w:rPr>
                <w:lang w:eastAsia="en-US"/>
              </w:rPr>
              <w:t>Справка за отразяване на постъпилите предложения от  обществена консултация;</w:t>
            </w:r>
          </w:p>
          <w:p w:rsidR="005461E0" w:rsidRPr="00612565" w:rsidRDefault="005461E0" w:rsidP="005461E0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textAlignment w:val="baseline"/>
              <w:rPr>
                <w:lang w:eastAsia="en-US"/>
              </w:rPr>
            </w:pPr>
            <w:r w:rsidRPr="00612565">
              <w:rPr>
                <w:lang w:eastAsia="en-US"/>
              </w:rPr>
              <w:t>Постъпили становища.</w:t>
            </w:r>
          </w:p>
        </w:tc>
      </w:tr>
    </w:tbl>
    <w:p w:rsidR="00CC679D" w:rsidRPr="00E46923" w:rsidRDefault="00CC679D" w:rsidP="00CC679D">
      <w:pPr>
        <w:tabs>
          <w:tab w:val="left" w:pos="1843"/>
          <w:tab w:val="left" w:pos="2268"/>
        </w:tabs>
        <w:spacing w:line="360" w:lineRule="auto"/>
        <w:jc w:val="both"/>
        <w:rPr>
          <w:noProof/>
        </w:rPr>
      </w:pPr>
    </w:p>
    <w:p w:rsidR="00CC679D" w:rsidRPr="00E46923" w:rsidRDefault="00CC679D" w:rsidP="00CC679D">
      <w:pPr>
        <w:tabs>
          <w:tab w:val="left" w:pos="1843"/>
          <w:tab w:val="left" w:pos="2268"/>
        </w:tabs>
        <w:spacing w:line="360" w:lineRule="auto"/>
        <w:jc w:val="both"/>
        <w:rPr>
          <w:noProof/>
        </w:rPr>
      </w:pPr>
      <w:r w:rsidRPr="00E46923">
        <w:rPr>
          <w:noProof/>
        </w:rPr>
        <w:t>С уважение,</w:t>
      </w:r>
    </w:p>
    <w:p w:rsidR="0075569F" w:rsidRPr="0075569F" w:rsidRDefault="0075569F" w:rsidP="0075569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lang w:eastAsia="en-US"/>
        </w:rPr>
      </w:pPr>
    </w:p>
    <w:p w:rsidR="0075569F" w:rsidRPr="0075569F" w:rsidRDefault="0075569F" w:rsidP="0075569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lang w:eastAsia="en-US"/>
        </w:rPr>
      </w:pPr>
    </w:p>
    <w:p w:rsidR="0075569F" w:rsidRPr="0075569F" w:rsidRDefault="0075569F" w:rsidP="0075569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i/>
          <w:lang w:eastAsia="en-US"/>
        </w:rPr>
      </w:pPr>
      <w:r w:rsidRPr="0075569F">
        <w:rPr>
          <w:b/>
          <w:lang w:eastAsia="en-US"/>
        </w:rPr>
        <w:t>Д-Р ЛОЗАНА ВАСИЛЕВА</w:t>
      </w:r>
      <w:r w:rsidRPr="0075569F">
        <w:rPr>
          <w:i/>
          <w:lang w:eastAsia="en-US"/>
        </w:rPr>
        <w:t xml:space="preserve"> </w:t>
      </w:r>
    </w:p>
    <w:p w:rsidR="0075569F" w:rsidRPr="0075569F" w:rsidRDefault="0075569F" w:rsidP="0075569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lang w:eastAsia="en-US"/>
        </w:rPr>
      </w:pPr>
      <w:r w:rsidRPr="0075569F">
        <w:rPr>
          <w:i/>
          <w:lang w:eastAsia="en-US"/>
        </w:rPr>
        <w:t>Заместник-министър на земеделието, храните и горите</w:t>
      </w:r>
    </w:p>
    <w:p w:rsidR="0075569F" w:rsidRDefault="0075569F" w:rsidP="0075569F">
      <w:pPr>
        <w:rPr>
          <w:rFonts w:eastAsiaTheme="minorEastAsia"/>
          <w:smallCaps/>
          <w:sz w:val="20"/>
          <w:szCs w:val="20"/>
          <w:lang w:eastAsia="en-US"/>
        </w:rPr>
      </w:pPr>
      <w:bookmarkStart w:id="0" w:name="_GoBack"/>
      <w:bookmarkEnd w:id="0"/>
    </w:p>
    <w:sectPr w:rsidR="0075569F" w:rsidSect="0075569F">
      <w:footerReference w:type="default" r:id="rId9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589" w:rsidRDefault="00B23589" w:rsidP="00140F30">
      <w:r>
        <w:separator/>
      </w:r>
    </w:p>
  </w:endnote>
  <w:endnote w:type="continuationSeparator" w:id="0">
    <w:p w:rsidR="00B23589" w:rsidRDefault="00B23589" w:rsidP="0014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150078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140F30" w:rsidRPr="005461E0" w:rsidRDefault="00140F30" w:rsidP="00140F30">
        <w:pPr>
          <w:pStyle w:val="Footer"/>
          <w:jc w:val="right"/>
          <w:rPr>
            <w:sz w:val="18"/>
            <w:szCs w:val="18"/>
          </w:rPr>
        </w:pPr>
        <w:r w:rsidRPr="005461E0">
          <w:rPr>
            <w:sz w:val="18"/>
            <w:szCs w:val="18"/>
          </w:rPr>
          <w:fldChar w:fldCharType="begin"/>
        </w:r>
        <w:r w:rsidRPr="005461E0">
          <w:rPr>
            <w:sz w:val="18"/>
            <w:szCs w:val="18"/>
          </w:rPr>
          <w:instrText xml:space="preserve"> PAGE   \* MERGEFORMAT </w:instrText>
        </w:r>
        <w:r w:rsidRPr="005461E0">
          <w:rPr>
            <w:sz w:val="18"/>
            <w:szCs w:val="18"/>
          </w:rPr>
          <w:fldChar w:fldCharType="separate"/>
        </w:r>
        <w:r w:rsidR="00533CDB">
          <w:rPr>
            <w:noProof/>
            <w:sz w:val="18"/>
            <w:szCs w:val="18"/>
          </w:rPr>
          <w:t>6</w:t>
        </w:r>
        <w:r w:rsidRPr="005461E0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589" w:rsidRDefault="00B23589" w:rsidP="00140F30">
      <w:r>
        <w:separator/>
      </w:r>
    </w:p>
  </w:footnote>
  <w:footnote w:type="continuationSeparator" w:id="0">
    <w:p w:rsidR="00B23589" w:rsidRDefault="00B23589" w:rsidP="00140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2EC5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42795ADB"/>
    <w:multiLevelType w:val="hybridMultilevel"/>
    <w:tmpl w:val="58B0B1A4"/>
    <w:lvl w:ilvl="0" w:tplc="441439B6">
      <w:start w:val="7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" w15:restartNumberingAfterBreak="0">
    <w:nsid w:val="59251C8C"/>
    <w:multiLevelType w:val="hybridMultilevel"/>
    <w:tmpl w:val="10165B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FF7DAA"/>
    <w:multiLevelType w:val="hybridMultilevel"/>
    <w:tmpl w:val="742AF93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86C5070"/>
    <w:multiLevelType w:val="multilevel"/>
    <w:tmpl w:val="3D94B5A8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E1"/>
    <w:rsid w:val="000037B5"/>
    <w:rsid w:val="00004CC7"/>
    <w:rsid w:val="00015F75"/>
    <w:rsid w:val="000209CA"/>
    <w:rsid w:val="00030090"/>
    <w:rsid w:val="00034B10"/>
    <w:rsid w:val="00035B38"/>
    <w:rsid w:val="00043C20"/>
    <w:rsid w:val="000459A0"/>
    <w:rsid w:val="00051576"/>
    <w:rsid w:val="0005239B"/>
    <w:rsid w:val="00052C3E"/>
    <w:rsid w:val="00055A84"/>
    <w:rsid w:val="000658E7"/>
    <w:rsid w:val="00075B67"/>
    <w:rsid w:val="000773BA"/>
    <w:rsid w:val="00077CA8"/>
    <w:rsid w:val="00082D69"/>
    <w:rsid w:val="00090C0C"/>
    <w:rsid w:val="00097AC2"/>
    <w:rsid w:val="000B1641"/>
    <w:rsid w:val="000B5B7F"/>
    <w:rsid w:val="000C0BF2"/>
    <w:rsid w:val="000C3617"/>
    <w:rsid w:val="000C4505"/>
    <w:rsid w:val="000D21DA"/>
    <w:rsid w:val="000D2F0E"/>
    <w:rsid w:val="000D477E"/>
    <w:rsid w:val="000D53CB"/>
    <w:rsid w:val="000E2736"/>
    <w:rsid w:val="000E3432"/>
    <w:rsid w:val="000E6EA6"/>
    <w:rsid w:val="000F3DF3"/>
    <w:rsid w:val="000F70AA"/>
    <w:rsid w:val="001045F1"/>
    <w:rsid w:val="0010751D"/>
    <w:rsid w:val="00107AE0"/>
    <w:rsid w:val="00113D29"/>
    <w:rsid w:val="00116AF1"/>
    <w:rsid w:val="001178BF"/>
    <w:rsid w:val="00122E55"/>
    <w:rsid w:val="00123071"/>
    <w:rsid w:val="00125441"/>
    <w:rsid w:val="00126962"/>
    <w:rsid w:val="00137F1E"/>
    <w:rsid w:val="00140609"/>
    <w:rsid w:val="001409DC"/>
    <w:rsid w:val="00140F30"/>
    <w:rsid w:val="00144433"/>
    <w:rsid w:val="00151B4A"/>
    <w:rsid w:val="0015231C"/>
    <w:rsid w:val="001558EB"/>
    <w:rsid w:val="00157C84"/>
    <w:rsid w:val="00160EE7"/>
    <w:rsid w:val="00162EE0"/>
    <w:rsid w:val="00172476"/>
    <w:rsid w:val="00174054"/>
    <w:rsid w:val="00176EA4"/>
    <w:rsid w:val="001844F9"/>
    <w:rsid w:val="00187C06"/>
    <w:rsid w:val="00195185"/>
    <w:rsid w:val="001A3638"/>
    <w:rsid w:val="001A4760"/>
    <w:rsid w:val="001A56CF"/>
    <w:rsid w:val="001A5AD4"/>
    <w:rsid w:val="001B4010"/>
    <w:rsid w:val="001C7022"/>
    <w:rsid w:val="001D3A69"/>
    <w:rsid w:val="001D7682"/>
    <w:rsid w:val="001E2652"/>
    <w:rsid w:val="001E2C2A"/>
    <w:rsid w:val="001F58D5"/>
    <w:rsid w:val="00201B1D"/>
    <w:rsid w:val="00205CE8"/>
    <w:rsid w:val="00213DC3"/>
    <w:rsid w:val="00223150"/>
    <w:rsid w:val="00230107"/>
    <w:rsid w:val="00246561"/>
    <w:rsid w:val="00252B5F"/>
    <w:rsid w:val="00253039"/>
    <w:rsid w:val="002563EF"/>
    <w:rsid w:val="0026090F"/>
    <w:rsid w:val="002619A2"/>
    <w:rsid w:val="0026453B"/>
    <w:rsid w:val="00267D1B"/>
    <w:rsid w:val="00273F3C"/>
    <w:rsid w:val="00276CB8"/>
    <w:rsid w:val="0028156A"/>
    <w:rsid w:val="00282228"/>
    <w:rsid w:val="00287A37"/>
    <w:rsid w:val="0029349C"/>
    <w:rsid w:val="00295E5A"/>
    <w:rsid w:val="002A6354"/>
    <w:rsid w:val="002A68B7"/>
    <w:rsid w:val="002B43CA"/>
    <w:rsid w:val="002C3593"/>
    <w:rsid w:val="002C69A2"/>
    <w:rsid w:val="002C6C61"/>
    <w:rsid w:val="002C74DB"/>
    <w:rsid w:val="002D2370"/>
    <w:rsid w:val="002F7223"/>
    <w:rsid w:val="002F7B72"/>
    <w:rsid w:val="00306704"/>
    <w:rsid w:val="00307D28"/>
    <w:rsid w:val="00310B39"/>
    <w:rsid w:val="00311B31"/>
    <w:rsid w:val="00313276"/>
    <w:rsid w:val="0032174F"/>
    <w:rsid w:val="003225E1"/>
    <w:rsid w:val="00322CB7"/>
    <w:rsid w:val="00326F5A"/>
    <w:rsid w:val="0033025A"/>
    <w:rsid w:val="003337C6"/>
    <w:rsid w:val="00344C4F"/>
    <w:rsid w:val="00346902"/>
    <w:rsid w:val="00347755"/>
    <w:rsid w:val="00347C58"/>
    <w:rsid w:val="0035277E"/>
    <w:rsid w:val="00352E12"/>
    <w:rsid w:val="00353FA7"/>
    <w:rsid w:val="0035586F"/>
    <w:rsid w:val="003673F9"/>
    <w:rsid w:val="00372319"/>
    <w:rsid w:val="00372AA2"/>
    <w:rsid w:val="00374A46"/>
    <w:rsid w:val="00375645"/>
    <w:rsid w:val="003800E1"/>
    <w:rsid w:val="00380EB3"/>
    <w:rsid w:val="0038407D"/>
    <w:rsid w:val="00384291"/>
    <w:rsid w:val="003879DA"/>
    <w:rsid w:val="0039252D"/>
    <w:rsid w:val="003946E1"/>
    <w:rsid w:val="0039684E"/>
    <w:rsid w:val="00397835"/>
    <w:rsid w:val="003A1A8C"/>
    <w:rsid w:val="003A47FA"/>
    <w:rsid w:val="003A5BCB"/>
    <w:rsid w:val="003B061B"/>
    <w:rsid w:val="003B4AC1"/>
    <w:rsid w:val="003B560B"/>
    <w:rsid w:val="003C02E0"/>
    <w:rsid w:val="003C0BAF"/>
    <w:rsid w:val="003C0EC7"/>
    <w:rsid w:val="003D0C9D"/>
    <w:rsid w:val="003D45E2"/>
    <w:rsid w:val="003D6919"/>
    <w:rsid w:val="003E08B1"/>
    <w:rsid w:val="003E4E7A"/>
    <w:rsid w:val="003E636D"/>
    <w:rsid w:val="003F00F7"/>
    <w:rsid w:val="003F0216"/>
    <w:rsid w:val="003F1FA6"/>
    <w:rsid w:val="003F3CFE"/>
    <w:rsid w:val="003F5F11"/>
    <w:rsid w:val="004105DB"/>
    <w:rsid w:val="00413B3D"/>
    <w:rsid w:val="00413D0A"/>
    <w:rsid w:val="00417447"/>
    <w:rsid w:val="00431EE9"/>
    <w:rsid w:val="00432514"/>
    <w:rsid w:val="004327D2"/>
    <w:rsid w:val="0045163B"/>
    <w:rsid w:val="00456176"/>
    <w:rsid w:val="00460900"/>
    <w:rsid w:val="00464F45"/>
    <w:rsid w:val="00466191"/>
    <w:rsid w:val="00471799"/>
    <w:rsid w:val="004769CB"/>
    <w:rsid w:val="00477A76"/>
    <w:rsid w:val="004814E3"/>
    <w:rsid w:val="00481940"/>
    <w:rsid w:val="00490C4C"/>
    <w:rsid w:val="004A46C7"/>
    <w:rsid w:val="004A6CD6"/>
    <w:rsid w:val="004A6E57"/>
    <w:rsid w:val="004B0A88"/>
    <w:rsid w:val="004B1AE2"/>
    <w:rsid w:val="004B20DE"/>
    <w:rsid w:val="004B3B93"/>
    <w:rsid w:val="004B693F"/>
    <w:rsid w:val="004C01BF"/>
    <w:rsid w:val="004C7B3D"/>
    <w:rsid w:val="004D682C"/>
    <w:rsid w:val="004E498B"/>
    <w:rsid w:val="004F024E"/>
    <w:rsid w:val="004F239D"/>
    <w:rsid w:val="004F566E"/>
    <w:rsid w:val="00500BF3"/>
    <w:rsid w:val="00501B65"/>
    <w:rsid w:val="00502788"/>
    <w:rsid w:val="00503F47"/>
    <w:rsid w:val="00504B86"/>
    <w:rsid w:val="00512483"/>
    <w:rsid w:val="00520C44"/>
    <w:rsid w:val="00522B43"/>
    <w:rsid w:val="005256BD"/>
    <w:rsid w:val="00533CDB"/>
    <w:rsid w:val="0053533D"/>
    <w:rsid w:val="005456AB"/>
    <w:rsid w:val="00545770"/>
    <w:rsid w:val="005461E0"/>
    <w:rsid w:val="005544EA"/>
    <w:rsid w:val="00562653"/>
    <w:rsid w:val="00566D49"/>
    <w:rsid w:val="00567CEC"/>
    <w:rsid w:val="00570A60"/>
    <w:rsid w:val="00576AF8"/>
    <w:rsid w:val="005937E5"/>
    <w:rsid w:val="0059543A"/>
    <w:rsid w:val="005A125A"/>
    <w:rsid w:val="005B440A"/>
    <w:rsid w:val="005B5CBE"/>
    <w:rsid w:val="005B6D37"/>
    <w:rsid w:val="005C48F7"/>
    <w:rsid w:val="005C48F8"/>
    <w:rsid w:val="005C6F3C"/>
    <w:rsid w:val="005C75F8"/>
    <w:rsid w:val="005F0198"/>
    <w:rsid w:val="005F073B"/>
    <w:rsid w:val="005F4A99"/>
    <w:rsid w:val="0060616B"/>
    <w:rsid w:val="00612565"/>
    <w:rsid w:val="00616BC2"/>
    <w:rsid w:val="006200FF"/>
    <w:rsid w:val="00623F18"/>
    <w:rsid w:val="006451CC"/>
    <w:rsid w:val="0064727F"/>
    <w:rsid w:val="00662CC2"/>
    <w:rsid w:val="00663631"/>
    <w:rsid w:val="00666B90"/>
    <w:rsid w:val="006703F9"/>
    <w:rsid w:val="006743F2"/>
    <w:rsid w:val="0067570B"/>
    <w:rsid w:val="006802CF"/>
    <w:rsid w:val="0068155A"/>
    <w:rsid w:val="00682D9A"/>
    <w:rsid w:val="00685D78"/>
    <w:rsid w:val="00687C0E"/>
    <w:rsid w:val="00694EE1"/>
    <w:rsid w:val="006A4689"/>
    <w:rsid w:val="006A5066"/>
    <w:rsid w:val="006B6EEA"/>
    <w:rsid w:val="006C3A2C"/>
    <w:rsid w:val="006C5E17"/>
    <w:rsid w:val="006C7232"/>
    <w:rsid w:val="006D2048"/>
    <w:rsid w:val="006D6E99"/>
    <w:rsid w:val="006D77AE"/>
    <w:rsid w:val="006E2668"/>
    <w:rsid w:val="006E2F8A"/>
    <w:rsid w:val="006E3696"/>
    <w:rsid w:val="00700433"/>
    <w:rsid w:val="00702BFB"/>
    <w:rsid w:val="00711088"/>
    <w:rsid w:val="00713169"/>
    <w:rsid w:val="00714ADB"/>
    <w:rsid w:val="00721864"/>
    <w:rsid w:val="00721ABF"/>
    <w:rsid w:val="007242CB"/>
    <w:rsid w:val="007243FA"/>
    <w:rsid w:val="00724F0C"/>
    <w:rsid w:val="00725218"/>
    <w:rsid w:val="00731288"/>
    <w:rsid w:val="00737D14"/>
    <w:rsid w:val="00740498"/>
    <w:rsid w:val="00741813"/>
    <w:rsid w:val="00744EC7"/>
    <w:rsid w:val="0075317F"/>
    <w:rsid w:val="00753785"/>
    <w:rsid w:val="0075569F"/>
    <w:rsid w:val="00763F6E"/>
    <w:rsid w:val="00764146"/>
    <w:rsid w:val="00765AC0"/>
    <w:rsid w:val="00765E04"/>
    <w:rsid w:val="007722D0"/>
    <w:rsid w:val="00776F17"/>
    <w:rsid w:val="007925A0"/>
    <w:rsid w:val="00793B6C"/>
    <w:rsid w:val="00794BDD"/>
    <w:rsid w:val="00794C0D"/>
    <w:rsid w:val="00795338"/>
    <w:rsid w:val="007A441D"/>
    <w:rsid w:val="007A5D8F"/>
    <w:rsid w:val="007A670D"/>
    <w:rsid w:val="007A75E7"/>
    <w:rsid w:val="007B1EC7"/>
    <w:rsid w:val="007B32E7"/>
    <w:rsid w:val="007B6690"/>
    <w:rsid w:val="007C0E0F"/>
    <w:rsid w:val="007C764D"/>
    <w:rsid w:val="007D11A0"/>
    <w:rsid w:val="007D11D8"/>
    <w:rsid w:val="007D36B0"/>
    <w:rsid w:val="007D5AFE"/>
    <w:rsid w:val="007E05B0"/>
    <w:rsid w:val="007E468F"/>
    <w:rsid w:val="007E7B0D"/>
    <w:rsid w:val="007F2F35"/>
    <w:rsid w:val="00804789"/>
    <w:rsid w:val="0080507C"/>
    <w:rsid w:val="008058CE"/>
    <w:rsid w:val="00805FF5"/>
    <w:rsid w:val="00806EC4"/>
    <w:rsid w:val="00807116"/>
    <w:rsid w:val="00810991"/>
    <w:rsid w:val="00812E88"/>
    <w:rsid w:val="008149F9"/>
    <w:rsid w:val="00817549"/>
    <w:rsid w:val="00820CCD"/>
    <w:rsid w:val="00835934"/>
    <w:rsid w:val="00837337"/>
    <w:rsid w:val="00842593"/>
    <w:rsid w:val="00842883"/>
    <w:rsid w:val="00846A48"/>
    <w:rsid w:val="00847FA8"/>
    <w:rsid w:val="00852A22"/>
    <w:rsid w:val="008539D6"/>
    <w:rsid w:val="008600D8"/>
    <w:rsid w:val="008732FA"/>
    <w:rsid w:val="00875E7E"/>
    <w:rsid w:val="0088344D"/>
    <w:rsid w:val="00885EC4"/>
    <w:rsid w:val="008866DD"/>
    <w:rsid w:val="00886B3D"/>
    <w:rsid w:val="008A5F3B"/>
    <w:rsid w:val="008B4CCB"/>
    <w:rsid w:val="008B4FD9"/>
    <w:rsid w:val="008C6BA1"/>
    <w:rsid w:val="008D04E7"/>
    <w:rsid w:val="008D604E"/>
    <w:rsid w:val="008E02C7"/>
    <w:rsid w:val="008E1F3B"/>
    <w:rsid w:val="008E2432"/>
    <w:rsid w:val="008E5CF5"/>
    <w:rsid w:val="008E7CD5"/>
    <w:rsid w:val="008F2B90"/>
    <w:rsid w:val="009009B3"/>
    <w:rsid w:val="0090457B"/>
    <w:rsid w:val="00910CAA"/>
    <w:rsid w:val="00915168"/>
    <w:rsid w:val="0092000C"/>
    <w:rsid w:val="00920786"/>
    <w:rsid w:val="0092563E"/>
    <w:rsid w:val="0092783F"/>
    <w:rsid w:val="009333D1"/>
    <w:rsid w:val="00942E75"/>
    <w:rsid w:val="009474F4"/>
    <w:rsid w:val="00951F3B"/>
    <w:rsid w:val="0095781E"/>
    <w:rsid w:val="00961A62"/>
    <w:rsid w:val="00963E5E"/>
    <w:rsid w:val="00967995"/>
    <w:rsid w:val="00992718"/>
    <w:rsid w:val="009B0676"/>
    <w:rsid w:val="009B3F82"/>
    <w:rsid w:val="009B6BC3"/>
    <w:rsid w:val="009B76E6"/>
    <w:rsid w:val="009B7FF4"/>
    <w:rsid w:val="009D1C6D"/>
    <w:rsid w:val="009D210E"/>
    <w:rsid w:val="009D33F0"/>
    <w:rsid w:val="009D5B80"/>
    <w:rsid w:val="009D7AD8"/>
    <w:rsid w:val="009E168D"/>
    <w:rsid w:val="009E749F"/>
    <w:rsid w:val="009E7F59"/>
    <w:rsid w:val="009F0495"/>
    <w:rsid w:val="00A013D2"/>
    <w:rsid w:val="00A05D7F"/>
    <w:rsid w:val="00A100C1"/>
    <w:rsid w:val="00A123F2"/>
    <w:rsid w:val="00A13035"/>
    <w:rsid w:val="00A131D2"/>
    <w:rsid w:val="00A13926"/>
    <w:rsid w:val="00A200CD"/>
    <w:rsid w:val="00A2053A"/>
    <w:rsid w:val="00A21D1A"/>
    <w:rsid w:val="00A24587"/>
    <w:rsid w:val="00A274E2"/>
    <w:rsid w:val="00A3118C"/>
    <w:rsid w:val="00A3646C"/>
    <w:rsid w:val="00A42A6D"/>
    <w:rsid w:val="00A44A29"/>
    <w:rsid w:val="00A46BF0"/>
    <w:rsid w:val="00A5027A"/>
    <w:rsid w:val="00A53891"/>
    <w:rsid w:val="00A6199D"/>
    <w:rsid w:val="00A64068"/>
    <w:rsid w:val="00A658AC"/>
    <w:rsid w:val="00A70BBE"/>
    <w:rsid w:val="00A7165E"/>
    <w:rsid w:val="00A7590F"/>
    <w:rsid w:val="00A80E8A"/>
    <w:rsid w:val="00A8201C"/>
    <w:rsid w:val="00A82213"/>
    <w:rsid w:val="00AA1063"/>
    <w:rsid w:val="00AA1B99"/>
    <w:rsid w:val="00AA3FEB"/>
    <w:rsid w:val="00AA4623"/>
    <w:rsid w:val="00AA52A0"/>
    <w:rsid w:val="00AB70EE"/>
    <w:rsid w:val="00AB79B1"/>
    <w:rsid w:val="00AC3038"/>
    <w:rsid w:val="00AC5D94"/>
    <w:rsid w:val="00AC6725"/>
    <w:rsid w:val="00AD100B"/>
    <w:rsid w:val="00AD2069"/>
    <w:rsid w:val="00AD2890"/>
    <w:rsid w:val="00AD2D61"/>
    <w:rsid w:val="00AD66F7"/>
    <w:rsid w:val="00AE0CA9"/>
    <w:rsid w:val="00AE1C72"/>
    <w:rsid w:val="00AE1CC7"/>
    <w:rsid w:val="00AE3055"/>
    <w:rsid w:val="00AE6937"/>
    <w:rsid w:val="00AF369A"/>
    <w:rsid w:val="00AF3FE1"/>
    <w:rsid w:val="00AF6961"/>
    <w:rsid w:val="00AF71A7"/>
    <w:rsid w:val="00B024AF"/>
    <w:rsid w:val="00B12331"/>
    <w:rsid w:val="00B12454"/>
    <w:rsid w:val="00B1444C"/>
    <w:rsid w:val="00B158B4"/>
    <w:rsid w:val="00B16DB2"/>
    <w:rsid w:val="00B22728"/>
    <w:rsid w:val="00B22D3D"/>
    <w:rsid w:val="00B22E64"/>
    <w:rsid w:val="00B23589"/>
    <w:rsid w:val="00B25A16"/>
    <w:rsid w:val="00B32E78"/>
    <w:rsid w:val="00B3385D"/>
    <w:rsid w:val="00B347A8"/>
    <w:rsid w:val="00B35F84"/>
    <w:rsid w:val="00B372EB"/>
    <w:rsid w:val="00B37F34"/>
    <w:rsid w:val="00B5287A"/>
    <w:rsid w:val="00B60D16"/>
    <w:rsid w:val="00B62A90"/>
    <w:rsid w:val="00B728E1"/>
    <w:rsid w:val="00B72B10"/>
    <w:rsid w:val="00B74AEA"/>
    <w:rsid w:val="00B76AA3"/>
    <w:rsid w:val="00B80F87"/>
    <w:rsid w:val="00B9638B"/>
    <w:rsid w:val="00BA19E7"/>
    <w:rsid w:val="00BA2CDA"/>
    <w:rsid w:val="00BA6B07"/>
    <w:rsid w:val="00BA7498"/>
    <w:rsid w:val="00BB0044"/>
    <w:rsid w:val="00BB1708"/>
    <w:rsid w:val="00BB495A"/>
    <w:rsid w:val="00BB5A79"/>
    <w:rsid w:val="00BC0FFA"/>
    <w:rsid w:val="00BC260C"/>
    <w:rsid w:val="00BC4668"/>
    <w:rsid w:val="00BD1F5A"/>
    <w:rsid w:val="00BD5562"/>
    <w:rsid w:val="00BE0CDD"/>
    <w:rsid w:val="00BE3E65"/>
    <w:rsid w:val="00BF3652"/>
    <w:rsid w:val="00BF51CA"/>
    <w:rsid w:val="00C01005"/>
    <w:rsid w:val="00C03815"/>
    <w:rsid w:val="00C03938"/>
    <w:rsid w:val="00C0444F"/>
    <w:rsid w:val="00C07180"/>
    <w:rsid w:val="00C10F9A"/>
    <w:rsid w:val="00C113E6"/>
    <w:rsid w:val="00C15D37"/>
    <w:rsid w:val="00C21907"/>
    <w:rsid w:val="00C32EA2"/>
    <w:rsid w:val="00C40526"/>
    <w:rsid w:val="00C4147F"/>
    <w:rsid w:val="00C41E0B"/>
    <w:rsid w:val="00C4366D"/>
    <w:rsid w:val="00C44BCD"/>
    <w:rsid w:val="00C47906"/>
    <w:rsid w:val="00C510A3"/>
    <w:rsid w:val="00C51F51"/>
    <w:rsid w:val="00C56C4A"/>
    <w:rsid w:val="00C607B9"/>
    <w:rsid w:val="00C6134A"/>
    <w:rsid w:val="00C6154B"/>
    <w:rsid w:val="00C65618"/>
    <w:rsid w:val="00C67FF0"/>
    <w:rsid w:val="00C72A9D"/>
    <w:rsid w:val="00C731BC"/>
    <w:rsid w:val="00C76691"/>
    <w:rsid w:val="00C768B8"/>
    <w:rsid w:val="00C77E9D"/>
    <w:rsid w:val="00C851DC"/>
    <w:rsid w:val="00C911CF"/>
    <w:rsid w:val="00C91585"/>
    <w:rsid w:val="00C94EC9"/>
    <w:rsid w:val="00C96CB1"/>
    <w:rsid w:val="00CA4EC2"/>
    <w:rsid w:val="00CC2DF6"/>
    <w:rsid w:val="00CC679D"/>
    <w:rsid w:val="00CC6AC1"/>
    <w:rsid w:val="00CC6E7D"/>
    <w:rsid w:val="00CD19D8"/>
    <w:rsid w:val="00CD45B8"/>
    <w:rsid w:val="00CF0D8E"/>
    <w:rsid w:val="00CF0E45"/>
    <w:rsid w:val="00CF2BB8"/>
    <w:rsid w:val="00CF61D6"/>
    <w:rsid w:val="00D17FBC"/>
    <w:rsid w:val="00D23B24"/>
    <w:rsid w:val="00D23F59"/>
    <w:rsid w:val="00D2478F"/>
    <w:rsid w:val="00D31605"/>
    <w:rsid w:val="00D31831"/>
    <w:rsid w:val="00D370A5"/>
    <w:rsid w:val="00D40DA9"/>
    <w:rsid w:val="00D4605B"/>
    <w:rsid w:val="00D47DE1"/>
    <w:rsid w:val="00D52A05"/>
    <w:rsid w:val="00D52ED6"/>
    <w:rsid w:val="00D53595"/>
    <w:rsid w:val="00D53B45"/>
    <w:rsid w:val="00D54908"/>
    <w:rsid w:val="00D648EE"/>
    <w:rsid w:val="00D64CCC"/>
    <w:rsid w:val="00D73F49"/>
    <w:rsid w:val="00D82B60"/>
    <w:rsid w:val="00D93F91"/>
    <w:rsid w:val="00D943CA"/>
    <w:rsid w:val="00D954EF"/>
    <w:rsid w:val="00DA3D72"/>
    <w:rsid w:val="00DB416C"/>
    <w:rsid w:val="00DC1F17"/>
    <w:rsid w:val="00DC3708"/>
    <w:rsid w:val="00DC3B73"/>
    <w:rsid w:val="00DC6833"/>
    <w:rsid w:val="00DC6B0A"/>
    <w:rsid w:val="00DE1AB1"/>
    <w:rsid w:val="00DE58AE"/>
    <w:rsid w:val="00DE698E"/>
    <w:rsid w:val="00DF1870"/>
    <w:rsid w:val="00DF662D"/>
    <w:rsid w:val="00E00D70"/>
    <w:rsid w:val="00E05243"/>
    <w:rsid w:val="00E07322"/>
    <w:rsid w:val="00E0752F"/>
    <w:rsid w:val="00E10831"/>
    <w:rsid w:val="00E115B3"/>
    <w:rsid w:val="00E20B44"/>
    <w:rsid w:val="00E2144A"/>
    <w:rsid w:val="00E23524"/>
    <w:rsid w:val="00E3523C"/>
    <w:rsid w:val="00E419EE"/>
    <w:rsid w:val="00E447C2"/>
    <w:rsid w:val="00E4638B"/>
    <w:rsid w:val="00E467CA"/>
    <w:rsid w:val="00E46923"/>
    <w:rsid w:val="00E50534"/>
    <w:rsid w:val="00E5094E"/>
    <w:rsid w:val="00E61002"/>
    <w:rsid w:val="00E74656"/>
    <w:rsid w:val="00E92937"/>
    <w:rsid w:val="00E94DE1"/>
    <w:rsid w:val="00EA02E2"/>
    <w:rsid w:val="00EB1AD8"/>
    <w:rsid w:val="00EB6942"/>
    <w:rsid w:val="00EC2DF2"/>
    <w:rsid w:val="00EC2F1D"/>
    <w:rsid w:val="00EC5E97"/>
    <w:rsid w:val="00EC6512"/>
    <w:rsid w:val="00EC6A52"/>
    <w:rsid w:val="00ED32BC"/>
    <w:rsid w:val="00ED5AA3"/>
    <w:rsid w:val="00ED6A90"/>
    <w:rsid w:val="00ED7061"/>
    <w:rsid w:val="00ED7900"/>
    <w:rsid w:val="00EE440E"/>
    <w:rsid w:val="00EF13FB"/>
    <w:rsid w:val="00EF501B"/>
    <w:rsid w:val="00F02A30"/>
    <w:rsid w:val="00F05FE1"/>
    <w:rsid w:val="00F06107"/>
    <w:rsid w:val="00F14D73"/>
    <w:rsid w:val="00F20940"/>
    <w:rsid w:val="00F21884"/>
    <w:rsid w:val="00F22FDE"/>
    <w:rsid w:val="00F233A9"/>
    <w:rsid w:val="00F34FE4"/>
    <w:rsid w:val="00F44894"/>
    <w:rsid w:val="00F46108"/>
    <w:rsid w:val="00F52DF7"/>
    <w:rsid w:val="00F60AE8"/>
    <w:rsid w:val="00F638CB"/>
    <w:rsid w:val="00F7115D"/>
    <w:rsid w:val="00F7706E"/>
    <w:rsid w:val="00F81BD1"/>
    <w:rsid w:val="00F9397A"/>
    <w:rsid w:val="00F9667C"/>
    <w:rsid w:val="00FA2942"/>
    <w:rsid w:val="00FA6775"/>
    <w:rsid w:val="00FA71F1"/>
    <w:rsid w:val="00FA7DE5"/>
    <w:rsid w:val="00FB2BBE"/>
    <w:rsid w:val="00FB3F2B"/>
    <w:rsid w:val="00FB635F"/>
    <w:rsid w:val="00FC5648"/>
    <w:rsid w:val="00FD2868"/>
    <w:rsid w:val="00FE1A9C"/>
    <w:rsid w:val="00FE6306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2DE733-B6FC-418D-BFFC-A171EB41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CCB"/>
    <w:rPr>
      <w:sz w:val="24"/>
      <w:szCs w:val="24"/>
    </w:rPr>
  </w:style>
  <w:style w:type="paragraph" w:styleId="Heading1">
    <w:name w:val="heading 1"/>
    <w:basedOn w:val="Normal"/>
    <w:next w:val="Normal"/>
    <w:qFormat/>
    <w:rsid w:val="003946E1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46E1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odyText">
    <w:name w:val="Body Text"/>
    <w:basedOn w:val="Normal"/>
    <w:rsid w:val="003946E1"/>
    <w:pPr>
      <w:jc w:val="both"/>
    </w:pPr>
    <w:rPr>
      <w:b/>
      <w:sz w:val="28"/>
      <w:szCs w:val="20"/>
    </w:rPr>
  </w:style>
  <w:style w:type="paragraph" w:styleId="BodyText2">
    <w:name w:val="Body Text 2"/>
    <w:basedOn w:val="Normal"/>
    <w:rsid w:val="003946E1"/>
    <w:pPr>
      <w:jc w:val="center"/>
    </w:pPr>
    <w:rPr>
      <w:b/>
      <w:sz w:val="28"/>
      <w:szCs w:val="20"/>
    </w:rPr>
  </w:style>
  <w:style w:type="paragraph" w:customStyle="1" w:styleId="CharCharCharCharCharCharCharCharChar">
    <w:name w:val="Знак Char Char Знак Знак Char Char Знак Знак Char Char Char Char Char Знак"/>
    <w:basedOn w:val="Normal"/>
    <w:rsid w:val="003946E1"/>
    <w:pPr>
      <w:widowControl w:val="0"/>
      <w:autoSpaceDE w:val="0"/>
      <w:autoSpaceDN w:val="0"/>
      <w:adjustRightInd w:val="0"/>
    </w:pPr>
    <w:rPr>
      <w:sz w:val="20"/>
      <w:szCs w:val="20"/>
      <w:lang w:val="pl-PL" w:eastAsia="pl-PL"/>
    </w:rPr>
  </w:style>
  <w:style w:type="paragraph" w:customStyle="1" w:styleId="1">
    <w:name w:val="Знак Знак1"/>
    <w:basedOn w:val="Normal"/>
    <w:rsid w:val="00C40526"/>
    <w:rPr>
      <w:lang w:val="pl-PL" w:eastAsia="pl-PL"/>
    </w:rPr>
  </w:style>
  <w:style w:type="character" w:customStyle="1" w:styleId="newdocreference1">
    <w:name w:val="newdocreference1"/>
    <w:rsid w:val="000F3DF3"/>
    <w:rPr>
      <w:i w:val="0"/>
      <w:iCs w:val="0"/>
      <w:color w:val="0000FF"/>
      <w:u w:val="single"/>
    </w:rPr>
  </w:style>
  <w:style w:type="paragraph" w:styleId="BalloonText">
    <w:name w:val="Balloon Text"/>
    <w:basedOn w:val="Normal"/>
    <w:semiHidden/>
    <w:rsid w:val="002A635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BB170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BB1708"/>
    <w:rPr>
      <w:sz w:val="16"/>
      <w:szCs w:val="16"/>
    </w:rPr>
  </w:style>
  <w:style w:type="paragraph" w:styleId="ListParagraph">
    <w:name w:val="List Paragraph"/>
    <w:basedOn w:val="Normal"/>
    <w:uiPriority w:val="99"/>
    <w:qFormat/>
    <w:rsid w:val="00FB635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yperlink">
    <w:name w:val="Hyperlink"/>
    <w:rsid w:val="00B22728"/>
    <w:rPr>
      <w:color w:val="0000FF"/>
      <w:u w:val="single"/>
    </w:rPr>
  </w:style>
  <w:style w:type="paragraph" w:customStyle="1" w:styleId="Default">
    <w:name w:val="Default"/>
    <w:rsid w:val="00CC6E7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rsid w:val="00BE3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E3E6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E3E65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BE3E65"/>
    <w:rPr>
      <w:b/>
      <w:bCs/>
    </w:rPr>
  </w:style>
  <w:style w:type="character" w:customStyle="1" w:styleId="CommentSubjectChar">
    <w:name w:val="Comment Subject Char"/>
    <w:link w:val="CommentSubject"/>
    <w:rsid w:val="00BE3E65"/>
    <w:rPr>
      <w:b/>
      <w:bCs/>
      <w:lang w:val="bg-BG" w:eastAsia="bg-BG"/>
    </w:rPr>
  </w:style>
  <w:style w:type="paragraph" w:styleId="Footer">
    <w:name w:val="footer"/>
    <w:basedOn w:val="Normal"/>
    <w:link w:val="FooterChar"/>
    <w:uiPriority w:val="99"/>
    <w:rsid w:val="00140F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F30"/>
    <w:rPr>
      <w:sz w:val="24"/>
      <w:szCs w:val="24"/>
    </w:rPr>
  </w:style>
  <w:style w:type="character" w:customStyle="1" w:styleId="FontStyle52">
    <w:name w:val="Font Style52"/>
    <w:uiPriority w:val="99"/>
    <w:rsid w:val="00951F3B"/>
    <w:rPr>
      <w:rFonts w:ascii="Verdana" w:hAnsi="Verdana" w:cs="Verdana"/>
      <w:sz w:val="18"/>
      <w:szCs w:val="18"/>
    </w:rPr>
  </w:style>
  <w:style w:type="paragraph" w:styleId="NormalWeb">
    <w:name w:val="Normal (Web)"/>
    <w:basedOn w:val="Normal"/>
    <w:uiPriority w:val="99"/>
    <w:rsid w:val="003800E1"/>
    <w:pPr>
      <w:ind w:firstLine="990"/>
      <w:jc w:val="both"/>
    </w:pPr>
    <w:rPr>
      <w:color w:val="000000"/>
    </w:rPr>
  </w:style>
  <w:style w:type="character" w:customStyle="1" w:styleId="search01">
    <w:name w:val="search01"/>
    <w:basedOn w:val="DefaultParagraphFont"/>
    <w:rsid w:val="00AE6937"/>
    <w:rPr>
      <w:shd w:val="clear" w:color="auto" w:fill="FFFF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3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3807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84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0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42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49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41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22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8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31ACB-A340-4697-8DBC-232BEC81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mzg</Company>
  <LinksUpToDate>false</LinksUpToDate>
  <CharactersWithSpaces>13510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mzg</dc:creator>
  <cp:lastModifiedBy>Kristiana Pavlova</cp:lastModifiedBy>
  <cp:revision>3</cp:revision>
  <cp:lastPrinted>2021-01-29T12:26:00Z</cp:lastPrinted>
  <dcterms:created xsi:type="dcterms:W3CDTF">2021-01-29T12:49:00Z</dcterms:created>
  <dcterms:modified xsi:type="dcterms:W3CDTF">2021-01-29T13:40:00Z</dcterms:modified>
</cp:coreProperties>
</file>