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C975B4" w:rsidRPr="00CE2A7F" w14:paraId="3F6F19EF" w14:textId="77777777" w:rsidTr="005C75B3">
        <w:trPr>
          <w:trHeight w:val="958"/>
          <w:jc w:val="center"/>
        </w:trPr>
        <w:tc>
          <w:tcPr>
            <w:tcW w:w="15650" w:type="dxa"/>
            <w:shd w:val="clear" w:color="auto" w:fill="BDD6EE"/>
          </w:tcPr>
          <w:p w14:paraId="5C384E63" w14:textId="77777777" w:rsidR="00C975B4" w:rsidRPr="002A5AE6" w:rsidRDefault="00C975B4" w:rsidP="00291E9B">
            <w:pPr>
              <w:tabs>
                <w:tab w:val="left" w:pos="2190"/>
              </w:tabs>
              <w:spacing w:before="120" w:line="360" w:lineRule="auto"/>
              <w:jc w:val="center"/>
              <w:rPr>
                <w:rFonts w:ascii="Verdana" w:hAnsi="Verdana"/>
                <w:b/>
                <w:spacing w:val="60"/>
              </w:rPr>
            </w:pPr>
            <w:r w:rsidRPr="002A5AE6">
              <w:rPr>
                <w:rFonts w:ascii="Verdana" w:hAnsi="Verdana"/>
                <w:b/>
                <w:spacing w:val="60"/>
              </w:rPr>
              <w:t>СПРАВКА</w:t>
            </w:r>
          </w:p>
          <w:p w14:paraId="10BA074B" w14:textId="77777777" w:rsidR="00226561" w:rsidRDefault="009E4DF8" w:rsidP="001F6CB3">
            <w:pPr>
              <w:tabs>
                <w:tab w:val="left" w:pos="2190"/>
              </w:tabs>
              <w:spacing w:line="360" w:lineRule="auto"/>
              <w:ind w:left="567" w:right="567"/>
              <w:jc w:val="center"/>
              <w:rPr>
                <w:rFonts w:ascii="Verdana" w:hAnsi="Verdana"/>
                <w:b/>
                <w:sz w:val="20"/>
                <w:szCs w:val="20"/>
                <w:lang w:val="en-US"/>
              </w:rPr>
            </w:pPr>
            <w:r w:rsidRPr="002A5AE6">
              <w:rPr>
                <w:rFonts w:ascii="Verdana" w:hAnsi="Verdana"/>
                <w:b/>
                <w:sz w:val="20"/>
                <w:szCs w:val="20"/>
              </w:rPr>
              <w:t>ЗА ОТРАЗЯВАНЕ НА ПОСТЪПИЛИТЕ ПРЕДЛОЖЕНИЯ</w:t>
            </w:r>
            <w:r>
              <w:rPr>
                <w:rFonts w:ascii="Verdana" w:hAnsi="Verdana"/>
                <w:b/>
                <w:sz w:val="20"/>
                <w:szCs w:val="20"/>
              </w:rPr>
              <w:t xml:space="preserve"> И СТАНОВИЩА</w:t>
            </w:r>
            <w:r w:rsidRPr="002A5AE6">
              <w:rPr>
                <w:rFonts w:ascii="Verdana" w:hAnsi="Verdana"/>
                <w:b/>
                <w:sz w:val="20"/>
                <w:szCs w:val="20"/>
              </w:rPr>
              <w:t xml:space="preserve"> ОТ ОБЩЕСТВЕНИТЕ КОНСУЛТАЦИИ НА ПРОЕКТ</w:t>
            </w:r>
            <w:r>
              <w:rPr>
                <w:rFonts w:ascii="Verdana" w:hAnsi="Verdana"/>
                <w:b/>
                <w:sz w:val="20"/>
                <w:szCs w:val="20"/>
              </w:rPr>
              <w:t>А</w:t>
            </w:r>
            <w:r w:rsidRPr="002A5AE6">
              <w:rPr>
                <w:rFonts w:ascii="Verdana" w:hAnsi="Verdana"/>
                <w:b/>
                <w:sz w:val="20"/>
                <w:szCs w:val="20"/>
              </w:rPr>
              <w:t xml:space="preserve"> НА </w:t>
            </w:r>
            <w:r w:rsidRPr="009E4DF8">
              <w:rPr>
                <w:rFonts w:ascii="Verdana" w:hAnsi="Verdana"/>
                <w:b/>
                <w:sz w:val="20"/>
                <w:szCs w:val="20"/>
              </w:rPr>
              <w:t xml:space="preserve">ПОСТАНОВЛЕНИЕ НА МИНИСТЕРСКИЯ СЪВЕТ ЗА ПРИЕМАНЕ НА НАРЕДБА ЗА СПЕЦИФИЧНИТЕ ИЗИСКВАНИЯ ЗА </w:t>
            </w:r>
            <w:r w:rsidR="001F6CB3">
              <w:rPr>
                <w:rFonts w:ascii="Verdana" w:hAnsi="Verdana"/>
                <w:b/>
                <w:sz w:val="20"/>
                <w:szCs w:val="20"/>
              </w:rPr>
              <w:br/>
            </w:r>
            <w:r w:rsidRPr="009E4DF8">
              <w:rPr>
                <w:rFonts w:ascii="Verdana" w:hAnsi="Verdana"/>
                <w:b/>
                <w:sz w:val="20"/>
                <w:szCs w:val="20"/>
              </w:rPr>
              <w:t>ИЗВЪРШВАНЕ НА ХРАНИТЕЛНО БАНКИРАНЕ И КОНТРОЛА ВЪРХУ ТАЗИ ДЕЙНОСТ</w:t>
            </w:r>
          </w:p>
          <w:p w14:paraId="77241CBB" w14:textId="77777777" w:rsidR="006B03F6" w:rsidRPr="006B03F6" w:rsidRDefault="006B03F6" w:rsidP="001F6CB3">
            <w:pPr>
              <w:tabs>
                <w:tab w:val="left" w:pos="2190"/>
              </w:tabs>
              <w:spacing w:line="360" w:lineRule="auto"/>
              <w:ind w:left="567" w:right="567"/>
              <w:jc w:val="center"/>
              <w:rPr>
                <w:rFonts w:ascii="Verdana" w:hAnsi="Verdana"/>
                <w:b/>
                <w:sz w:val="20"/>
                <w:szCs w:val="20"/>
                <w:lang w:val="en-US"/>
              </w:rPr>
            </w:pPr>
          </w:p>
        </w:tc>
      </w:tr>
    </w:tbl>
    <w:p w14:paraId="2442C429" w14:textId="77777777" w:rsidR="00291E9B" w:rsidRPr="00291E9B" w:rsidRDefault="00291E9B">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10"/>
        <w:gridCol w:w="5815"/>
        <w:gridCol w:w="1842"/>
        <w:gridCol w:w="4961"/>
      </w:tblGrid>
      <w:tr w:rsidR="00E220AD" w:rsidRPr="001F6CB3" w14:paraId="7B9C9A34" w14:textId="77777777" w:rsidTr="001C47FC">
        <w:trPr>
          <w:trHeight w:val="565"/>
          <w:tblHeader/>
          <w:jc w:val="center"/>
        </w:trPr>
        <w:tc>
          <w:tcPr>
            <w:tcW w:w="622" w:type="dxa"/>
            <w:tcBorders>
              <w:bottom w:val="single" w:sz="12" w:space="0" w:color="2E74B5"/>
            </w:tcBorders>
            <w:shd w:val="clear" w:color="auto" w:fill="DEEAF6"/>
            <w:vAlign w:val="center"/>
          </w:tcPr>
          <w:p w14:paraId="306C26AC" w14:textId="77777777" w:rsidR="00E220AD" w:rsidRPr="001F6CB3" w:rsidRDefault="00E220AD" w:rsidP="00E220AD">
            <w:pPr>
              <w:tabs>
                <w:tab w:val="left" w:pos="192"/>
              </w:tabs>
              <w:jc w:val="center"/>
              <w:rPr>
                <w:rFonts w:ascii="Verdana" w:hAnsi="Verdana"/>
                <w:b/>
                <w:sz w:val="18"/>
                <w:szCs w:val="18"/>
              </w:rPr>
            </w:pPr>
            <w:r w:rsidRPr="001F6CB3">
              <w:rPr>
                <w:rFonts w:ascii="Verdana" w:hAnsi="Verdana"/>
                <w:b/>
                <w:sz w:val="18"/>
                <w:szCs w:val="18"/>
              </w:rPr>
              <w:t>№</w:t>
            </w:r>
          </w:p>
        </w:tc>
        <w:tc>
          <w:tcPr>
            <w:tcW w:w="2410" w:type="dxa"/>
            <w:tcBorders>
              <w:bottom w:val="single" w:sz="12" w:space="0" w:color="2E74B5"/>
            </w:tcBorders>
            <w:shd w:val="clear" w:color="auto" w:fill="DEEAF6"/>
            <w:vAlign w:val="center"/>
          </w:tcPr>
          <w:p w14:paraId="40145CCA" w14:textId="77777777" w:rsidR="00E220AD" w:rsidRPr="001F6CB3" w:rsidRDefault="00E220AD" w:rsidP="00DD502C">
            <w:pPr>
              <w:spacing w:before="40"/>
              <w:jc w:val="center"/>
              <w:rPr>
                <w:rFonts w:ascii="Verdana" w:hAnsi="Verdana"/>
                <w:b/>
                <w:sz w:val="19"/>
                <w:szCs w:val="19"/>
              </w:rPr>
            </w:pPr>
            <w:r w:rsidRPr="001F6CB3">
              <w:rPr>
                <w:rFonts w:ascii="Verdana" w:hAnsi="Verdana"/>
                <w:b/>
                <w:sz w:val="19"/>
                <w:szCs w:val="19"/>
              </w:rPr>
              <w:t>Организация/</w:t>
            </w:r>
            <w:r w:rsidR="00DD502C" w:rsidRPr="001F6CB3">
              <w:rPr>
                <w:rFonts w:ascii="Verdana" w:hAnsi="Verdana"/>
                <w:b/>
                <w:sz w:val="19"/>
                <w:szCs w:val="19"/>
              </w:rPr>
              <w:t xml:space="preserve"> </w:t>
            </w:r>
            <w:r w:rsidR="00DD502C" w:rsidRPr="001F6CB3">
              <w:rPr>
                <w:rFonts w:ascii="Verdana" w:hAnsi="Verdana"/>
                <w:b/>
                <w:sz w:val="19"/>
                <w:szCs w:val="19"/>
              </w:rPr>
              <w:br/>
            </w:r>
            <w:r w:rsidRPr="001F6CB3">
              <w:rPr>
                <w:rFonts w:ascii="Verdana" w:hAnsi="Verdana"/>
                <w:b/>
                <w:sz w:val="19"/>
                <w:szCs w:val="19"/>
              </w:rPr>
              <w:t>потребител</w:t>
            </w:r>
          </w:p>
          <w:p w14:paraId="68389616" w14:textId="77777777" w:rsidR="005424B9" w:rsidRPr="009D47F2" w:rsidRDefault="00291E9B" w:rsidP="009D47F2">
            <w:pPr>
              <w:spacing w:after="60"/>
              <w:jc w:val="center"/>
              <w:rPr>
                <w:rFonts w:ascii="Verdana" w:hAnsi="Verdana"/>
                <w:b/>
                <w:sz w:val="13"/>
                <w:szCs w:val="13"/>
              </w:rPr>
            </w:pPr>
            <w:r w:rsidRPr="009D47F2">
              <w:rPr>
                <w:rFonts w:ascii="Verdana" w:hAnsi="Verdana"/>
                <w:b/>
                <w:sz w:val="13"/>
                <w:szCs w:val="13"/>
              </w:rPr>
              <w:t>(</w:t>
            </w:r>
            <w:r w:rsidR="005424B9" w:rsidRPr="009D47F2">
              <w:rPr>
                <w:rFonts w:ascii="Verdana" w:hAnsi="Verdana"/>
                <w:b/>
                <w:sz w:val="13"/>
                <w:szCs w:val="13"/>
              </w:rPr>
              <w:t>вкл. начина на получаване на предложението</w:t>
            </w:r>
            <w:r w:rsidRPr="009D47F2">
              <w:rPr>
                <w:rFonts w:ascii="Verdana" w:hAnsi="Verdana"/>
                <w:b/>
                <w:sz w:val="13"/>
                <w:szCs w:val="13"/>
              </w:rPr>
              <w:t>)</w:t>
            </w:r>
          </w:p>
        </w:tc>
        <w:tc>
          <w:tcPr>
            <w:tcW w:w="5815" w:type="dxa"/>
            <w:tcBorders>
              <w:bottom w:val="single" w:sz="12" w:space="0" w:color="2E74B5"/>
            </w:tcBorders>
            <w:shd w:val="clear" w:color="auto" w:fill="DEEAF6"/>
            <w:vAlign w:val="center"/>
          </w:tcPr>
          <w:p w14:paraId="5DE2A8A0" w14:textId="77777777" w:rsidR="00E220AD" w:rsidRPr="001F6CB3" w:rsidRDefault="00E220AD" w:rsidP="00E220AD">
            <w:pPr>
              <w:jc w:val="center"/>
              <w:rPr>
                <w:rFonts w:ascii="Verdana" w:hAnsi="Verdana"/>
                <w:b/>
                <w:sz w:val="19"/>
                <w:szCs w:val="19"/>
              </w:rPr>
            </w:pPr>
            <w:r w:rsidRPr="001F6CB3">
              <w:rPr>
                <w:rFonts w:ascii="Verdana" w:hAnsi="Verdana"/>
                <w:b/>
                <w:sz w:val="19"/>
                <w:szCs w:val="19"/>
              </w:rPr>
              <w:t>Бележки и предложения</w:t>
            </w:r>
          </w:p>
        </w:tc>
        <w:tc>
          <w:tcPr>
            <w:tcW w:w="1842" w:type="dxa"/>
            <w:tcBorders>
              <w:bottom w:val="single" w:sz="12" w:space="0" w:color="2E74B5"/>
            </w:tcBorders>
            <w:shd w:val="clear" w:color="auto" w:fill="DEEAF6"/>
            <w:vAlign w:val="center"/>
          </w:tcPr>
          <w:p w14:paraId="5B6BEBC6" w14:textId="77777777" w:rsidR="00E220AD" w:rsidRPr="001F6CB3" w:rsidRDefault="00E220AD" w:rsidP="00E220AD">
            <w:pPr>
              <w:jc w:val="center"/>
              <w:rPr>
                <w:rFonts w:ascii="Verdana" w:hAnsi="Verdana"/>
                <w:b/>
                <w:sz w:val="18"/>
                <w:szCs w:val="18"/>
              </w:rPr>
            </w:pPr>
            <w:r w:rsidRPr="001F6CB3">
              <w:rPr>
                <w:rFonts w:ascii="Verdana" w:hAnsi="Verdana"/>
                <w:b/>
                <w:sz w:val="18"/>
                <w:szCs w:val="18"/>
              </w:rPr>
              <w:t>Приети/</w:t>
            </w:r>
          </w:p>
          <w:p w14:paraId="5640E91D" w14:textId="77777777" w:rsidR="00E220AD" w:rsidRPr="001F6CB3" w:rsidRDefault="00E220AD" w:rsidP="00E220AD">
            <w:pPr>
              <w:jc w:val="center"/>
              <w:rPr>
                <w:rFonts w:ascii="Verdana" w:hAnsi="Verdana"/>
                <w:b/>
                <w:sz w:val="18"/>
                <w:szCs w:val="18"/>
              </w:rPr>
            </w:pPr>
            <w:r w:rsidRPr="001F6CB3">
              <w:rPr>
                <w:rFonts w:ascii="Verdana" w:hAnsi="Verdana"/>
                <w:b/>
                <w:sz w:val="18"/>
                <w:szCs w:val="18"/>
              </w:rPr>
              <w:t>неприети</w:t>
            </w:r>
          </w:p>
        </w:tc>
        <w:tc>
          <w:tcPr>
            <w:tcW w:w="4961" w:type="dxa"/>
            <w:tcBorders>
              <w:bottom w:val="single" w:sz="12" w:space="0" w:color="2E74B5"/>
            </w:tcBorders>
            <w:shd w:val="clear" w:color="auto" w:fill="DEEAF6"/>
            <w:vAlign w:val="center"/>
          </w:tcPr>
          <w:p w14:paraId="133BE3BE" w14:textId="77777777" w:rsidR="00E220AD" w:rsidRPr="001F6CB3" w:rsidRDefault="00E220AD" w:rsidP="00E220AD">
            <w:pPr>
              <w:jc w:val="center"/>
              <w:rPr>
                <w:rFonts w:ascii="Verdana" w:hAnsi="Verdana"/>
                <w:sz w:val="18"/>
                <w:szCs w:val="18"/>
              </w:rPr>
            </w:pPr>
            <w:r w:rsidRPr="001F6CB3">
              <w:rPr>
                <w:rFonts w:ascii="Verdana" w:hAnsi="Verdana"/>
                <w:b/>
                <w:sz w:val="18"/>
                <w:szCs w:val="18"/>
              </w:rPr>
              <w:t>Мотиви</w:t>
            </w:r>
          </w:p>
        </w:tc>
      </w:tr>
      <w:tr w:rsidR="002A5AE6" w:rsidRPr="001F6CB3" w14:paraId="350F01D5" w14:textId="77777777" w:rsidTr="001C47FC">
        <w:trPr>
          <w:trHeight w:val="596"/>
          <w:jc w:val="center"/>
        </w:trPr>
        <w:tc>
          <w:tcPr>
            <w:tcW w:w="622" w:type="dxa"/>
            <w:vMerge w:val="restart"/>
            <w:tcBorders>
              <w:top w:val="single" w:sz="12" w:space="0" w:color="2E74B5"/>
              <w:bottom w:val="single" w:sz="12" w:space="0" w:color="2E74B5"/>
            </w:tcBorders>
            <w:shd w:val="clear" w:color="auto" w:fill="auto"/>
          </w:tcPr>
          <w:p w14:paraId="41D4C735" w14:textId="77777777" w:rsidR="002A5AE6" w:rsidRPr="009D47F2" w:rsidRDefault="002A5AE6" w:rsidP="006B03F6">
            <w:pPr>
              <w:pStyle w:val="ListParagraph"/>
              <w:numPr>
                <w:ilvl w:val="0"/>
                <w:numId w:val="17"/>
              </w:numPr>
              <w:tabs>
                <w:tab w:val="left" w:pos="192"/>
              </w:tabs>
              <w:spacing w:before="80" w:after="40"/>
              <w:jc w:val="center"/>
              <w:rPr>
                <w:rFonts w:ascii="Verdana" w:hAnsi="Verdana"/>
                <w:b/>
                <w:sz w:val="18"/>
                <w:szCs w:val="18"/>
              </w:rPr>
            </w:pPr>
          </w:p>
        </w:tc>
        <w:tc>
          <w:tcPr>
            <w:tcW w:w="2410" w:type="dxa"/>
            <w:vMerge w:val="restart"/>
            <w:tcBorders>
              <w:top w:val="single" w:sz="12" w:space="0" w:color="2E74B5"/>
              <w:bottom w:val="single" w:sz="12" w:space="0" w:color="2E74B5"/>
            </w:tcBorders>
            <w:shd w:val="clear" w:color="auto" w:fill="auto"/>
          </w:tcPr>
          <w:p w14:paraId="1AEB2216" w14:textId="77777777" w:rsidR="002A5AE6" w:rsidRPr="009D47F2" w:rsidRDefault="003A6572" w:rsidP="006B03F6">
            <w:pPr>
              <w:spacing w:before="80" w:after="40"/>
              <w:rPr>
                <w:rFonts w:ascii="Verdana" w:hAnsi="Verdana"/>
                <w:sz w:val="18"/>
                <w:szCs w:val="18"/>
              </w:rPr>
            </w:pPr>
            <w:r w:rsidRPr="009D47F2">
              <w:rPr>
                <w:rFonts w:ascii="Verdana" w:hAnsi="Verdana"/>
                <w:sz w:val="18"/>
                <w:szCs w:val="18"/>
              </w:rPr>
              <w:t xml:space="preserve">Българска </w:t>
            </w:r>
            <w:r w:rsidR="001F6CB3" w:rsidRPr="009D47F2">
              <w:rPr>
                <w:rFonts w:ascii="Verdana" w:hAnsi="Verdana"/>
                <w:sz w:val="18"/>
                <w:szCs w:val="18"/>
              </w:rPr>
              <w:br/>
            </w:r>
            <w:r w:rsidRPr="009D47F2">
              <w:rPr>
                <w:rFonts w:ascii="Verdana" w:hAnsi="Verdana"/>
                <w:sz w:val="18"/>
                <w:szCs w:val="18"/>
              </w:rPr>
              <w:t>хранителна банка</w:t>
            </w:r>
          </w:p>
          <w:p w14:paraId="498753B3" w14:textId="77777777" w:rsidR="003A6572" w:rsidRPr="009D47F2" w:rsidRDefault="003A6572" w:rsidP="006B03F6">
            <w:pPr>
              <w:spacing w:before="80" w:after="40"/>
              <w:rPr>
                <w:rFonts w:ascii="Verdana" w:hAnsi="Verdana"/>
                <w:sz w:val="18"/>
                <w:szCs w:val="18"/>
              </w:rPr>
            </w:pPr>
            <w:r w:rsidRPr="009D47F2">
              <w:rPr>
                <w:rFonts w:ascii="Verdana" w:hAnsi="Verdana"/>
                <w:sz w:val="18"/>
                <w:szCs w:val="18"/>
              </w:rPr>
              <w:t>(Постъпило по електронната поща)</w:t>
            </w:r>
          </w:p>
          <w:p w14:paraId="67A2CC39" w14:textId="77777777" w:rsidR="003A6572" w:rsidRPr="009D47F2" w:rsidRDefault="003A6572"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6B818A82"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Във връзка с публикувания на Портала за обществени консултации Проект на наредба за специфичните изисквания за извършване на хранително банкиране и контрол върху тази дейност предлагам на Вашето внимание становище с коментари и предложения на фондация „Българска хранителна банка“.</w:t>
            </w:r>
          </w:p>
          <w:p w14:paraId="63AB9B54"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Подкрепяме Проекта на наредба, с която ще се детайлизират условията и реда за осъществяване на хранително банкиране, определени в глава четвърта на Закона за храните. В качеството ни на експертна организация с над 8-годишен практически опит и пионер в осъществяване на хранително банкиране в България подкрепяме нормативния акт, с който се дефинират ясно изискванията и отговорностите на всички участници при безвъзмездното предоставяне на храни в подкрепа на нуждаещи се хора и упражняването на контрол върху тази дейност.</w:t>
            </w:r>
          </w:p>
          <w:p w14:paraId="4972DA54"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 xml:space="preserve">През изминалите 8 години, Българска хранителна банка създаде ноу-хау, натрупа експертиза и зае своето място на надежден партньор и естествена част от екосистемата на хранителната индустрия в работата за оползотворяване на храни с къс срок на годност и обслужването им до хора в нужда, обхванати от дългосрочни социални програми. Ежеседмично храна предоставена от компаниите в индустрията за храна достига до 8 000 души и годишно - до над 20 000 души на територията на цялата страна. От създаването си през 2012-та година, като първа хранителна банка, до края на октомври 2020-та година Българска хранителна банка е обслужила до хора в нужда над 2 000 тона храна на </w:t>
            </w:r>
            <w:r w:rsidRPr="009D47F2">
              <w:rPr>
                <w:rFonts w:ascii="Verdana" w:hAnsi="Verdana"/>
                <w:sz w:val="18"/>
                <w:szCs w:val="18"/>
              </w:rPr>
              <w:lastRenderedPageBreak/>
              <w:t>стойност над 5 350 000 лева като за всеки дарен лев, организацията осигурява храна на стойност поне 4 лева.</w:t>
            </w:r>
          </w:p>
          <w:p w14:paraId="562EA92C" w14:textId="77777777" w:rsidR="002A5AE6" w:rsidRPr="009D47F2" w:rsidRDefault="0052214A" w:rsidP="006B03F6">
            <w:pPr>
              <w:spacing w:before="80" w:after="40"/>
              <w:jc w:val="both"/>
              <w:rPr>
                <w:rFonts w:ascii="Verdana" w:hAnsi="Verdana"/>
                <w:sz w:val="18"/>
                <w:szCs w:val="18"/>
              </w:rPr>
            </w:pPr>
            <w:r w:rsidRPr="009D47F2">
              <w:rPr>
                <w:rFonts w:ascii="Verdana" w:hAnsi="Verdana"/>
                <w:sz w:val="18"/>
                <w:szCs w:val="18"/>
              </w:rPr>
              <w:t>След като се запознахме с Проекта на наредба представям на Вашето внимание коментари и предложения:</w:t>
            </w:r>
          </w:p>
        </w:tc>
        <w:tc>
          <w:tcPr>
            <w:tcW w:w="1842" w:type="dxa"/>
            <w:tcBorders>
              <w:top w:val="single" w:sz="12" w:space="0" w:color="2E74B5"/>
              <w:bottom w:val="single" w:sz="12" w:space="0" w:color="2E74B5"/>
            </w:tcBorders>
            <w:shd w:val="clear" w:color="auto" w:fill="auto"/>
          </w:tcPr>
          <w:p w14:paraId="571CE2F6" w14:textId="77777777" w:rsidR="002A5AE6" w:rsidRPr="009D47F2" w:rsidRDefault="002A5AE6" w:rsidP="006B03F6">
            <w:pPr>
              <w:spacing w:before="80" w:after="40"/>
              <w:rPr>
                <w:rFonts w:ascii="Verdana" w:hAnsi="Verdana"/>
                <w:color w:val="000000"/>
                <w:sz w:val="18"/>
                <w:szCs w:val="18"/>
              </w:rPr>
            </w:pPr>
          </w:p>
        </w:tc>
        <w:tc>
          <w:tcPr>
            <w:tcW w:w="4961" w:type="dxa"/>
            <w:tcBorders>
              <w:top w:val="single" w:sz="12" w:space="0" w:color="2E74B5"/>
              <w:bottom w:val="single" w:sz="12" w:space="0" w:color="2E74B5"/>
            </w:tcBorders>
            <w:shd w:val="clear" w:color="auto" w:fill="auto"/>
          </w:tcPr>
          <w:p w14:paraId="0A3BD961" w14:textId="77777777" w:rsidR="002A5AE6" w:rsidRPr="009D47F2" w:rsidRDefault="002A5AE6" w:rsidP="006B03F6">
            <w:pPr>
              <w:spacing w:before="80" w:after="40"/>
              <w:jc w:val="both"/>
              <w:rPr>
                <w:rFonts w:ascii="Verdana" w:hAnsi="Verdana"/>
                <w:sz w:val="18"/>
                <w:szCs w:val="18"/>
              </w:rPr>
            </w:pPr>
          </w:p>
        </w:tc>
      </w:tr>
      <w:tr w:rsidR="002A5AE6" w:rsidRPr="001F6CB3" w14:paraId="28280360" w14:textId="77777777" w:rsidTr="001C47FC">
        <w:trPr>
          <w:trHeight w:val="596"/>
          <w:jc w:val="center"/>
        </w:trPr>
        <w:tc>
          <w:tcPr>
            <w:tcW w:w="622" w:type="dxa"/>
            <w:vMerge/>
            <w:tcBorders>
              <w:top w:val="single" w:sz="12" w:space="0" w:color="2E74B5"/>
            </w:tcBorders>
            <w:shd w:val="clear" w:color="auto" w:fill="auto"/>
          </w:tcPr>
          <w:p w14:paraId="1BC60692" w14:textId="77777777" w:rsidR="002A5AE6" w:rsidRPr="009D47F2" w:rsidRDefault="002A5AE6" w:rsidP="006B03F6">
            <w:pPr>
              <w:pStyle w:val="ListParagraph"/>
              <w:numPr>
                <w:ilvl w:val="0"/>
                <w:numId w:val="10"/>
              </w:numPr>
              <w:tabs>
                <w:tab w:val="left" w:pos="192"/>
              </w:tabs>
              <w:spacing w:before="80" w:after="40"/>
              <w:ind w:left="0" w:hanging="357"/>
              <w:jc w:val="center"/>
              <w:rPr>
                <w:rFonts w:ascii="Verdana" w:hAnsi="Verdana"/>
                <w:b/>
                <w:sz w:val="18"/>
                <w:szCs w:val="18"/>
              </w:rPr>
            </w:pPr>
          </w:p>
        </w:tc>
        <w:tc>
          <w:tcPr>
            <w:tcW w:w="2410" w:type="dxa"/>
            <w:vMerge/>
            <w:tcBorders>
              <w:top w:val="single" w:sz="12" w:space="0" w:color="2E74B5"/>
            </w:tcBorders>
            <w:shd w:val="clear" w:color="auto" w:fill="auto"/>
          </w:tcPr>
          <w:p w14:paraId="16F6DFBD" w14:textId="77777777" w:rsidR="002A5AE6" w:rsidRPr="009D47F2" w:rsidRDefault="002A5AE6"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17F22131"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 xml:space="preserve">1. В Раздел III </w:t>
            </w:r>
            <w:r w:rsidR="00CC1279" w:rsidRPr="009D47F2">
              <w:rPr>
                <w:rFonts w:ascii="Verdana" w:hAnsi="Verdana"/>
                <w:sz w:val="18"/>
                <w:szCs w:val="18"/>
              </w:rPr>
              <w:t>„</w:t>
            </w:r>
            <w:r w:rsidRPr="009D47F2">
              <w:rPr>
                <w:rFonts w:ascii="Verdana" w:hAnsi="Verdana"/>
                <w:sz w:val="18"/>
                <w:szCs w:val="18"/>
              </w:rPr>
              <w:t>Изисквания към бизнес операторите“, да бъде ясно дефинирана отговорността на бизнес операторите за предоставянето на информация за храните, спазвайки изискванията на чл. 7, чл. 8 и чл. 9 от Регламент (ЕС) №1169/2011 на Европейския парламент и на Съвета от 25 октомври 2011 г. за предоставянето на информация за храните на потребителите. Това би бил реципрочен ангажимент към оператора на хранителна банка, така както такъв е предвиден за оператора на хранителна банка спрямо нуждаещите се лица и на лицата, предоставящи социални услуги.</w:t>
            </w:r>
          </w:p>
          <w:p w14:paraId="3EF00BE0"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Съгласно чл. 8 Регламент (ЕС) №1169/2011 отговорността за информацията за храните е на стопанския субект, под чието име или търговско наименование храната се предлага на пазара, или ако този стопански субект не е установен в Съюза — вносителят на пазара на Съюза. Стопанският субект в хранителната промишленост, който отговаря за информацията за храните, осигурява наличието и точността на информацията за храните в съответствие с приложимото законодателство в областта на информацията за храните и с изискванията на съответните национални разпоредби.</w:t>
            </w:r>
          </w:p>
          <w:p w14:paraId="1A045743" w14:textId="77777777" w:rsidR="002A5AE6" w:rsidRPr="009D47F2" w:rsidRDefault="0052214A" w:rsidP="006B03F6">
            <w:pPr>
              <w:spacing w:before="80" w:after="40"/>
              <w:jc w:val="both"/>
              <w:rPr>
                <w:rFonts w:ascii="Verdana" w:hAnsi="Verdana"/>
                <w:sz w:val="18"/>
                <w:szCs w:val="18"/>
              </w:rPr>
            </w:pPr>
            <w:r w:rsidRPr="009D47F2">
              <w:rPr>
                <w:rFonts w:ascii="Verdana" w:hAnsi="Verdana"/>
                <w:sz w:val="18"/>
                <w:szCs w:val="18"/>
              </w:rPr>
              <w:t xml:space="preserve">Същата отговорност за предоставяне на информация за храните на нуждаещите се лица и на лицата, предоставящи социални услуги е дефинирана за операторите на хранителна банка в чл. 10 от Проекта на наредба. Това е ангажимент, който Българска хранителна банка ежедневно изпълнява и до момента, но е в състояние да предоставя тази информация на нуждаещите се по надежден и отговорен начин само ако тя е предоставена добронамерено и надлежно от бизнес оператора – дарител на храни. Макар и предоставена безвъзмездно в полза на хора в нужда, основен принцип в </w:t>
            </w:r>
            <w:r w:rsidRPr="009D47F2">
              <w:rPr>
                <w:rFonts w:ascii="Verdana" w:hAnsi="Verdana"/>
                <w:sz w:val="18"/>
                <w:szCs w:val="18"/>
              </w:rPr>
              <w:lastRenderedPageBreak/>
              <w:t>нашата работа е да гарантираме, че храната ще достигне до тях качествена, годна и безопасна както тази на регал в магазина. В тази връзка, Българска хранителна банка като част от екосистемата на хранителната индустрия ще продължи да прави това, ползвайки предоставената информация от бизнес оператора и не променяйки информацията, съпровождаща дадена храна, така че крайният потребител да не бъде заблуден или по друг начин да бъде намалено равнището на защита на потребителя и възможностите да направи информиран избор.</w:t>
            </w:r>
          </w:p>
        </w:tc>
        <w:tc>
          <w:tcPr>
            <w:tcW w:w="1842" w:type="dxa"/>
            <w:tcBorders>
              <w:top w:val="single" w:sz="12" w:space="0" w:color="2E74B5"/>
              <w:bottom w:val="single" w:sz="12" w:space="0" w:color="2E74B5"/>
            </w:tcBorders>
            <w:shd w:val="clear" w:color="auto" w:fill="auto"/>
          </w:tcPr>
          <w:p w14:paraId="3394525F" w14:textId="35E26A1C" w:rsidR="002A5AE6" w:rsidRPr="009D47F2" w:rsidRDefault="00F15F9D" w:rsidP="006B03F6">
            <w:pPr>
              <w:spacing w:before="80" w:after="40"/>
              <w:rPr>
                <w:rFonts w:ascii="Verdana" w:hAnsi="Verdana"/>
                <w:color w:val="FF0000"/>
                <w:sz w:val="18"/>
                <w:szCs w:val="18"/>
              </w:rPr>
            </w:pPr>
            <w:r>
              <w:rPr>
                <w:rFonts w:ascii="Verdana" w:hAnsi="Verdana"/>
                <w:sz w:val="18"/>
                <w:szCs w:val="18"/>
              </w:rPr>
              <w:lastRenderedPageBreak/>
              <w:t>Приема се по принцип</w:t>
            </w:r>
          </w:p>
        </w:tc>
        <w:tc>
          <w:tcPr>
            <w:tcW w:w="4961" w:type="dxa"/>
            <w:tcBorders>
              <w:top w:val="single" w:sz="12" w:space="0" w:color="2E74B5"/>
              <w:bottom w:val="single" w:sz="12" w:space="0" w:color="2E74B5"/>
            </w:tcBorders>
            <w:shd w:val="clear" w:color="auto" w:fill="auto"/>
          </w:tcPr>
          <w:p w14:paraId="5C28E6B8" w14:textId="040286CB" w:rsidR="002A5AE6" w:rsidRPr="00614150" w:rsidRDefault="0089334F" w:rsidP="006B03F6">
            <w:pPr>
              <w:spacing w:before="80" w:after="40"/>
              <w:jc w:val="both"/>
              <w:rPr>
                <w:rFonts w:ascii="Verdana" w:hAnsi="Verdana"/>
                <w:sz w:val="18"/>
                <w:szCs w:val="18"/>
                <w:lang w:val="en-US"/>
              </w:rPr>
            </w:pPr>
            <w:r>
              <w:rPr>
                <w:rFonts w:ascii="Verdana" w:hAnsi="Verdana"/>
                <w:sz w:val="18"/>
                <w:szCs w:val="18"/>
              </w:rPr>
              <w:t xml:space="preserve">Разпоредбата за отговорността на бизнес операторите да предоставят информация за храните, спазвайки </w:t>
            </w:r>
            <w:r w:rsidRPr="009D47F2">
              <w:rPr>
                <w:rFonts w:ascii="Verdana" w:hAnsi="Verdana"/>
                <w:sz w:val="18"/>
                <w:szCs w:val="18"/>
              </w:rPr>
              <w:t>Регламент (ЕС) №</w:t>
            </w:r>
            <w:r>
              <w:rPr>
                <w:rFonts w:ascii="Verdana" w:hAnsi="Verdana"/>
                <w:sz w:val="18"/>
                <w:szCs w:val="18"/>
              </w:rPr>
              <w:t xml:space="preserve"> </w:t>
            </w:r>
            <w:r w:rsidRPr="009D47F2">
              <w:rPr>
                <w:rFonts w:ascii="Verdana" w:hAnsi="Verdana"/>
                <w:sz w:val="18"/>
                <w:szCs w:val="18"/>
              </w:rPr>
              <w:t>1169/2011</w:t>
            </w:r>
            <w:r>
              <w:rPr>
                <w:rFonts w:ascii="Verdana" w:hAnsi="Verdana"/>
                <w:sz w:val="18"/>
                <w:szCs w:val="18"/>
              </w:rPr>
              <w:t xml:space="preserve"> е разписана в чл. 17, ал. 1 от Закона за храните</w:t>
            </w:r>
            <w:r w:rsidR="00614150">
              <w:rPr>
                <w:rFonts w:ascii="Verdana" w:hAnsi="Verdana"/>
                <w:sz w:val="18"/>
                <w:szCs w:val="18"/>
                <w:lang w:val="en-US"/>
              </w:rPr>
              <w:t>.</w:t>
            </w:r>
          </w:p>
        </w:tc>
      </w:tr>
      <w:tr w:rsidR="00380886" w:rsidRPr="001F6CB3" w14:paraId="5D2E19D7" w14:textId="77777777" w:rsidTr="001C47FC">
        <w:trPr>
          <w:trHeight w:val="596"/>
          <w:jc w:val="center"/>
        </w:trPr>
        <w:tc>
          <w:tcPr>
            <w:tcW w:w="622" w:type="dxa"/>
            <w:vMerge/>
            <w:shd w:val="clear" w:color="auto" w:fill="auto"/>
          </w:tcPr>
          <w:p w14:paraId="22164E3F" w14:textId="77777777" w:rsidR="00380886" w:rsidRPr="009D47F2" w:rsidRDefault="00380886" w:rsidP="006B03F6">
            <w:pPr>
              <w:pStyle w:val="ListParagraph"/>
              <w:numPr>
                <w:ilvl w:val="0"/>
                <w:numId w:val="10"/>
              </w:numPr>
              <w:tabs>
                <w:tab w:val="left" w:pos="192"/>
              </w:tabs>
              <w:spacing w:before="80" w:after="40"/>
              <w:ind w:left="0" w:hanging="357"/>
              <w:jc w:val="center"/>
              <w:rPr>
                <w:rFonts w:ascii="Verdana" w:hAnsi="Verdana"/>
                <w:b/>
                <w:sz w:val="18"/>
                <w:szCs w:val="18"/>
              </w:rPr>
            </w:pPr>
          </w:p>
        </w:tc>
        <w:tc>
          <w:tcPr>
            <w:tcW w:w="2410" w:type="dxa"/>
            <w:vMerge/>
            <w:shd w:val="clear" w:color="auto" w:fill="auto"/>
          </w:tcPr>
          <w:p w14:paraId="4CC48E98" w14:textId="77777777" w:rsidR="00380886" w:rsidRPr="009D47F2" w:rsidRDefault="00380886"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2B9F308A"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 xml:space="preserve">2. В Раздел V </w:t>
            </w:r>
            <w:r w:rsidR="00557902" w:rsidRPr="009D47F2">
              <w:rPr>
                <w:rFonts w:ascii="Verdana" w:hAnsi="Verdana"/>
                <w:sz w:val="18"/>
                <w:szCs w:val="18"/>
              </w:rPr>
              <w:t>„</w:t>
            </w:r>
            <w:r w:rsidRPr="009D47F2">
              <w:rPr>
                <w:rFonts w:ascii="Verdana" w:hAnsi="Verdana"/>
                <w:sz w:val="18"/>
                <w:szCs w:val="18"/>
              </w:rPr>
              <w:t>Изключения при извършване на хранително банкиране“, чл. 12 (3), считаме за изключително важно при предоставяне на храни с изтекъл срок на годност да бъдат ясно определени и пояснени режимът на информиране на Българската агенция по безопасност на храните, моментът на информиране и срокът за реакция на контролния орган, така че да се гарантира навременна и предварителна намеса на компетентния орган по упражняване на контрол.</w:t>
            </w:r>
          </w:p>
          <w:p w14:paraId="1515F760" w14:textId="77777777" w:rsidR="00380886" w:rsidRPr="009D47F2" w:rsidRDefault="0052214A" w:rsidP="006B03F6">
            <w:pPr>
              <w:spacing w:before="80" w:after="40"/>
              <w:jc w:val="both"/>
              <w:rPr>
                <w:rFonts w:ascii="Verdana" w:hAnsi="Verdana"/>
                <w:sz w:val="18"/>
                <w:szCs w:val="18"/>
              </w:rPr>
            </w:pPr>
            <w:r w:rsidRPr="009D47F2">
              <w:rPr>
                <w:rFonts w:ascii="Verdana" w:hAnsi="Verdana"/>
                <w:sz w:val="18"/>
                <w:szCs w:val="18"/>
              </w:rPr>
              <w:t>За да се гарантира предоставянето само на качествена и безопасна храна дори и след настъпване на срока й на минимална трайност, санкцията на БАБХ следва да е преди фактическото получаване на храната в склад на оператора на хранителна банка. Това ще позволи да бъдат избегнати и ненужни и нежелани разходи за унищожаване на храна в случай, че същата се окаже негодна за консумация, както и ще скъси пътя на административно съгласуване и получаване на разрешение от разстояние. От своя страна, операторът на хранителна банка може да даде писмено съгласие за прием на храни и да се откаже от правото да предявява претенции само ако предварително е гарантирано, че храната е безопасна за консумация, в т.ч. с произнасяне на контролния орган.</w:t>
            </w:r>
          </w:p>
        </w:tc>
        <w:tc>
          <w:tcPr>
            <w:tcW w:w="1842" w:type="dxa"/>
            <w:tcBorders>
              <w:top w:val="single" w:sz="12" w:space="0" w:color="2E74B5"/>
              <w:bottom w:val="single" w:sz="12" w:space="0" w:color="2E74B5"/>
            </w:tcBorders>
            <w:shd w:val="clear" w:color="auto" w:fill="auto"/>
          </w:tcPr>
          <w:p w14:paraId="06BFDE2B" w14:textId="77777777" w:rsidR="00380886" w:rsidRPr="009D47F2" w:rsidRDefault="002714EB" w:rsidP="006B03F6">
            <w:pPr>
              <w:spacing w:before="80" w:after="40"/>
              <w:rPr>
                <w:rFonts w:ascii="Verdana" w:hAnsi="Verdana"/>
                <w:sz w:val="18"/>
                <w:szCs w:val="18"/>
              </w:rPr>
            </w:pPr>
            <w:r>
              <w:rPr>
                <w:rFonts w:ascii="Verdana" w:hAnsi="Verdana"/>
                <w:sz w:val="18"/>
                <w:szCs w:val="18"/>
              </w:rPr>
              <w:t>Приема се по принцип</w:t>
            </w:r>
            <w:r w:rsidR="0089334F">
              <w:rPr>
                <w:rFonts w:ascii="Verdana" w:hAnsi="Verdana"/>
                <w:sz w:val="18"/>
                <w:szCs w:val="18"/>
              </w:rPr>
              <w:t xml:space="preserve"> </w:t>
            </w:r>
          </w:p>
        </w:tc>
        <w:tc>
          <w:tcPr>
            <w:tcW w:w="4961" w:type="dxa"/>
            <w:tcBorders>
              <w:top w:val="single" w:sz="12" w:space="0" w:color="2E74B5"/>
              <w:bottom w:val="single" w:sz="12" w:space="0" w:color="2E74B5"/>
            </w:tcBorders>
            <w:shd w:val="clear" w:color="auto" w:fill="auto"/>
          </w:tcPr>
          <w:p w14:paraId="09BAC542" w14:textId="6FF9CC65" w:rsidR="00380886" w:rsidRPr="009D47F2" w:rsidRDefault="00F15F9D" w:rsidP="006B03F6">
            <w:pPr>
              <w:spacing w:before="80" w:after="40"/>
              <w:jc w:val="both"/>
              <w:rPr>
                <w:rFonts w:ascii="Verdana" w:hAnsi="Verdana"/>
                <w:sz w:val="18"/>
                <w:szCs w:val="18"/>
              </w:rPr>
            </w:pPr>
            <w:r>
              <w:rPr>
                <w:rFonts w:ascii="Verdana" w:hAnsi="Verdana"/>
                <w:sz w:val="18"/>
                <w:szCs w:val="18"/>
              </w:rPr>
              <w:t>Изискванията са предвидени</w:t>
            </w:r>
            <w:r w:rsidR="0089334F">
              <w:rPr>
                <w:rFonts w:ascii="Verdana" w:hAnsi="Verdana"/>
                <w:sz w:val="18"/>
                <w:szCs w:val="18"/>
              </w:rPr>
              <w:t xml:space="preserve"> в чл. 16 от </w:t>
            </w:r>
            <w:r w:rsidR="00C868C8">
              <w:rPr>
                <w:rFonts w:ascii="Verdana" w:hAnsi="Verdana"/>
                <w:sz w:val="18"/>
                <w:szCs w:val="18"/>
              </w:rPr>
              <w:t>Наредбата</w:t>
            </w:r>
            <w:r w:rsidR="0089334F">
              <w:rPr>
                <w:rFonts w:ascii="Verdana" w:hAnsi="Verdana"/>
                <w:sz w:val="18"/>
                <w:szCs w:val="18"/>
              </w:rPr>
              <w:t>.</w:t>
            </w:r>
          </w:p>
        </w:tc>
      </w:tr>
      <w:tr w:rsidR="00380886" w:rsidRPr="001F6CB3" w14:paraId="6F90EED8" w14:textId="77777777" w:rsidTr="001C47FC">
        <w:trPr>
          <w:trHeight w:val="596"/>
          <w:jc w:val="center"/>
        </w:trPr>
        <w:tc>
          <w:tcPr>
            <w:tcW w:w="622" w:type="dxa"/>
            <w:vMerge/>
            <w:shd w:val="clear" w:color="auto" w:fill="auto"/>
          </w:tcPr>
          <w:p w14:paraId="4CA23508" w14:textId="77777777" w:rsidR="00380886" w:rsidRPr="009D47F2" w:rsidRDefault="00380886" w:rsidP="006B03F6">
            <w:pPr>
              <w:pStyle w:val="ListParagraph"/>
              <w:numPr>
                <w:ilvl w:val="0"/>
                <w:numId w:val="10"/>
              </w:numPr>
              <w:tabs>
                <w:tab w:val="left" w:pos="192"/>
              </w:tabs>
              <w:spacing w:before="80" w:after="40"/>
              <w:ind w:left="0" w:hanging="357"/>
              <w:jc w:val="center"/>
              <w:rPr>
                <w:rFonts w:ascii="Verdana" w:hAnsi="Verdana"/>
                <w:b/>
                <w:sz w:val="18"/>
                <w:szCs w:val="18"/>
              </w:rPr>
            </w:pPr>
          </w:p>
        </w:tc>
        <w:tc>
          <w:tcPr>
            <w:tcW w:w="2410" w:type="dxa"/>
            <w:vMerge/>
            <w:shd w:val="clear" w:color="auto" w:fill="auto"/>
          </w:tcPr>
          <w:p w14:paraId="05D94B47" w14:textId="77777777" w:rsidR="00380886" w:rsidRPr="009D47F2" w:rsidRDefault="00380886"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7C298E53"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 xml:space="preserve">3. В Раздел V </w:t>
            </w:r>
            <w:r w:rsidR="00557902" w:rsidRPr="009D47F2">
              <w:rPr>
                <w:rFonts w:ascii="Verdana" w:hAnsi="Verdana"/>
                <w:sz w:val="18"/>
                <w:szCs w:val="18"/>
              </w:rPr>
              <w:t>„</w:t>
            </w:r>
            <w:r w:rsidRPr="009D47F2">
              <w:rPr>
                <w:rFonts w:ascii="Verdana" w:hAnsi="Verdana"/>
                <w:sz w:val="18"/>
                <w:szCs w:val="18"/>
              </w:rPr>
              <w:t xml:space="preserve">Изключения при извършване на хранително банкиране“, чл. 14 (1), т. 4 е предвидено </w:t>
            </w:r>
            <w:r w:rsidRPr="009D47F2">
              <w:rPr>
                <w:rFonts w:ascii="Verdana" w:hAnsi="Verdana"/>
                <w:sz w:val="18"/>
                <w:szCs w:val="18"/>
              </w:rPr>
              <w:lastRenderedPageBreak/>
              <w:t>операторът на хранителна банка да разполага с процедури и/или спецификации, в които ясно и недвусмислено е разписано колко време след изтичането на срока на минимална трайност храната може да бъде предоставяна за последваща консумация на нуждаещите се лица и лицата, предоставящи социални услуги.</w:t>
            </w:r>
          </w:p>
          <w:p w14:paraId="6145F472"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В тази връзка считаме за законосъобразно допустимият срок на последващо оползотовряване и съответно - предоставяне навреме на храните с изтекъл срок на минимална трайност до нуждаещи се лица да бъдат определени и дефинирани за отделните групи храни от компетентен орган по безопасност и качество на храните.</w:t>
            </w:r>
          </w:p>
          <w:p w14:paraId="53BFA1A3" w14:textId="77777777" w:rsidR="00380886" w:rsidRPr="009D47F2" w:rsidRDefault="0052214A" w:rsidP="006B03F6">
            <w:pPr>
              <w:spacing w:before="80" w:after="40"/>
              <w:jc w:val="both"/>
              <w:rPr>
                <w:rFonts w:ascii="Verdana" w:hAnsi="Verdana"/>
                <w:sz w:val="18"/>
                <w:szCs w:val="18"/>
              </w:rPr>
            </w:pPr>
            <w:r w:rsidRPr="009D47F2">
              <w:rPr>
                <w:rFonts w:ascii="Verdana" w:hAnsi="Verdana"/>
                <w:sz w:val="18"/>
                <w:szCs w:val="18"/>
              </w:rPr>
              <w:t>Разбира се, в практиката си до момента Българска хранителна банка е обслужвала основно храни с много къс срок на годност и е създала подходящи и надеждни системи, процеси и процедури относно режим на информиране, разпределяне, кратковременно съхранение, предоставяне, проследяване и отчитане на дарената храна. Тези системи и процедури са основани на стриктно прилагане на Закона за храните и свързаните нормативни актове, Закона за счетоводството и най-добрите стандарти за проследимост, отчетност и прозрачност. По отношение на безопасността и качеството на храните и в качеството си на оператор на хранителна банка, БХБ се е ръководила винаги от стриктно прилагане на експертно разработени и утвърдени от контролния орган и други компетентни институции документи, правила и процедури.</w:t>
            </w:r>
          </w:p>
        </w:tc>
        <w:tc>
          <w:tcPr>
            <w:tcW w:w="1842" w:type="dxa"/>
            <w:tcBorders>
              <w:top w:val="single" w:sz="12" w:space="0" w:color="2E74B5"/>
              <w:bottom w:val="single" w:sz="12" w:space="0" w:color="2E74B5"/>
            </w:tcBorders>
            <w:shd w:val="clear" w:color="auto" w:fill="auto"/>
          </w:tcPr>
          <w:p w14:paraId="79A8DD74" w14:textId="77777777" w:rsidR="00380886" w:rsidRPr="009D47F2" w:rsidRDefault="0089334F" w:rsidP="006B03F6">
            <w:pPr>
              <w:spacing w:before="80" w:after="40"/>
              <w:rPr>
                <w:rFonts w:ascii="Verdana" w:hAnsi="Verdana"/>
                <w:sz w:val="18"/>
                <w:szCs w:val="18"/>
              </w:rPr>
            </w:pPr>
            <w:r>
              <w:rPr>
                <w:rFonts w:ascii="Verdana" w:hAnsi="Verdana"/>
                <w:sz w:val="18"/>
                <w:szCs w:val="18"/>
              </w:rPr>
              <w:lastRenderedPageBreak/>
              <w:t>Не се приема</w:t>
            </w:r>
          </w:p>
        </w:tc>
        <w:tc>
          <w:tcPr>
            <w:tcW w:w="4961" w:type="dxa"/>
            <w:tcBorders>
              <w:top w:val="single" w:sz="12" w:space="0" w:color="2E74B5"/>
              <w:bottom w:val="single" w:sz="12" w:space="0" w:color="2E74B5"/>
            </w:tcBorders>
            <w:shd w:val="clear" w:color="auto" w:fill="auto"/>
          </w:tcPr>
          <w:p w14:paraId="5E4492EA" w14:textId="0D70CF11" w:rsidR="00824374" w:rsidRPr="00824374" w:rsidRDefault="00824374" w:rsidP="006B03F6">
            <w:pPr>
              <w:spacing w:before="80" w:after="40"/>
              <w:jc w:val="both"/>
              <w:rPr>
                <w:rFonts w:ascii="Verdana" w:hAnsi="Verdana"/>
                <w:sz w:val="18"/>
                <w:szCs w:val="18"/>
              </w:rPr>
            </w:pPr>
            <w:r>
              <w:rPr>
                <w:rFonts w:ascii="Verdana" w:hAnsi="Verdana"/>
                <w:sz w:val="18"/>
                <w:szCs w:val="18"/>
              </w:rPr>
              <w:t xml:space="preserve">В чл. 17, параграф 1 от </w:t>
            </w:r>
            <w:r w:rsidRPr="00824374">
              <w:rPr>
                <w:rFonts w:ascii="Verdana" w:hAnsi="Verdana"/>
                <w:sz w:val="18"/>
                <w:szCs w:val="18"/>
              </w:rPr>
              <w:t xml:space="preserve">Регламент (ЕО) № 178/2002 на Европейския парламент и на Съвета </w:t>
            </w:r>
            <w:r w:rsidRPr="00824374">
              <w:rPr>
                <w:rFonts w:ascii="Verdana" w:hAnsi="Verdana"/>
                <w:sz w:val="18"/>
                <w:szCs w:val="18"/>
              </w:rPr>
              <w:lastRenderedPageBreak/>
              <w:t>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Pr>
                <w:rFonts w:ascii="Verdana" w:hAnsi="Verdana"/>
                <w:sz w:val="18"/>
                <w:szCs w:val="18"/>
              </w:rPr>
              <w:t xml:space="preserve"> е разписано, че </w:t>
            </w:r>
            <w:r w:rsidRPr="00824374">
              <w:rPr>
                <w:rFonts w:ascii="Verdana" w:hAnsi="Verdana"/>
                <w:sz w:val="18"/>
                <w:szCs w:val="18"/>
              </w:rPr>
              <w:t>на всички етапи на производство, преработка и разпространение в рамките на контролираните от тях предприятия,</w:t>
            </w:r>
          </w:p>
          <w:p w14:paraId="07C50AE1" w14:textId="77777777" w:rsidR="00824374" w:rsidRDefault="00824374" w:rsidP="006B03F6">
            <w:pPr>
              <w:spacing w:before="80" w:after="40"/>
              <w:jc w:val="both"/>
              <w:rPr>
                <w:rFonts w:ascii="Verdana" w:hAnsi="Verdana"/>
                <w:sz w:val="18"/>
                <w:szCs w:val="18"/>
              </w:rPr>
            </w:pPr>
            <w:r w:rsidRPr="00824374">
              <w:rPr>
                <w:rFonts w:ascii="Verdana" w:hAnsi="Verdana"/>
                <w:sz w:val="18"/>
                <w:szCs w:val="18"/>
              </w:rPr>
              <w:t>стопанските субекти в хранителната про</w:t>
            </w:r>
            <w:r>
              <w:rPr>
                <w:rFonts w:ascii="Verdana" w:hAnsi="Verdana"/>
                <w:sz w:val="18"/>
                <w:szCs w:val="18"/>
              </w:rPr>
              <w:t xml:space="preserve">мишленост </w:t>
            </w:r>
            <w:r w:rsidRPr="00824374">
              <w:rPr>
                <w:rFonts w:ascii="Verdana" w:hAnsi="Verdana"/>
                <w:sz w:val="18"/>
                <w:szCs w:val="18"/>
              </w:rPr>
              <w:t>гарантират, че съответните храни отговарят на изискванията на законодателството в областта на храните, които се</w:t>
            </w:r>
            <w:r>
              <w:rPr>
                <w:rFonts w:ascii="Verdana" w:hAnsi="Verdana"/>
                <w:sz w:val="18"/>
                <w:szCs w:val="18"/>
              </w:rPr>
              <w:t xml:space="preserve"> </w:t>
            </w:r>
            <w:r w:rsidRPr="00824374">
              <w:rPr>
                <w:rFonts w:ascii="Verdana" w:hAnsi="Verdana"/>
                <w:sz w:val="18"/>
                <w:szCs w:val="18"/>
              </w:rPr>
              <w:t>отнасят за тяхната дейност и проверяват дали тези изисквания са</w:t>
            </w:r>
            <w:r>
              <w:rPr>
                <w:rFonts w:ascii="Verdana" w:hAnsi="Verdana"/>
                <w:sz w:val="18"/>
                <w:szCs w:val="18"/>
              </w:rPr>
              <w:t xml:space="preserve"> </w:t>
            </w:r>
            <w:r w:rsidRPr="00824374">
              <w:rPr>
                <w:rFonts w:ascii="Verdana" w:hAnsi="Verdana"/>
                <w:sz w:val="18"/>
                <w:szCs w:val="18"/>
              </w:rPr>
              <w:t>спазени.</w:t>
            </w:r>
            <w:r>
              <w:rPr>
                <w:rFonts w:ascii="Verdana" w:hAnsi="Verdana"/>
                <w:sz w:val="18"/>
                <w:szCs w:val="18"/>
              </w:rPr>
              <w:t xml:space="preserve"> </w:t>
            </w:r>
          </w:p>
          <w:p w14:paraId="2FD84A97" w14:textId="5A5AC68D" w:rsidR="00CD21F3" w:rsidRPr="00614150" w:rsidRDefault="00CD21F3" w:rsidP="006B03F6">
            <w:pPr>
              <w:spacing w:before="80" w:after="40"/>
              <w:jc w:val="both"/>
              <w:rPr>
                <w:rFonts w:ascii="Verdana" w:hAnsi="Verdana"/>
                <w:sz w:val="18"/>
                <w:szCs w:val="18"/>
              </w:rPr>
            </w:pPr>
            <w:r>
              <w:rPr>
                <w:rFonts w:ascii="Verdana" w:hAnsi="Verdana"/>
                <w:sz w:val="18"/>
                <w:szCs w:val="18"/>
              </w:rPr>
              <w:t xml:space="preserve">Съгласно чл. 18 от </w:t>
            </w:r>
            <w:r w:rsidRPr="00824374">
              <w:rPr>
                <w:rFonts w:ascii="Verdana" w:hAnsi="Verdana"/>
                <w:sz w:val="18"/>
                <w:szCs w:val="18"/>
              </w:rPr>
              <w:t>Регламент (ЕО) № 178/2002</w:t>
            </w:r>
            <w:r>
              <w:rPr>
                <w:rFonts w:ascii="Verdana" w:hAnsi="Verdana"/>
                <w:sz w:val="18"/>
                <w:szCs w:val="18"/>
              </w:rPr>
              <w:t xml:space="preserve"> всеки стопански</w:t>
            </w:r>
            <w:r w:rsidRPr="00CD21F3">
              <w:rPr>
                <w:rFonts w:ascii="Verdana" w:hAnsi="Verdana"/>
                <w:sz w:val="18"/>
                <w:szCs w:val="18"/>
              </w:rPr>
              <w:t xml:space="preserve"> </w:t>
            </w:r>
            <w:r>
              <w:rPr>
                <w:rFonts w:ascii="Verdana" w:hAnsi="Verdana"/>
                <w:sz w:val="18"/>
                <w:szCs w:val="18"/>
              </w:rPr>
              <w:t>субект</w:t>
            </w:r>
            <w:r w:rsidRPr="00CD21F3">
              <w:rPr>
                <w:rFonts w:ascii="Verdana" w:hAnsi="Verdana"/>
                <w:sz w:val="18"/>
                <w:szCs w:val="18"/>
              </w:rPr>
              <w:t xml:space="preserve"> в хранителната промишленост </w:t>
            </w:r>
            <w:r>
              <w:rPr>
                <w:rFonts w:ascii="Verdana" w:hAnsi="Verdana"/>
                <w:sz w:val="18"/>
                <w:szCs w:val="18"/>
              </w:rPr>
              <w:t xml:space="preserve">трябва да разполага със </w:t>
            </w:r>
            <w:r w:rsidRPr="00CD21F3">
              <w:rPr>
                <w:rFonts w:ascii="Verdana" w:hAnsi="Verdana"/>
                <w:sz w:val="18"/>
                <w:szCs w:val="18"/>
              </w:rPr>
              <w:t xml:space="preserve">системи и процедури </w:t>
            </w:r>
            <w:r>
              <w:rPr>
                <w:rFonts w:ascii="Verdana" w:hAnsi="Verdana"/>
                <w:sz w:val="18"/>
                <w:szCs w:val="18"/>
              </w:rPr>
              <w:t>за проследяване</w:t>
            </w:r>
            <w:r w:rsidR="00BC27D7">
              <w:rPr>
                <w:rFonts w:ascii="Verdana" w:hAnsi="Verdana"/>
                <w:sz w:val="18"/>
                <w:szCs w:val="18"/>
              </w:rPr>
              <w:t xml:space="preserve"> на</w:t>
            </w:r>
            <w:r>
              <w:rPr>
                <w:rFonts w:ascii="Verdana" w:hAnsi="Verdana"/>
                <w:sz w:val="18"/>
                <w:szCs w:val="18"/>
              </w:rPr>
              <w:t xml:space="preserve"> храните.</w:t>
            </w:r>
          </w:p>
          <w:p w14:paraId="2D3F147C" w14:textId="77777777" w:rsidR="00824374" w:rsidRDefault="00824374" w:rsidP="006B03F6">
            <w:pPr>
              <w:spacing w:before="80" w:after="40"/>
              <w:jc w:val="both"/>
              <w:rPr>
                <w:rFonts w:ascii="Verdana" w:hAnsi="Verdana"/>
                <w:sz w:val="18"/>
                <w:szCs w:val="18"/>
              </w:rPr>
            </w:pPr>
            <w:r>
              <w:rPr>
                <w:rFonts w:ascii="Verdana" w:hAnsi="Verdana"/>
                <w:sz w:val="18"/>
                <w:szCs w:val="18"/>
              </w:rPr>
              <w:t xml:space="preserve">Съгласно чл. 19, параграф 4 от </w:t>
            </w:r>
            <w:r w:rsidRPr="00824374">
              <w:rPr>
                <w:rFonts w:ascii="Verdana" w:hAnsi="Verdana"/>
                <w:sz w:val="18"/>
                <w:szCs w:val="18"/>
              </w:rPr>
              <w:t>Регламент (ЕО) № 178/2002</w:t>
            </w:r>
            <w:r>
              <w:rPr>
                <w:rFonts w:ascii="Verdana" w:hAnsi="Verdana"/>
                <w:sz w:val="18"/>
                <w:szCs w:val="18"/>
              </w:rPr>
              <w:t xml:space="preserve"> </w:t>
            </w:r>
            <w:r w:rsidRPr="00824374">
              <w:rPr>
                <w:rFonts w:ascii="Verdana" w:hAnsi="Verdana"/>
                <w:sz w:val="18"/>
                <w:szCs w:val="18"/>
              </w:rPr>
              <w:t>Стопанските субекти в хранителната промишленост оказват</w:t>
            </w:r>
            <w:r>
              <w:rPr>
                <w:rFonts w:ascii="Verdana" w:hAnsi="Verdana"/>
                <w:sz w:val="18"/>
                <w:szCs w:val="18"/>
              </w:rPr>
              <w:t xml:space="preserve"> </w:t>
            </w:r>
            <w:r w:rsidRPr="00824374">
              <w:rPr>
                <w:rFonts w:ascii="Verdana" w:hAnsi="Verdana"/>
                <w:sz w:val="18"/>
                <w:szCs w:val="18"/>
              </w:rPr>
              <w:t>сътрудничество на компетентните органи в предприетите</w:t>
            </w:r>
            <w:r>
              <w:rPr>
                <w:rFonts w:ascii="Verdana" w:hAnsi="Verdana"/>
                <w:sz w:val="18"/>
                <w:szCs w:val="18"/>
              </w:rPr>
              <w:t xml:space="preserve"> </w:t>
            </w:r>
            <w:r w:rsidRPr="00824374">
              <w:rPr>
                <w:rFonts w:ascii="Verdana" w:hAnsi="Verdana"/>
                <w:sz w:val="18"/>
                <w:szCs w:val="18"/>
              </w:rPr>
              <w:t>действия за избягване или намаляване на риска от храни, които</w:t>
            </w:r>
            <w:r>
              <w:rPr>
                <w:rFonts w:ascii="Verdana" w:hAnsi="Verdana"/>
                <w:sz w:val="18"/>
                <w:szCs w:val="18"/>
              </w:rPr>
              <w:t xml:space="preserve"> </w:t>
            </w:r>
            <w:r w:rsidRPr="00824374">
              <w:rPr>
                <w:rFonts w:ascii="Verdana" w:hAnsi="Verdana"/>
                <w:sz w:val="18"/>
                <w:szCs w:val="18"/>
              </w:rPr>
              <w:t>те доставят или са доставили.</w:t>
            </w:r>
          </w:p>
          <w:p w14:paraId="68019C1B" w14:textId="77777777" w:rsidR="00824374" w:rsidRDefault="002E401D" w:rsidP="006B03F6">
            <w:pPr>
              <w:spacing w:before="80" w:after="40"/>
              <w:jc w:val="both"/>
              <w:rPr>
                <w:rFonts w:ascii="Verdana" w:hAnsi="Verdana"/>
                <w:sz w:val="18"/>
                <w:szCs w:val="18"/>
              </w:rPr>
            </w:pPr>
            <w:r>
              <w:rPr>
                <w:rFonts w:ascii="Verdana" w:hAnsi="Verdana"/>
                <w:sz w:val="18"/>
                <w:szCs w:val="18"/>
              </w:rPr>
              <w:t xml:space="preserve">Съгласно чл. 9 от Закона за храните </w:t>
            </w:r>
            <w:r w:rsidRPr="002E401D">
              <w:rPr>
                <w:rFonts w:ascii="Verdana" w:hAnsi="Verdana"/>
                <w:sz w:val="18"/>
                <w:szCs w:val="18"/>
              </w:rPr>
              <w:t>Бизнес операторите, които произвеждат, преработват и/ил</w:t>
            </w:r>
            <w:r>
              <w:rPr>
                <w:rFonts w:ascii="Verdana" w:hAnsi="Verdana"/>
                <w:sz w:val="18"/>
                <w:szCs w:val="18"/>
              </w:rPr>
              <w:t>и дистрибутират храна</w:t>
            </w:r>
            <w:r w:rsidRPr="002E401D">
              <w:rPr>
                <w:rFonts w:ascii="Verdana" w:hAnsi="Verdana"/>
                <w:sz w:val="18"/>
                <w:szCs w:val="18"/>
              </w:rPr>
              <w:t xml:space="preserve"> са длъжни да разполагат с информация за храните, животните и</w:t>
            </w:r>
            <w:r>
              <w:rPr>
                <w:rFonts w:ascii="Verdana" w:hAnsi="Verdana"/>
                <w:sz w:val="18"/>
                <w:szCs w:val="18"/>
              </w:rPr>
              <w:t xml:space="preserve"> </w:t>
            </w:r>
            <w:r w:rsidRPr="002E401D">
              <w:rPr>
                <w:rFonts w:ascii="Verdana" w:hAnsi="Verdana"/>
                <w:sz w:val="18"/>
                <w:szCs w:val="18"/>
              </w:rPr>
              <w:t>материалите, използвани при производството, преработката и/или дистрибуцията на храните под техен</w:t>
            </w:r>
            <w:r>
              <w:rPr>
                <w:rFonts w:ascii="Verdana" w:hAnsi="Verdana"/>
                <w:sz w:val="18"/>
                <w:szCs w:val="18"/>
              </w:rPr>
              <w:t xml:space="preserve"> </w:t>
            </w:r>
            <w:r w:rsidRPr="002E401D">
              <w:rPr>
                <w:rFonts w:ascii="Verdana" w:hAnsi="Verdana"/>
                <w:sz w:val="18"/>
                <w:szCs w:val="18"/>
              </w:rPr>
              <w:t>контрол.</w:t>
            </w:r>
          </w:p>
          <w:p w14:paraId="20CEA774" w14:textId="77777777" w:rsidR="002E401D" w:rsidRDefault="002E401D" w:rsidP="006B03F6">
            <w:pPr>
              <w:spacing w:before="80" w:after="40"/>
              <w:jc w:val="both"/>
              <w:rPr>
                <w:rFonts w:ascii="Verdana" w:hAnsi="Verdana"/>
                <w:sz w:val="18"/>
                <w:szCs w:val="18"/>
              </w:rPr>
            </w:pPr>
            <w:r>
              <w:rPr>
                <w:rFonts w:ascii="Verdana" w:hAnsi="Verdana"/>
                <w:sz w:val="18"/>
                <w:szCs w:val="18"/>
              </w:rPr>
              <w:t xml:space="preserve">В </w:t>
            </w:r>
            <w:r w:rsidRPr="002E401D">
              <w:rPr>
                <w:rFonts w:ascii="Verdana" w:hAnsi="Verdana"/>
                <w:sz w:val="18"/>
                <w:szCs w:val="18"/>
              </w:rPr>
              <w:t>чл</w:t>
            </w:r>
            <w:r>
              <w:rPr>
                <w:rFonts w:ascii="Verdana" w:hAnsi="Verdana"/>
                <w:sz w:val="18"/>
                <w:szCs w:val="18"/>
              </w:rPr>
              <w:t>. 10 от Закона за храните е записано</w:t>
            </w:r>
            <w:r w:rsidRPr="002E401D">
              <w:rPr>
                <w:rFonts w:ascii="Verdana" w:hAnsi="Verdana"/>
                <w:sz w:val="18"/>
                <w:szCs w:val="18"/>
              </w:rPr>
              <w:t xml:space="preserve"> Бизнес операторите, с изключение на извършващите първично производство и на аптеки и</w:t>
            </w:r>
            <w:r>
              <w:rPr>
                <w:rFonts w:ascii="Verdana" w:hAnsi="Verdana"/>
                <w:sz w:val="18"/>
                <w:szCs w:val="18"/>
              </w:rPr>
              <w:t xml:space="preserve"> </w:t>
            </w:r>
            <w:r w:rsidRPr="002E401D">
              <w:rPr>
                <w:rFonts w:ascii="Verdana" w:hAnsi="Verdana"/>
                <w:sz w:val="18"/>
                <w:szCs w:val="18"/>
              </w:rPr>
              <w:t>дрогерии по чл. 30, ал. 1, въвеждат, прилагат и поддържат постоянна процедура или процедури в</w:t>
            </w:r>
            <w:r>
              <w:rPr>
                <w:rFonts w:ascii="Verdana" w:hAnsi="Verdana"/>
                <w:sz w:val="18"/>
                <w:szCs w:val="18"/>
              </w:rPr>
              <w:t xml:space="preserve"> </w:t>
            </w:r>
            <w:r w:rsidRPr="002E401D">
              <w:rPr>
                <w:rFonts w:ascii="Verdana" w:hAnsi="Verdana"/>
                <w:sz w:val="18"/>
                <w:szCs w:val="18"/>
              </w:rPr>
              <w:t xml:space="preserve">съответствие с чл. 5 от Регламент (ЕО) № </w:t>
            </w:r>
            <w:r w:rsidRPr="002E401D">
              <w:rPr>
                <w:rFonts w:ascii="Verdana" w:hAnsi="Verdana"/>
                <w:sz w:val="18"/>
                <w:szCs w:val="18"/>
              </w:rPr>
              <w:lastRenderedPageBreak/>
              <w:t>852/2004.</w:t>
            </w:r>
          </w:p>
          <w:p w14:paraId="32FAD958" w14:textId="77777777" w:rsidR="00D569A1" w:rsidRDefault="00D569A1" w:rsidP="006B03F6">
            <w:pPr>
              <w:spacing w:before="80" w:after="40"/>
              <w:jc w:val="both"/>
              <w:rPr>
                <w:rFonts w:ascii="Verdana" w:hAnsi="Verdana"/>
                <w:sz w:val="18"/>
                <w:szCs w:val="18"/>
              </w:rPr>
            </w:pPr>
            <w:r>
              <w:rPr>
                <w:rFonts w:ascii="Verdana" w:hAnsi="Verdana"/>
                <w:sz w:val="18"/>
                <w:szCs w:val="18"/>
              </w:rPr>
              <w:t xml:space="preserve">Нормативните изисквания относими към  </w:t>
            </w:r>
            <w:r w:rsidRPr="00D569A1">
              <w:rPr>
                <w:rFonts w:ascii="Verdana" w:hAnsi="Verdana"/>
                <w:sz w:val="18"/>
                <w:szCs w:val="18"/>
              </w:rPr>
              <w:t>списъкът на храните, обект на хранително банкиране</w:t>
            </w:r>
            <w:r>
              <w:rPr>
                <w:rFonts w:ascii="Verdana" w:hAnsi="Verdana"/>
                <w:sz w:val="18"/>
                <w:szCs w:val="18"/>
              </w:rPr>
              <w:t xml:space="preserve"> и съдържащата се информация </w:t>
            </w:r>
            <w:r w:rsidRPr="00D569A1">
              <w:rPr>
                <w:rFonts w:ascii="Verdana" w:hAnsi="Verdana"/>
                <w:sz w:val="18"/>
                <w:szCs w:val="18"/>
              </w:rPr>
              <w:t>за сроковете,</w:t>
            </w:r>
            <w:r>
              <w:rPr>
                <w:rFonts w:ascii="Verdana" w:hAnsi="Verdana"/>
                <w:sz w:val="18"/>
                <w:szCs w:val="18"/>
              </w:rPr>
              <w:t xml:space="preserve"> в които храните се предоставят </w:t>
            </w:r>
            <w:r w:rsidRPr="00D569A1">
              <w:rPr>
                <w:rFonts w:ascii="Verdana" w:hAnsi="Verdana"/>
                <w:sz w:val="18"/>
                <w:szCs w:val="18"/>
              </w:rPr>
              <w:t>безвъзмездно</w:t>
            </w:r>
            <w:r>
              <w:rPr>
                <w:rFonts w:ascii="Verdana" w:hAnsi="Verdana"/>
                <w:sz w:val="18"/>
                <w:szCs w:val="18"/>
              </w:rPr>
              <w:t xml:space="preserve"> са разписани в чл. 96, ал. 2 и 3 от Закона за храните</w:t>
            </w:r>
          </w:p>
          <w:p w14:paraId="5C70D464" w14:textId="77777777" w:rsidR="002E401D" w:rsidRPr="009D47F2" w:rsidRDefault="002E401D" w:rsidP="006B03F6">
            <w:pPr>
              <w:spacing w:before="80" w:after="40"/>
              <w:jc w:val="both"/>
              <w:rPr>
                <w:rFonts w:ascii="Verdana" w:hAnsi="Verdana"/>
                <w:sz w:val="18"/>
                <w:szCs w:val="18"/>
              </w:rPr>
            </w:pPr>
            <w:r>
              <w:rPr>
                <w:rFonts w:ascii="Verdana" w:hAnsi="Verdana"/>
                <w:sz w:val="18"/>
                <w:szCs w:val="18"/>
              </w:rPr>
              <w:t xml:space="preserve">Във връзка с гореизложеното </w:t>
            </w:r>
            <w:r w:rsidR="007F2EE0">
              <w:rPr>
                <w:rFonts w:ascii="Verdana" w:hAnsi="Verdana"/>
                <w:sz w:val="18"/>
                <w:szCs w:val="18"/>
              </w:rPr>
              <w:t xml:space="preserve">всеки </w:t>
            </w:r>
            <w:r w:rsidR="007F2EE0" w:rsidRPr="007F2EE0">
              <w:rPr>
                <w:rFonts w:ascii="Verdana" w:hAnsi="Verdana"/>
                <w:sz w:val="18"/>
                <w:szCs w:val="18"/>
              </w:rPr>
              <w:t>операто</w:t>
            </w:r>
            <w:r w:rsidR="007F2EE0">
              <w:rPr>
                <w:rFonts w:ascii="Verdana" w:hAnsi="Verdana"/>
                <w:sz w:val="18"/>
                <w:szCs w:val="18"/>
              </w:rPr>
              <w:t>р</w:t>
            </w:r>
            <w:r w:rsidR="007F2EE0" w:rsidRPr="007F2EE0">
              <w:rPr>
                <w:rFonts w:ascii="Verdana" w:hAnsi="Verdana"/>
                <w:sz w:val="18"/>
                <w:szCs w:val="18"/>
              </w:rPr>
              <w:t xml:space="preserve"> на хранителна банка</w:t>
            </w:r>
            <w:r>
              <w:rPr>
                <w:rFonts w:ascii="Verdana" w:hAnsi="Verdana"/>
                <w:sz w:val="18"/>
                <w:szCs w:val="18"/>
              </w:rPr>
              <w:t xml:space="preserve"> е </w:t>
            </w:r>
            <w:r w:rsidRPr="002E401D">
              <w:rPr>
                <w:rFonts w:ascii="Verdana" w:hAnsi="Verdana"/>
                <w:sz w:val="18"/>
                <w:szCs w:val="18"/>
              </w:rPr>
              <w:t>стопанс</w:t>
            </w:r>
            <w:r w:rsidR="007F2EE0">
              <w:rPr>
                <w:rFonts w:ascii="Verdana" w:hAnsi="Verdana"/>
                <w:sz w:val="18"/>
                <w:szCs w:val="18"/>
              </w:rPr>
              <w:t>ки</w:t>
            </w:r>
            <w:r>
              <w:rPr>
                <w:rFonts w:ascii="Verdana" w:hAnsi="Verdana"/>
                <w:sz w:val="18"/>
                <w:szCs w:val="18"/>
              </w:rPr>
              <w:t xml:space="preserve"> субект в хранителната про</w:t>
            </w:r>
            <w:r w:rsidRPr="002E401D">
              <w:rPr>
                <w:rFonts w:ascii="Verdana" w:hAnsi="Verdana"/>
                <w:sz w:val="18"/>
                <w:szCs w:val="18"/>
              </w:rPr>
              <w:t>мишленост</w:t>
            </w:r>
            <w:r>
              <w:rPr>
                <w:rFonts w:ascii="Verdana" w:hAnsi="Verdana"/>
                <w:sz w:val="18"/>
                <w:szCs w:val="18"/>
              </w:rPr>
              <w:t>, чиято отговорност е да доставя безопасна храна и да разполага с внедрена система за самоконтрол</w:t>
            </w:r>
            <w:r w:rsidR="007F2EE0">
              <w:rPr>
                <w:rFonts w:ascii="Verdana" w:hAnsi="Verdana"/>
                <w:sz w:val="18"/>
                <w:szCs w:val="18"/>
              </w:rPr>
              <w:t>. Негова отговорност е да идентифицира</w:t>
            </w:r>
            <w:r w:rsidR="007F2EE0" w:rsidRPr="007F2EE0">
              <w:rPr>
                <w:rFonts w:ascii="Verdana" w:hAnsi="Verdana"/>
                <w:sz w:val="18"/>
                <w:szCs w:val="18"/>
              </w:rPr>
              <w:t xml:space="preserve"> опасностите, които трябва д</w:t>
            </w:r>
            <w:r w:rsidR="007F2EE0">
              <w:rPr>
                <w:rFonts w:ascii="Verdana" w:hAnsi="Verdana"/>
                <w:sz w:val="18"/>
                <w:szCs w:val="18"/>
              </w:rPr>
              <w:t>а се предот</w:t>
            </w:r>
            <w:r w:rsidR="007F2EE0" w:rsidRPr="007F2EE0">
              <w:rPr>
                <w:rFonts w:ascii="Verdana" w:hAnsi="Verdana"/>
                <w:sz w:val="18"/>
                <w:szCs w:val="18"/>
              </w:rPr>
              <w:t>вратят, отстранят или редуцират до приемливи нива</w:t>
            </w:r>
            <w:r w:rsidR="007F2EE0">
              <w:rPr>
                <w:rFonts w:ascii="Verdana" w:hAnsi="Verdana"/>
                <w:sz w:val="18"/>
                <w:szCs w:val="18"/>
              </w:rPr>
              <w:t xml:space="preserve"> т.е. да определи </w:t>
            </w:r>
            <w:r w:rsidR="007F2EE0" w:rsidRPr="007F2EE0">
              <w:rPr>
                <w:rFonts w:ascii="Verdana" w:hAnsi="Verdana"/>
                <w:sz w:val="18"/>
                <w:szCs w:val="18"/>
              </w:rPr>
              <w:t>за отделните групи храни</w:t>
            </w:r>
            <w:r w:rsidR="007F2EE0">
              <w:rPr>
                <w:rFonts w:ascii="Verdana" w:hAnsi="Verdana"/>
                <w:sz w:val="18"/>
                <w:szCs w:val="18"/>
              </w:rPr>
              <w:t xml:space="preserve">, с които оперира, </w:t>
            </w:r>
            <w:r w:rsidR="007F2EE0" w:rsidRPr="009D47F2">
              <w:rPr>
                <w:rFonts w:ascii="Verdana" w:hAnsi="Verdana"/>
                <w:sz w:val="18"/>
                <w:szCs w:val="18"/>
              </w:rPr>
              <w:t xml:space="preserve">допустимият срок на последващо оползотовряване и съответно </w:t>
            </w:r>
            <w:r w:rsidR="007F2EE0">
              <w:rPr>
                <w:rFonts w:ascii="Verdana" w:hAnsi="Verdana"/>
                <w:sz w:val="18"/>
                <w:szCs w:val="18"/>
              </w:rPr>
              <w:t>–</w:t>
            </w:r>
            <w:r w:rsidR="007F2EE0" w:rsidRPr="009D47F2">
              <w:rPr>
                <w:rFonts w:ascii="Verdana" w:hAnsi="Verdana"/>
                <w:sz w:val="18"/>
                <w:szCs w:val="18"/>
              </w:rPr>
              <w:t xml:space="preserve"> предоставяне</w:t>
            </w:r>
            <w:r w:rsidR="007F2EE0">
              <w:rPr>
                <w:rFonts w:ascii="Verdana" w:hAnsi="Verdana"/>
                <w:sz w:val="18"/>
                <w:szCs w:val="18"/>
              </w:rPr>
              <w:t>то им</w:t>
            </w:r>
            <w:r w:rsidR="007F2EE0" w:rsidRPr="009D47F2">
              <w:rPr>
                <w:rFonts w:ascii="Verdana" w:hAnsi="Verdana"/>
                <w:sz w:val="18"/>
                <w:szCs w:val="18"/>
              </w:rPr>
              <w:t xml:space="preserve"> навреме до нуждаещи се лица</w:t>
            </w:r>
            <w:r w:rsidR="00D569A1">
              <w:rPr>
                <w:rFonts w:ascii="Verdana" w:hAnsi="Verdana"/>
                <w:sz w:val="18"/>
                <w:szCs w:val="18"/>
              </w:rPr>
              <w:t>, които да са съобразени със списъците по чл. 96, ал. 2 от Закона за храните.</w:t>
            </w:r>
          </w:p>
        </w:tc>
      </w:tr>
      <w:tr w:rsidR="00380886" w:rsidRPr="001F6CB3" w14:paraId="187C81FB" w14:textId="77777777" w:rsidTr="001C47FC">
        <w:trPr>
          <w:trHeight w:val="596"/>
          <w:jc w:val="center"/>
        </w:trPr>
        <w:tc>
          <w:tcPr>
            <w:tcW w:w="622" w:type="dxa"/>
            <w:vMerge/>
            <w:shd w:val="clear" w:color="auto" w:fill="auto"/>
          </w:tcPr>
          <w:p w14:paraId="2627D19A" w14:textId="77777777" w:rsidR="00380886" w:rsidRPr="009D47F2" w:rsidRDefault="00380886" w:rsidP="006B03F6">
            <w:pPr>
              <w:pStyle w:val="ListParagraph"/>
              <w:numPr>
                <w:ilvl w:val="0"/>
                <w:numId w:val="10"/>
              </w:numPr>
              <w:tabs>
                <w:tab w:val="left" w:pos="192"/>
              </w:tabs>
              <w:spacing w:before="80" w:after="40"/>
              <w:ind w:left="0" w:hanging="357"/>
              <w:jc w:val="center"/>
              <w:rPr>
                <w:rFonts w:ascii="Verdana" w:hAnsi="Verdana"/>
                <w:b/>
                <w:sz w:val="18"/>
                <w:szCs w:val="18"/>
              </w:rPr>
            </w:pPr>
          </w:p>
        </w:tc>
        <w:tc>
          <w:tcPr>
            <w:tcW w:w="2410" w:type="dxa"/>
            <w:vMerge/>
            <w:shd w:val="clear" w:color="auto" w:fill="auto"/>
          </w:tcPr>
          <w:p w14:paraId="60A0C19B" w14:textId="77777777" w:rsidR="00380886" w:rsidRPr="009D47F2" w:rsidRDefault="00380886"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12304E26" w14:textId="77777777" w:rsidR="0052214A" w:rsidRPr="009D47F2" w:rsidRDefault="0052214A" w:rsidP="006B03F6">
            <w:pPr>
              <w:spacing w:before="80" w:after="40"/>
              <w:jc w:val="both"/>
              <w:rPr>
                <w:rFonts w:ascii="Verdana" w:hAnsi="Verdana"/>
                <w:sz w:val="18"/>
                <w:szCs w:val="18"/>
              </w:rPr>
            </w:pPr>
            <w:r w:rsidRPr="009D47F2">
              <w:rPr>
                <w:rFonts w:ascii="Verdana" w:hAnsi="Verdana"/>
                <w:sz w:val="18"/>
                <w:szCs w:val="18"/>
              </w:rPr>
              <w:t xml:space="preserve">4. В Раздел V </w:t>
            </w:r>
            <w:r w:rsidR="00557902" w:rsidRPr="009D47F2">
              <w:rPr>
                <w:rFonts w:ascii="Verdana" w:hAnsi="Verdana"/>
                <w:sz w:val="18"/>
                <w:szCs w:val="18"/>
              </w:rPr>
              <w:t>„</w:t>
            </w:r>
            <w:r w:rsidRPr="009D47F2">
              <w:rPr>
                <w:rFonts w:ascii="Verdana" w:hAnsi="Verdana"/>
                <w:sz w:val="18"/>
                <w:szCs w:val="18"/>
              </w:rPr>
              <w:t xml:space="preserve">Изключения при извършване на хранително банкиране“, чл. 16 (1) предлагаме изрично да бъде дефинирано, че информацията за храната с изтекъл срок на трайност следва да се предостави на съответната областна дирекция по безопасност на храните предварително т.е. преди датата на фактическа доставка и прием на храните в склад на оператор на хранителна банка, така че да бъде получено съответното становище за прием на дарението на базата на предоставена писмена информация и документи от бизнес оператора – дарител на храната. Това предварително становище на базата на документи ще даде възможност на оператора на хранителна банка да откаже дарение, което счита за неподходящо и по този начин да бъдат избегнати ненужни и невъзможни за оператора на хранителна банка разходи, свързани с унищожаване на вече доставена храна, която е негодна за консумация, но предвид разпоредбите на наредбата операторът на хранителна банка няма право да </w:t>
            </w:r>
            <w:r w:rsidRPr="009D47F2">
              <w:rPr>
                <w:rFonts w:ascii="Verdana" w:hAnsi="Verdana"/>
                <w:sz w:val="18"/>
                <w:szCs w:val="18"/>
              </w:rPr>
              <w:lastRenderedPageBreak/>
              <w:t>протестира и да предявява претенции към бизнес оператора. Нещо повече, в качеството си на нестопански субект, осъществяващ дейност в обществена полза, операторът на хранителна банка борави изцяло с дарени обществени средства, които има задължението да разходва изключително пестеливо, ефективно, отговорно и прозрачно. В този смисъл предварителната оценка би спестила подобни разходи.</w:t>
            </w:r>
          </w:p>
          <w:p w14:paraId="6232BE6D" w14:textId="77777777" w:rsidR="00380886" w:rsidRPr="009D47F2" w:rsidRDefault="0052214A" w:rsidP="006B03F6">
            <w:pPr>
              <w:spacing w:before="80" w:after="40"/>
              <w:jc w:val="both"/>
              <w:rPr>
                <w:rFonts w:ascii="Verdana" w:hAnsi="Verdana"/>
                <w:sz w:val="18"/>
                <w:szCs w:val="18"/>
              </w:rPr>
            </w:pPr>
            <w:r w:rsidRPr="009D47F2">
              <w:rPr>
                <w:rFonts w:ascii="Verdana" w:hAnsi="Verdana"/>
                <w:sz w:val="18"/>
                <w:szCs w:val="18"/>
              </w:rPr>
              <w:t>В разпоредбата на чл. 16 е разгледана единствено хипотезата, в която дарената храна вече е получена в склад на оператор на хранителна банка към момента на проверка на място от служител на БАБХ, което задължава операторът на хранителна банка да приеме всяка предложена храна преди получаване на становище и ако тя се окаже негодна за по-нататъшно предоставяне на хора в нужда – да понесе и цялата отговорност и разходи, свързани с унищожаването й. В тази връзка настояваме за намиране на по-гъвкав подход на комуникиране на предложението за дарение и предварително произнасяне на контролния орган, преди храната да е получена в склад за хранително банкиране.</w:t>
            </w:r>
          </w:p>
        </w:tc>
        <w:tc>
          <w:tcPr>
            <w:tcW w:w="1842" w:type="dxa"/>
            <w:tcBorders>
              <w:top w:val="single" w:sz="12" w:space="0" w:color="2E74B5"/>
              <w:bottom w:val="single" w:sz="12" w:space="0" w:color="2E74B5"/>
            </w:tcBorders>
            <w:shd w:val="clear" w:color="auto" w:fill="auto"/>
          </w:tcPr>
          <w:p w14:paraId="4FC04565" w14:textId="27B28FCA" w:rsidR="00380886" w:rsidRPr="009D47F2" w:rsidRDefault="00614150" w:rsidP="006B03F6">
            <w:pPr>
              <w:spacing w:before="80" w:after="40"/>
              <w:rPr>
                <w:rFonts w:ascii="Verdana" w:hAnsi="Verdana"/>
                <w:sz w:val="18"/>
                <w:szCs w:val="18"/>
              </w:rPr>
            </w:pPr>
            <w:r>
              <w:rPr>
                <w:rFonts w:ascii="Verdana" w:hAnsi="Verdana"/>
                <w:sz w:val="18"/>
                <w:szCs w:val="18"/>
              </w:rPr>
              <w:lastRenderedPageBreak/>
              <w:t>Приема се по принцип</w:t>
            </w:r>
          </w:p>
        </w:tc>
        <w:tc>
          <w:tcPr>
            <w:tcW w:w="4961" w:type="dxa"/>
            <w:tcBorders>
              <w:top w:val="single" w:sz="12" w:space="0" w:color="2E74B5"/>
              <w:bottom w:val="single" w:sz="12" w:space="0" w:color="2E74B5"/>
            </w:tcBorders>
            <w:shd w:val="clear" w:color="auto" w:fill="auto"/>
          </w:tcPr>
          <w:p w14:paraId="2A584C86" w14:textId="77777777" w:rsidR="00C868C8" w:rsidRPr="009D47F2" w:rsidRDefault="00C868C8" w:rsidP="006B03F6">
            <w:pPr>
              <w:spacing w:before="80" w:after="40"/>
              <w:jc w:val="both"/>
              <w:rPr>
                <w:rFonts w:ascii="Verdana" w:hAnsi="Verdana"/>
                <w:sz w:val="18"/>
                <w:szCs w:val="18"/>
              </w:rPr>
            </w:pPr>
            <w:r>
              <w:rPr>
                <w:rFonts w:ascii="Verdana" w:hAnsi="Verdana"/>
                <w:sz w:val="18"/>
                <w:szCs w:val="18"/>
              </w:rPr>
              <w:t>Отказът на прием от страна на оператора на хранителна банка при получаване</w:t>
            </w:r>
            <w:r w:rsidR="00D569A1">
              <w:rPr>
                <w:rFonts w:ascii="Verdana" w:hAnsi="Verdana"/>
                <w:sz w:val="18"/>
                <w:szCs w:val="18"/>
              </w:rPr>
              <w:t xml:space="preserve"> на храни </w:t>
            </w:r>
            <w:r>
              <w:rPr>
                <w:rFonts w:ascii="Verdana" w:hAnsi="Verdana"/>
                <w:sz w:val="18"/>
                <w:szCs w:val="18"/>
              </w:rPr>
              <w:t>е разписан в чл. 7, ал. 2 от Наредбата.</w:t>
            </w:r>
          </w:p>
        </w:tc>
      </w:tr>
      <w:tr w:rsidR="00513071" w:rsidRPr="001F6CB3" w14:paraId="67B05DD4" w14:textId="77777777" w:rsidTr="001C47FC">
        <w:trPr>
          <w:trHeight w:val="596"/>
          <w:jc w:val="center"/>
        </w:trPr>
        <w:tc>
          <w:tcPr>
            <w:tcW w:w="622" w:type="dxa"/>
            <w:vMerge/>
            <w:shd w:val="clear" w:color="auto" w:fill="auto"/>
          </w:tcPr>
          <w:p w14:paraId="7B9330BA" w14:textId="77777777" w:rsidR="00513071" w:rsidRPr="009D47F2" w:rsidRDefault="00513071" w:rsidP="006B03F6">
            <w:pPr>
              <w:pStyle w:val="ListParagraph"/>
              <w:numPr>
                <w:ilvl w:val="0"/>
                <w:numId w:val="10"/>
              </w:numPr>
              <w:tabs>
                <w:tab w:val="left" w:pos="192"/>
              </w:tabs>
              <w:spacing w:before="80" w:after="40"/>
              <w:ind w:left="0" w:hanging="357"/>
              <w:jc w:val="center"/>
              <w:rPr>
                <w:rFonts w:ascii="Verdana" w:hAnsi="Verdana"/>
                <w:b/>
                <w:sz w:val="18"/>
                <w:szCs w:val="18"/>
              </w:rPr>
            </w:pPr>
          </w:p>
        </w:tc>
        <w:tc>
          <w:tcPr>
            <w:tcW w:w="2410" w:type="dxa"/>
            <w:vMerge/>
            <w:shd w:val="clear" w:color="auto" w:fill="auto"/>
          </w:tcPr>
          <w:p w14:paraId="58C158C3" w14:textId="77777777" w:rsidR="00513071" w:rsidRPr="009D47F2" w:rsidRDefault="00513071"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0C772129" w14:textId="77777777" w:rsidR="009B153D" w:rsidRPr="009D47F2" w:rsidRDefault="0052214A" w:rsidP="006B03F6">
            <w:pPr>
              <w:spacing w:before="80" w:after="40"/>
              <w:jc w:val="both"/>
              <w:rPr>
                <w:rFonts w:ascii="Verdana" w:hAnsi="Verdana"/>
                <w:sz w:val="18"/>
                <w:szCs w:val="18"/>
              </w:rPr>
            </w:pPr>
            <w:r w:rsidRPr="009D47F2">
              <w:rPr>
                <w:rFonts w:ascii="Verdana" w:hAnsi="Verdana"/>
                <w:sz w:val="18"/>
                <w:szCs w:val="18"/>
              </w:rPr>
              <w:t xml:space="preserve">5. В Раздел VI </w:t>
            </w:r>
            <w:r w:rsidR="00557902" w:rsidRPr="009D47F2">
              <w:rPr>
                <w:rFonts w:ascii="Verdana" w:hAnsi="Verdana"/>
                <w:sz w:val="18"/>
                <w:szCs w:val="18"/>
              </w:rPr>
              <w:t>„</w:t>
            </w:r>
            <w:r w:rsidRPr="009D47F2">
              <w:rPr>
                <w:rFonts w:ascii="Verdana" w:hAnsi="Verdana"/>
                <w:sz w:val="18"/>
                <w:szCs w:val="18"/>
              </w:rPr>
              <w:t>Хранително банкиране на иззети храни“, чл. 19 следва да се определи ясно в разпоредбите на Проекта на наредба с чия отговорност и за чия сметка се извършва лабораторното изпитване за безопасността на иззетите храни, така че те да са възможен обект на безвъзмездно предоставяне на оператор на хранителна банка.</w:t>
            </w:r>
          </w:p>
        </w:tc>
        <w:tc>
          <w:tcPr>
            <w:tcW w:w="1842" w:type="dxa"/>
            <w:tcBorders>
              <w:top w:val="single" w:sz="12" w:space="0" w:color="2E74B5"/>
              <w:bottom w:val="single" w:sz="12" w:space="0" w:color="2E74B5"/>
            </w:tcBorders>
            <w:shd w:val="clear" w:color="auto" w:fill="auto"/>
          </w:tcPr>
          <w:p w14:paraId="513FE016" w14:textId="77777777" w:rsidR="00513071" w:rsidRPr="009D47F2" w:rsidRDefault="00C868C8" w:rsidP="006B03F6">
            <w:pPr>
              <w:spacing w:before="80" w:after="40"/>
              <w:rPr>
                <w:rFonts w:ascii="Verdana" w:hAnsi="Verdana"/>
                <w:sz w:val="18"/>
                <w:szCs w:val="18"/>
              </w:rPr>
            </w:pPr>
            <w:r>
              <w:rPr>
                <w:rFonts w:ascii="Verdana" w:hAnsi="Verdana"/>
                <w:sz w:val="18"/>
                <w:szCs w:val="18"/>
              </w:rPr>
              <w:t>Приема се</w:t>
            </w:r>
          </w:p>
        </w:tc>
        <w:tc>
          <w:tcPr>
            <w:tcW w:w="4961" w:type="dxa"/>
            <w:tcBorders>
              <w:top w:val="single" w:sz="12" w:space="0" w:color="2E74B5"/>
              <w:bottom w:val="single" w:sz="12" w:space="0" w:color="2E74B5"/>
            </w:tcBorders>
            <w:shd w:val="clear" w:color="auto" w:fill="auto"/>
          </w:tcPr>
          <w:p w14:paraId="1A847CB1" w14:textId="77777777" w:rsidR="00513071" w:rsidRPr="009D47F2" w:rsidRDefault="00513071" w:rsidP="006B03F6">
            <w:pPr>
              <w:spacing w:before="80" w:after="40"/>
              <w:jc w:val="both"/>
              <w:rPr>
                <w:rFonts w:ascii="Verdana" w:hAnsi="Verdana"/>
                <w:sz w:val="18"/>
                <w:szCs w:val="18"/>
              </w:rPr>
            </w:pPr>
          </w:p>
        </w:tc>
      </w:tr>
      <w:tr w:rsidR="009B153D" w:rsidRPr="001F6CB3" w14:paraId="2F57D2C9" w14:textId="77777777" w:rsidTr="001C47FC">
        <w:trPr>
          <w:trHeight w:val="596"/>
          <w:jc w:val="center"/>
        </w:trPr>
        <w:tc>
          <w:tcPr>
            <w:tcW w:w="622" w:type="dxa"/>
            <w:vMerge w:val="restart"/>
            <w:shd w:val="clear" w:color="auto" w:fill="auto"/>
          </w:tcPr>
          <w:p w14:paraId="740C6B73" w14:textId="77777777" w:rsidR="009B153D" w:rsidRPr="009D47F2" w:rsidRDefault="009B153D" w:rsidP="006B03F6">
            <w:pPr>
              <w:pStyle w:val="ListParagraph"/>
              <w:numPr>
                <w:ilvl w:val="0"/>
                <w:numId w:val="17"/>
              </w:numPr>
              <w:tabs>
                <w:tab w:val="left" w:pos="192"/>
              </w:tabs>
              <w:spacing w:before="80" w:after="40"/>
              <w:jc w:val="center"/>
              <w:rPr>
                <w:rFonts w:ascii="Verdana" w:hAnsi="Verdana"/>
                <w:b/>
                <w:sz w:val="18"/>
                <w:szCs w:val="18"/>
              </w:rPr>
            </w:pPr>
          </w:p>
        </w:tc>
        <w:tc>
          <w:tcPr>
            <w:tcW w:w="2410" w:type="dxa"/>
            <w:vMerge w:val="restart"/>
            <w:shd w:val="clear" w:color="auto" w:fill="auto"/>
          </w:tcPr>
          <w:p w14:paraId="1B830806" w14:textId="77777777" w:rsidR="009B153D" w:rsidRPr="009D47F2" w:rsidRDefault="009B153D" w:rsidP="006B03F6">
            <w:pPr>
              <w:spacing w:before="80" w:after="40"/>
              <w:rPr>
                <w:rFonts w:ascii="Verdana" w:hAnsi="Verdana"/>
                <w:sz w:val="18"/>
                <w:szCs w:val="18"/>
              </w:rPr>
            </w:pPr>
            <w:r w:rsidRPr="009D47F2">
              <w:rPr>
                <w:rFonts w:ascii="Verdana" w:hAnsi="Verdana"/>
                <w:sz w:val="18"/>
                <w:szCs w:val="18"/>
              </w:rPr>
              <w:t xml:space="preserve">Асоциация на </w:t>
            </w:r>
            <w:r w:rsidR="001F6CB3" w:rsidRPr="009D47F2">
              <w:rPr>
                <w:rFonts w:ascii="Verdana" w:hAnsi="Verdana"/>
                <w:sz w:val="18"/>
                <w:szCs w:val="18"/>
              </w:rPr>
              <w:br/>
            </w:r>
            <w:r w:rsidRPr="009D47F2">
              <w:rPr>
                <w:rFonts w:ascii="Verdana" w:hAnsi="Verdana"/>
                <w:sz w:val="18"/>
                <w:szCs w:val="18"/>
              </w:rPr>
              <w:t>производителите на безалкохолни напитки в България</w:t>
            </w:r>
          </w:p>
          <w:p w14:paraId="0CD7A1BA" w14:textId="77777777" w:rsidR="009B153D" w:rsidRPr="009D47F2" w:rsidRDefault="009B153D" w:rsidP="006B03F6">
            <w:pPr>
              <w:spacing w:before="80" w:after="40"/>
              <w:rPr>
                <w:rFonts w:ascii="Verdana" w:hAnsi="Verdana"/>
                <w:sz w:val="18"/>
                <w:szCs w:val="18"/>
              </w:rPr>
            </w:pPr>
            <w:r w:rsidRPr="009D47F2">
              <w:rPr>
                <w:rFonts w:ascii="Verdana" w:hAnsi="Verdana"/>
                <w:sz w:val="18"/>
                <w:szCs w:val="18"/>
              </w:rPr>
              <w:t>(Писмо № 15-469 от 30.11.2020 г.)</w:t>
            </w:r>
          </w:p>
        </w:tc>
        <w:tc>
          <w:tcPr>
            <w:tcW w:w="5815" w:type="dxa"/>
            <w:tcBorders>
              <w:top w:val="single" w:sz="12" w:space="0" w:color="2E74B5"/>
              <w:bottom w:val="single" w:sz="12" w:space="0" w:color="2E74B5"/>
            </w:tcBorders>
            <w:shd w:val="clear" w:color="auto" w:fill="auto"/>
          </w:tcPr>
          <w:p w14:paraId="25403A1D" w14:textId="77777777" w:rsidR="009B153D" w:rsidRDefault="009B153D" w:rsidP="006B03F6">
            <w:pPr>
              <w:spacing w:before="80" w:after="40"/>
              <w:jc w:val="both"/>
              <w:rPr>
                <w:rFonts w:ascii="Verdana" w:hAnsi="Verdana"/>
                <w:sz w:val="18"/>
                <w:szCs w:val="18"/>
                <w:lang w:val="en-US"/>
              </w:rPr>
            </w:pPr>
            <w:r w:rsidRPr="009D47F2">
              <w:rPr>
                <w:rFonts w:ascii="Verdana" w:hAnsi="Verdana"/>
                <w:sz w:val="18"/>
                <w:szCs w:val="18"/>
              </w:rPr>
              <w:t>Във връзка с публикувания за обществено обсъждане проект на НАРЕДБА за специфичните изисквания за извършване на хранително банкиране и контрола върху тази дейност, предоставяме принципното си становище и конкретни предложения, както следва:</w:t>
            </w:r>
          </w:p>
          <w:p w14:paraId="629917AC" w14:textId="77777777" w:rsidR="00AA7A14" w:rsidRDefault="00AA7A14" w:rsidP="00AA7A14">
            <w:pPr>
              <w:spacing w:before="80" w:after="40"/>
              <w:jc w:val="both"/>
              <w:rPr>
                <w:rFonts w:ascii="Verdana" w:hAnsi="Verdana"/>
                <w:sz w:val="18"/>
                <w:szCs w:val="18"/>
                <w:lang w:val="en-US"/>
              </w:rPr>
            </w:pPr>
            <w:r w:rsidRPr="009D47F2">
              <w:rPr>
                <w:rFonts w:ascii="Verdana" w:hAnsi="Verdana"/>
                <w:sz w:val="18"/>
                <w:szCs w:val="18"/>
              </w:rPr>
              <w:t xml:space="preserve">Асоциацията на производителите на безалкохолни напитки в България и нейните членове, доказани социално отговорни компании, подкрепяме принципно създадената с проекта на Наредба възможност както за установяване на коректно разбиране за пригодността за </w:t>
            </w:r>
            <w:r w:rsidRPr="009D47F2">
              <w:rPr>
                <w:rFonts w:ascii="Verdana" w:hAnsi="Verdana"/>
                <w:sz w:val="18"/>
                <w:szCs w:val="18"/>
              </w:rPr>
              <w:lastRenderedPageBreak/>
              <w:t>консумация на храни, вкл. и напитки, с изтекъл срок на минимална трайност (обозначен с „най</w:t>
            </w:r>
            <w:r w:rsidRPr="009D47F2">
              <w:rPr>
                <w:rFonts w:ascii="Cambria Math" w:hAnsi="Cambria Math" w:cs="Cambria Math"/>
                <w:sz w:val="18"/>
                <w:szCs w:val="18"/>
              </w:rPr>
              <w:t>‐</w:t>
            </w:r>
            <w:r w:rsidRPr="009D47F2">
              <w:rPr>
                <w:rFonts w:ascii="Verdana" w:hAnsi="Verdana" w:cs="Verdana"/>
                <w:sz w:val="18"/>
                <w:szCs w:val="18"/>
              </w:rPr>
              <w:t>добър</w:t>
            </w:r>
            <w:r w:rsidRPr="009D47F2">
              <w:rPr>
                <w:rFonts w:ascii="Verdana" w:hAnsi="Verdana"/>
                <w:sz w:val="18"/>
                <w:szCs w:val="18"/>
              </w:rPr>
              <w:t xml:space="preserve"> </w:t>
            </w:r>
            <w:r w:rsidRPr="009D47F2">
              <w:rPr>
                <w:rFonts w:ascii="Verdana" w:hAnsi="Verdana" w:cs="Verdana"/>
                <w:sz w:val="18"/>
                <w:szCs w:val="18"/>
              </w:rPr>
              <w:t>до“</w:t>
            </w:r>
            <w:r w:rsidRPr="009D47F2">
              <w:rPr>
                <w:rFonts w:ascii="Verdana" w:hAnsi="Verdana"/>
                <w:sz w:val="18"/>
                <w:szCs w:val="18"/>
              </w:rPr>
              <w:t xml:space="preserve">, </w:t>
            </w:r>
            <w:r w:rsidRPr="009D47F2">
              <w:rPr>
                <w:rFonts w:ascii="Verdana" w:hAnsi="Verdana" w:cs="Verdana"/>
                <w:sz w:val="18"/>
                <w:szCs w:val="18"/>
              </w:rPr>
              <w:t>така</w:t>
            </w:r>
            <w:r w:rsidRPr="009D47F2">
              <w:rPr>
                <w:rFonts w:ascii="Verdana" w:hAnsi="Verdana"/>
                <w:sz w:val="18"/>
                <w:szCs w:val="18"/>
              </w:rPr>
              <w:t xml:space="preserve"> </w:t>
            </w:r>
            <w:r w:rsidRPr="009D47F2">
              <w:rPr>
                <w:rFonts w:ascii="Verdana" w:hAnsi="Verdana" w:cs="Verdana"/>
                <w:sz w:val="18"/>
                <w:szCs w:val="18"/>
              </w:rPr>
              <w:t>и</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реализирането</w:t>
            </w:r>
            <w:r w:rsidRPr="009D47F2">
              <w:rPr>
                <w:rFonts w:ascii="Verdana" w:hAnsi="Verdana"/>
                <w:sz w:val="18"/>
                <w:szCs w:val="18"/>
              </w:rPr>
              <w:t xml:space="preserve"> </w:t>
            </w:r>
            <w:r w:rsidRPr="009D47F2">
              <w:rPr>
                <w:rFonts w:ascii="Verdana" w:hAnsi="Verdana" w:cs="Verdana"/>
                <w:sz w:val="18"/>
                <w:szCs w:val="18"/>
              </w:rPr>
              <w:t>им</w:t>
            </w:r>
            <w:r w:rsidRPr="009D47F2">
              <w:rPr>
                <w:rFonts w:ascii="Verdana" w:hAnsi="Verdana"/>
                <w:sz w:val="18"/>
                <w:szCs w:val="18"/>
              </w:rPr>
              <w:t xml:space="preserve"> </w:t>
            </w:r>
            <w:r w:rsidRPr="009D47F2">
              <w:rPr>
                <w:rFonts w:ascii="Verdana" w:hAnsi="Verdana" w:cs="Verdana"/>
                <w:sz w:val="18"/>
                <w:szCs w:val="18"/>
              </w:rPr>
              <w:t>чрез</w:t>
            </w:r>
            <w:r w:rsidRPr="009D47F2">
              <w:rPr>
                <w:rFonts w:ascii="Verdana" w:hAnsi="Verdana"/>
                <w:sz w:val="18"/>
                <w:szCs w:val="18"/>
              </w:rPr>
              <w:t xml:space="preserve"> </w:t>
            </w:r>
            <w:r w:rsidRPr="009D47F2">
              <w:rPr>
                <w:rFonts w:ascii="Verdana" w:hAnsi="Verdana" w:cs="Verdana"/>
                <w:sz w:val="18"/>
                <w:szCs w:val="18"/>
              </w:rPr>
              <w:t>хранително</w:t>
            </w:r>
            <w:r w:rsidRPr="009D47F2">
              <w:rPr>
                <w:rFonts w:ascii="Verdana" w:hAnsi="Verdana"/>
                <w:sz w:val="18"/>
                <w:szCs w:val="18"/>
              </w:rPr>
              <w:t xml:space="preserve"> </w:t>
            </w:r>
            <w:r w:rsidRPr="009D47F2">
              <w:rPr>
                <w:rFonts w:ascii="Verdana" w:hAnsi="Verdana" w:cs="Verdana"/>
                <w:sz w:val="18"/>
                <w:szCs w:val="18"/>
              </w:rPr>
              <w:t>банкиране</w:t>
            </w:r>
            <w:r w:rsidRPr="009D47F2">
              <w:rPr>
                <w:rFonts w:ascii="Verdana" w:hAnsi="Verdana"/>
                <w:sz w:val="18"/>
                <w:szCs w:val="18"/>
              </w:rPr>
              <w:t xml:space="preserve">. </w:t>
            </w:r>
            <w:r w:rsidRPr="009D47F2">
              <w:rPr>
                <w:rFonts w:ascii="Verdana" w:hAnsi="Verdana" w:cs="Verdana"/>
                <w:sz w:val="18"/>
                <w:szCs w:val="18"/>
              </w:rPr>
              <w:t>П</w:t>
            </w:r>
            <w:r w:rsidRPr="009D47F2">
              <w:rPr>
                <w:rFonts w:ascii="Verdana" w:hAnsi="Verdana"/>
                <w:sz w:val="18"/>
                <w:szCs w:val="18"/>
              </w:rPr>
              <w:t>одкрепящи намаляването на загубата и разхищението на храни, оценяваме системно демонстрираната воля и действия на Министерството в подкрепа провеждането на ефективни политики, вкл. чрез нормативни регулации, адресиращи едновременно както социалните (чрез създаване на максимални предпоставки за преразпределение на излишъка към хора в нужда), но също и екологичните измерения на проблема. Едновременно с това признаваме и необходимостта от поддържане на високи гаранции за защита здравето на хората, чрез осигуряване на безопасността на предоставяните безвъзмездно храни на изпадналите в затруднение представители на обществото. В тази връзка и продиктувано от стремежа ни за премахване на необосновани тежести, които биха възпрепятствали постигането на общо споделяната цел – възможно най</w:t>
            </w:r>
            <w:r w:rsidRPr="009D47F2">
              <w:rPr>
                <w:rFonts w:ascii="Cambria Math" w:hAnsi="Cambria Math" w:cs="Cambria Math"/>
                <w:sz w:val="18"/>
                <w:szCs w:val="18"/>
              </w:rPr>
              <w:t>‐</w:t>
            </w:r>
            <w:r w:rsidRPr="009D47F2">
              <w:rPr>
                <w:rFonts w:ascii="Verdana" w:hAnsi="Verdana" w:cs="Verdana"/>
                <w:sz w:val="18"/>
                <w:szCs w:val="18"/>
              </w:rPr>
              <w:t>голямо</w:t>
            </w:r>
            <w:r w:rsidRPr="009D47F2">
              <w:rPr>
                <w:rFonts w:ascii="Verdana" w:hAnsi="Verdana"/>
                <w:sz w:val="18"/>
                <w:szCs w:val="18"/>
              </w:rPr>
              <w:t xml:space="preserve"> </w:t>
            </w:r>
            <w:r w:rsidRPr="009D47F2">
              <w:rPr>
                <w:rFonts w:ascii="Verdana" w:hAnsi="Verdana" w:cs="Verdana"/>
                <w:sz w:val="18"/>
                <w:szCs w:val="18"/>
              </w:rPr>
              <w:t>количество</w:t>
            </w:r>
            <w:r w:rsidRPr="009D47F2">
              <w:rPr>
                <w:rFonts w:ascii="Verdana" w:hAnsi="Verdana"/>
                <w:sz w:val="18"/>
                <w:szCs w:val="18"/>
              </w:rPr>
              <w:t xml:space="preserve"> </w:t>
            </w:r>
            <w:r w:rsidRPr="009D47F2">
              <w:rPr>
                <w:rFonts w:ascii="Verdana" w:hAnsi="Verdana" w:cs="Verdana"/>
                <w:sz w:val="18"/>
                <w:szCs w:val="18"/>
              </w:rPr>
              <w:t>от</w:t>
            </w:r>
            <w:r w:rsidRPr="009D47F2">
              <w:rPr>
                <w:rFonts w:ascii="Verdana" w:hAnsi="Verdana"/>
                <w:sz w:val="18"/>
                <w:szCs w:val="18"/>
              </w:rPr>
              <w:t xml:space="preserve"> </w:t>
            </w:r>
            <w:r w:rsidRPr="009D47F2">
              <w:rPr>
                <w:rFonts w:ascii="Verdana" w:hAnsi="Verdana" w:cs="Verdana"/>
                <w:sz w:val="18"/>
                <w:szCs w:val="18"/>
              </w:rPr>
              <w:t>годните</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консумация</w:t>
            </w:r>
            <w:r w:rsidRPr="009D47F2">
              <w:rPr>
                <w:rFonts w:ascii="Verdana" w:hAnsi="Verdana"/>
                <w:sz w:val="18"/>
                <w:szCs w:val="18"/>
              </w:rPr>
              <w:t xml:space="preserve"> </w:t>
            </w:r>
            <w:r w:rsidRPr="009D47F2">
              <w:rPr>
                <w:rFonts w:ascii="Verdana" w:hAnsi="Verdana" w:cs="Verdana"/>
                <w:sz w:val="18"/>
                <w:szCs w:val="18"/>
              </w:rPr>
              <w:t>храни</w:t>
            </w:r>
            <w:r w:rsidRPr="009D47F2">
              <w:rPr>
                <w:rFonts w:ascii="Verdana" w:hAnsi="Verdana"/>
                <w:sz w:val="18"/>
                <w:szCs w:val="18"/>
              </w:rPr>
              <w:t xml:space="preserve">, </w:t>
            </w:r>
            <w:r w:rsidRPr="009D47F2">
              <w:rPr>
                <w:rFonts w:ascii="Verdana" w:hAnsi="Verdana" w:cs="Verdana"/>
                <w:sz w:val="18"/>
                <w:szCs w:val="18"/>
              </w:rPr>
              <w:t>представляващи</w:t>
            </w:r>
            <w:r w:rsidRPr="009D47F2">
              <w:rPr>
                <w:rFonts w:ascii="Verdana" w:hAnsi="Verdana"/>
                <w:sz w:val="18"/>
                <w:szCs w:val="18"/>
              </w:rPr>
              <w:t xml:space="preserve"> </w:t>
            </w:r>
            <w:r w:rsidRPr="009D47F2">
              <w:rPr>
                <w:rFonts w:ascii="Verdana" w:hAnsi="Verdana" w:cs="Verdana"/>
                <w:sz w:val="18"/>
                <w:szCs w:val="18"/>
              </w:rPr>
              <w:t>излишък</w:t>
            </w:r>
            <w:r w:rsidRPr="009D47F2">
              <w:rPr>
                <w:rFonts w:ascii="Verdana" w:hAnsi="Verdana"/>
                <w:sz w:val="18"/>
                <w:szCs w:val="18"/>
              </w:rPr>
              <w:t xml:space="preserve">, </w:t>
            </w:r>
            <w:r w:rsidRPr="009D47F2">
              <w:rPr>
                <w:rFonts w:ascii="Verdana" w:hAnsi="Verdana" w:cs="Verdana"/>
                <w:sz w:val="18"/>
                <w:szCs w:val="18"/>
              </w:rPr>
              <w:t>да</w:t>
            </w:r>
            <w:r w:rsidRPr="009D47F2">
              <w:rPr>
                <w:rFonts w:ascii="Verdana" w:hAnsi="Verdana"/>
                <w:sz w:val="18"/>
                <w:szCs w:val="18"/>
              </w:rPr>
              <w:t xml:space="preserve"> </w:t>
            </w:r>
            <w:r w:rsidRPr="009D47F2">
              <w:rPr>
                <w:rFonts w:ascii="Verdana" w:hAnsi="Verdana" w:cs="Verdana"/>
                <w:sz w:val="18"/>
                <w:szCs w:val="18"/>
              </w:rPr>
              <w:t>могат</w:t>
            </w:r>
            <w:r w:rsidRPr="009D47F2">
              <w:rPr>
                <w:rFonts w:ascii="Verdana" w:hAnsi="Verdana"/>
                <w:sz w:val="18"/>
                <w:szCs w:val="18"/>
              </w:rPr>
              <w:t xml:space="preserve"> </w:t>
            </w:r>
            <w:r w:rsidRPr="009D47F2">
              <w:rPr>
                <w:rFonts w:ascii="Verdana" w:hAnsi="Verdana" w:cs="Verdana"/>
                <w:sz w:val="18"/>
                <w:szCs w:val="18"/>
              </w:rPr>
              <w:t>да</w:t>
            </w:r>
            <w:r w:rsidRPr="009D47F2">
              <w:rPr>
                <w:rFonts w:ascii="Verdana" w:hAnsi="Verdana"/>
                <w:sz w:val="18"/>
                <w:szCs w:val="18"/>
              </w:rPr>
              <w:t xml:space="preserve"> </w:t>
            </w:r>
            <w:r w:rsidRPr="009D47F2">
              <w:rPr>
                <w:rFonts w:ascii="Verdana" w:hAnsi="Verdana" w:cs="Verdana"/>
                <w:sz w:val="18"/>
                <w:szCs w:val="18"/>
              </w:rPr>
              <w:t>се</w:t>
            </w:r>
            <w:r w:rsidRPr="009D47F2">
              <w:rPr>
                <w:rFonts w:ascii="Verdana" w:hAnsi="Verdana"/>
                <w:sz w:val="18"/>
                <w:szCs w:val="18"/>
              </w:rPr>
              <w:t xml:space="preserve"> </w:t>
            </w:r>
            <w:r w:rsidRPr="009D47F2">
              <w:rPr>
                <w:rFonts w:ascii="Verdana" w:hAnsi="Verdana" w:cs="Verdana"/>
                <w:sz w:val="18"/>
                <w:szCs w:val="18"/>
              </w:rPr>
              <w:t>използват</w:t>
            </w:r>
            <w:r w:rsidRPr="009D47F2">
              <w:rPr>
                <w:rFonts w:ascii="Verdana" w:hAnsi="Verdana"/>
                <w:sz w:val="18"/>
                <w:szCs w:val="18"/>
              </w:rPr>
              <w:t xml:space="preserve"> </w:t>
            </w:r>
            <w:r w:rsidRPr="009D47F2">
              <w:rPr>
                <w:rFonts w:ascii="Verdana" w:hAnsi="Verdana" w:cs="Verdana"/>
                <w:sz w:val="18"/>
                <w:szCs w:val="18"/>
              </w:rPr>
              <w:t>по</w:t>
            </w:r>
            <w:r w:rsidRPr="009D47F2">
              <w:rPr>
                <w:rFonts w:ascii="Verdana" w:hAnsi="Verdana"/>
                <w:sz w:val="18"/>
                <w:szCs w:val="18"/>
              </w:rPr>
              <w:t xml:space="preserve"> </w:t>
            </w:r>
            <w:r w:rsidRPr="009D47F2">
              <w:rPr>
                <w:rFonts w:ascii="Verdana" w:hAnsi="Verdana" w:cs="Verdana"/>
                <w:sz w:val="18"/>
                <w:szCs w:val="18"/>
              </w:rPr>
              <w:t>предназначение</w:t>
            </w:r>
            <w:r w:rsidRPr="009D47F2">
              <w:rPr>
                <w:rFonts w:ascii="Verdana" w:hAnsi="Verdana"/>
                <w:sz w:val="18"/>
                <w:szCs w:val="18"/>
              </w:rPr>
              <w:t xml:space="preserve">, </w:t>
            </w:r>
            <w:r w:rsidRPr="009D47F2">
              <w:rPr>
                <w:rFonts w:ascii="Verdana" w:hAnsi="Verdana" w:cs="Verdana"/>
                <w:sz w:val="18"/>
                <w:szCs w:val="18"/>
              </w:rPr>
              <w:t>считаме</w:t>
            </w:r>
            <w:r w:rsidRPr="009D47F2">
              <w:rPr>
                <w:rFonts w:ascii="Verdana" w:hAnsi="Verdana"/>
                <w:sz w:val="18"/>
                <w:szCs w:val="18"/>
              </w:rPr>
              <w:t xml:space="preserve">, </w:t>
            </w:r>
            <w:r w:rsidRPr="009D47F2">
              <w:rPr>
                <w:rFonts w:ascii="Verdana" w:hAnsi="Verdana" w:cs="Verdana"/>
                <w:sz w:val="18"/>
                <w:szCs w:val="18"/>
              </w:rPr>
              <w:t>че</w:t>
            </w:r>
            <w:r w:rsidRPr="009D47F2">
              <w:rPr>
                <w:rFonts w:ascii="Verdana" w:hAnsi="Verdana"/>
                <w:sz w:val="18"/>
                <w:szCs w:val="18"/>
              </w:rPr>
              <w:t xml:space="preserve"> </w:t>
            </w:r>
            <w:r w:rsidRPr="009D47F2">
              <w:rPr>
                <w:rFonts w:ascii="Verdana" w:hAnsi="Verdana" w:cs="Verdana"/>
                <w:sz w:val="18"/>
                <w:szCs w:val="18"/>
              </w:rPr>
              <w:t>е</w:t>
            </w:r>
            <w:r w:rsidRPr="009D47F2">
              <w:rPr>
                <w:rFonts w:ascii="Verdana" w:hAnsi="Verdana"/>
                <w:sz w:val="18"/>
                <w:szCs w:val="18"/>
              </w:rPr>
              <w:t xml:space="preserve"> </w:t>
            </w:r>
            <w:r w:rsidRPr="009D47F2">
              <w:rPr>
                <w:rFonts w:ascii="Verdana" w:hAnsi="Verdana" w:cs="Verdana"/>
                <w:sz w:val="18"/>
                <w:szCs w:val="18"/>
              </w:rPr>
              <w:t>необходимо</w:t>
            </w:r>
            <w:r w:rsidRPr="009D47F2">
              <w:rPr>
                <w:rFonts w:ascii="Verdana" w:hAnsi="Verdana"/>
                <w:sz w:val="18"/>
                <w:szCs w:val="18"/>
              </w:rPr>
              <w:t xml:space="preserve"> </w:t>
            </w:r>
            <w:r w:rsidRPr="009D47F2">
              <w:rPr>
                <w:rFonts w:ascii="Verdana" w:hAnsi="Verdana" w:cs="Verdana"/>
                <w:sz w:val="18"/>
                <w:szCs w:val="18"/>
              </w:rPr>
              <w:t>да</w:t>
            </w:r>
            <w:r w:rsidRPr="009D47F2">
              <w:rPr>
                <w:rFonts w:ascii="Verdana" w:hAnsi="Verdana"/>
                <w:sz w:val="18"/>
                <w:szCs w:val="18"/>
              </w:rPr>
              <w:t xml:space="preserve"> </w:t>
            </w:r>
            <w:r w:rsidRPr="009D47F2">
              <w:rPr>
                <w:rFonts w:ascii="Verdana" w:hAnsi="Verdana" w:cs="Verdana"/>
                <w:sz w:val="18"/>
                <w:szCs w:val="18"/>
              </w:rPr>
              <w:t>бъдат</w:t>
            </w:r>
            <w:r w:rsidRPr="009D47F2">
              <w:rPr>
                <w:rFonts w:ascii="Verdana" w:hAnsi="Verdana"/>
                <w:sz w:val="18"/>
                <w:szCs w:val="18"/>
              </w:rPr>
              <w:t xml:space="preserve"> </w:t>
            </w:r>
            <w:r w:rsidRPr="009D47F2">
              <w:rPr>
                <w:rFonts w:ascii="Verdana" w:hAnsi="Verdana" w:cs="Verdana"/>
                <w:sz w:val="18"/>
                <w:szCs w:val="18"/>
              </w:rPr>
              <w:t>преразгледани</w:t>
            </w:r>
            <w:r w:rsidRPr="009D47F2">
              <w:rPr>
                <w:rFonts w:ascii="Verdana" w:hAnsi="Verdana"/>
                <w:sz w:val="18"/>
                <w:szCs w:val="18"/>
              </w:rPr>
              <w:t xml:space="preserve"> </w:t>
            </w:r>
            <w:r w:rsidRPr="009D47F2">
              <w:rPr>
                <w:rFonts w:ascii="Verdana" w:hAnsi="Verdana" w:cs="Verdana"/>
                <w:sz w:val="18"/>
                <w:szCs w:val="18"/>
              </w:rPr>
              <w:t>част</w:t>
            </w:r>
            <w:r w:rsidRPr="009D47F2">
              <w:rPr>
                <w:rFonts w:ascii="Verdana" w:hAnsi="Verdana"/>
                <w:sz w:val="18"/>
                <w:szCs w:val="18"/>
              </w:rPr>
              <w:t xml:space="preserve"> </w:t>
            </w:r>
            <w:r w:rsidRPr="009D47F2">
              <w:rPr>
                <w:rFonts w:ascii="Verdana" w:hAnsi="Verdana" w:cs="Verdana"/>
                <w:sz w:val="18"/>
                <w:szCs w:val="18"/>
              </w:rPr>
              <w:t>от</w:t>
            </w:r>
            <w:r w:rsidRPr="009D47F2">
              <w:rPr>
                <w:rFonts w:ascii="Verdana" w:hAnsi="Verdana"/>
                <w:sz w:val="18"/>
                <w:szCs w:val="18"/>
              </w:rPr>
              <w:t xml:space="preserve"> </w:t>
            </w:r>
            <w:r w:rsidRPr="009D47F2">
              <w:rPr>
                <w:rFonts w:ascii="Verdana" w:hAnsi="Verdana" w:cs="Verdana"/>
                <w:sz w:val="18"/>
                <w:szCs w:val="18"/>
              </w:rPr>
              <w:t>разпоредбите</w:t>
            </w:r>
            <w:r w:rsidRPr="009D47F2">
              <w:rPr>
                <w:rFonts w:ascii="Verdana" w:hAnsi="Verdana"/>
                <w:sz w:val="18"/>
                <w:szCs w:val="18"/>
              </w:rPr>
              <w:t xml:space="preserve">, </w:t>
            </w:r>
            <w:r w:rsidRPr="009D47F2">
              <w:rPr>
                <w:rFonts w:ascii="Verdana" w:hAnsi="Verdana" w:cs="Verdana"/>
                <w:sz w:val="18"/>
                <w:szCs w:val="18"/>
              </w:rPr>
              <w:t>заложени</w:t>
            </w:r>
            <w:r w:rsidRPr="009D47F2">
              <w:rPr>
                <w:rFonts w:ascii="Verdana" w:hAnsi="Verdana"/>
                <w:sz w:val="18"/>
                <w:szCs w:val="18"/>
              </w:rPr>
              <w:t xml:space="preserve"> </w:t>
            </w:r>
            <w:r w:rsidRPr="009D47F2">
              <w:rPr>
                <w:rFonts w:ascii="Verdana" w:hAnsi="Verdana" w:cs="Verdana"/>
                <w:sz w:val="18"/>
                <w:szCs w:val="18"/>
              </w:rPr>
              <w:t>в</w:t>
            </w:r>
            <w:r w:rsidRPr="009D47F2">
              <w:rPr>
                <w:rFonts w:ascii="Verdana" w:hAnsi="Verdana"/>
                <w:sz w:val="18"/>
                <w:szCs w:val="18"/>
              </w:rPr>
              <w:t xml:space="preserve"> </w:t>
            </w:r>
            <w:r w:rsidRPr="009D47F2">
              <w:rPr>
                <w:rFonts w:ascii="Verdana" w:hAnsi="Verdana" w:cs="Verdana"/>
                <w:sz w:val="18"/>
                <w:szCs w:val="18"/>
              </w:rPr>
              <w:t>проекта</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Наредбата</w:t>
            </w:r>
            <w:r w:rsidRPr="009D47F2">
              <w:rPr>
                <w:rFonts w:ascii="Verdana" w:hAnsi="Verdana"/>
                <w:sz w:val="18"/>
                <w:szCs w:val="18"/>
              </w:rPr>
              <w:t>.</w:t>
            </w:r>
          </w:p>
          <w:p w14:paraId="262E0FC8" w14:textId="77777777" w:rsidR="00AA7A14" w:rsidRPr="009D47F2" w:rsidRDefault="00AA7A14" w:rsidP="00AA7A14">
            <w:pPr>
              <w:spacing w:before="80" w:after="40"/>
              <w:jc w:val="both"/>
              <w:rPr>
                <w:rFonts w:ascii="Verdana" w:hAnsi="Verdana"/>
                <w:sz w:val="18"/>
                <w:szCs w:val="18"/>
              </w:rPr>
            </w:pPr>
            <w:r w:rsidRPr="009D47F2">
              <w:rPr>
                <w:rFonts w:ascii="Verdana" w:hAnsi="Verdana"/>
                <w:sz w:val="18"/>
                <w:szCs w:val="18"/>
              </w:rPr>
              <w:t>В конкретика, по отношение преразпределянето чрез хранително банкиране на храни с изтекъл минимален срок на трайност, Наредбата предвижда няколко елемента, които класифицираме като потенциална „бариера“ (изпитвания за сметка на дарителите, проверки на място и издаване на становища от компетентните органи, както и административни изисквания към операторите осъществяващи хранително банкиране) и които вярваме, че освен друго, ангажират ресурси, използването на които не е обосновано във всички случаи.</w:t>
            </w:r>
          </w:p>
          <w:p w14:paraId="4764245A" w14:textId="50202D84" w:rsidR="00AA7A14" w:rsidRPr="00AA7A14" w:rsidRDefault="00AA7A14" w:rsidP="00AA7A14">
            <w:pPr>
              <w:spacing w:before="80" w:after="40"/>
              <w:jc w:val="both"/>
              <w:rPr>
                <w:rFonts w:ascii="Verdana" w:hAnsi="Verdana"/>
                <w:sz w:val="18"/>
                <w:szCs w:val="18"/>
                <w:lang w:val="en-US"/>
              </w:rPr>
            </w:pPr>
            <w:r w:rsidRPr="009D47F2">
              <w:rPr>
                <w:rFonts w:ascii="Verdana" w:hAnsi="Verdana"/>
                <w:sz w:val="18"/>
                <w:szCs w:val="18"/>
              </w:rPr>
              <w:t>В тази връзка предлагаме:</w:t>
            </w:r>
          </w:p>
        </w:tc>
        <w:tc>
          <w:tcPr>
            <w:tcW w:w="1842" w:type="dxa"/>
            <w:tcBorders>
              <w:top w:val="single" w:sz="12" w:space="0" w:color="2E74B5"/>
              <w:bottom w:val="single" w:sz="12" w:space="0" w:color="2E74B5"/>
            </w:tcBorders>
            <w:shd w:val="clear" w:color="auto" w:fill="auto"/>
          </w:tcPr>
          <w:p w14:paraId="67D36AFB" w14:textId="77777777" w:rsidR="009B153D" w:rsidRPr="009D47F2" w:rsidRDefault="009B153D" w:rsidP="006B03F6">
            <w:pPr>
              <w:spacing w:before="80" w:after="40"/>
              <w:rPr>
                <w:rFonts w:ascii="Verdana" w:hAnsi="Verdana"/>
                <w:sz w:val="18"/>
                <w:szCs w:val="18"/>
              </w:rPr>
            </w:pPr>
          </w:p>
        </w:tc>
        <w:tc>
          <w:tcPr>
            <w:tcW w:w="4961" w:type="dxa"/>
            <w:tcBorders>
              <w:top w:val="single" w:sz="12" w:space="0" w:color="2E74B5"/>
              <w:bottom w:val="single" w:sz="12" w:space="0" w:color="2E74B5"/>
            </w:tcBorders>
            <w:shd w:val="clear" w:color="auto" w:fill="auto"/>
          </w:tcPr>
          <w:p w14:paraId="34BC1AAB" w14:textId="77777777" w:rsidR="009B153D" w:rsidRPr="009D47F2" w:rsidRDefault="009B153D" w:rsidP="006B03F6">
            <w:pPr>
              <w:spacing w:before="80" w:after="40"/>
              <w:jc w:val="both"/>
              <w:rPr>
                <w:rFonts w:ascii="Verdana" w:hAnsi="Verdana"/>
                <w:sz w:val="18"/>
                <w:szCs w:val="18"/>
              </w:rPr>
            </w:pPr>
          </w:p>
        </w:tc>
      </w:tr>
      <w:tr w:rsidR="009B153D" w:rsidRPr="001F6CB3" w14:paraId="062D448C" w14:textId="77777777" w:rsidTr="001C47FC">
        <w:trPr>
          <w:trHeight w:val="596"/>
          <w:jc w:val="center"/>
        </w:trPr>
        <w:tc>
          <w:tcPr>
            <w:tcW w:w="622" w:type="dxa"/>
            <w:vMerge/>
            <w:shd w:val="clear" w:color="auto" w:fill="auto"/>
          </w:tcPr>
          <w:p w14:paraId="72DD653B" w14:textId="77777777" w:rsidR="009B153D" w:rsidRPr="009D47F2" w:rsidRDefault="009B153D" w:rsidP="006B03F6">
            <w:pPr>
              <w:pStyle w:val="ListParagraph"/>
              <w:numPr>
                <w:ilvl w:val="0"/>
                <w:numId w:val="10"/>
              </w:numPr>
              <w:tabs>
                <w:tab w:val="left" w:pos="192"/>
              </w:tabs>
              <w:spacing w:before="80" w:after="40"/>
              <w:ind w:left="357" w:hanging="357"/>
              <w:jc w:val="center"/>
              <w:rPr>
                <w:rFonts w:ascii="Verdana" w:hAnsi="Verdana"/>
                <w:b/>
                <w:sz w:val="18"/>
                <w:szCs w:val="18"/>
              </w:rPr>
            </w:pPr>
          </w:p>
        </w:tc>
        <w:tc>
          <w:tcPr>
            <w:tcW w:w="2410" w:type="dxa"/>
            <w:vMerge/>
            <w:shd w:val="clear" w:color="auto" w:fill="auto"/>
          </w:tcPr>
          <w:p w14:paraId="32816CB0" w14:textId="77777777" w:rsidR="009B153D" w:rsidRPr="009D47F2" w:rsidRDefault="009B153D"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2A337747"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 xml:space="preserve">1. Отмяна на разпоредбата по чл. 12, ал.1, т.1, с която се въвежда задължително провеждане на лабораторни изпитвания по органолептични и микробиологични </w:t>
            </w:r>
            <w:r w:rsidRPr="009D47F2">
              <w:rPr>
                <w:rFonts w:ascii="Verdana" w:hAnsi="Verdana"/>
                <w:sz w:val="18"/>
                <w:szCs w:val="18"/>
              </w:rPr>
              <w:lastRenderedPageBreak/>
              <w:t>показатели на храните като условие за прием на храни с изтекъл срок на минимална трайност от оператора на хранителната банка. Пряко приложимото европейско законодателство, Законът за храните и предложените разпоредби на Наредбата (вкл. чл.6 и чл. 8) определят недвусмислено отговорността на операторите за осигуряване предлагането на безопасни и годни за консумация храни. В тази връзка, с оглед на всеки конкретен случай, операторите прилагат установени, съобразно предвидените и прилагани от тях процедури и мерки за оценка на риска и гарантиране на съответствие с изискванията за безопасност, които могат да включват и не се ограничават до визираните изпитвания. Залагането обаче на подобно изискване крие риск от затвърждаване на разбирането у потребителите за безусловна необходимост за провеждането на предвидените в Наредбата изпитвания във всеки случай на консумиране на храна, чийто срок на минимална трайност е изтекъл, вкл. извън случаите на преразпределение чрез хранително банкиране, което противоречи на принципите на хармонизираното право и заложения смисъл на срока на минимална трайност. В този смисъл реферираме и към т. 6.3.2 от Насоките на Комисията (COMMISSION NOTICE, C(2017) 6872 final of 16.10.2017 EU guidelines on food donation, които реферират към възможността за свободно предлагане на храни с изтекъл срок на минимална трайност, като освен тяхната безопасност реферират към необходимостта за не подвеждащо информиране на потребителите, което може да бъде постигнато и чрез отделно обозначаване за изтеклия срок на годност при тяхното предлагане.</w:t>
            </w:r>
          </w:p>
        </w:tc>
        <w:tc>
          <w:tcPr>
            <w:tcW w:w="1842" w:type="dxa"/>
            <w:tcBorders>
              <w:top w:val="single" w:sz="12" w:space="0" w:color="2E74B5"/>
              <w:bottom w:val="single" w:sz="12" w:space="0" w:color="2E74B5"/>
            </w:tcBorders>
            <w:shd w:val="clear" w:color="auto" w:fill="auto"/>
          </w:tcPr>
          <w:p w14:paraId="1373A262" w14:textId="77777777" w:rsidR="009B153D" w:rsidRPr="009D47F2" w:rsidRDefault="00C868C8" w:rsidP="006B03F6">
            <w:pPr>
              <w:spacing w:before="80" w:after="40"/>
              <w:rPr>
                <w:rFonts w:ascii="Verdana" w:hAnsi="Verdana"/>
                <w:sz w:val="18"/>
                <w:szCs w:val="18"/>
              </w:rPr>
            </w:pPr>
            <w:r>
              <w:rPr>
                <w:rFonts w:ascii="Verdana" w:hAnsi="Verdana"/>
                <w:sz w:val="18"/>
                <w:szCs w:val="18"/>
              </w:rPr>
              <w:lastRenderedPageBreak/>
              <w:t>Не се приема</w:t>
            </w:r>
          </w:p>
        </w:tc>
        <w:tc>
          <w:tcPr>
            <w:tcW w:w="4961" w:type="dxa"/>
            <w:tcBorders>
              <w:top w:val="single" w:sz="12" w:space="0" w:color="2E74B5"/>
              <w:bottom w:val="single" w:sz="12" w:space="0" w:color="2E74B5"/>
            </w:tcBorders>
            <w:shd w:val="clear" w:color="auto" w:fill="auto"/>
          </w:tcPr>
          <w:p w14:paraId="562936EF" w14:textId="77777777" w:rsidR="0034224A" w:rsidRPr="009D47F2" w:rsidRDefault="00870893" w:rsidP="006B03F6">
            <w:pPr>
              <w:spacing w:before="80" w:after="40"/>
              <w:jc w:val="both"/>
              <w:rPr>
                <w:rFonts w:ascii="Verdana" w:hAnsi="Verdana"/>
                <w:sz w:val="18"/>
                <w:szCs w:val="18"/>
              </w:rPr>
            </w:pPr>
            <w:r>
              <w:rPr>
                <w:rFonts w:ascii="Verdana" w:hAnsi="Verdana"/>
                <w:sz w:val="18"/>
                <w:szCs w:val="18"/>
              </w:rPr>
              <w:t xml:space="preserve">С протокола от лабораторно изпитване бизнес оператора гарантира </w:t>
            </w:r>
            <w:r w:rsidR="00290A24">
              <w:rPr>
                <w:rFonts w:ascii="Verdana" w:hAnsi="Verdana"/>
                <w:sz w:val="18"/>
                <w:szCs w:val="18"/>
              </w:rPr>
              <w:t xml:space="preserve">безопасността на дарените </w:t>
            </w:r>
            <w:r w:rsidR="00290A24">
              <w:rPr>
                <w:rFonts w:ascii="Verdana" w:hAnsi="Verdana"/>
                <w:sz w:val="18"/>
                <w:szCs w:val="18"/>
              </w:rPr>
              <w:lastRenderedPageBreak/>
              <w:t>храни по чл. 12, ал. 1</w:t>
            </w:r>
            <w:r>
              <w:rPr>
                <w:rFonts w:ascii="Verdana" w:hAnsi="Verdana"/>
                <w:sz w:val="18"/>
                <w:szCs w:val="18"/>
              </w:rPr>
              <w:t>.</w:t>
            </w:r>
          </w:p>
        </w:tc>
      </w:tr>
      <w:tr w:rsidR="009B153D" w:rsidRPr="001F6CB3" w14:paraId="63925A49" w14:textId="77777777" w:rsidTr="001C47FC">
        <w:trPr>
          <w:trHeight w:val="596"/>
          <w:jc w:val="center"/>
        </w:trPr>
        <w:tc>
          <w:tcPr>
            <w:tcW w:w="622" w:type="dxa"/>
            <w:vMerge/>
            <w:shd w:val="clear" w:color="auto" w:fill="auto"/>
          </w:tcPr>
          <w:p w14:paraId="11AB5A8C" w14:textId="77777777" w:rsidR="009B153D" w:rsidRPr="009D47F2" w:rsidRDefault="009B153D" w:rsidP="006B03F6">
            <w:pPr>
              <w:pStyle w:val="ListParagraph"/>
              <w:numPr>
                <w:ilvl w:val="0"/>
                <w:numId w:val="10"/>
              </w:numPr>
              <w:tabs>
                <w:tab w:val="left" w:pos="192"/>
              </w:tabs>
              <w:spacing w:before="80" w:after="40"/>
              <w:ind w:left="357" w:hanging="357"/>
              <w:jc w:val="center"/>
              <w:rPr>
                <w:rFonts w:ascii="Verdana" w:hAnsi="Verdana"/>
                <w:b/>
                <w:sz w:val="18"/>
                <w:szCs w:val="18"/>
              </w:rPr>
            </w:pPr>
          </w:p>
        </w:tc>
        <w:tc>
          <w:tcPr>
            <w:tcW w:w="2410" w:type="dxa"/>
            <w:vMerge/>
            <w:shd w:val="clear" w:color="auto" w:fill="auto"/>
          </w:tcPr>
          <w:p w14:paraId="75BD5C5C" w14:textId="77777777" w:rsidR="009B153D" w:rsidRPr="009D47F2" w:rsidRDefault="009B153D"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7C8D3BC4"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2. Замяна на заложения с разпоредбата по чл. 12, ал.1, т.4 5 дневен срок след изтичане на определения от производителя срок за минимална трайност като крайна възможност за прием на храни от оператора на хранителната банка, с по</w:t>
            </w:r>
            <w:r w:rsidRPr="009D47F2">
              <w:rPr>
                <w:rFonts w:ascii="Cambria Math" w:hAnsi="Cambria Math" w:cs="Cambria Math"/>
                <w:sz w:val="18"/>
                <w:szCs w:val="18"/>
              </w:rPr>
              <w:t>‐</w:t>
            </w:r>
            <w:r w:rsidRPr="009D47F2">
              <w:rPr>
                <w:rFonts w:ascii="Verdana" w:hAnsi="Verdana" w:cs="Verdana"/>
                <w:sz w:val="18"/>
                <w:szCs w:val="18"/>
              </w:rPr>
              <w:t>гъвкав</w:t>
            </w:r>
            <w:r w:rsidRPr="009D47F2">
              <w:rPr>
                <w:rFonts w:ascii="Verdana" w:hAnsi="Verdana"/>
                <w:sz w:val="18"/>
                <w:szCs w:val="18"/>
              </w:rPr>
              <w:t xml:space="preserve"> </w:t>
            </w:r>
            <w:r w:rsidRPr="009D47F2">
              <w:rPr>
                <w:rFonts w:ascii="Verdana" w:hAnsi="Verdana" w:cs="Verdana"/>
                <w:sz w:val="18"/>
                <w:szCs w:val="18"/>
              </w:rPr>
              <w:t>подход</w:t>
            </w:r>
            <w:r w:rsidRPr="009D47F2">
              <w:rPr>
                <w:rFonts w:ascii="Verdana" w:hAnsi="Verdana"/>
                <w:sz w:val="18"/>
                <w:szCs w:val="18"/>
              </w:rPr>
              <w:t xml:space="preserve">, </w:t>
            </w:r>
            <w:r w:rsidRPr="009D47F2">
              <w:rPr>
                <w:rFonts w:ascii="Verdana" w:hAnsi="Verdana" w:cs="Verdana"/>
                <w:sz w:val="18"/>
                <w:szCs w:val="18"/>
              </w:rPr>
              <w:t>позволяващ</w:t>
            </w:r>
            <w:r w:rsidRPr="009D47F2">
              <w:rPr>
                <w:rFonts w:ascii="Verdana" w:hAnsi="Verdana"/>
                <w:sz w:val="18"/>
                <w:szCs w:val="18"/>
              </w:rPr>
              <w:t xml:space="preserve"> </w:t>
            </w:r>
            <w:r w:rsidRPr="009D47F2">
              <w:rPr>
                <w:rFonts w:ascii="Verdana" w:hAnsi="Verdana" w:cs="Verdana"/>
                <w:sz w:val="18"/>
                <w:szCs w:val="18"/>
              </w:rPr>
              <w:t>реализирането</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годни</w:t>
            </w:r>
            <w:r w:rsidRPr="009D47F2">
              <w:rPr>
                <w:rFonts w:ascii="Verdana" w:hAnsi="Verdana"/>
                <w:sz w:val="18"/>
                <w:szCs w:val="18"/>
              </w:rPr>
              <w:t xml:space="preserve"> </w:t>
            </w:r>
            <w:r w:rsidRPr="009D47F2">
              <w:rPr>
                <w:rFonts w:ascii="Verdana" w:hAnsi="Verdana" w:cs="Verdana"/>
                <w:sz w:val="18"/>
                <w:szCs w:val="18"/>
              </w:rPr>
              <w:t>и</w:t>
            </w:r>
            <w:r w:rsidRPr="009D47F2">
              <w:rPr>
                <w:rFonts w:ascii="Verdana" w:hAnsi="Verdana"/>
                <w:sz w:val="18"/>
                <w:szCs w:val="18"/>
              </w:rPr>
              <w:t xml:space="preserve"> </w:t>
            </w:r>
            <w:r w:rsidRPr="009D47F2">
              <w:rPr>
                <w:rFonts w:ascii="Verdana" w:hAnsi="Verdana" w:cs="Verdana"/>
                <w:sz w:val="18"/>
                <w:szCs w:val="18"/>
              </w:rPr>
              <w:t>безопасни</w:t>
            </w:r>
            <w:r w:rsidRPr="009D47F2">
              <w:rPr>
                <w:rFonts w:ascii="Verdana" w:hAnsi="Verdana"/>
                <w:sz w:val="18"/>
                <w:szCs w:val="18"/>
              </w:rPr>
              <w:t xml:space="preserve"> </w:t>
            </w:r>
            <w:r w:rsidRPr="009D47F2">
              <w:rPr>
                <w:rFonts w:ascii="Verdana" w:hAnsi="Verdana" w:cs="Verdana"/>
                <w:sz w:val="18"/>
                <w:szCs w:val="18"/>
              </w:rPr>
              <w:t>храни</w:t>
            </w:r>
            <w:r w:rsidRPr="009D47F2">
              <w:rPr>
                <w:rFonts w:ascii="Verdana" w:hAnsi="Verdana"/>
                <w:sz w:val="18"/>
                <w:szCs w:val="18"/>
              </w:rPr>
              <w:t xml:space="preserve"> </w:t>
            </w:r>
            <w:r w:rsidRPr="009D47F2">
              <w:rPr>
                <w:rFonts w:ascii="Verdana" w:hAnsi="Verdana" w:cs="Verdana"/>
                <w:sz w:val="18"/>
                <w:szCs w:val="18"/>
              </w:rPr>
              <w:t>с</w:t>
            </w:r>
            <w:r w:rsidRPr="009D47F2">
              <w:rPr>
                <w:rFonts w:ascii="Verdana" w:hAnsi="Verdana"/>
                <w:sz w:val="18"/>
                <w:szCs w:val="18"/>
              </w:rPr>
              <w:t xml:space="preserve"> </w:t>
            </w:r>
            <w:r w:rsidRPr="009D47F2">
              <w:rPr>
                <w:rFonts w:ascii="Verdana" w:hAnsi="Verdana" w:cs="Verdana"/>
                <w:sz w:val="18"/>
                <w:szCs w:val="18"/>
              </w:rPr>
              <w:t>оглед</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отчитане</w:t>
            </w:r>
            <w:r w:rsidRPr="009D47F2">
              <w:rPr>
                <w:rFonts w:ascii="Verdana" w:hAnsi="Verdana"/>
                <w:sz w:val="18"/>
                <w:szCs w:val="18"/>
              </w:rPr>
              <w:t xml:space="preserve"> спецификите на различните видове храни и всеки конкретен продукт, както и създадената </w:t>
            </w:r>
            <w:r w:rsidRPr="009D47F2">
              <w:rPr>
                <w:rFonts w:ascii="Verdana" w:hAnsi="Verdana"/>
                <w:sz w:val="18"/>
                <w:szCs w:val="18"/>
              </w:rPr>
              <w:lastRenderedPageBreak/>
              <w:t>организация за тяхното преразпределяне и консумация от оператора на хранителната банка.</w:t>
            </w:r>
          </w:p>
          <w:p w14:paraId="513AC244"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Практиката показва, че за различните видове храни може да се определи различен времеви период на безопасност и продължаваща пригодност за консумация при спазване на определените от производителите условия на съхранение и при най</w:t>
            </w:r>
            <w:r w:rsidRPr="009D47F2">
              <w:rPr>
                <w:rFonts w:ascii="Cambria Math" w:hAnsi="Cambria Math" w:cs="Cambria Math"/>
                <w:sz w:val="18"/>
                <w:szCs w:val="18"/>
              </w:rPr>
              <w:t>‐</w:t>
            </w:r>
            <w:r w:rsidRPr="009D47F2">
              <w:rPr>
                <w:rFonts w:ascii="Verdana" w:hAnsi="Verdana" w:cs="Verdana"/>
                <w:sz w:val="18"/>
                <w:szCs w:val="18"/>
              </w:rPr>
              <w:t>консервативни</w:t>
            </w:r>
            <w:r w:rsidRPr="009D47F2">
              <w:rPr>
                <w:rFonts w:ascii="Verdana" w:hAnsi="Verdana"/>
                <w:sz w:val="18"/>
                <w:szCs w:val="18"/>
              </w:rPr>
              <w:t xml:space="preserve"> </w:t>
            </w:r>
            <w:r w:rsidRPr="009D47F2">
              <w:rPr>
                <w:rFonts w:ascii="Verdana" w:hAnsi="Verdana" w:cs="Verdana"/>
                <w:sz w:val="18"/>
                <w:szCs w:val="18"/>
              </w:rPr>
              <w:t>допускания</w:t>
            </w:r>
            <w:r w:rsidRPr="009D47F2">
              <w:rPr>
                <w:rFonts w:ascii="Verdana" w:hAnsi="Verdana"/>
                <w:sz w:val="18"/>
                <w:szCs w:val="18"/>
              </w:rPr>
              <w:t xml:space="preserve">. </w:t>
            </w:r>
            <w:r w:rsidRPr="009D47F2">
              <w:rPr>
                <w:rFonts w:ascii="Verdana" w:hAnsi="Verdana" w:cs="Verdana"/>
                <w:sz w:val="18"/>
                <w:szCs w:val="18"/>
              </w:rPr>
              <w:t>Той</w:t>
            </w:r>
            <w:r w:rsidRPr="009D47F2">
              <w:rPr>
                <w:rFonts w:ascii="Verdana" w:hAnsi="Verdana"/>
                <w:sz w:val="18"/>
                <w:szCs w:val="18"/>
              </w:rPr>
              <w:t xml:space="preserve"> </w:t>
            </w:r>
            <w:r w:rsidRPr="009D47F2">
              <w:rPr>
                <w:rFonts w:ascii="Verdana" w:hAnsi="Verdana" w:cs="Verdana"/>
                <w:sz w:val="18"/>
                <w:szCs w:val="18"/>
              </w:rPr>
              <w:t>може</w:t>
            </w:r>
            <w:r w:rsidRPr="009D47F2">
              <w:rPr>
                <w:rFonts w:ascii="Verdana" w:hAnsi="Verdana"/>
                <w:sz w:val="18"/>
                <w:szCs w:val="18"/>
              </w:rPr>
              <w:t xml:space="preserve"> </w:t>
            </w:r>
            <w:r w:rsidRPr="009D47F2">
              <w:rPr>
                <w:rFonts w:ascii="Verdana" w:hAnsi="Verdana" w:cs="Verdana"/>
                <w:sz w:val="18"/>
                <w:szCs w:val="18"/>
              </w:rPr>
              <w:t>да</w:t>
            </w:r>
            <w:r w:rsidRPr="009D47F2">
              <w:rPr>
                <w:rFonts w:ascii="Verdana" w:hAnsi="Verdana"/>
                <w:sz w:val="18"/>
                <w:szCs w:val="18"/>
              </w:rPr>
              <w:t xml:space="preserve"> </w:t>
            </w:r>
            <w:r w:rsidRPr="009D47F2">
              <w:rPr>
                <w:rFonts w:ascii="Verdana" w:hAnsi="Verdana" w:cs="Verdana"/>
                <w:sz w:val="18"/>
                <w:szCs w:val="18"/>
              </w:rPr>
              <w:t>варира</w:t>
            </w:r>
            <w:r w:rsidRPr="009D47F2">
              <w:rPr>
                <w:rFonts w:ascii="Verdana" w:hAnsi="Verdana"/>
                <w:sz w:val="18"/>
                <w:szCs w:val="18"/>
              </w:rPr>
              <w:t xml:space="preserve"> </w:t>
            </w:r>
            <w:r w:rsidRPr="009D47F2">
              <w:rPr>
                <w:rFonts w:ascii="Verdana" w:hAnsi="Verdana" w:cs="Verdana"/>
                <w:sz w:val="18"/>
                <w:szCs w:val="18"/>
              </w:rPr>
              <w:t>от</w:t>
            </w:r>
            <w:r w:rsidRPr="009D47F2">
              <w:rPr>
                <w:rFonts w:ascii="Verdana" w:hAnsi="Verdana"/>
                <w:sz w:val="18"/>
                <w:szCs w:val="18"/>
              </w:rPr>
              <w:t xml:space="preserve"> </w:t>
            </w:r>
            <w:r w:rsidRPr="009D47F2">
              <w:rPr>
                <w:rFonts w:ascii="Verdana" w:hAnsi="Verdana" w:cs="Verdana"/>
                <w:sz w:val="18"/>
                <w:szCs w:val="18"/>
              </w:rPr>
              <w:t>месеци</w:t>
            </w:r>
            <w:r w:rsidRPr="009D47F2">
              <w:rPr>
                <w:rFonts w:ascii="Verdana" w:hAnsi="Verdana"/>
                <w:sz w:val="18"/>
                <w:szCs w:val="18"/>
              </w:rPr>
              <w:t xml:space="preserve"> </w:t>
            </w:r>
            <w:r w:rsidRPr="009D47F2">
              <w:rPr>
                <w:rFonts w:ascii="Verdana" w:hAnsi="Verdana" w:cs="Verdana"/>
                <w:sz w:val="18"/>
                <w:szCs w:val="18"/>
              </w:rPr>
              <w:t>до</w:t>
            </w:r>
            <w:r w:rsidRPr="009D47F2">
              <w:rPr>
                <w:rFonts w:ascii="Verdana" w:hAnsi="Verdana"/>
                <w:sz w:val="18"/>
                <w:szCs w:val="18"/>
              </w:rPr>
              <w:t xml:space="preserve"> </w:t>
            </w:r>
            <w:r w:rsidRPr="009D47F2">
              <w:rPr>
                <w:rFonts w:ascii="Verdana" w:hAnsi="Verdana" w:cs="Verdana"/>
                <w:sz w:val="18"/>
                <w:szCs w:val="18"/>
              </w:rPr>
              <w:t>надхвърлящ</w:t>
            </w:r>
            <w:r w:rsidRPr="009D47F2">
              <w:rPr>
                <w:rFonts w:ascii="Verdana" w:hAnsi="Verdana"/>
                <w:sz w:val="18"/>
                <w:szCs w:val="18"/>
              </w:rPr>
              <w:t xml:space="preserve"> 1 </w:t>
            </w:r>
            <w:r w:rsidRPr="009D47F2">
              <w:rPr>
                <w:rFonts w:ascii="Verdana" w:hAnsi="Verdana" w:cs="Verdana"/>
                <w:sz w:val="18"/>
                <w:szCs w:val="18"/>
              </w:rPr>
              <w:t>година</w:t>
            </w:r>
            <w:r w:rsidRPr="009D47F2">
              <w:rPr>
                <w:rFonts w:ascii="Verdana" w:hAnsi="Verdana"/>
                <w:sz w:val="18"/>
                <w:szCs w:val="18"/>
              </w:rPr>
              <w:t xml:space="preserve"> </w:t>
            </w:r>
            <w:r w:rsidRPr="009D47F2">
              <w:rPr>
                <w:rFonts w:ascii="Verdana" w:hAnsi="Verdana" w:cs="Verdana"/>
                <w:sz w:val="18"/>
                <w:szCs w:val="18"/>
              </w:rPr>
              <w:t>период</w:t>
            </w:r>
            <w:r w:rsidRPr="009D47F2">
              <w:rPr>
                <w:rFonts w:ascii="Verdana" w:hAnsi="Verdana"/>
                <w:sz w:val="18"/>
                <w:szCs w:val="18"/>
              </w:rPr>
              <w:t xml:space="preserve">, </w:t>
            </w:r>
            <w:r w:rsidRPr="009D47F2">
              <w:rPr>
                <w:rFonts w:ascii="Verdana" w:hAnsi="Verdana" w:cs="Verdana"/>
                <w:sz w:val="18"/>
                <w:szCs w:val="18"/>
              </w:rPr>
              <w:t>което</w:t>
            </w:r>
            <w:r w:rsidRPr="009D47F2">
              <w:rPr>
                <w:rFonts w:ascii="Verdana" w:hAnsi="Verdana"/>
                <w:sz w:val="18"/>
                <w:szCs w:val="18"/>
              </w:rPr>
              <w:t xml:space="preserve"> </w:t>
            </w:r>
            <w:r w:rsidRPr="009D47F2">
              <w:rPr>
                <w:rFonts w:ascii="Verdana" w:hAnsi="Verdana" w:cs="Verdana"/>
                <w:sz w:val="18"/>
                <w:szCs w:val="18"/>
              </w:rPr>
              <w:t>предпоставя</w:t>
            </w:r>
            <w:r w:rsidRPr="009D47F2">
              <w:rPr>
                <w:rFonts w:ascii="Verdana" w:hAnsi="Verdana"/>
                <w:sz w:val="18"/>
                <w:szCs w:val="18"/>
              </w:rPr>
              <w:t xml:space="preserve"> </w:t>
            </w:r>
            <w:r w:rsidRPr="009D47F2">
              <w:rPr>
                <w:rFonts w:ascii="Verdana" w:hAnsi="Verdana" w:cs="Verdana"/>
                <w:sz w:val="18"/>
                <w:szCs w:val="18"/>
              </w:rPr>
              <w:t>ненуж</w:t>
            </w:r>
            <w:r w:rsidRPr="009D47F2">
              <w:rPr>
                <w:rFonts w:ascii="Verdana" w:hAnsi="Verdana"/>
                <w:sz w:val="18"/>
                <w:szCs w:val="18"/>
              </w:rPr>
              <w:t>но ограничителния характер на заложената разпоредба.</w:t>
            </w:r>
          </w:p>
          <w:p w14:paraId="563B927A"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Във връзка с предложенията ни по т.1 и 2, и на база на проученият опит в някои ДЧ на ЕС, както предвид на Ръководните насоки на ЕС за даряването на храни (COMMISSION NOTICE, C(2017) 6872 final of 16.10.2017 EU guidelines on food donation, предлагаме замяна на заложения подход, с определяне, посредством Приложение в Наредбата (предпочитан подход), или чрез предвиждане издаването на нейна база на Ръководство, с ориентировъчни срокове за всяка съответна категория храни, в рамките на които храните с изтекъл срок на минимална трайност (т.е. дата „най</w:t>
            </w:r>
            <w:r w:rsidRPr="009D47F2">
              <w:rPr>
                <w:rFonts w:ascii="Cambria Math" w:hAnsi="Cambria Math" w:cs="Cambria Math"/>
                <w:sz w:val="18"/>
                <w:szCs w:val="18"/>
              </w:rPr>
              <w:t>‐</w:t>
            </w:r>
            <w:r w:rsidRPr="009D47F2">
              <w:rPr>
                <w:rFonts w:ascii="Verdana" w:hAnsi="Verdana" w:cs="Verdana"/>
                <w:sz w:val="18"/>
                <w:szCs w:val="18"/>
              </w:rPr>
              <w:t>добър</w:t>
            </w:r>
            <w:r w:rsidRPr="009D47F2">
              <w:rPr>
                <w:rFonts w:ascii="Verdana" w:hAnsi="Verdana"/>
                <w:sz w:val="18"/>
                <w:szCs w:val="18"/>
              </w:rPr>
              <w:t xml:space="preserve"> </w:t>
            </w:r>
            <w:r w:rsidRPr="009D47F2">
              <w:rPr>
                <w:rFonts w:ascii="Verdana" w:hAnsi="Verdana" w:cs="Verdana"/>
                <w:sz w:val="18"/>
                <w:szCs w:val="18"/>
              </w:rPr>
              <w:t>до“</w:t>
            </w:r>
            <w:r w:rsidRPr="009D47F2">
              <w:rPr>
                <w:rFonts w:ascii="Verdana" w:hAnsi="Verdana"/>
                <w:sz w:val="18"/>
                <w:szCs w:val="18"/>
              </w:rPr>
              <w:t xml:space="preserve">) </w:t>
            </w:r>
            <w:r w:rsidRPr="009D47F2">
              <w:rPr>
                <w:rFonts w:ascii="Verdana" w:hAnsi="Verdana" w:cs="Verdana"/>
                <w:sz w:val="18"/>
                <w:szCs w:val="18"/>
              </w:rPr>
              <w:t>могат</w:t>
            </w:r>
            <w:r w:rsidRPr="009D47F2">
              <w:rPr>
                <w:rFonts w:ascii="Verdana" w:hAnsi="Verdana"/>
                <w:sz w:val="18"/>
                <w:szCs w:val="18"/>
              </w:rPr>
              <w:t xml:space="preserve"> </w:t>
            </w:r>
            <w:r w:rsidRPr="009D47F2">
              <w:rPr>
                <w:rFonts w:ascii="Verdana" w:hAnsi="Verdana" w:cs="Verdana"/>
                <w:sz w:val="18"/>
                <w:szCs w:val="18"/>
              </w:rPr>
              <w:t>да</w:t>
            </w:r>
            <w:r w:rsidRPr="009D47F2">
              <w:rPr>
                <w:rFonts w:ascii="Verdana" w:hAnsi="Verdana"/>
                <w:sz w:val="18"/>
                <w:szCs w:val="18"/>
              </w:rPr>
              <w:t xml:space="preserve"> </w:t>
            </w:r>
            <w:r w:rsidRPr="009D47F2">
              <w:rPr>
                <w:rFonts w:ascii="Verdana" w:hAnsi="Verdana" w:cs="Verdana"/>
                <w:sz w:val="18"/>
                <w:szCs w:val="18"/>
              </w:rPr>
              <w:t>бъдат</w:t>
            </w:r>
            <w:r w:rsidRPr="009D47F2">
              <w:rPr>
                <w:rFonts w:ascii="Verdana" w:hAnsi="Verdana"/>
                <w:sz w:val="18"/>
                <w:szCs w:val="18"/>
              </w:rPr>
              <w:t xml:space="preserve"> </w:t>
            </w:r>
            <w:r w:rsidRPr="009D47F2">
              <w:rPr>
                <w:rFonts w:ascii="Verdana" w:hAnsi="Verdana" w:cs="Verdana"/>
                <w:sz w:val="18"/>
                <w:szCs w:val="18"/>
              </w:rPr>
              <w:t>използвани</w:t>
            </w:r>
            <w:r w:rsidRPr="009D47F2">
              <w:rPr>
                <w:rFonts w:ascii="Verdana" w:hAnsi="Verdana"/>
                <w:sz w:val="18"/>
                <w:szCs w:val="18"/>
              </w:rPr>
              <w:t>/</w:t>
            </w:r>
            <w:r w:rsidRPr="009D47F2">
              <w:rPr>
                <w:rFonts w:ascii="Verdana" w:hAnsi="Verdana" w:cs="Verdana"/>
                <w:sz w:val="18"/>
                <w:szCs w:val="18"/>
              </w:rPr>
              <w:t>разпространявани</w:t>
            </w:r>
            <w:r w:rsidRPr="009D47F2">
              <w:rPr>
                <w:rFonts w:ascii="Verdana" w:hAnsi="Verdana"/>
                <w:sz w:val="18"/>
                <w:szCs w:val="18"/>
              </w:rPr>
              <w:t xml:space="preserve"> </w:t>
            </w:r>
            <w:r w:rsidRPr="009D47F2">
              <w:rPr>
                <w:rFonts w:ascii="Verdana" w:hAnsi="Verdana" w:cs="Verdana"/>
                <w:sz w:val="18"/>
                <w:szCs w:val="18"/>
              </w:rPr>
              <w:t>чрез</w:t>
            </w:r>
            <w:r w:rsidRPr="009D47F2">
              <w:rPr>
                <w:rFonts w:ascii="Verdana" w:hAnsi="Verdana"/>
                <w:sz w:val="18"/>
                <w:szCs w:val="18"/>
              </w:rPr>
              <w:t xml:space="preserve"> </w:t>
            </w:r>
            <w:r w:rsidRPr="009D47F2">
              <w:rPr>
                <w:rFonts w:ascii="Verdana" w:hAnsi="Verdana" w:cs="Verdana"/>
                <w:sz w:val="18"/>
                <w:szCs w:val="18"/>
              </w:rPr>
              <w:t>хранително</w:t>
            </w:r>
            <w:r w:rsidRPr="009D47F2">
              <w:rPr>
                <w:rFonts w:ascii="Verdana" w:hAnsi="Verdana"/>
                <w:sz w:val="18"/>
                <w:szCs w:val="18"/>
              </w:rPr>
              <w:t xml:space="preserve"> </w:t>
            </w:r>
            <w:r w:rsidRPr="009D47F2">
              <w:rPr>
                <w:rFonts w:ascii="Verdana" w:hAnsi="Verdana" w:cs="Verdana"/>
                <w:sz w:val="18"/>
                <w:szCs w:val="18"/>
              </w:rPr>
              <w:t>банкиране</w:t>
            </w:r>
            <w:r w:rsidRPr="009D47F2">
              <w:rPr>
                <w:rFonts w:ascii="Verdana" w:hAnsi="Verdana"/>
                <w:sz w:val="18"/>
                <w:szCs w:val="18"/>
              </w:rPr>
              <w:t xml:space="preserve">. </w:t>
            </w:r>
            <w:r w:rsidRPr="009D47F2">
              <w:rPr>
                <w:rFonts w:ascii="Verdana" w:hAnsi="Verdana" w:cs="Verdana"/>
                <w:sz w:val="18"/>
                <w:szCs w:val="18"/>
              </w:rPr>
              <w:t>Правилните</w:t>
            </w:r>
            <w:r w:rsidRPr="009D47F2">
              <w:rPr>
                <w:rFonts w:ascii="Verdana" w:hAnsi="Verdana"/>
                <w:sz w:val="18"/>
                <w:szCs w:val="18"/>
              </w:rPr>
              <w:t xml:space="preserve"> </w:t>
            </w:r>
            <w:r w:rsidRPr="009D47F2">
              <w:rPr>
                <w:rFonts w:ascii="Verdana" w:hAnsi="Verdana" w:cs="Verdana"/>
                <w:sz w:val="18"/>
                <w:szCs w:val="18"/>
              </w:rPr>
              <w:t>условия</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съхранение</w:t>
            </w:r>
            <w:r w:rsidRPr="009D47F2">
              <w:rPr>
                <w:rFonts w:ascii="Verdana" w:hAnsi="Verdana"/>
                <w:sz w:val="18"/>
                <w:szCs w:val="18"/>
              </w:rPr>
              <w:t xml:space="preserve"> </w:t>
            </w:r>
            <w:r w:rsidRPr="009D47F2">
              <w:rPr>
                <w:rFonts w:ascii="Verdana" w:hAnsi="Verdana" w:cs="Verdana"/>
                <w:sz w:val="18"/>
                <w:szCs w:val="18"/>
              </w:rPr>
              <w:t>и</w:t>
            </w:r>
            <w:r w:rsidRPr="009D47F2">
              <w:rPr>
                <w:rFonts w:ascii="Verdana" w:hAnsi="Verdana"/>
                <w:sz w:val="18"/>
                <w:szCs w:val="18"/>
              </w:rPr>
              <w:t xml:space="preserve"> </w:t>
            </w:r>
            <w:r w:rsidRPr="009D47F2">
              <w:rPr>
                <w:rFonts w:ascii="Verdana" w:hAnsi="Verdana" w:cs="Verdana"/>
                <w:sz w:val="18"/>
                <w:szCs w:val="18"/>
              </w:rPr>
              <w:t>целостта</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опаковката</w:t>
            </w:r>
            <w:r w:rsidRPr="009D47F2">
              <w:rPr>
                <w:rFonts w:ascii="Verdana" w:hAnsi="Verdana"/>
                <w:sz w:val="18"/>
                <w:szCs w:val="18"/>
              </w:rPr>
              <w:t xml:space="preserve"> </w:t>
            </w:r>
            <w:r w:rsidRPr="009D47F2">
              <w:rPr>
                <w:rFonts w:ascii="Verdana" w:hAnsi="Verdana" w:cs="Verdana"/>
                <w:sz w:val="18"/>
                <w:szCs w:val="18"/>
              </w:rPr>
              <w:t>трябва</w:t>
            </w:r>
            <w:r w:rsidRPr="009D47F2">
              <w:rPr>
                <w:rFonts w:ascii="Verdana" w:hAnsi="Verdana"/>
                <w:sz w:val="18"/>
                <w:szCs w:val="18"/>
              </w:rPr>
              <w:t xml:space="preserve"> </w:t>
            </w:r>
            <w:r w:rsidRPr="009D47F2">
              <w:rPr>
                <w:rFonts w:ascii="Verdana" w:hAnsi="Verdana" w:cs="Verdana"/>
                <w:sz w:val="18"/>
                <w:szCs w:val="18"/>
              </w:rPr>
              <w:t>да</w:t>
            </w:r>
            <w:r w:rsidRPr="009D47F2">
              <w:rPr>
                <w:rFonts w:ascii="Verdana" w:hAnsi="Verdana"/>
                <w:sz w:val="18"/>
                <w:szCs w:val="18"/>
              </w:rPr>
              <w:t xml:space="preserve"> </w:t>
            </w:r>
            <w:r w:rsidRPr="009D47F2">
              <w:rPr>
                <w:rFonts w:ascii="Verdana" w:hAnsi="Verdana" w:cs="Verdana"/>
                <w:sz w:val="18"/>
                <w:szCs w:val="18"/>
              </w:rPr>
              <w:t>бъдат</w:t>
            </w:r>
            <w:r w:rsidRPr="009D47F2">
              <w:rPr>
                <w:rFonts w:ascii="Verdana" w:hAnsi="Verdana"/>
                <w:sz w:val="18"/>
                <w:szCs w:val="18"/>
              </w:rPr>
              <w:t xml:space="preserve"> </w:t>
            </w:r>
            <w:r w:rsidRPr="009D47F2">
              <w:rPr>
                <w:rFonts w:ascii="Verdana" w:hAnsi="Verdana" w:cs="Verdana"/>
                <w:sz w:val="18"/>
                <w:szCs w:val="18"/>
              </w:rPr>
              <w:t>гарантир</w:t>
            </w:r>
            <w:r w:rsidRPr="009D47F2">
              <w:rPr>
                <w:rFonts w:ascii="Verdana" w:hAnsi="Verdana"/>
                <w:sz w:val="18"/>
                <w:szCs w:val="18"/>
              </w:rPr>
              <w:t xml:space="preserve">ани, което следва да бъде подчертано с разпоредбите на Наредбата. Посочването на ориентировъчните срокове за различните видове храни, задължително следва да е съпътствано с реферирането към изискване за оценка за всеки отделен случай – като подчертаваме, че оценката на риска и съответствието с изискването за предлагане само на годни за консумация храни е задължение на всеки оператор с храни, каквито са както самите дарители, така и хранителните банки. В контекста на направеното предложение, прилагаме ориентировъчните срокове за различни видове храни, прилагани в някои ДЧ (Белгия и Италия), съответно регламентирани в Belgian food safety agency Circulaire relative aux dispositions applicables aux banques alimentaires et associations caritatives, 08/02/2017; Italy </w:t>
            </w:r>
            <w:r w:rsidRPr="009D47F2">
              <w:rPr>
                <w:rFonts w:ascii="Cambria Math" w:hAnsi="Cambria Math" w:cs="Cambria Math"/>
                <w:sz w:val="18"/>
                <w:szCs w:val="18"/>
              </w:rPr>
              <w:t>‐</w:t>
            </w:r>
            <w:r w:rsidRPr="009D47F2">
              <w:rPr>
                <w:rFonts w:ascii="Verdana" w:hAnsi="Verdana"/>
                <w:sz w:val="18"/>
                <w:szCs w:val="18"/>
              </w:rPr>
              <w:t xml:space="preserve"> Manual of Good Practices for Charitable </w:t>
            </w:r>
            <w:r w:rsidRPr="009D47F2">
              <w:rPr>
                <w:rFonts w:ascii="Verdana" w:hAnsi="Verdana"/>
                <w:sz w:val="18"/>
                <w:szCs w:val="18"/>
              </w:rPr>
              <w:lastRenderedPageBreak/>
              <w:t>Organisations, Caritas Italiana, Fondazione Banco Alimentare Onlus, March 2016.</w:t>
            </w:r>
          </w:p>
        </w:tc>
        <w:tc>
          <w:tcPr>
            <w:tcW w:w="1842" w:type="dxa"/>
            <w:tcBorders>
              <w:top w:val="single" w:sz="12" w:space="0" w:color="2E74B5"/>
              <w:bottom w:val="single" w:sz="12" w:space="0" w:color="2E74B5"/>
            </w:tcBorders>
            <w:shd w:val="clear" w:color="auto" w:fill="auto"/>
          </w:tcPr>
          <w:p w14:paraId="466F421D" w14:textId="0FBD2AC7" w:rsidR="009B153D" w:rsidRPr="009D47F2" w:rsidRDefault="00B113DD" w:rsidP="006B03F6">
            <w:pPr>
              <w:spacing w:before="80" w:after="40"/>
              <w:rPr>
                <w:rFonts w:ascii="Verdana" w:hAnsi="Verdana"/>
                <w:sz w:val="18"/>
                <w:szCs w:val="18"/>
              </w:rPr>
            </w:pPr>
            <w:r>
              <w:rPr>
                <w:rFonts w:ascii="Verdana" w:hAnsi="Verdana"/>
                <w:sz w:val="18"/>
                <w:szCs w:val="18"/>
              </w:rPr>
              <w:lastRenderedPageBreak/>
              <w:t>Приема се</w:t>
            </w:r>
          </w:p>
        </w:tc>
        <w:tc>
          <w:tcPr>
            <w:tcW w:w="4961" w:type="dxa"/>
            <w:tcBorders>
              <w:top w:val="single" w:sz="12" w:space="0" w:color="2E74B5"/>
              <w:bottom w:val="single" w:sz="12" w:space="0" w:color="2E74B5"/>
            </w:tcBorders>
            <w:shd w:val="clear" w:color="auto" w:fill="auto"/>
          </w:tcPr>
          <w:p w14:paraId="28FBEBD0" w14:textId="3C4D01DA" w:rsidR="003554D7" w:rsidRPr="009D47F2" w:rsidRDefault="00901470" w:rsidP="006B03F6">
            <w:pPr>
              <w:spacing w:before="80" w:after="40"/>
              <w:jc w:val="both"/>
              <w:rPr>
                <w:rFonts w:ascii="Verdana" w:hAnsi="Verdana"/>
                <w:sz w:val="18"/>
                <w:szCs w:val="18"/>
              </w:rPr>
            </w:pPr>
            <w:r>
              <w:rPr>
                <w:rFonts w:ascii="Verdana" w:hAnsi="Verdana"/>
                <w:sz w:val="18"/>
                <w:szCs w:val="18"/>
              </w:rPr>
              <w:t xml:space="preserve"> </w:t>
            </w:r>
          </w:p>
        </w:tc>
      </w:tr>
      <w:tr w:rsidR="009B153D" w:rsidRPr="001F6CB3" w14:paraId="360C5B27" w14:textId="77777777" w:rsidTr="001C47FC">
        <w:trPr>
          <w:trHeight w:val="596"/>
          <w:jc w:val="center"/>
        </w:trPr>
        <w:tc>
          <w:tcPr>
            <w:tcW w:w="622" w:type="dxa"/>
            <w:vMerge/>
            <w:shd w:val="clear" w:color="auto" w:fill="auto"/>
          </w:tcPr>
          <w:p w14:paraId="009E868E" w14:textId="77777777" w:rsidR="009B153D" w:rsidRPr="009D47F2" w:rsidRDefault="009B153D" w:rsidP="006B03F6">
            <w:pPr>
              <w:pStyle w:val="ListParagraph"/>
              <w:numPr>
                <w:ilvl w:val="0"/>
                <w:numId w:val="10"/>
              </w:numPr>
              <w:tabs>
                <w:tab w:val="left" w:pos="192"/>
              </w:tabs>
              <w:spacing w:before="80" w:after="40"/>
              <w:ind w:left="357" w:hanging="357"/>
              <w:jc w:val="center"/>
              <w:rPr>
                <w:rFonts w:ascii="Verdana" w:hAnsi="Verdana"/>
                <w:b/>
                <w:sz w:val="18"/>
                <w:szCs w:val="18"/>
              </w:rPr>
            </w:pPr>
          </w:p>
        </w:tc>
        <w:tc>
          <w:tcPr>
            <w:tcW w:w="2410" w:type="dxa"/>
            <w:vMerge/>
            <w:shd w:val="clear" w:color="auto" w:fill="auto"/>
          </w:tcPr>
          <w:p w14:paraId="5C9C9581" w14:textId="77777777" w:rsidR="009B153D" w:rsidRPr="009D47F2" w:rsidRDefault="009B153D"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7E205E3C"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3. Предлагаме ревизия и на разпоредбите и на чл. 12, ал. 2 и 3. По отношение на ал. 2 – отпадане на думите „писмено съгласие за“, обосновано от факта, че за осигуряване проследимостта на храните операторите са задължени да поддържат документирани записи. Предоставянето на храни на оператор на хранителна банка се осъществява съпътствано от надлежно попълнени и от двете страни документи (договор за дарение, приемо</w:t>
            </w:r>
            <w:r w:rsidRPr="009D47F2">
              <w:rPr>
                <w:rFonts w:ascii="Cambria Math" w:hAnsi="Cambria Math" w:cs="Cambria Math"/>
                <w:sz w:val="18"/>
                <w:szCs w:val="18"/>
              </w:rPr>
              <w:t>‐</w:t>
            </w:r>
            <w:r w:rsidRPr="009D47F2">
              <w:rPr>
                <w:rFonts w:ascii="Verdana" w:hAnsi="Verdana" w:cs="Verdana"/>
                <w:sz w:val="18"/>
                <w:szCs w:val="18"/>
              </w:rPr>
              <w:t>предавателен</w:t>
            </w:r>
            <w:r w:rsidRPr="009D47F2">
              <w:rPr>
                <w:rFonts w:ascii="Verdana" w:hAnsi="Verdana"/>
                <w:sz w:val="18"/>
                <w:szCs w:val="18"/>
              </w:rPr>
              <w:t xml:space="preserve"> </w:t>
            </w:r>
            <w:r w:rsidRPr="009D47F2">
              <w:rPr>
                <w:rFonts w:ascii="Verdana" w:hAnsi="Verdana" w:cs="Verdana"/>
                <w:sz w:val="18"/>
                <w:szCs w:val="18"/>
              </w:rPr>
              <w:t>протокол</w:t>
            </w:r>
            <w:r w:rsidRPr="009D47F2">
              <w:rPr>
                <w:rFonts w:ascii="Verdana" w:hAnsi="Verdana"/>
                <w:sz w:val="18"/>
                <w:szCs w:val="18"/>
              </w:rPr>
              <w:t xml:space="preserve">) </w:t>
            </w:r>
            <w:r w:rsidRPr="009D47F2">
              <w:rPr>
                <w:rFonts w:ascii="Verdana" w:hAnsi="Verdana" w:cs="Verdana"/>
                <w:sz w:val="18"/>
                <w:szCs w:val="18"/>
              </w:rPr>
              <w:t>и</w:t>
            </w:r>
            <w:r w:rsidRPr="009D47F2">
              <w:rPr>
                <w:rFonts w:ascii="Verdana" w:hAnsi="Verdana"/>
                <w:sz w:val="18"/>
                <w:szCs w:val="18"/>
              </w:rPr>
              <w:t xml:space="preserve"> </w:t>
            </w:r>
            <w:r w:rsidRPr="009D47F2">
              <w:rPr>
                <w:rFonts w:ascii="Verdana" w:hAnsi="Verdana" w:cs="Verdana"/>
                <w:sz w:val="18"/>
                <w:szCs w:val="18"/>
              </w:rPr>
              <w:t>същите</w:t>
            </w:r>
            <w:r w:rsidRPr="009D47F2">
              <w:rPr>
                <w:rFonts w:ascii="Verdana" w:hAnsi="Verdana"/>
                <w:sz w:val="18"/>
                <w:szCs w:val="18"/>
              </w:rPr>
              <w:t xml:space="preserve"> </w:t>
            </w:r>
            <w:r w:rsidRPr="009D47F2">
              <w:rPr>
                <w:rFonts w:ascii="Verdana" w:hAnsi="Verdana" w:cs="Verdana"/>
                <w:sz w:val="18"/>
                <w:szCs w:val="18"/>
              </w:rPr>
              <w:t>служат</w:t>
            </w:r>
            <w:r w:rsidRPr="009D47F2">
              <w:rPr>
                <w:rFonts w:ascii="Verdana" w:hAnsi="Verdana"/>
                <w:sz w:val="18"/>
                <w:szCs w:val="18"/>
              </w:rPr>
              <w:t xml:space="preserve"> </w:t>
            </w:r>
            <w:r w:rsidRPr="009D47F2">
              <w:rPr>
                <w:rFonts w:ascii="Verdana" w:hAnsi="Verdana" w:cs="Verdana"/>
                <w:sz w:val="18"/>
                <w:szCs w:val="18"/>
              </w:rPr>
              <w:t>като</w:t>
            </w:r>
            <w:r w:rsidRPr="009D47F2">
              <w:rPr>
                <w:rFonts w:ascii="Verdana" w:hAnsi="Verdana"/>
                <w:sz w:val="18"/>
                <w:szCs w:val="18"/>
              </w:rPr>
              <w:t xml:space="preserve"> </w:t>
            </w:r>
            <w:r w:rsidRPr="009D47F2">
              <w:rPr>
                <w:rFonts w:ascii="Verdana" w:hAnsi="Verdana" w:cs="Verdana"/>
                <w:sz w:val="18"/>
                <w:szCs w:val="18"/>
              </w:rPr>
              <w:t>удостоверение</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съгласие</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прием</w:t>
            </w:r>
            <w:r w:rsidRPr="009D47F2">
              <w:rPr>
                <w:rFonts w:ascii="Verdana" w:hAnsi="Verdana"/>
                <w:sz w:val="18"/>
                <w:szCs w:val="18"/>
              </w:rPr>
              <w:t xml:space="preserve">. </w:t>
            </w:r>
            <w:r w:rsidRPr="009D47F2">
              <w:rPr>
                <w:rFonts w:ascii="Verdana" w:hAnsi="Verdana" w:cs="Verdana"/>
                <w:sz w:val="18"/>
                <w:szCs w:val="18"/>
              </w:rPr>
              <w:t>По</w:t>
            </w:r>
            <w:r w:rsidRPr="009D47F2">
              <w:rPr>
                <w:rFonts w:ascii="Verdana" w:hAnsi="Verdana"/>
                <w:sz w:val="18"/>
                <w:szCs w:val="18"/>
              </w:rPr>
              <w:t xml:space="preserve"> </w:t>
            </w:r>
            <w:r w:rsidRPr="009D47F2">
              <w:rPr>
                <w:rFonts w:ascii="Verdana" w:hAnsi="Verdana" w:cs="Verdana"/>
                <w:sz w:val="18"/>
                <w:szCs w:val="18"/>
              </w:rPr>
              <w:t>отношение</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разпоредбата</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ал</w:t>
            </w:r>
            <w:r w:rsidRPr="009D47F2">
              <w:rPr>
                <w:rFonts w:ascii="Verdana" w:hAnsi="Verdana"/>
                <w:sz w:val="18"/>
                <w:szCs w:val="18"/>
              </w:rPr>
              <w:t xml:space="preserve">.3, </w:t>
            </w:r>
            <w:r w:rsidRPr="009D47F2">
              <w:rPr>
                <w:rFonts w:ascii="Verdana" w:hAnsi="Verdana" w:cs="Verdana"/>
                <w:sz w:val="18"/>
                <w:szCs w:val="18"/>
              </w:rPr>
              <w:t>считаме</w:t>
            </w:r>
            <w:r w:rsidRPr="009D47F2">
              <w:rPr>
                <w:rFonts w:ascii="Verdana" w:hAnsi="Verdana"/>
                <w:sz w:val="18"/>
                <w:szCs w:val="18"/>
              </w:rPr>
              <w:t xml:space="preserve">, </w:t>
            </w:r>
            <w:r w:rsidRPr="009D47F2">
              <w:rPr>
                <w:rFonts w:ascii="Verdana" w:hAnsi="Verdana" w:cs="Verdana"/>
                <w:sz w:val="18"/>
                <w:szCs w:val="18"/>
              </w:rPr>
              <w:t>че</w:t>
            </w:r>
            <w:r w:rsidRPr="009D47F2">
              <w:rPr>
                <w:rFonts w:ascii="Verdana" w:hAnsi="Verdana"/>
                <w:sz w:val="18"/>
                <w:szCs w:val="18"/>
              </w:rPr>
              <w:t xml:space="preserve"> </w:t>
            </w:r>
            <w:r w:rsidRPr="009D47F2">
              <w:rPr>
                <w:rFonts w:ascii="Verdana" w:hAnsi="Verdana" w:cs="Verdana"/>
                <w:sz w:val="18"/>
                <w:szCs w:val="18"/>
              </w:rPr>
              <w:t>тя</w:t>
            </w:r>
            <w:r w:rsidRPr="009D47F2">
              <w:rPr>
                <w:rFonts w:ascii="Verdana" w:hAnsi="Verdana"/>
                <w:sz w:val="18"/>
                <w:szCs w:val="18"/>
              </w:rPr>
              <w:t xml:space="preserve"> </w:t>
            </w:r>
            <w:r w:rsidRPr="009D47F2">
              <w:rPr>
                <w:rFonts w:ascii="Verdana" w:hAnsi="Verdana" w:cs="Verdana"/>
                <w:sz w:val="18"/>
                <w:szCs w:val="18"/>
              </w:rPr>
              <w:t>следва</w:t>
            </w:r>
            <w:r w:rsidRPr="009D47F2">
              <w:rPr>
                <w:rFonts w:ascii="Verdana" w:hAnsi="Verdana"/>
                <w:sz w:val="18"/>
                <w:szCs w:val="18"/>
              </w:rPr>
              <w:t xml:space="preserve"> </w:t>
            </w:r>
            <w:r w:rsidRPr="009D47F2">
              <w:rPr>
                <w:rFonts w:ascii="Verdana" w:hAnsi="Verdana" w:cs="Verdana"/>
                <w:sz w:val="18"/>
                <w:szCs w:val="18"/>
              </w:rPr>
              <w:t>да</w:t>
            </w:r>
            <w:r w:rsidRPr="009D47F2">
              <w:rPr>
                <w:rFonts w:ascii="Verdana" w:hAnsi="Verdana"/>
                <w:sz w:val="18"/>
                <w:szCs w:val="18"/>
              </w:rPr>
              <w:t xml:space="preserve"> </w:t>
            </w:r>
            <w:r w:rsidRPr="009D47F2">
              <w:rPr>
                <w:rFonts w:ascii="Verdana" w:hAnsi="Verdana" w:cs="Verdana"/>
                <w:sz w:val="18"/>
                <w:szCs w:val="18"/>
              </w:rPr>
              <w:t>бъде</w:t>
            </w:r>
            <w:r w:rsidRPr="009D47F2">
              <w:rPr>
                <w:rFonts w:ascii="Verdana" w:hAnsi="Verdana"/>
                <w:sz w:val="18"/>
                <w:szCs w:val="18"/>
              </w:rPr>
              <w:t xml:space="preserve"> </w:t>
            </w:r>
            <w:r w:rsidRPr="009D47F2">
              <w:rPr>
                <w:rFonts w:ascii="Verdana" w:hAnsi="Verdana" w:cs="Verdana"/>
                <w:sz w:val="18"/>
                <w:szCs w:val="18"/>
              </w:rPr>
              <w:t>променена</w:t>
            </w:r>
            <w:r w:rsidRPr="009D47F2">
              <w:rPr>
                <w:rFonts w:ascii="Verdana" w:hAnsi="Verdana"/>
                <w:sz w:val="18"/>
                <w:szCs w:val="18"/>
              </w:rPr>
              <w:t xml:space="preserve"> </w:t>
            </w:r>
            <w:r w:rsidRPr="009D47F2">
              <w:rPr>
                <w:rFonts w:ascii="Verdana" w:hAnsi="Verdana" w:cs="Verdana"/>
                <w:sz w:val="18"/>
                <w:szCs w:val="18"/>
              </w:rPr>
              <w:t>в</w:t>
            </w:r>
            <w:r w:rsidRPr="009D47F2">
              <w:rPr>
                <w:rFonts w:ascii="Verdana" w:hAnsi="Verdana"/>
                <w:sz w:val="18"/>
                <w:szCs w:val="18"/>
              </w:rPr>
              <w:t xml:space="preserve"> </w:t>
            </w:r>
            <w:r w:rsidRPr="009D47F2">
              <w:rPr>
                <w:rFonts w:ascii="Verdana" w:hAnsi="Verdana" w:cs="Verdana"/>
                <w:sz w:val="18"/>
                <w:szCs w:val="18"/>
              </w:rPr>
              <w:t>смисъл</w:t>
            </w:r>
            <w:r w:rsidRPr="009D47F2">
              <w:rPr>
                <w:rFonts w:ascii="Verdana" w:hAnsi="Verdana"/>
                <w:sz w:val="18"/>
                <w:szCs w:val="18"/>
              </w:rPr>
              <w:t xml:space="preserve">, </w:t>
            </w:r>
            <w:r w:rsidRPr="009D47F2">
              <w:rPr>
                <w:rFonts w:ascii="Verdana" w:hAnsi="Verdana" w:cs="Verdana"/>
                <w:sz w:val="18"/>
                <w:szCs w:val="18"/>
              </w:rPr>
              <w:t>че</w:t>
            </w:r>
            <w:r w:rsidRPr="009D47F2">
              <w:rPr>
                <w:rFonts w:ascii="Verdana" w:hAnsi="Verdana"/>
                <w:sz w:val="18"/>
                <w:szCs w:val="18"/>
              </w:rPr>
              <w:t xml:space="preserve"> </w:t>
            </w:r>
            <w:r w:rsidRPr="009D47F2">
              <w:rPr>
                <w:rFonts w:ascii="Verdana" w:hAnsi="Verdana" w:cs="Verdana"/>
                <w:sz w:val="18"/>
                <w:szCs w:val="18"/>
              </w:rPr>
              <w:t>разрешение</w:t>
            </w:r>
            <w:r w:rsidRPr="009D47F2">
              <w:rPr>
                <w:rFonts w:ascii="Verdana" w:hAnsi="Verdana"/>
                <w:sz w:val="18"/>
                <w:szCs w:val="18"/>
              </w:rPr>
              <w:t xml:space="preserve"> </w:t>
            </w:r>
            <w:r w:rsidRPr="009D47F2">
              <w:rPr>
                <w:rFonts w:ascii="Verdana" w:hAnsi="Verdana" w:cs="Verdana"/>
                <w:sz w:val="18"/>
                <w:szCs w:val="18"/>
              </w:rPr>
              <w:t>от</w:t>
            </w:r>
            <w:r w:rsidRPr="009D47F2">
              <w:rPr>
                <w:rFonts w:ascii="Verdana" w:hAnsi="Verdana"/>
                <w:sz w:val="18"/>
                <w:szCs w:val="18"/>
              </w:rPr>
              <w:t xml:space="preserve"> </w:t>
            </w:r>
            <w:r w:rsidRPr="009D47F2">
              <w:rPr>
                <w:rFonts w:ascii="Verdana" w:hAnsi="Verdana" w:cs="Verdana"/>
                <w:sz w:val="18"/>
                <w:szCs w:val="18"/>
              </w:rPr>
              <w:t>страна</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БАБХ</w:t>
            </w:r>
            <w:r w:rsidRPr="009D47F2">
              <w:rPr>
                <w:rFonts w:ascii="Verdana" w:hAnsi="Verdana"/>
                <w:sz w:val="18"/>
                <w:szCs w:val="18"/>
              </w:rPr>
              <w:t xml:space="preserve"> </w:t>
            </w:r>
            <w:r w:rsidRPr="009D47F2">
              <w:rPr>
                <w:rFonts w:ascii="Verdana" w:hAnsi="Verdana" w:cs="Verdana"/>
                <w:sz w:val="18"/>
                <w:szCs w:val="18"/>
              </w:rPr>
              <w:t>следва</w:t>
            </w:r>
            <w:r w:rsidRPr="009D47F2">
              <w:rPr>
                <w:rFonts w:ascii="Verdana" w:hAnsi="Verdana"/>
                <w:sz w:val="18"/>
                <w:szCs w:val="18"/>
              </w:rPr>
              <w:t xml:space="preserve"> </w:t>
            </w:r>
            <w:r w:rsidRPr="009D47F2">
              <w:rPr>
                <w:rFonts w:ascii="Verdana" w:hAnsi="Verdana" w:cs="Verdana"/>
                <w:sz w:val="18"/>
                <w:szCs w:val="18"/>
              </w:rPr>
              <w:t>да</w:t>
            </w:r>
            <w:r w:rsidRPr="009D47F2">
              <w:rPr>
                <w:rFonts w:ascii="Verdana" w:hAnsi="Verdana"/>
                <w:sz w:val="18"/>
                <w:szCs w:val="18"/>
              </w:rPr>
              <w:t xml:space="preserve"> </w:t>
            </w:r>
            <w:r w:rsidRPr="009D47F2">
              <w:rPr>
                <w:rFonts w:ascii="Verdana" w:hAnsi="Verdana" w:cs="Verdana"/>
                <w:sz w:val="18"/>
                <w:szCs w:val="18"/>
              </w:rPr>
              <w:t>се</w:t>
            </w:r>
            <w:r w:rsidRPr="009D47F2">
              <w:rPr>
                <w:rFonts w:ascii="Verdana" w:hAnsi="Verdana"/>
                <w:sz w:val="18"/>
                <w:szCs w:val="18"/>
              </w:rPr>
              <w:t xml:space="preserve"> </w:t>
            </w:r>
            <w:r w:rsidRPr="009D47F2">
              <w:rPr>
                <w:rFonts w:ascii="Verdana" w:hAnsi="Verdana" w:cs="Verdana"/>
                <w:sz w:val="18"/>
                <w:szCs w:val="18"/>
              </w:rPr>
              <w:t>изисква</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х</w:t>
            </w:r>
            <w:r w:rsidRPr="009D47F2">
              <w:rPr>
                <w:rFonts w:ascii="Verdana" w:hAnsi="Verdana"/>
                <w:sz w:val="18"/>
                <w:szCs w:val="18"/>
              </w:rPr>
              <w:t>рани с оставащ кратък срок до изтичането на ориентировъчните срокове и определените на база оценка на риска за всеки конкретен случай от бизнес операторите предоставящи на хранителната банка срокове обезпечаващи тяхната безопасност и пригодност при спазване на определените от тях условия на съхранение. Конкретното определяне на този срок следва да бъде допълнително обсъдено с оператора на хранителната банка за отчитане на възможностите и практиката по реализацията на храните.</w:t>
            </w:r>
          </w:p>
        </w:tc>
        <w:tc>
          <w:tcPr>
            <w:tcW w:w="1842" w:type="dxa"/>
            <w:tcBorders>
              <w:top w:val="single" w:sz="12" w:space="0" w:color="2E74B5"/>
              <w:bottom w:val="single" w:sz="12" w:space="0" w:color="2E74B5"/>
            </w:tcBorders>
            <w:shd w:val="clear" w:color="auto" w:fill="auto"/>
          </w:tcPr>
          <w:p w14:paraId="3ACC3070" w14:textId="77777777" w:rsidR="009B153D" w:rsidRPr="009D47F2" w:rsidRDefault="00D85615" w:rsidP="006B03F6">
            <w:pPr>
              <w:spacing w:before="80" w:after="40"/>
              <w:rPr>
                <w:rFonts w:ascii="Verdana" w:hAnsi="Verdana"/>
                <w:sz w:val="18"/>
                <w:szCs w:val="18"/>
              </w:rPr>
            </w:pPr>
            <w:r>
              <w:rPr>
                <w:rFonts w:ascii="Verdana" w:hAnsi="Verdana"/>
                <w:sz w:val="18"/>
                <w:szCs w:val="18"/>
              </w:rPr>
              <w:t>Не се приема</w:t>
            </w:r>
          </w:p>
        </w:tc>
        <w:tc>
          <w:tcPr>
            <w:tcW w:w="4961" w:type="dxa"/>
            <w:tcBorders>
              <w:top w:val="single" w:sz="12" w:space="0" w:color="2E74B5"/>
              <w:bottom w:val="single" w:sz="12" w:space="0" w:color="2E74B5"/>
            </w:tcBorders>
            <w:shd w:val="clear" w:color="auto" w:fill="auto"/>
          </w:tcPr>
          <w:p w14:paraId="466B1047" w14:textId="77777777" w:rsidR="00216A12" w:rsidRDefault="00870893" w:rsidP="006B03F6">
            <w:pPr>
              <w:spacing w:before="80" w:after="40"/>
              <w:jc w:val="both"/>
              <w:rPr>
                <w:rFonts w:ascii="Verdana" w:hAnsi="Verdana"/>
                <w:sz w:val="18"/>
                <w:szCs w:val="18"/>
              </w:rPr>
            </w:pPr>
            <w:r>
              <w:rPr>
                <w:rFonts w:ascii="Verdana" w:hAnsi="Verdana"/>
                <w:sz w:val="18"/>
                <w:szCs w:val="18"/>
              </w:rPr>
              <w:t>С</w:t>
            </w:r>
            <w:r w:rsidR="00D85615">
              <w:rPr>
                <w:rFonts w:ascii="Verdana" w:hAnsi="Verdana"/>
                <w:sz w:val="18"/>
                <w:szCs w:val="18"/>
              </w:rPr>
              <w:t xml:space="preserve"> разпоредбата на чл. 12, ал. 2</w:t>
            </w:r>
            <w:r>
              <w:rPr>
                <w:rFonts w:ascii="Verdana" w:hAnsi="Verdana"/>
                <w:sz w:val="18"/>
                <w:szCs w:val="18"/>
              </w:rPr>
              <w:t xml:space="preserve"> </w:t>
            </w:r>
            <w:r w:rsidR="00D85615">
              <w:t xml:space="preserve"> </w:t>
            </w:r>
            <w:r w:rsidRPr="00870893">
              <w:rPr>
                <w:rFonts w:ascii="Verdana" w:hAnsi="Verdana"/>
                <w:sz w:val="18"/>
                <w:szCs w:val="18"/>
              </w:rPr>
              <w:t>операторът на хранителна банк</w:t>
            </w:r>
            <w:r>
              <w:rPr>
                <w:rFonts w:ascii="Verdana" w:hAnsi="Verdana"/>
                <w:sz w:val="18"/>
                <w:szCs w:val="18"/>
              </w:rPr>
              <w:t>а писмено дава своето съгласие, че приема храните</w:t>
            </w:r>
            <w:r w:rsidR="00D85615" w:rsidRPr="00E60752">
              <w:rPr>
                <w:rFonts w:ascii="Verdana" w:hAnsi="Verdana"/>
                <w:sz w:val="18"/>
                <w:szCs w:val="18"/>
              </w:rPr>
              <w:t xml:space="preserve"> с изтекъл срок на минимална трайност</w:t>
            </w:r>
            <w:r>
              <w:rPr>
                <w:rFonts w:ascii="Verdana" w:hAnsi="Verdana"/>
                <w:sz w:val="18"/>
                <w:szCs w:val="18"/>
              </w:rPr>
              <w:t xml:space="preserve"> и след това </w:t>
            </w:r>
            <w:r w:rsidR="00D85615" w:rsidRPr="00E60752">
              <w:rPr>
                <w:rFonts w:ascii="Verdana" w:hAnsi="Verdana"/>
                <w:sz w:val="18"/>
                <w:szCs w:val="18"/>
              </w:rPr>
              <w:t>няма право да предявява претенции към доставящия ги бизнес оператор</w:t>
            </w:r>
            <w:r w:rsidR="00D85615">
              <w:rPr>
                <w:rFonts w:ascii="Verdana" w:hAnsi="Verdana"/>
                <w:sz w:val="18"/>
                <w:szCs w:val="18"/>
              </w:rPr>
              <w:t>.</w:t>
            </w:r>
          </w:p>
          <w:p w14:paraId="145C5A99" w14:textId="77777777" w:rsidR="00D85615" w:rsidRPr="009D47F2" w:rsidRDefault="00870893" w:rsidP="006B03F6">
            <w:pPr>
              <w:spacing w:before="80" w:after="40"/>
              <w:jc w:val="both"/>
              <w:rPr>
                <w:rFonts w:ascii="Verdana" w:hAnsi="Verdana"/>
                <w:sz w:val="18"/>
                <w:szCs w:val="18"/>
              </w:rPr>
            </w:pPr>
            <w:r>
              <w:rPr>
                <w:rFonts w:ascii="Verdana" w:hAnsi="Verdana"/>
                <w:sz w:val="18"/>
                <w:szCs w:val="18"/>
              </w:rPr>
              <w:t xml:space="preserve">Не </w:t>
            </w:r>
            <w:r w:rsidR="00D85615">
              <w:rPr>
                <w:rFonts w:ascii="Verdana" w:hAnsi="Verdana"/>
                <w:sz w:val="18"/>
                <w:szCs w:val="18"/>
              </w:rPr>
              <w:t>може да бъде пренебре</w:t>
            </w:r>
            <w:r w:rsidR="00815F0A">
              <w:rPr>
                <w:rFonts w:ascii="Verdana" w:hAnsi="Verdana"/>
                <w:sz w:val="18"/>
                <w:szCs w:val="18"/>
              </w:rPr>
              <w:t xml:space="preserve">гнато </w:t>
            </w:r>
            <w:r w:rsidR="00815F0A" w:rsidRPr="00815F0A">
              <w:rPr>
                <w:rFonts w:ascii="Verdana" w:hAnsi="Verdana"/>
                <w:sz w:val="18"/>
                <w:szCs w:val="18"/>
              </w:rPr>
              <w:t>разрешение</w:t>
            </w:r>
            <w:r w:rsidR="009C016D">
              <w:rPr>
                <w:rFonts w:ascii="Verdana" w:hAnsi="Verdana"/>
                <w:sz w:val="18"/>
                <w:szCs w:val="18"/>
              </w:rPr>
              <w:t>то</w:t>
            </w:r>
            <w:r w:rsidR="00815F0A" w:rsidRPr="00815F0A">
              <w:rPr>
                <w:rFonts w:ascii="Verdana" w:hAnsi="Verdana"/>
                <w:sz w:val="18"/>
                <w:szCs w:val="18"/>
              </w:rPr>
              <w:t xml:space="preserve"> </w:t>
            </w:r>
            <w:r w:rsidR="00815F0A">
              <w:rPr>
                <w:rFonts w:ascii="Verdana" w:hAnsi="Verdana"/>
                <w:sz w:val="18"/>
                <w:szCs w:val="18"/>
              </w:rPr>
              <w:t xml:space="preserve">на </w:t>
            </w:r>
            <w:r w:rsidR="00244D9E">
              <w:rPr>
                <w:rFonts w:ascii="Verdana" w:hAnsi="Verdana"/>
                <w:sz w:val="18"/>
                <w:szCs w:val="18"/>
              </w:rPr>
              <w:t>компетентния орган извършващ официален контрол</w:t>
            </w:r>
            <w:r>
              <w:rPr>
                <w:rFonts w:ascii="Verdana" w:hAnsi="Verdana"/>
                <w:sz w:val="18"/>
                <w:szCs w:val="18"/>
              </w:rPr>
              <w:t xml:space="preserve"> </w:t>
            </w:r>
            <w:r w:rsidR="00244D9E">
              <w:rPr>
                <w:rFonts w:ascii="Verdana" w:hAnsi="Verdana"/>
                <w:sz w:val="18"/>
                <w:szCs w:val="18"/>
              </w:rPr>
              <w:t>относно</w:t>
            </w:r>
            <w:r>
              <w:rPr>
                <w:rFonts w:ascii="Verdana" w:hAnsi="Verdana"/>
                <w:sz w:val="18"/>
                <w:szCs w:val="18"/>
              </w:rPr>
              <w:t xml:space="preserve"> </w:t>
            </w:r>
            <w:r w:rsidR="00216A12">
              <w:rPr>
                <w:rFonts w:ascii="Verdana" w:hAnsi="Verdana"/>
                <w:sz w:val="18"/>
                <w:szCs w:val="18"/>
              </w:rPr>
              <w:t>даряване</w:t>
            </w:r>
            <w:r w:rsidR="00244D9E">
              <w:rPr>
                <w:rFonts w:ascii="Verdana" w:hAnsi="Verdana"/>
                <w:sz w:val="18"/>
                <w:szCs w:val="18"/>
              </w:rPr>
              <w:t>то</w:t>
            </w:r>
            <w:r w:rsidR="00216A12">
              <w:rPr>
                <w:rFonts w:ascii="Verdana" w:hAnsi="Verdana"/>
                <w:sz w:val="18"/>
                <w:szCs w:val="18"/>
              </w:rPr>
              <w:t xml:space="preserve"> на храни с изтекъл срок на минимална трайност, съгласно </w:t>
            </w:r>
            <w:r w:rsidR="00216A12" w:rsidRPr="00815F0A">
              <w:rPr>
                <w:rFonts w:ascii="Verdana" w:hAnsi="Verdana"/>
                <w:sz w:val="18"/>
                <w:szCs w:val="18"/>
              </w:rPr>
              <w:t xml:space="preserve">чл. 12, ал. </w:t>
            </w:r>
            <w:r w:rsidR="00216A12">
              <w:rPr>
                <w:rFonts w:ascii="Verdana" w:hAnsi="Verdana"/>
                <w:sz w:val="18"/>
                <w:szCs w:val="18"/>
              </w:rPr>
              <w:t>3 от Наредбата. Всяко разрешение трябва да бъде безпристрастно и да се базира на оценката на риска за появата на евентуална опасност за общественото здраве</w:t>
            </w:r>
            <w:r w:rsidR="00E97820">
              <w:rPr>
                <w:rFonts w:ascii="Verdana" w:hAnsi="Verdana"/>
                <w:sz w:val="18"/>
                <w:szCs w:val="18"/>
              </w:rPr>
              <w:t xml:space="preserve">, съгласно разпоредбите на чл. </w:t>
            </w:r>
            <w:r w:rsidR="00244D9E">
              <w:rPr>
                <w:rFonts w:ascii="Verdana" w:hAnsi="Verdana"/>
                <w:sz w:val="18"/>
                <w:szCs w:val="18"/>
              </w:rPr>
              <w:t xml:space="preserve">9 от </w:t>
            </w:r>
            <w:r w:rsidR="00244D9E" w:rsidRPr="00244D9E">
              <w:rPr>
                <w:rFonts w:ascii="Verdana" w:hAnsi="Verdana"/>
                <w:sz w:val="18"/>
                <w:szCs w:val="18"/>
              </w:rPr>
              <w:t>Регламент (ЕС) 2017/625</w:t>
            </w:r>
            <w:r w:rsidR="00244D9E">
              <w:rPr>
                <w:rFonts w:ascii="Verdana" w:hAnsi="Verdana"/>
                <w:sz w:val="18"/>
                <w:szCs w:val="18"/>
              </w:rPr>
              <w:t>.</w:t>
            </w:r>
          </w:p>
        </w:tc>
      </w:tr>
      <w:tr w:rsidR="009B153D" w:rsidRPr="001F6CB3" w14:paraId="2FB19255" w14:textId="77777777" w:rsidTr="001C47FC">
        <w:trPr>
          <w:trHeight w:val="596"/>
          <w:jc w:val="center"/>
        </w:trPr>
        <w:tc>
          <w:tcPr>
            <w:tcW w:w="622" w:type="dxa"/>
            <w:vMerge/>
            <w:shd w:val="clear" w:color="auto" w:fill="auto"/>
          </w:tcPr>
          <w:p w14:paraId="1311AA28" w14:textId="77777777" w:rsidR="009B153D" w:rsidRPr="009D47F2" w:rsidRDefault="009B153D" w:rsidP="006B03F6">
            <w:pPr>
              <w:pStyle w:val="ListParagraph"/>
              <w:numPr>
                <w:ilvl w:val="0"/>
                <w:numId w:val="10"/>
              </w:numPr>
              <w:tabs>
                <w:tab w:val="left" w:pos="192"/>
              </w:tabs>
              <w:spacing w:before="80" w:after="40"/>
              <w:ind w:left="357" w:hanging="357"/>
              <w:jc w:val="center"/>
              <w:rPr>
                <w:rFonts w:ascii="Verdana" w:hAnsi="Verdana"/>
                <w:b/>
                <w:sz w:val="18"/>
                <w:szCs w:val="18"/>
              </w:rPr>
            </w:pPr>
          </w:p>
        </w:tc>
        <w:tc>
          <w:tcPr>
            <w:tcW w:w="2410" w:type="dxa"/>
            <w:vMerge/>
            <w:shd w:val="clear" w:color="auto" w:fill="auto"/>
          </w:tcPr>
          <w:p w14:paraId="27B982D8" w14:textId="77777777" w:rsidR="009B153D" w:rsidRPr="009D47F2" w:rsidRDefault="009B153D"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12DD68CC"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4. Предлагаме разглеждането на редакция на чл. 14, ал.1, т.</w:t>
            </w:r>
            <w:r w:rsidR="009D47F2" w:rsidRPr="009D47F2">
              <w:rPr>
                <w:rFonts w:ascii="Verdana" w:hAnsi="Verdana"/>
                <w:sz w:val="18"/>
                <w:szCs w:val="18"/>
                <w:lang w:val="en-US"/>
              </w:rPr>
              <w:t xml:space="preserve"> </w:t>
            </w:r>
            <w:r w:rsidRPr="009D47F2">
              <w:rPr>
                <w:rFonts w:ascii="Verdana" w:hAnsi="Verdana"/>
                <w:sz w:val="18"/>
                <w:szCs w:val="18"/>
              </w:rPr>
              <w:t>3 както следва:</w:t>
            </w:r>
          </w:p>
          <w:p w14:paraId="530A02CB"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„нуждаещите се лица и лицата, предоставящи социални услуги, да са писмено информирани, че храните са с изтекъл срок на минимална трайност съгласно чл. 7 от Регламент (ЕС) № 1169/2011, но че са безопасни при спазването на условията за съхранение и консумация в определения по т.4 срок“;</w:t>
            </w:r>
          </w:p>
        </w:tc>
        <w:tc>
          <w:tcPr>
            <w:tcW w:w="1842" w:type="dxa"/>
            <w:tcBorders>
              <w:top w:val="single" w:sz="12" w:space="0" w:color="2E74B5"/>
              <w:bottom w:val="single" w:sz="12" w:space="0" w:color="2E74B5"/>
            </w:tcBorders>
            <w:shd w:val="clear" w:color="auto" w:fill="auto"/>
          </w:tcPr>
          <w:p w14:paraId="421A17CA" w14:textId="77777777" w:rsidR="009B153D" w:rsidRPr="009D47F2" w:rsidRDefault="009C016D" w:rsidP="006B03F6">
            <w:pPr>
              <w:spacing w:before="80" w:after="40"/>
              <w:rPr>
                <w:rFonts w:ascii="Verdana" w:hAnsi="Verdana"/>
                <w:sz w:val="18"/>
                <w:szCs w:val="18"/>
              </w:rPr>
            </w:pPr>
            <w:r>
              <w:rPr>
                <w:rFonts w:ascii="Verdana" w:hAnsi="Verdana"/>
                <w:sz w:val="18"/>
                <w:szCs w:val="18"/>
              </w:rPr>
              <w:t>Приема се</w:t>
            </w:r>
          </w:p>
        </w:tc>
        <w:tc>
          <w:tcPr>
            <w:tcW w:w="4961" w:type="dxa"/>
            <w:tcBorders>
              <w:top w:val="single" w:sz="12" w:space="0" w:color="2E74B5"/>
              <w:bottom w:val="single" w:sz="12" w:space="0" w:color="2E74B5"/>
            </w:tcBorders>
            <w:shd w:val="clear" w:color="auto" w:fill="auto"/>
          </w:tcPr>
          <w:p w14:paraId="7E0F6563" w14:textId="77777777" w:rsidR="009B153D" w:rsidRPr="009D47F2" w:rsidRDefault="009B153D" w:rsidP="006B03F6">
            <w:pPr>
              <w:spacing w:before="80" w:after="40"/>
              <w:jc w:val="both"/>
              <w:rPr>
                <w:rFonts w:ascii="Verdana" w:hAnsi="Verdana"/>
                <w:sz w:val="18"/>
                <w:szCs w:val="18"/>
              </w:rPr>
            </w:pPr>
          </w:p>
        </w:tc>
      </w:tr>
      <w:tr w:rsidR="009B153D" w:rsidRPr="001F6CB3" w14:paraId="32670276" w14:textId="77777777" w:rsidTr="001C47FC">
        <w:trPr>
          <w:trHeight w:val="596"/>
          <w:jc w:val="center"/>
        </w:trPr>
        <w:tc>
          <w:tcPr>
            <w:tcW w:w="622" w:type="dxa"/>
            <w:vMerge/>
            <w:shd w:val="clear" w:color="auto" w:fill="auto"/>
          </w:tcPr>
          <w:p w14:paraId="4A479B06" w14:textId="77777777" w:rsidR="009B153D" w:rsidRPr="009D47F2" w:rsidRDefault="009B153D" w:rsidP="006B03F6">
            <w:pPr>
              <w:pStyle w:val="ListParagraph"/>
              <w:numPr>
                <w:ilvl w:val="0"/>
                <w:numId w:val="10"/>
              </w:numPr>
              <w:tabs>
                <w:tab w:val="left" w:pos="192"/>
              </w:tabs>
              <w:spacing w:before="80" w:after="40"/>
              <w:ind w:left="357" w:hanging="357"/>
              <w:jc w:val="center"/>
              <w:rPr>
                <w:rFonts w:ascii="Verdana" w:hAnsi="Verdana"/>
                <w:b/>
                <w:sz w:val="18"/>
                <w:szCs w:val="18"/>
              </w:rPr>
            </w:pPr>
          </w:p>
        </w:tc>
        <w:tc>
          <w:tcPr>
            <w:tcW w:w="2410" w:type="dxa"/>
            <w:vMerge/>
            <w:shd w:val="clear" w:color="auto" w:fill="auto"/>
          </w:tcPr>
          <w:p w14:paraId="38130E58" w14:textId="77777777" w:rsidR="009B153D" w:rsidRPr="009D47F2" w:rsidRDefault="009B153D"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4E1A25A7"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5. В унисон с направените предложения следва да бъде предвидена и съответстваща редакция на разпоредбите по чл. 16.</w:t>
            </w:r>
          </w:p>
        </w:tc>
        <w:tc>
          <w:tcPr>
            <w:tcW w:w="1842" w:type="dxa"/>
            <w:tcBorders>
              <w:top w:val="single" w:sz="12" w:space="0" w:color="2E74B5"/>
              <w:bottom w:val="single" w:sz="12" w:space="0" w:color="2E74B5"/>
            </w:tcBorders>
            <w:shd w:val="clear" w:color="auto" w:fill="auto"/>
          </w:tcPr>
          <w:p w14:paraId="5C234FC8" w14:textId="77777777" w:rsidR="009B153D" w:rsidRPr="009D47F2" w:rsidRDefault="009C016D" w:rsidP="006B03F6">
            <w:pPr>
              <w:spacing w:before="80" w:after="40"/>
              <w:rPr>
                <w:rFonts w:ascii="Verdana" w:hAnsi="Verdana"/>
                <w:sz w:val="18"/>
                <w:szCs w:val="18"/>
              </w:rPr>
            </w:pPr>
            <w:r>
              <w:rPr>
                <w:rFonts w:ascii="Verdana" w:hAnsi="Verdana"/>
                <w:sz w:val="18"/>
                <w:szCs w:val="18"/>
              </w:rPr>
              <w:t>Не се приема</w:t>
            </w:r>
          </w:p>
        </w:tc>
        <w:tc>
          <w:tcPr>
            <w:tcW w:w="4961" w:type="dxa"/>
            <w:tcBorders>
              <w:top w:val="single" w:sz="12" w:space="0" w:color="2E74B5"/>
              <w:bottom w:val="single" w:sz="12" w:space="0" w:color="2E74B5"/>
            </w:tcBorders>
            <w:shd w:val="clear" w:color="auto" w:fill="auto"/>
          </w:tcPr>
          <w:p w14:paraId="51B89CDF" w14:textId="77777777" w:rsidR="009B153D" w:rsidRPr="009D47F2" w:rsidRDefault="009C016D" w:rsidP="006B03F6">
            <w:pPr>
              <w:spacing w:before="80" w:after="40"/>
              <w:jc w:val="both"/>
              <w:rPr>
                <w:rFonts w:ascii="Verdana" w:hAnsi="Verdana"/>
                <w:sz w:val="18"/>
                <w:szCs w:val="18"/>
              </w:rPr>
            </w:pPr>
            <w:r>
              <w:rPr>
                <w:rFonts w:ascii="Verdana" w:hAnsi="Verdana"/>
                <w:sz w:val="18"/>
                <w:szCs w:val="18"/>
              </w:rPr>
              <w:t>Текстовете на чл. 16 определят реда за даряване на храни</w:t>
            </w:r>
            <w:r w:rsidR="00E5793F">
              <w:rPr>
                <w:rFonts w:ascii="Verdana" w:hAnsi="Verdana"/>
                <w:sz w:val="18"/>
                <w:szCs w:val="18"/>
              </w:rPr>
              <w:t xml:space="preserve"> с изтекъл срок на минимална трайност или</w:t>
            </w:r>
            <w:r>
              <w:rPr>
                <w:rFonts w:ascii="Verdana" w:hAnsi="Verdana"/>
                <w:sz w:val="18"/>
                <w:szCs w:val="18"/>
              </w:rPr>
              <w:t xml:space="preserve"> </w:t>
            </w:r>
            <w:r w:rsidR="00E5793F">
              <w:rPr>
                <w:rFonts w:ascii="Verdana" w:hAnsi="Verdana"/>
                <w:sz w:val="18"/>
                <w:szCs w:val="18"/>
              </w:rPr>
              <w:t xml:space="preserve">яйца </w:t>
            </w:r>
            <w:r w:rsidR="00E5793F" w:rsidRPr="00573534">
              <w:rPr>
                <w:rFonts w:ascii="Verdana" w:hAnsi="Verdana"/>
                <w:sz w:val="18"/>
                <w:szCs w:val="18"/>
              </w:rPr>
              <w:t>от клас А след изтичането на 21-дневния срок от датата на снасянето им</w:t>
            </w:r>
            <w:r w:rsidR="00E5793F">
              <w:rPr>
                <w:rFonts w:ascii="Verdana" w:hAnsi="Verdana"/>
                <w:sz w:val="18"/>
                <w:szCs w:val="18"/>
              </w:rPr>
              <w:t xml:space="preserve"> </w:t>
            </w:r>
            <w:r>
              <w:rPr>
                <w:rFonts w:ascii="Verdana" w:hAnsi="Verdana"/>
                <w:sz w:val="18"/>
                <w:szCs w:val="18"/>
              </w:rPr>
              <w:t>без да се допусне ненужно забавяне.</w:t>
            </w:r>
          </w:p>
        </w:tc>
      </w:tr>
      <w:tr w:rsidR="009B153D" w:rsidRPr="001F6CB3" w14:paraId="00D0BE6F" w14:textId="77777777" w:rsidTr="001C47FC">
        <w:trPr>
          <w:trHeight w:val="596"/>
          <w:jc w:val="center"/>
        </w:trPr>
        <w:tc>
          <w:tcPr>
            <w:tcW w:w="622" w:type="dxa"/>
            <w:vMerge/>
            <w:shd w:val="clear" w:color="auto" w:fill="auto"/>
          </w:tcPr>
          <w:p w14:paraId="34D62E7A" w14:textId="77777777" w:rsidR="009B153D" w:rsidRPr="009D47F2" w:rsidRDefault="009B153D" w:rsidP="006B03F6">
            <w:pPr>
              <w:pStyle w:val="ListParagraph"/>
              <w:numPr>
                <w:ilvl w:val="0"/>
                <w:numId w:val="10"/>
              </w:numPr>
              <w:tabs>
                <w:tab w:val="left" w:pos="192"/>
              </w:tabs>
              <w:spacing w:before="80" w:after="40"/>
              <w:ind w:left="357" w:hanging="357"/>
              <w:jc w:val="center"/>
              <w:rPr>
                <w:rFonts w:ascii="Verdana" w:hAnsi="Verdana"/>
                <w:b/>
                <w:sz w:val="18"/>
                <w:szCs w:val="18"/>
              </w:rPr>
            </w:pPr>
          </w:p>
        </w:tc>
        <w:tc>
          <w:tcPr>
            <w:tcW w:w="2410" w:type="dxa"/>
            <w:vMerge/>
            <w:shd w:val="clear" w:color="auto" w:fill="auto"/>
          </w:tcPr>
          <w:p w14:paraId="17C1CE59" w14:textId="77777777" w:rsidR="009B153D" w:rsidRPr="009D47F2" w:rsidRDefault="009B153D"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0115DF83" w14:textId="77777777" w:rsidR="009B153D" w:rsidRPr="009D47F2" w:rsidRDefault="003125F3" w:rsidP="006B03F6">
            <w:pPr>
              <w:spacing w:before="80" w:after="40"/>
              <w:jc w:val="both"/>
              <w:rPr>
                <w:rFonts w:ascii="Verdana" w:hAnsi="Verdana"/>
                <w:sz w:val="18"/>
                <w:szCs w:val="18"/>
              </w:rPr>
            </w:pPr>
            <w:r>
              <w:rPr>
                <w:rFonts w:ascii="Verdana" w:hAnsi="Verdana"/>
                <w:sz w:val="18"/>
                <w:szCs w:val="18"/>
              </w:rPr>
              <w:t>6. Предлагаме също</w:t>
            </w:r>
            <w:r w:rsidR="009B153D" w:rsidRPr="009D47F2">
              <w:rPr>
                <w:rFonts w:ascii="Verdana" w:hAnsi="Verdana"/>
                <w:sz w:val="18"/>
                <w:szCs w:val="18"/>
              </w:rPr>
              <w:t xml:space="preserve"> така промяна на заглавието на раздел V както следва</w:t>
            </w:r>
          </w:p>
          <w:p w14:paraId="3F2C5A64" w14:textId="77777777" w:rsidR="009B153D" w:rsidRPr="009D47F2" w:rsidRDefault="009B153D" w:rsidP="006B03F6">
            <w:pPr>
              <w:spacing w:before="80" w:after="40"/>
              <w:jc w:val="both"/>
              <w:rPr>
                <w:rFonts w:ascii="Verdana" w:hAnsi="Verdana"/>
                <w:sz w:val="18"/>
                <w:szCs w:val="18"/>
              </w:rPr>
            </w:pPr>
            <w:r w:rsidRPr="009D47F2">
              <w:rPr>
                <w:rFonts w:ascii="Verdana" w:hAnsi="Verdana"/>
                <w:sz w:val="18"/>
                <w:szCs w:val="18"/>
              </w:rPr>
              <w:t>„Специфични изисквания при хранителното банкиране на храни с изтекъл минимален срок на трайност“</w:t>
            </w:r>
          </w:p>
        </w:tc>
        <w:tc>
          <w:tcPr>
            <w:tcW w:w="1842" w:type="dxa"/>
            <w:tcBorders>
              <w:top w:val="single" w:sz="12" w:space="0" w:color="2E74B5"/>
              <w:bottom w:val="single" w:sz="12" w:space="0" w:color="2E74B5"/>
            </w:tcBorders>
            <w:shd w:val="clear" w:color="auto" w:fill="auto"/>
          </w:tcPr>
          <w:p w14:paraId="239471D7" w14:textId="77777777" w:rsidR="009B153D" w:rsidRPr="009D47F2" w:rsidRDefault="00573534" w:rsidP="006B03F6">
            <w:pPr>
              <w:spacing w:before="80" w:after="40"/>
              <w:rPr>
                <w:rFonts w:ascii="Verdana" w:hAnsi="Verdana"/>
                <w:sz w:val="18"/>
                <w:szCs w:val="18"/>
              </w:rPr>
            </w:pPr>
            <w:r>
              <w:rPr>
                <w:rFonts w:ascii="Verdana" w:hAnsi="Verdana"/>
                <w:sz w:val="18"/>
                <w:szCs w:val="18"/>
              </w:rPr>
              <w:t>Не се приема</w:t>
            </w:r>
          </w:p>
        </w:tc>
        <w:tc>
          <w:tcPr>
            <w:tcW w:w="4961" w:type="dxa"/>
            <w:tcBorders>
              <w:top w:val="single" w:sz="12" w:space="0" w:color="2E74B5"/>
              <w:bottom w:val="single" w:sz="12" w:space="0" w:color="2E74B5"/>
            </w:tcBorders>
            <w:shd w:val="clear" w:color="auto" w:fill="auto"/>
          </w:tcPr>
          <w:p w14:paraId="10E01D4D" w14:textId="77777777" w:rsidR="009B153D" w:rsidRPr="009D47F2" w:rsidRDefault="00573534" w:rsidP="006B03F6">
            <w:pPr>
              <w:spacing w:before="80" w:after="40"/>
              <w:jc w:val="both"/>
              <w:rPr>
                <w:rFonts w:ascii="Verdana" w:hAnsi="Verdana"/>
                <w:sz w:val="18"/>
                <w:szCs w:val="18"/>
              </w:rPr>
            </w:pPr>
            <w:r>
              <w:rPr>
                <w:rFonts w:ascii="Verdana" w:hAnsi="Verdana"/>
                <w:sz w:val="18"/>
                <w:szCs w:val="18"/>
              </w:rPr>
              <w:t xml:space="preserve">Разделът се отнася и за яйца </w:t>
            </w:r>
            <w:r w:rsidRPr="00573534">
              <w:rPr>
                <w:rFonts w:ascii="Verdana" w:hAnsi="Verdana"/>
                <w:sz w:val="18"/>
                <w:szCs w:val="18"/>
              </w:rPr>
              <w:t>от клас А след изтичането на 21-дневния срок от датата на снасянето им</w:t>
            </w:r>
            <w:r>
              <w:rPr>
                <w:rFonts w:ascii="Verdana" w:hAnsi="Verdana"/>
                <w:sz w:val="18"/>
                <w:szCs w:val="18"/>
              </w:rPr>
              <w:t xml:space="preserve">. Те </w:t>
            </w:r>
            <w:r w:rsidRPr="00573534">
              <w:rPr>
                <w:rFonts w:ascii="Verdana" w:hAnsi="Verdana"/>
                <w:sz w:val="18"/>
                <w:szCs w:val="18"/>
              </w:rPr>
              <w:t xml:space="preserve">не </w:t>
            </w:r>
            <w:r>
              <w:rPr>
                <w:rFonts w:ascii="Verdana" w:hAnsi="Verdana"/>
                <w:sz w:val="18"/>
                <w:szCs w:val="18"/>
              </w:rPr>
              <w:t xml:space="preserve">трябва да </w:t>
            </w:r>
            <w:r w:rsidRPr="00573534">
              <w:rPr>
                <w:rFonts w:ascii="Verdana" w:hAnsi="Verdana"/>
                <w:sz w:val="18"/>
                <w:szCs w:val="18"/>
              </w:rPr>
              <w:t>са надвишили 28-дневния срок след снасянето, отбелязан на опаковката</w:t>
            </w:r>
            <w:r w:rsidR="00E97820">
              <w:rPr>
                <w:rFonts w:ascii="Verdana" w:hAnsi="Verdana"/>
                <w:sz w:val="18"/>
                <w:szCs w:val="18"/>
              </w:rPr>
              <w:t>.</w:t>
            </w:r>
          </w:p>
        </w:tc>
      </w:tr>
      <w:tr w:rsidR="009B153D" w:rsidRPr="001F6CB3" w14:paraId="149CE398" w14:textId="77777777" w:rsidTr="001C47FC">
        <w:trPr>
          <w:trHeight w:val="596"/>
          <w:jc w:val="center"/>
        </w:trPr>
        <w:tc>
          <w:tcPr>
            <w:tcW w:w="622" w:type="dxa"/>
            <w:vMerge/>
            <w:shd w:val="clear" w:color="auto" w:fill="auto"/>
          </w:tcPr>
          <w:p w14:paraId="63266949" w14:textId="77777777" w:rsidR="009B153D" w:rsidRPr="009D47F2" w:rsidRDefault="009B153D" w:rsidP="006B03F6">
            <w:pPr>
              <w:pStyle w:val="ListParagraph"/>
              <w:numPr>
                <w:ilvl w:val="0"/>
                <w:numId w:val="10"/>
              </w:numPr>
              <w:tabs>
                <w:tab w:val="left" w:pos="192"/>
              </w:tabs>
              <w:spacing w:before="80" w:after="40"/>
              <w:ind w:left="357" w:hanging="357"/>
              <w:jc w:val="center"/>
              <w:rPr>
                <w:rFonts w:ascii="Verdana" w:hAnsi="Verdana"/>
                <w:b/>
                <w:sz w:val="18"/>
                <w:szCs w:val="18"/>
              </w:rPr>
            </w:pPr>
          </w:p>
        </w:tc>
        <w:tc>
          <w:tcPr>
            <w:tcW w:w="2410" w:type="dxa"/>
            <w:vMerge/>
            <w:shd w:val="clear" w:color="auto" w:fill="auto"/>
          </w:tcPr>
          <w:p w14:paraId="53A201DE" w14:textId="77777777" w:rsidR="009B153D" w:rsidRPr="009D47F2" w:rsidRDefault="009B153D"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092E799E" w14:textId="77777777" w:rsidR="00590AF5" w:rsidRPr="009D47F2" w:rsidRDefault="00590AF5" w:rsidP="006B03F6">
            <w:pPr>
              <w:spacing w:before="80" w:after="40"/>
              <w:jc w:val="both"/>
              <w:rPr>
                <w:rFonts w:ascii="Verdana" w:hAnsi="Verdana"/>
                <w:sz w:val="18"/>
                <w:szCs w:val="18"/>
              </w:rPr>
            </w:pPr>
            <w:r w:rsidRPr="009D47F2">
              <w:rPr>
                <w:rFonts w:ascii="Verdana" w:hAnsi="Verdana"/>
                <w:sz w:val="18"/>
                <w:szCs w:val="18"/>
              </w:rPr>
              <w:t>В допълнение бихме искали да предложим включването на референция, регламентираща възможността за преразпределяне на годни за консумация храни, които не са в хипотезата на изтекъл срок на минимална трайност, но:</w:t>
            </w:r>
          </w:p>
          <w:p w14:paraId="56FC5F50" w14:textId="77777777" w:rsidR="00590AF5" w:rsidRPr="009D47F2" w:rsidRDefault="00590AF5" w:rsidP="00E67F54">
            <w:pPr>
              <w:jc w:val="both"/>
              <w:rPr>
                <w:rFonts w:ascii="Verdana" w:hAnsi="Verdana"/>
                <w:sz w:val="18"/>
                <w:szCs w:val="18"/>
              </w:rPr>
            </w:pPr>
            <w:r w:rsidRPr="009D47F2">
              <w:rPr>
                <w:rFonts w:ascii="Cambria Math" w:hAnsi="Cambria Math" w:cs="Cambria Math"/>
                <w:sz w:val="18"/>
                <w:szCs w:val="18"/>
              </w:rPr>
              <w:t>‐</w:t>
            </w:r>
            <w:r w:rsidRPr="009D47F2">
              <w:rPr>
                <w:rFonts w:ascii="Verdana" w:hAnsi="Verdana"/>
                <w:sz w:val="18"/>
                <w:szCs w:val="18"/>
              </w:rPr>
              <w:t xml:space="preserve"> </w:t>
            </w:r>
            <w:r w:rsidRPr="009D47F2">
              <w:rPr>
                <w:rFonts w:ascii="Verdana" w:hAnsi="Verdana" w:cs="Verdana"/>
                <w:sz w:val="18"/>
                <w:szCs w:val="18"/>
              </w:rPr>
              <w:t>не</w:t>
            </w:r>
            <w:r w:rsidRPr="009D47F2">
              <w:rPr>
                <w:rFonts w:ascii="Verdana" w:hAnsi="Verdana"/>
                <w:sz w:val="18"/>
                <w:szCs w:val="18"/>
              </w:rPr>
              <w:t xml:space="preserve"> </w:t>
            </w:r>
            <w:r w:rsidRPr="009D47F2">
              <w:rPr>
                <w:rFonts w:ascii="Verdana" w:hAnsi="Verdana" w:cs="Verdana"/>
                <w:sz w:val="18"/>
                <w:szCs w:val="18"/>
              </w:rPr>
              <w:t>отговарят</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всички</w:t>
            </w:r>
            <w:r w:rsidRPr="009D47F2">
              <w:rPr>
                <w:rFonts w:ascii="Verdana" w:hAnsi="Verdana"/>
                <w:sz w:val="18"/>
                <w:szCs w:val="18"/>
              </w:rPr>
              <w:t xml:space="preserve"> </w:t>
            </w:r>
            <w:r w:rsidRPr="009D47F2">
              <w:rPr>
                <w:rFonts w:ascii="Verdana" w:hAnsi="Verdana" w:cs="Verdana"/>
                <w:sz w:val="18"/>
                <w:szCs w:val="18"/>
              </w:rPr>
              <w:t>изисквания</w:t>
            </w:r>
            <w:r w:rsidRPr="009D47F2">
              <w:rPr>
                <w:rFonts w:ascii="Verdana" w:hAnsi="Verdana"/>
                <w:sz w:val="18"/>
                <w:szCs w:val="18"/>
              </w:rPr>
              <w:t xml:space="preserve">, </w:t>
            </w:r>
            <w:r w:rsidRPr="009D47F2">
              <w:rPr>
                <w:rFonts w:ascii="Verdana" w:hAnsi="Verdana" w:cs="Verdana"/>
                <w:sz w:val="18"/>
                <w:szCs w:val="18"/>
              </w:rPr>
              <w:t>заложени</w:t>
            </w:r>
            <w:r w:rsidRPr="009D47F2">
              <w:rPr>
                <w:rFonts w:ascii="Verdana" w:hAnsi="Verdana"/>
                <w:sz w:val="18"/>
                <w:szCs w:val="18"/>
              </w:rPr>
              <w:t xml:space="preserve"> </w:t>
            </w:r>
            <w:r w:rsidRPr="009D47F2">
              <w:rPr>
                <w:rFonts w:ascii="Verdana" w:hAnsi="Verdana" w:cs="Verdana"/>
                <w:sz w:val="18"/>
                <w:szCs w:val="18"/>
              </w:rPr>
              <w:t>в</w:t>
            </w:r>
            <w:r w:rsidRPr="009D47F2">
              <w:rPr>
                <w:rFonts w:ascii="Verdana" w:hAnsi="Verdana"/>
                <w:sz w:val="18"/>
                <w:szCs w:val="18"/>
              </w:rPr>
              <w:t xml:space="preserve"> </w:t>
            </w:r>
            <w:r w:rsidRPr="009D47F2">
              <w:rPr>
                <w:rFonts w:ascii="Verdana" w:hAnsi="Verdana" w:cs="Verdana"/>
                <w:sz w:val="18"/>
                <w:szCs w:val="18"/>
              </w:rPr>
              <w:t>спецификациите</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производителя</w:t>
            </w:r>
            <w:r w:rsidRPr="009D47F2">
              <w:rPr>
                <w:rFonts w:ascii="Verdana" w:hAnsi="Verdana"/>
                <w:sz w:val="18"/>
                <w:szCs w:val="18"/>
              </w:rPr>
              <w:t xml:space="preserve"> </w:t>
            </w:r>
            <w:r w:rsidRPr="009D47F2">
              <w:rPr>
                <w:rFonts w:ascii="Verdana" w:hAnsi="Verdana" w:cs="Verdana"/>
                <w:sz w:val="18"/>
                <w:szCs w:val="18"/>
              </w:rPr>
              <w:t>или</w:t>
            </w:r>
            <w:r w:rsidRPr="009D47F2">
              <w:rPr>
                <w:rFonts w:ascii="Verdana" w:hAnsi="Verdana"/>
                <w:sz w:val="18"/>
                <w:szCs w:val="18"/>
              </w:rPr>
              <w:t xml:space="preserve"> </w:t>
            </w:r>
            <w:r w:rsidRPr="009D47F2">
              <w:rPr>
                <w:rFonts w:ascii="Verdana" w:hAnsi="Verdana" w:cs="Verdana"/>
                <w:sz w:val="18"/>
                <w:szCs w:val="18"/>
              </w:rPr>
              <w:t>очаквания</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клиентите</w:t>
            </w:r>
            <w:r w:rsidRPr="009D47F2">
              <w:rPr>
                <w:rFonts w:ascii="Verdana" w:hAnsi="Verdana"/>
                <w:sz w:val="18"/>
                <w:szCs w:val="18"/>
              </w:rPr>
              <w:t>;</w:t>
            </w:r>
          </w:p>
          <w:p w14:paraId="2AE173C1" w14:textId="77777777" w:rsidR="00590AF5" w:rsidRPr="009D47F2" w:rsidRDefault="00590AF5" w:rsidP="00E67F54">
            <w:pPr>
              <w:jc w:val="both"/>
              <w:rPr>
                <w:rFonts w:ascii="Verdana" w:hAnsi="Verdana"/>
                <w:sz w:val="18"/>
                <w:szCs w:val="18"/>
              </w:rPr>
            </w:pPr>
            <w:r w:rsidRPr="009D47F2">
              <w:rPr>
                <w:rFonts w:ascii="Cambria Math" w:hAnsi="Cambria Math" w:cs="Cambria Math"/>
                <w:sz w:val="18"/>
                <w:szCs w:val="18"/>
              </w:rPr>
              <w:t>‐</w:t>
            </w:r>
            <w:r w:rsidRPr="009D47F2">
              <w:rPr>
                <w:rFonts w:ascii="Verdana" w:hAnsi="Verdana"/>
                <w:sz w:val="18"/>
                <w:szCs w:val="18"/>
              </w:rPr>
              <w:t xml:space="preserve"> </w:t>
            </w:r>
            <w:r w:rsidRPr="009D47F2">
              <w:rPr>
                <w:rFonts w:ascii="Verdana" w:hAnsi="Verdana" w:cs="Verdana"/>
                <w:sz w:val="18"/>
                <w:szCs w:val="18"/>
              </w:rPr>
              <w:t>са</w:t>
            </w:r>
            <w:r w:rsidRPr="009D47F2">
              <w:rPr>
                <w:rFonts w:ascii="Verdana" w:hAnsi="Verdana"/>
                <w:sz w:val="18"/>
                <w:szCs w:val="18"/>
              </w:rPr>
              <w:t xml:space="preserve"> </w:t>
            </w:r>
            <w:r w:rsidRPr="009D47F2">
              <w:rPr>
                <w:rFonts w:ascii="Verdana" w:hAnsi="Verdana" w:cs="Verdana"/>
                <w:sz w:val="18"/>
                <w:szCs w:val="18"/>
              </w:rPr>
              <w:t>с</w:t>
            </w:r>
            <w:r w:rsidRPr="009D47F2">
              <w:rPr>
                <w:rFonts w:ascii="Verdana" w:hAnsi="Verdana"/>
                <w:sz w:val="18"/>
                <w:szCs w:val="18"/>
              </w:rPr>
              <w:t xml:space="preserve"> </w:t>
            </w:r>
            <w:r w:rsidRPr="009D47F2">
              <w:rPr>
                <w:rFonts w:ascii="Verdana" w:hAnsi="Verdana" w:cs="Verdana"/>
                <w:sz w:val="18"/>
                <w:szCs w:val="18"/>
              </w:rPr>
              <w:t>променени</w:t>
            </w:r>
            <w:r w:rsidRPr="009D47F2">
              <w:rPr>
                <w:rFonts w:ascii="Verdana" w:hAnsi="Verdana"/>
                <w:sz w:val="18"/>
                <w:szCs w:val="18"/>
              </w:rPr>
              <w:t xml:space="preserve"> </w:t>
            </w:r>
            <w:r w:rsidRPr="009D47F2">
              <w:rPr>
                <w:rFonts w:ascii="Verdana" w:hAnsi="Verdana" w:cs="Verdana"/>
                <w:sz w:val="18"/>
                <w:szCs w:val="18"/>
              </w:rPr>
              <w:t>в</w:t>
            </w:r>
            <w:r w:rsidRPr="009D47F2">
              <w:rPr>
                <w:rFonts w:ascii="Verdana" w:hAnsi="Verdana"/>
                <w:sz w:val="18"/>
                <w:szCs w:val="18"/>
              </w:rPr>
              <w:t xml:space="preserve"> </w:t>
            </w:r>
            <w:r w:rsidRPr="009D47F2">
              <w:rPr>
                <w:rFonts w:ascii="Verdana" w:hAnsi="Verdana" w:cs="Verdana"/>
                <w:sz w:val="18"/>
                <w:szCs w:val="18"/>
              </w:rPr>
              <w:t>опак</w:t>
            </w:r>
            <w:r w:rsidRPr="009D47F2">
              <w:rPr>
                <w:rFonts w:ascii="Verdana" w:hAnsi="Verdana"/>
                <w:sz w:val="18"/>
                <w:szCs w:val="18"/>
              </w:rPr>
              <w:t>овките и/или етикетите, но които не компрометират нито безопасността на храните, нито информацията за потребителите;</w:t>
            </w:r>
          </w:p>
          <w:p w14:paraId="262277F9" w14:textId="77777777" w:rsidR="009B153D" w:rsidRPr="009D47F2" w:rsidRDefault="00590AF5" w:rsidP="00E67F54">
            <w:pPr>
              <w:spacing w:after="40"/>
              <w:jc w:val="both"/>
              <w:rPr>
                <w:rFonts w:ascii="Verdana" w:hAnsi="Verdana"/>
                <w:sz w:val="18"/>
                <w:szCs w:val="18"/>
              </w:rPr>
            </w:pPr>
            <w:r w:rsidRPr="009D47F2">
              <w:rPr>
                <w:rFonts w:ascii="Cambria Math" w:hAnsi="Cambria Math" w:cs="Cambria Math"/>
                <w:sz w:val="18"/>
                <w:szCs w:val="18"/>
              </w:rPr>
              <w:t>‐</w:t>
            </w:r>
            <w:r w:rsidRPr="009D47F2">
              <w:rPr>
                <w:rFonts w:ascii="Verdana" w:hAnsi="Verdana"/>
                <w:sz w:val="18"/>
                <w:szCs w:val="18"/>
              </w:rPr>
              <w:t xml:space="preserve"> </w:t>
            </w:r>
            <w:r w:rsidRPr="009D47F2">
              <w:rPr>
                <w:rFonts w:ascii="Verdana" w:hAnsi="Verdana" w:cs="Verdana"/>
                <w:sz w:val="18"/>
                <w:szCs w:val="18"/>
              </w:rPr>
              <w:t>са</w:t>
            </w:r>
            <w:r w:rsidRPr="009D47F2">
              <w:rPr>
                <w:rFonts w:ascii="Verdana" w:hAnsi="Verdana"/>
                <w:sz w:val="18"/>
                <w:szCs w:val="18"/>
              </w:rPr>
              <w:t xml:space="preserve"> </w:t>
            </w:r>
            <w:r w:rsidRPr="009D47F2">
              <w:rPr>
                <w:rFonts w:ascii="Verdana" w:hAnsi="Verdana" w:cs="Verdana"/>
                <w:sz w:val="18"/>
                <w:szCs w:val="18"/>
              </w:rPr>
              <w:t>маркирани</w:t>
            </w:r>
            <w:r w:rsidRPr="009D47F2">
              <w:rPr>
                <w:rFonts w:ascii="Verdana" w:hAnsi="Verdana"/>
                <w:sz w:val="18"/>
                <w:szCs w:val="18"/>
              </w:rPr>
              <w:t>/</w:t>
            </w:r>
            <w:r w:rsidRPr="009D47F2">
              <w:rPr>
                <w:rFonts w:ascii="Verdana" w:hAnsi="Verdana" w:cs="Verdana"/>
                <w:sz w:val="18"/>
                <w:szCs w:val="18"/>
              </w:rPr>
              <w:t>обозначени</w:t>
            </w:r>
            <w:r w:rsidRPr="009D47F2">
              <w:rPr>
                <w:rFonts w:ascii="Verdana" w:hAnsi="Verdana"/>
                <w:sz w:val="18"/>
                <w:szCs w:val="18"/>
              </w:rPr>
              <w:t xml:space="preserve"> </w:t>
            </w:r>
            <w:r w:rsidRPr="009D47F2">
              <w:rPr>
                <w:rFonts w:ascii="Verdana" w:hAnsi="Verdana" w:cs="Verdana"/>
                <w:sz w:val="18"/>
                <w:szCs w:val="18"/>
              </w:rPr>
              <w:t>по</w:t>
            </w:r>
            <w:r w:rsidRPr="009D47F2">
              <w:rPr>
                <w:rFonts w:ascii="Verdana" w:hAnsi="Verdana"/>
                <w:sz w:val="18"/>
                <w:szCs w:val="18"/>
              </w:rPr>
              <w:t xml:space="preserve"> </w:t>
            </w:r>
            <w:r w:rsidRPr="009D47F2">
              <w:rPr>
                <w:rFonts w:ascii="Verdana" w:hAnsi="Verdana" w:cs="Verdana"/>
                <w:sz w:val="18"/>
                <w:szCs w:val="18"/>
              </w:rPr>
              <w:t>време</w:t>
            </w:r>
            <w:r w:rsidRPr="009D47F2">
              <w:rPr>
                <w:rFonts w:ascii="Verdana" w:hAnsi="Verdana"/>
                <w:sz w:val="18"/>
                <w:szCs w:val="18"/>
              </w:rPr>
              <w:t xml:space="preserve"> (</w:t>
            </w:r>
            <w:r w:rsidRPr="009D47F2">
              <w:rPr>
                <w:rFonts w:ascii="Verdana" w:hAnsi="Verdana" w:cs="Verdana"/>
                <w:sz w:val="18"/>
                <w:szCs w:val="18"/>
              </w:rPr>
              <w:t>като</w:t>
            </w:r>
            <w:r w:rsidRPr="009D47F2">
              <w:rPr>
                <w:rFonts w:ascii="Verdana" w:hAnsi="Verdana"/>
                <w:sz w:val="18"/>
                <w:szCs w:val="18"/>
              </w:rPr>
              <w:t xml:space="preserve"> </w:t>
            </w:r>
            <w:r w:rsidRPr="009D47F2">
              <w:rPr>
                <w:rFonts w:ascii="Verdana" w:hAnsi="Verdana" w:cs="Verdana"/>
                <w:sz w:val="18"/>
                <w:szCs w:val="18"/>
              </w:rPr>
              <w:t>продукти</w:t>
            </w:r>
            <w:r w:rsidRPr="009D47F2">
              <w:rPr>
                <w:rFonts w:ascii="Verdana" w:hAnsi="Verdana"/>
                <w:sz w:val="18"/>
                <w:szCs w:val="18"/>
              </w:rPr>
              <w:t xml:space="preserve">, </w:t>
            </w:r>
            <w:r w:rsidRPr="009D47F2">
              <w:rPr>
                <w:rFonts w:ascii="Verdana" w:hAnsi="Verdana" w:cs="Verdana"/>
                <w:sz w:val="18"/>
                <w:szCs w:val="18"/>
              </w:rPr>
              <w:t>предназначени</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о</w:t>
            </w:r>
            <w:r w:rsidRPr="009D47F2">
              <w:rPr>
                <w:rFonts w:ascii="Verdana" w:hAnsi="Verdana"/>
                <w:sz w:val="18"/>
                <w:szCs w:val="18"/>
              </w:rPr>
              <w:t>пределен празничен сезон или промоционална дейност) но не са реализирани в рамките на дадена кампания).</w:t>
            </w:r>
          </w:p>
        </w:tc>
        <w:tc>
          <w:tcPr>
            <w:tcW w:w="1842" w:type="dxa"/>
            <w:tcBorders>
              <w:top w:val="single" w:sz="12" w:space="0" w:color="2E74B5"/>
              <w:bottom w:val="single" w:sz="12" w:space="0" w:color="2E74B5"/>
            </w:tcBorders>
            <w:shd w:val="clear" w:color="auto" w:fill="auto"/>
          </w:tcPr>
          <w:p w14:paraId="13616287" w14:textId="77777777" w:rsidR="009B153D" w:rsidRPr="009D47F2" w:rsidRDefault="00970834" w:rsidP="006B03F6">
            <w:pPr>
              <w:spacing w:before="80" w:after="40"/>
              <w:rPr>
                <w:rFonts w:ascii="Verdana" w:hAnsi="Verdana"/>
                <w:sz w:val="18"/>
                <w:szCs w:val="18"/>
              </w:rPr>
            </w:pPr>
            <w:r>
              <w:rPr>
                <w:rFonts w:ascii="Verdana" w:hAnsi="Verdana"/>
                <w:sz w:val="18"/>
                <w:szCs w:val="18"/>
              </w:rPr>
              <w:t>Приема се по принцип</w:t>
            </w:r>
          </w:p>
        </w:tc>
        <w:tc>
          <w:tcPr>
            <w:tcW w:w="4961" w:type="dxa"/>
            <w:tcBorders>
              <w:top w:val="single" w:sz="12" w:space="0" w:color="2E74B5"/>
              <w:bottom w:val="single" w:sz="12" w:space="0" w:color="2E74B5"/>
            </w:tcBorders>
            <w:shd w:val="clear" w:color="auto" w:fill="auto"/>
          </w:tcPr>
          <w:p w14:paraId="1A0D8B12" w14:textId="77777777" w:rsidR="009B153D" w:rsidRPr="003333E9" w:rsidRDefault="00E97820" w:rsidP="006B03F6">
            <w:pPr>
              <w:spacing w:before="80" w:after="40"/>
              <w:jc w:val="both"/>
              <w:rPr>
                <w:rFonts w:ascii="Verdana" w:hAnsi="Verdana"/>
                <w:sz w:val="18"/>
                <w:szCs w:val="18"/>
              </w:rPr>
            </w:pPr>
            <w:r>
              <w:rPr>
                <w:rFonts w:ascii="Verdana" w:hAnsi="Verdana"/>
                <w:sz w:val="18"/>
                <w:szCs w:val="18"/>
              </w:rPr>
              <w:t xml:space="preserve">Текстовете на </w:t>
            </w:r>
            <w:r w:rsidR="00970834">
              <w:rPr>
                <w:rFonts w:ascii="Verdana" w:hAnsi="Verdana"/>
                <w:sz w:val="18"/>
                <w:szCs w:val="18"/>
              </w:rPr>
              <w:t xml:space="preserve">Наредбата не </w:t>
            </w:r>
            <w:r>
              <w:rPr>
                <w:rFonts w:ascii="Verdana" w:hAnsi="Verdana"/>
                <w:sz w:val="18"/>
                <w:szCs w:val="18"/>
              </w:rPr>
              <w:t>забраняват</w:t>
            </w:r>
            <w:r w:rsidR="00970834">
              <w:rPr>
                <w:rFonts w:ascii="Verdana" w:hAnsi="Verdana"/>
                <w:sz w:val="18"/>
                <w:szCs w:val="18"/>
              </w:rPr>
              <w:t xml:space="preserve"> приемането на посочените храни от оператора на хранителната</w:t>
            </w:r>
            <w:r w:rsidR="003333E9">
              <w:rPr>
                <w:rFonts w:ascii="Verdana" w:hAnsi="Verdana"/>
                <w:sz w:val="18"/>
                <w:szCs w:val="18"/>
                <w:lang w:val="en-US"/>
              </w:rPr>
              <w:t xml:space="preserve"> </w:t>
            </w:r>
            <w:r w:rsidR="003333E9">
              <w:rPr>
                <w:rFonts w:ascii="Verdana" w:hAnsi="Verdana"/>
                <w:sz w:val="18"/>
                <w:szCs w:val="18"/>
              </w:rPr>
              <w:t>банка</w:t>
            </w:r>
            <w:r w:rsidR="003125F3">
              <w:rPr>
                <w:rFonts w:ascii="Verdana" w:hAnsi="Verdana"/>
                <w:sz w:val="18"/>
                <w:szCs w:val="18"/>
              </w:rPr>
              <w:t>.</w:t>
            </w:r>
          </w:p>
        </w:tc>
      </w:tr>
      <w:tr w:rsidR="009B153D" w:rsidRPr="001F6CB3" w14:paraId="09515D59" w14:textId="77777777" w:rsidTr="001C47FC">
        <w:trPr>
          <w:trHeight w:val="596"/>
          <w:jc w:val="center"/>
        </w:trPr>
        <w:tc>
          <w:tcPr>
            <w:tcW w:w="622" w:type="dxa"/>
            <w:vMerge/>
            <w:shd w:val="clear" w:color="auto" w:fill="auto"/>
          </w:tcPr>
          <w:p w14:paraId="61D3FE95" w14:textId="77777777" w:rsidR="009B153D" w:rsidRPr="009D47F2" w:rsidRDefault="009B153D" w:rsidP="006B03F6">
            <w:pPr>
              <w:pStyle w:val="ListParagraph"/>
              <w:numPr>
                <w:ilvl w:val="0"/>
                <w:numId w:val="10"/>
              </w:numPr>
              <w:tabs>
                <w:tab w:val="left" w:pos="192"/>
              </w:tabs>
              <w:spacing w:before="80" w:after="40"/>
              <w:ind w:left="357" w:hanging="357"/>
              <w:jc w:val="center"/>
              <w:rPr>
                <w:rFonts w:ascii="Verdana" w:hAnsi="Verdana"/>
                <w:b/>
                <w:sz w:val="18"/>
                <w:szCs w:val="18"/>
              </w:rPr>
            </w:pPr>
          </w:p>
        </w:tc>
        <w:tc>
          <w:tcPr>
            <w:tcW w:w="2410" w:type="dxa"/>
            <w:vMerge/>
            <w:shd w:val="clear" w:color="auto" w:fill="auto"/>
          </w:tcPr>
          <w:p w14:paraId="1CDA7518" w14:textId="77777777" w:rsidR="009B153D" w:rsidRPr="009D47F2" w:rsidRDefault="009B153D" w:rsidP="006B03F6">
            <w:pPr>
              <w:spacing w:before="80" w:after="40"/>
              <w:rPr>
                <w:rFonts w:ascii="Verdana" w:hAnsi="Verdana"/>
                <w:b/>
                <w:bCs/>
                <w:color w:val="000000"/>
                <w:spacing w:val="-2"/>
                <w:w w:val="86"/>
                <w:sz w:val="18"/>
                <w:szCs w:val="18"/>
              </w:rPr>
            </w:pPr>
          </w:p>
        </w:tc>
        <w:tc>
          <w:tcPr>
            <w:tcW w:w="5815" w:type="dxa"/>
            <w:tcBorders>
              <w:top w:val="single" w:sz="12" w:space="0" w:color="2E74B5"/>
              <w:bottom w:val="single" w:sz="12" w:space="0" w:color="2E74B5"/>
            </w:tcBorders>
            <w:shd w:val="clear" w:color="auto" w:fill="auto"/>
          </w:tcPr>
          <w:p w14:paraId="3AC8302B" w14:textId="77777777" w:rsidR="009B153D" w:rsidRDefault="00590AF5" w:rsidP="006B03F6">
            <w:pPr>
              <w:spacing w:before="80" w:after="40"/>
              <w:jc w:val="both"/>
              <w:rPr>
                <w:rFonts w:ascii="Verdana" w:hAnsi="Verdana"/>
                <w:sz w:val="18"/>
                <w:szCs w:val="18"/>
                <w:lang w:val="en-US"/>
              </w:rPr>
            </w:pPr>
            <w:r w:rsidRPr="009D47F2">
              <w:rPr>
                <w:rFonts w:ascii="Verdana" w:hAnsi="Verdana"/>
                <w:sz w:val="18"/>
                <w:szCs w:val="18"/>
              </w:rPr>
              <w:t xml:space="preserve">Следвайки практиката в някои ДЧ, считаме за уместно включването и на и възможността за преразпределение чрез хранително банкиране на храни с неправилно етикетиране и/или грешки в етикетирането (т.е. когато не е обезпечено представянето на задължителната информацията директно на етикета), забраняващи достъпа на хранителния продукт до обичайните канали за продажба на дребно. С цел обезпечаването, че крайния получател на храната ще разполага с цялата задължителна информация за нея, в случаите, когато за предварително опакованите храни е невъзможно и/или необосновано да бъдат етикетирани повторно преди тяхното преразпределение чрез дарение, следва да бъде предвидено предоставянето на цялата необходима информация от отговорния бизнес оператор (по смисъла на член 8, параграф 1 на Регламент 1169/2011) на оператора на хранителната банка. Обосновано изключение следва да са случаите, когато грешката при </w:t>
            </w:r>
            <w:r w:rsidRPr="009D47F2">
              <w:rPr>
                <w:rFonts w:ascii="Verdana" w:hAnsi="Verdana"/>
                <w:sz w:val="18"/>
                <w:szCs w:val="18"/>
              </w:rPr>
              <w:lastRenderedPageBreak/>
              <w:t>етикетирането може да има последици за общественото здраве (например, свързана с информация за наличието на алергени), налагащи коригирането на грешката върху етикета на съответния продукт, преди да може да бъде дарена.</w:t>
            </w:r>
          </w:p>
          <w:p w14:paraId="455F2A86" w14:textId="77777777" w:rsidR="00AA7A14" w:rsidRDefault="00AA7A14" w:rsidP="00AA7A14">
            <w:pPr>
              <w:spacing w:before="80" w:after="40"/>
              <w:jc w:val="both"/>
              <w:rPr>
                <w:rFonts w:ascii="Verdana" w:hAnsi="Verdana"/>
                <w:sz w:val="18"/>
                <w:szCs w:val="18"/>
                <w:lang w:val="en-US"/>
              </w:rPr>
            </w:pPr>
            <w:r w:rsidRPr="009D47F2">
              <w:rPr>
                <w:rFonts w:ascii="Verdana" w:hAnsi="Verdana"/>
                <w:sz w:val="18"/>
                <w:szCs w:val="18"/>
              </w:rPr>
              <w:t>В заключение и в контекста на ръководните насоки на ЕС за даряването на храни и принципните положения в тази връзка, обръщаме внимание, че освен хранителните банки като организации преразпределящи излишък от храни, те включват също даряването на храни от операторите на всеки етап по агрохранителна верига и на набиращи мрежи и други организации, предоставящи безвъзмездно храни не на регулярна основа, а в рамките на конкретно събитие, или пък директното даряване на самите потребители (напр. служители). С разбирането, че заложеният обхват на Наредбата се предпоставя от законовата делегация (чл. 108 от Закона за храните) вярваме, че разработването от страна на Министерството и/или от БАБХ на национално Ръководство, регламентиращо основните принципи и разпределения на отговорности при даряването на храни при посочените по</w:t>
            </w:r>
            <w:r w:rsidRPr="009D47F2">
              <w:rPr>
                <w:rFonts w:ascii="Cambria Math" w:hAnsi="Cambria Math" w:cs="Cambria Math"/>
                <w:sz w:val="18"/>
                <w:szCs w:val="18"/>
              </w:rPr>
              <w:t>‐</w:t>
            </w:r>
            <w:r w:rsidRPr="009D47F2">
              <w:rPr>
                <w:rFonts w:ascii="Verdana" w:hAnsi="Verdana" w:cs="Verdana"/>
                <w:sz w:val="18"/>
                <w:szCs w:val="18"/>
              </w:rPr>
              <w:t>горе</w:t>
            </w:r>
            <w:r w:rsidRPr="009D47F2">
              <w:rPr>
                <w:rFonts w:ascii="Verdana" w:hAnsi="Verdana"/>
                <w:sz w:val="18"/>
                <w:szCs w:val="18"/>
              </w:rPr>
              <w:t xml:space="preserve"> </w:t>
            </w:r>
            <w:r w:rsidRPr="009D47F2">
              <w:rPr>
                <w:rFonts w:ascii="Verdana" w:hAnsi="Verdana" w:cs="Verdana"/>
                <w:sz w:val="18"/>
                <w:szCs w:val="18"/>
              </w:rPr>
              <w:t>хипотези</w:t>
            </w:r>
            <w:r w:rsidRPr="009D47F2">
              <w:rPr>
                <w:rFonts w:ascii="Verdana" w:hAnsi="Verdana"/>
                <w:sz w:val="18"/>
                <w:szCs w:val="18"/>
              </w:rPr>
              <w:t xml:space="preserve">, </w:t>
            </w:r>
            <w:r w:rsidRPr="009D47F2">
              <w:rPr>
                <w:rFonts w:ascii="Verdana" w:hAnsi="Verdana" w:cs="Verdana"/>
                <w:sz w:val="18"/>
                <w:szCs w:val="18"/>
              </w:rPr>
              <w:t>би</w:t>
            </w:r>
            <w:r w:rsidRPr="009D47F2">
              <w:rPr>
                <w:rFonts w:ascii="Verdana" w:hAnsi="Verdana"/>
                <w:sz w:val="18"/>
                <w:szCs w:val="18"/>
              </w:rPr>
              <w:t xml:space="preserve"> </w:t>
            </w:r>
            <w:r w:rsidRPr="009D47F2">
              <w:rPr>
                <w:rFonts w:ascii="Verdana" w:hAnsi="Verdana" w:cs="Verdana"/>
                <w:sz w:val="18"/>
                <w:szCs w:val="18"/>
              </w:rPr>
              <w:t>способствало</w:t>
            </w:r>
            <w:r w:rsidRPr="009D47F2">
              <w:rPr>
                <w:rFonts w:ascii="Verdana" w:hAnsi="Verdana"/>
                <w:sz w:val="18"/>
                <w:szCs w:val="18"/>
              </w:rPr>
              <w:t xml:space="preserve"> </w:t>
            </w:r>
            <w:r w:rsidRPr="009D47F2">
              <w:rPr>
                <w:rFonts w:ascii="Verdana" w:hAnsi="Verdana" w:cs="Verdana"/>
                <w:sz w:val="18"/>
                <w:szCs w:val="18"/>
              </w:rPr>
              <w:t>както</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намаляване</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разхищенията</w:t>
            </w:r>
            <w:r w:rsidRPr="009D47F2">
              <w:rPr>
                <w:rFonts w:ascii="Verdana" w:hAnsi="Verdana"/>
                <w:sz w:val="18"/>
                <w:szCs w:val="18"/>
              </w:rPr>
              <w:t xml:space="preserve"> </w:t>
            </w:r>
            <w:r w:rsidRPr="009D47F2">
              <w:rPr>
                <w:rFonts w:ascii="Verdana" w:hAnsi="Verdana" w:cs="Verdana"/>
                <w:sz w:val="18"/>
                <w:szCs w:val="18"/>
              </w:rPr>
              <w:t>и</w:t>
            </w:r>
            <w:r w:rsidRPr="009D47F2">
              <w:rPr>
                <w:rFonts w:ascii="Verdana" w:hAnsi="Verdana"/>
                <w:sz w:val="18"/>
                <w:szCs w:val="18"/>
              </w:rPr>
              <w:t xml:space="preserve"> </w:t>
            </w:r>
            <w:r w:rsidRPr="009D47F2">
              <w:rPr>
                <w:rFonts w:ascii="Verdana" w:hAnsi="Verdana" w:cs="Verdana"/>
                <w:sz w:val="18"/>
                <w:szCs w:val="18"/>
              </w:rPr>
              <w:t>загубите</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храни</w:t>
            </w:r>
            <w:r w:rsidRPr="009D47F2">
              <w:rPr>
                <w:rFonts w:ascii="Verdana" w:hAnsi="Verdana"/>
                <w:sz w:val="18"/>
                <w:szCs w:val="18"/>
              </w:rPr>
              <w:t xml:space="preserve">, </w:t>
            </w:r>
            <w:r w:rsidRPr="009D47F2">
              <w:rPr>
                <w:rFonts w:ascii="Verdana" w:hAnsi="Verdana" w:cs="Verdana"/>
                <w:sz w:val="18"/>
                <w:szCs w:val="18"/>
              </w:rPr>
              <w:t>но</w:t>
            </w:r>
            <w:r w:rsidRPr="009D47F2">
              <w:rPr>
                <w:rFonts w:ascii="Verdana" w:hAnsi="Verdana"/>
                <w:sz w:val="18"/>
                <w:szCs w:val="18"/>
              </w:rPr>
              <w:t xml:space="preserve"> </w:t>
            </w:r>
            <w:r w:rsidRPr="009D47F2">
              <w:rPr>
                <w:rFonts w:ascii="Verdana" w:hAnsi="Verdana" w:cs="Verdana"/>
                <w:sz w:val="18"/>
                <w:szCs w:val="18"/>
              </w:rPr>
              <w:t>би</w:t>
            </w:r>
            <w:r w:rsidRPr="009D47F2">
              <w:rPr>
                <w:rFonts w:ascii="Verdana" w:hAnsi="Verdana"/>
                <w:sz w:val="18"/>
                <w:szCs w:val="18"/>
              </w:rPr>
              <w:t xml:space="preserve"> </w:t>
            </w:r>
            <w:r w:rsidRPr="009D47F2">
              <w:rPr>
                <w:rFonts w:ascii="Verdana" w:hAnsi="Verdana" w:cs="Verdana"/>
                <w:sz w:val="18"/>
                <w:szCs w:val="18"/>
              </w:rPr>
              <w:t>допринесло</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поддържането</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високите</w:t>
            </w:r>
            <w:r w:rsidRPr="009D47F2">
              <w:rPr>
                <w:rFonts w:ascii="Verdana" w:hAnsi="Verdana"/>
                <w:sz w:val="18"/>
                <w:szCs w:val="18"/>
              </w:rPr>
              <w:t xml:space="preserve"> </w:t>
            </w:r>
            <w:r w:rsidRPr="009D47F2">
              <w:rPr>
                <w:rFonts w:ascii="Verdana" w:hAnsi="Verdana" w:cs="Verdana"/>
                <w:sz w:val="18"/>
                <w:szCs w:val="18"/>
              </w:rPr>
              <w:t>гаранции</w:t>
            </w:r>
            <w:r w:rsidRPr="009D47F2">
              <w:rPr>
                <w:rFonts w:ascii="Verdana" w:hAnsi="Verdana"/>
                <w:sz w:val="18"/>
                <w:szCs w:val="18"/>
              </w:rPr>
              <w:t xml:space="preserve">, </w:t>
            </w:r>
            <w:r w:rsidRPr="009D47F2">
              <w:rPr>
                <w:rFonts w:ascii="Verdana" w:hAnsi="Verdana" w:cs="Verdana"/>
                <w:sz w:val="18"/>
                <w:szCs w:val="18"/>
              </w:rPr>
              <w:t>които</w:t>
            </w:r>
            <w:r w:rsidRPr="009D47F2">
              <w:rPr>
                <w:rFonts w:ascii="Verdana" w:hAnsi="Verdana"/>
                <w:sz w:val="18"/>
                <w:szCs w:val="18"/>
              </w:rPr>
              <w:t xml:space="preserve"> </w:t>
            </w:r>
            <w:r w:rsidRPr="009D47F2">
              <w:rPr>
                <w:rFonts w:ascii="Verdana" w:hAnsi="Verdana" w:cs="Verdana"/>
                <w:sz w:val="18"/>
                <w:szCs w:val="18"/>
              </w:rPr>
              <w:t>прилагат</w:t>
            </w:r>
            <w:r w:rsidRPr="009D47F2">
              <w:rPr>
                <w:rFonts w:ascii="Verdana" w:hAnsi="Verdana"/>
                <w:sz w:val="18"/>
                <w:szCs w:val="18"/>
              </w:rPr>
              <w:t xml:space="preserve"> </w:t>
            </w:r>
            <w:r w:rsidRPr="009D47F2">
              <w:rPr>
                <w:rFonts w:ascii="Verdana" w:hAnsi="Verdana" w:cs="Verdana"/>
                <w:sz w:val="18"/>
                <w:szCs w:val="18"/>
              </w:rPr>
              <w:t>отговорните</w:t>
            </w:r>
            <w:r w:rsidRPr="009D47F2">
              <w:rPr>
                <w:rFonts w:ascii="Verdana" w:hAnsi="Verdana"/>
                <w:sz w:val="18"/>
                <w:szCs w:val="18"/>
              </w:rPr>
              <w:t xml:space="preserve"> </w:t>
            </w:r>
            <w:r w:rsidRPr="009D47F2">
              <w:rPr>
                <w:rFonts w:ascii="Verdana" w:hAnsi="Verdana" w:cs="Verdana"/>
                <w:sz w:val="18"/>
                <w:szCs w:val="18"/>
              </w:rPr>
              <w:t>стопански</w:t>
            </w:r>
            <w:r w:rsidRPr="009D47F2">
              <w:rPr>
                <w:rFonts w:ascii="Verdana" w:hAnsi="Verdana"/>
                <w:sz w:val="18"/>
                <w:szCs w:val="18"/>
              </w:rPr>
              <w:t xml:space="preserve"> </w:t>
            </w:r>
            <w:r w:rsidRPr="009D47F2">
              <w:rPr>
                <w:rFonts w:ascii="Verdana" w:hAnsi="Verdana" w:cs="Verdana"/>
                <w:sz w:val="18"/>
                <w:szCs w:val="18"/>
              </w:rPr>
              <w:t>субекти</w:t>
            </w:r>
            <w:r w:rsidRPr="009D47F2">
              <w:rPr>
                <w:rFonts w:ascii="Verdana" w:hAnsi="Verdana"/>
                <w:sz w:val="18"/>
                <w:szCs w:val="18"/>
              </w:rPr>
              <w:t xml:space="preserve"> </w:t>
            </w:r>
            <w:r w:rsidRPr="009D47F2">
              <w:rPr>
                <w:rFonts w:ascii="Verdana" w:hAnsi="Verdana" w:cs="Verdana"/>
                <w:sz w:val="18"/>
                <w:szCs w:val="18"/>
              </w:rPr>
              <w:t>в</w:t>
            </w:r>
            <w:r w:rsidRPr="009D47F2">
              <w:rPr>
                <w:rFonts w:ascii="Verdana" w:hAnsi="Verdana"/>
                <w:sz w:val="18"/>
                <w:szCs w:val="18"/>
              </w:rPr>
              <w:t xml:space="preserve"> </w:t>
            </w:r>
            <w:r w:rsidRPr="009D47F2">
              <w:rPr>
                <w:rFonts w:ascii="Verdana" w:hAnsi="Verdana" w:cs="Verdana"/>
                <w:sz w:val="18"/>
                <w:szCs w:val="18"/>
              </w:rPr>
              <w:t>агрохранителната</w:t>
            </w:r>
            <w:r w:rsidRPr="009D47F2">
              <w:rPr>
                <w:rFonts w:ascii="Verdana" w:hAnsi="Verdana"/>
                <w:sz w:val="18"/>
                <w:szCs w:val="18"/>
              </w:rPr>
              <w:t xml:space="preserve"> </w:t>
            </w:r>
            <w:r w:rsidRPr="009D47F2">
              <w:rPr>
                <w:rFonts w:ascii="Verdana" w:hAnsi="Verdana" w:cs="Verdana"/>
                <w:sz w:val="18"/>
                <w:szCs w:val="18"/>
              </w:rPr>
              <w:t>верига</w:t>
            </w:r>
            <w:r w:rsidRPr="009D47F2">
              <w:rPr>
                <w:rFonts w:ascii="Verdana" w:hAnsi="Verdana"/>
                <w:sz w:val="18"/>
                <w:szCs w:val="18"/>
              </w:rPr>
              <w:t xml:space="preserve"> </w:t>
            </w:r>
            <w:r w:rsidRPr="009D47F2">
              <w:rPr>
                <w:rFonts w:ascii="Verdana" w:hAnsi="Verdana" w:cs="Verdana"/>
                <w:sz w:val="18"/>
                <w:szCs w:val="18"/>
              </w:rPr>
              <w:t>за</w:t>
            </w:r>
            <w:r w:rsidRPr="009D47F2">
              <w:rPr>
                <w:rFonts w:ascii="Verdana" w:hAnsi="Verdana"/>
                <w:sz w:val="18"/>
                <w:szCs w:val="18"/>
              </w:rPr>
              <w:t xml:space="preserve"> </w:t>
            </w:r>
            <w:r w:rsidRPr="009D47F2">
              <w:rPr>
                <w:rFonts w:ascii="Verdana" w:hAnsi="Verdana" w:cs="Verdana"/>
                <w:sz w:val="18"/>
                <w:szCs w:val="18"/>
              </w:rPr>
              <w:t>безопасността</w:t>
            </w:r>
            <w:r w:rsidRPr="009D47F2">
              <w:rPr>
                <w:rFonts w:ascii="Verdana" w:hAnsi="Verdana"/>
                <w:sz w:val="18"/>
                <w:szCs w:val="18"/>
              </w:rPr>
              <w:t xml:space="preserve"> </w:t>
            </w:r>
            <w:r w:rsidRPr="009D47F2">
              <w:rPr>
                <w:rFonts w:ascii="Verdana" w:hAnsi="Verdana" w:cs="Verdana"/>
                <w:sz w:val="18"/>
                <w:szCs w:val="18"/>
              </w:rPr>
              <w:t>на</w:t>
            </w:r>
            <w:r w:rsidRPr="009D47F2">
              <w:rPr>
                <w:rFonts w:ascii="Verdana" w:hAnsi="Verdana"/>
                <w:sz w:val="18"/>
                <w:szCs w:val="18"/>
              </w:rPr>
              <w:t xml:space="preserve"> </w:t>
            </w:r>
            <w:r w:rsidRPr="009D47F2">
              <w:rPr>
                <w:rFonts w:ascii="Verdana" w:hAnsi="Verdana" w:cs="Verdana"/>
                <w:sz w:val="18"/>
                <w:szCs w:val="18"/>
              </w:rPr>
              <w:t>храните</w:t>
            </w:r>
            <w:r w:rsidRPr="009D47F2">
              <w:rPr>
                <w:rFonts w:ascii="Verdana" w:hAnsi="Verdana"/>
                <w:sz w:val="18"/>
                <w:szCs w:val="18"/>
              </w:rPr>
              <w:t>.</w:t>
            </w:r>
          </w:p>
          <w:p w14:paraId="6EEF21C1" w14:textId="77777777" w:rsidR="00AA7A14" w:rsidRPr="009D47F2" w:rsidRDefault="00AA7A14" w:rsidP="00AA7A14">
            <w:pPr>
              <w:spacing w:before="80" w:after="40"/>
              <w:jc w:val="both"/>
              <w:rPr>
                <w:rFonts w:ascii="Verdana" w:hAnsi="Verdana"/>
                <w:sz w:val="18"/>
                <w:szCs w:val="18"/>
              </w:rPr>
            </w:pPr>
            <w:r w:rsidRPr="009D47F2">
              <w:rPr>
                <w:rFonts w:ascii="Verdana" w:hAnsi="Verdana"/>
                <w:sz w:val="18"/>
                <w:szCs w:val="18"/>
              </w:rPr>
              <w:t>ПРИЛОЖЕНИЕ</w:t>
            </w:r>
          </w:p>
          <w:p w14:paraId="66EEE977" w14:textId="77777777" w:rsidR="00AA7A14" w:rsidRPr="009D47F2" w:rsidRDefault="00AA7A14" w:rsidP="00AA7A14">
            <w:pPr>
              <w:spacing w:before="80" w:after="40"/>
              <w:jc w:val="both"/>
              <w:rPr>
                <w:rFonts w:ascii="Verdana" w:hAnsi="Verdana"/>
                <w:sz w:val="18"/>
                <w:szCs w:val="18"/>
              </w:rPr>
            </w:pPr>
            <w:r w:rsidRPr="009D47F2">
              <w:rPr>
                <w:rFonts w:ascii="Verdana" w:hAnsi="Verdana"/>
                <w:sz w:val="18"/>
                <w:szCs w:val="18"/>
              </w:rPr>
              <w:t>Ориентировъчните срокове за различни видове храни, прилагани в някои ДЧ (Италия и Белгия), съответно регламентирани в:</w:t>
            </w:r>
          </w:p>
          <w:p w14:paraId="767F59E9" w14:textId="77777777" w:rsidR="00AA7A14" w:rsidRPr="009D47F2" w:rsidRDefault="00AA7A14" w:rsidP="00AA7A14">
            <w:pPr>
              <w:pStyle w:val="ListParagraph"/>
              <w:numPr>
                <w:ilvl w:val="0"/>
                <w:numId w:val="16"/>
              </w:numPr>
              <w:spacing w:before="80" w:after="40"/>
              <w:ind w:left="0" w:firstLine="0"/>
              <w:jc w:val="both"/>
              <w:rPr>
                <w:rFonts w:ascii="Verdana" w:hAnsi="Verdana"/>
                <w:noProof/>
                <w:sz w:val="18"/>
                <w:szCs w:val="18"/>
              </w:rPr>
            </w:pPr>
            <w:r w:rsidRPr="009D47F2">
              <w:rPr>
                <w:rFonts w:ascii="Verdana" w:hAnsi="Verdana"/>
                <w:noProof/>
                <w:sz w:val="18"/>
                <w:szCs w:val="18"/>
              </w:rPr>
              <w:t xml:space="preserve">Italy </w:t>
            </w:r>
            <w:r w:rsidRPr="009D47F2">
              <w:rPr>
                <w:rFonts w:ascii="Cambria Math" w:hAnsi="Cambria Math" w:cs="Cambria Math"/>
                <w:noProof/>
                <w:sz w:val="18"/>
                <w:szCs w:val="18"/>
              </w:rPr>
              <w:t>‐</w:t>
            </w:r>
            <w:r w:rsidRPr="009D47F2">
              <w:rPr>
                <w:rFonts w:ascii="Verdana" w:hAnsi="Verdana"/>
                <w:noProof/>
                <w:sz w:val="18"/>
                <w:szCs w:val="18"/>
              </w:rPr>
              <w:t xml:space="preserve"> Manual of Good Practices for Charitable Organisations, Caritas Italiana, Fondazione Banco Alimentare Onlus, March 2016;</w:t>
            </w:r>
          </w:p>
          <w:p w14:paraId="0EA93E20" w14:textId="77777777" w:rsidR="00AA7A14" w:rsidRPr="009D47F2" w:rsidRDefault="00AA7A14" w:rsidP="00AA7A14">
            <w:pPr>
              <w:pStyle w:val="ListParagraph"/>
              <w:numPr>
                <w:ilvl w:val="0"/>
                <w:numId w:val="16"/>
              </w:numPr>
              <w:spacing w:before="80" w:after="40"/>
              <w:ind w:left="0" w:firstLine="0"/>
              <w:jc w:val="both"/>
              <w:rPr>
                <w:rFonts w:ascii="Verdana" w:hAnsi="Verdana"/>
                <w:noProof/>
                <w:sz w:val="18"/>
                <w:szCs w:val="18"/>
              </w:rPr>
            </w:pPr>
            <w:r w:rsidRPr="009D47F2">
              <w:rPr>
                <w:rFonts w:ascii="Verdana" w:hAnsi="Verdana"/>
                <w:noProof/>
                <w:sz w:val="18"/>
                <w:szCs w:val="18"/>
              </w:rPr>
              <w:t>Belgian food safety agency Circulaire relative aux dispositions applicables aux banques alimentaires et associations caritatives, 08/02/2017.</w:t>
            </w:r>
          </w:p>
          <w:p w14:paraId="03CAE0D4" w14:textId="0DC11C7B" w:rsidR="00AA7A14" w:rsidRPr="00AA7A14" w:rsidRDefault="00AA7A14" w:rsidP="00AA7A14">
            <w:pPr>
              <w:spacing w:before="80" w:after="40"/>
              <w:jc w:val="both"/>
              <w:rPr>
                <w:rFonts w:ascii="Verdana" w:hAnsi="Verdana"/>
                <w:sz w:val="18"/>
                <w:szCs w:val="18"/>
                <w:lang w:val="en-US"/>
              </w:rPr>
            </w:pPr>
            <w:r w:rsidRPr="009D47F2">
              <w:rPr>
                <w:rFonts w:ascii="Verdana" w:hAnsi="Verdana"/>
                <w:sz w:val="18"/>
                <w:szCs w:val="18"/>
              </w:rPr>
              <w:object w:dxaOrig="1539" w:dyaOrig="997" w14:anchorId="20D27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AcroExch.Document.11" ShapeID="_x0000_i1025" DrawAspect="Icon" ObjectID="_1672225693" r:id="rId10"/>
              </w:object>
            </w:r>
          </w:p>
        </w:tc>
        <w:tc>
          <w:tcPr>
            <w:tcW w:w="1842" w:type="dxa"/>
            <w:tcBorders>
              <w:top w:val="single" w:sz="12" w:space="0" w:color="2E74B5"/>
              <w:bottom w:val="single" w:sz="12" w:space="0" w:color="2E74B5"/>
            </w:tcBorders>
            <w:shd w:val="clear" w:color="auto" w:fill="auto"/>
          </w:tcPr>
          <w:p w14:paraId="191FE6F5" w14:textId="77777777" w:rsidR="009B153D" w:rsidRPr="009D47F2" w:rsidRDefault="00970834" w:rsidP="006B03F6">
            <w:pPr>
              <w:spacing w:before="80" w:after="40"/>
              <w:rPr>
                <w:rFonts w:ascii="Verdana" w:hAnsi="Verdana"/>
                <w:sz w:val="18"/>
                <w:szCs w:val="18"/>
              </w:rPr>
            </w:pPr>
            <w:r>
              <w:rPr>
                <w:rFonts w:ascii="Verdana" w:hAnsi="Verdana"/>
                <w:sz w:val="18"/>
                <w:szCs w:val="18"/>
              </w:rPr>
              <w:lastRenderedPageBreak/>
              <w:t xml:space="preserve">Приема се по принцип </w:t>
            </w:r>
          </w:p>
        </w:tc>
        <w:tc>
          <w:tcPr>
            <w:tcW w:w="4961" w:type="dxa"/>
            <w:tcBorders>
              <w:top w:val="single" w:sz="12" w:space="0" w:color="2E74B5"/>
              <w:bottom w:val="single" w:sz="12" w:space="0" w:color="2E74B5"/>
            </w:tcBorders>
            <w:shd w:val="clear" w:color="auto" w:fill="auto"/>
          </w:tcPr>
          <w:p w14:paraId="77EBF27B" w14:textId="77777777" w:rsidR="009B153D" w:rsidRDefault="002714EB" w:rsidP="006B03F6">
            <w:pPr>
              <w:spacing w:before="80" w:after="40"/>
              <w:jc w:val="both"/>
              <w:rPr>
                <w:rFonts w:ascii="Verdana" w:hAnsi="Verdana"/>
                <w:sz w:val="18"/>
                <w:szCs w:val="18"/>
              </w:rPr>
            </w:pPr>
            <w:r>
              <w:rPr>
                <w:rFonts w:ascii="Verdana" w:hAnsi="Verdana"/>
                <w:sz w:val="18"/>
                <w:szCs w:val="18"/>
              </w:rPr>
              <w:t xml:space="preserve">Разпоредбата е разписана в чл. </w:t>
            </w:r>
            <w:r>
              <w:rPr>
                <w:rFonts w:ascii="Verdana" w:hAnsi="Verdana"/>
                <w:sz w:val="18"/>
                <w:szCs w:val="18"/>
                <w:lang w:val="en-US"/>
              </w:rPr>
              <w:t xml:space="preserve">6, </w:t>
            </w:r>
            <w:r>
              <w:rPr>
                <w:rFonts w:ascii="Verdana" w:hAnsi="Verdana"/>
                <w:sz w:val="18"/>
                <w:szCs w:val="18"/>
              </w:rPr>
              <w:t>чл. 7, ал. 1 и ал. 2 и чл. 9 от Наредбата.</w:t>
            </w:r>
          </w:p>
          <w:p w14:paraId="31C262B4" w14:textId="77777777" w:rsidR="00970834" w:rsidRPr="009D47F2" w:rsidRDefault="00970834" w:rsidP="006B03F6">
            <w:pPr>
              <w:spacing w:before="80" w:after="40"/>
              <w:jc w:val="both"/>
              <w:rPr>
                <w:rFonts w:ascii="Verdana" w:hAnsi="Verdana"/>
                <w:sz w:val="18"/>
                <w:szCs w:val="18"/>
              </w:rPr>
            </w:pPr>
            <w:r>
              <w:rPr>
                <w:rFonts w:ascii="Verdana" w:hAnsi="Verdana"/>
                <w:sz w:val="18"/>
                <w:szCs w:val="18"/>
              </w:rPr>
              <w:t>Корек</w:t>
            </w:r>
            <w:r w:rsidR="002714EB">
              <w:rPr>
                <w:rFonts w:ascii="Verdana" w:hAnsi="Verdana"/>
                <w:sz w:val="18"/>
                <w:szCs w:val="18"/>
              </w:rPr>
              <w:t>цията на етикетите</w:t>
            </w:r>
            <w:r>
              <w:rPr>
                <w:rFonts w:ascii="Verdana" w:hAnsi="Verdana"/>
                <w:sz w:val="18"/>
                <w:szCs w:val="18"/>
              </w:rPr>
              <w:t xml:space="preserve"> на храните</w:t>
            </w:r>
            <w:r w:rsidR="002714EB">
              <w:rPr>
                <w:rFonts w:ascii="Verdana" w:hAnsi="Verdana"/>
                <w:sz w:val="18"/>
                <w:szCs w:val="18"/>
              </w:rPr>
              <w:t xml:space="preserve"> и предоставянето на информация за храните</w:t>
            </w:r>
            <w:r>
              <w:rPr>
                <w:rFonts w:ascii="Verdana" w:hAnsi="Verdana"/>
                <w:sz w:val="18"/>
                <w:szCs w:val="18"/>
              </w:rPr>
              <w:t xml:space="preserve"> преди даряване е отговорност на бизнес оператора, който ги дарява.</w:t>
            </w:r>
          </w:p>
        </w:tc>
      </w:tr>
    </w:tbl>
    <w:p w14:paraId="33F1DFC4" w14:textId="396361F0" w:rsidR="003845F9" w:rsidRPr="00702986" w:rsidRDefault="003845F9" w:rsidP="00E21F18">
      <w:pPr>
        <w:ind w:left="284"/>
        <w:rPr>
          <w:rFonts w:ascii="Verdana" w:hAnsi="Verdana" w:cs="Verdana"/>
          <w:color w:val="000000" w:themeColor="text1"/>
          <w:sz w:val="16"/>
          <w:szCs w:val="16"/>
          <w:vertAlign w:val="superscript"/>
        </w:rPr>
      </w:pPr>
      <w:bookmarkStart w:id="0" w:name="_GoBack"/>
      <w:bookmarkEnd w:id="0"/>
    </w:p>
    <w:sectPr w:rsidR="003845F9" w:rsidRPr="00702986" w:rsidSect="00866AB0">
      <w:footerReference w:type="even" r:id="rId11"/>
      <w:footerReference w:type="default" r:id="rId12"/>
      <w:pgSz w:w="16838" w:h="11906" w:orient="landscape" w:code="9"/>
      <w:pgMar w:top="1134" w:right="1077" w:bottom="567" w:left="107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54AE62" w16cid:durableId="23749BBF"/>
  <w16cid:commentId w16cid:paraId="7156B6E8" w16cid:durableId="23749C39"/>
  <w16cid:commentId w16cid:paraId="69903871" w16cid:durableId="23749D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550BA" w14:textId="77777777" w:rsidR="002021FE" w:rsidRDefault="002021FE">
      <w:r>
        <w:separator/>
      </w:r>
    </w:p>
  </w:endnote>
  <w:endnote w:type="continuationSeparator" w:id="0">
    <w:p w14:paraId="7C40601E" w14:textId="77777777" w:rsidR="002021FE" w:rsidRDefault="0020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27F0E" w14:textId="77777777" w:rsidR="00573534" w:rsidRDefault="00573534"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12045" w14:textId="77777777" w:rsidR="00573534" w:rsidRDefault="00573534"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rFonts w:ascii="Verdana" w:hAnsi="Verdana"/>
        <w:noProof/>
        <w:sz w:val="18"/>
        <w:szCs w:val="18"/>
      </w:rPr>
    </w:sdtEndPr>
    <w:sdtContent>
      <w:p w14:paraId="2C99B1BE" w14:textId="3198D11B" w:rsidR="00573534" w:rsidRPr="007329D4" w:rsidRDefault="00573534" w:rsidP="00AF12B7">
        <w:pPr>
          <w:pStyle w:val="Footer"/>
          <w:jc w:val="right"/>
          <w:rPr>
            <w:rFonts w:ascii="Verdana" w:hAnsi="Verdana"/>
            <w:sz w:val="18"/>
            <w:szCs w:val="18"/>
          </w:rPr>
        </w:pPr>
        <w:r w:rsidRPr="007329D4">
          <w:rPr>
            <w:rFonts w:ascii="Verdana" w:hAnsi="Verdana"/>
            <w:sz w:val="18"/>
            <w:szCs w:val="18"/>
          </w:rPr>
          <w:fldChar w:fldCharType="begin"/>
        </w:r>
        <w:r w:rsidRPr="007329D4">
          <w:rPr>
            <w:rFonts w:ascii="Verdana" w:hAnsi="Verdana"/>
            <w:sz w:val="18"/>
            <w:szCs w:val="18"/>
          </w:rPr>
          <w:instrText xml:space="preserve"> PAGE   \* MERGEFORMAT </w:instrText>
        </w:r>
        <w:r w:rsidRPr="007329D4">
          <w:rPr>
            <w:rFonts w:ascii="Verdana" w:hAnsi="Verdana"/>
            <w:sz w:val="18"/>
            <w:szCs w:val="18"/>
          </w:rPr>
          <w:fldChar w:fldCharType="separate"/>
        </w:r>
        <w:r w:rsidR="00E21F18">
          <w:rPr>
            <w:rFonts w:ascii="Verdana" w:hAnsi="Verdana"/>
            <w:noProof/>
            <w:sz w:val="18"/>
            <w:szCs w:val="18"/>
          </w:rPr>
          <w:t>13</w:t>
        </w:r>
        <w:r w:rsidRPr="007329D4">
          <w:rPr>
            <w:rFonts w:ascii="Verdana" w:hAnsi="Verdan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A468F" w14:textId="77777777" w:rsidR="002021FE" w:rsidRDefault="002021FE">
      <w:r>
        <w:separator/>
      </w:r>
    </w:p>
  </w:footnote>
  <w:footnote w:type="continuationSeparator" w:id="0">
    <w:p w14:paraId="5AEDB2C0" w14:textId="77777777" w:rsidR="002021FE" w:rsidRDefault="00202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096"/>
    <w:multiLevelType w:val="multilevel"/>
    <w:tmpl w:val="565EE99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86508FB"/>
    <w:multiLevelType w:val="hybridMultilevel"/>
    <w:tmpl w:val="37A2C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3">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90340"/>
    <w:multiLevelType w:val="multilevel"/>
    <w:tmpl w:val="8E8C1D8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64871E7"/>
    <w:multiLevelType w:val="hybridMultilevel"/>
    <w:tmpl w:val="AA2A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66EDC"/>
    <w:multiLevelType w:val="multilevel"/>
    <w:tmpl w:val="8482CD34"/>
    <w:lvl w:ilvl="0">
      <w:start w:val="1"/>
      <w:numFmt w:val="decimal"/>
      <w:suff w:val="space"/>
      <w:lvlText w:val="%1."/>
      <w:lvlJc w:val="right"/>
      <w:pPr>
        <w:ind w:left="170" w:firstLine="227"/>
      </w:pPr>
      <w:rPr>
        <w:rFonts w:hint="default"/>
      </w:rPr>
    </w:lvl>
    <w:lvl w:ilvl="1">
      <w:start w:val="1"/>
      <w:numFmt w:val="lowerLetter"/>
      <w:lvlText w:val="%2."/>
      <w:lvlJc w:val="left"/>
      <w:pPr>
        <w:ind w:left="1370" w:hanging="360"/>
      </w:pPr>
      <w:rPr>
        <w:rFonts w:hint="default"/>
      </w:rPr>
    </w:lvl>
    <w:lvl w:ilvl="2">
      <w:start w:val="1"/>
      <w:numFmt w:val="lowerRoman"/>
      <w:lvlText w:val="%3."/>
      <w:lvlJc w:val="right"/>
      <w:pPr>
        <w:ind w:left="2090" w:hanging="180"/>
      </w:pPr>
      <w:rPr>
        <w:rFonts w:hint="default"/>
      </w:rPr>
    </w:lvl>
    <w:lvl w:ilvl="3">
      <w:start w:val="1"/>
      <w:numFmt w:val="decimal"/>
      <w:lvlText w:val="%4."/>
      <w:lvlJc w:val="left"/>
      <w:pPr>
        <w:ind w:left="2810" w:hanging="360"/>
      </w:pPr>
      <w:rPr>
        <w:rFonts w:hint="default"/>
      </w:rPr>
    </w:lvl>
    <w:lvl w:ilvl="4">
      <w:start w:val="1"/>
      <w:numFmt w:val="lowerLetter"/>
      <w:lvlText w:val="%5."/>
      <w:lvlJc w:val="left"/>
      <w:pPr>
        <w:ind w:left="3530" w:hanging="360"/>
      </w:pPr>
      <w:rPr>
        <w:rFonts w:hint="default"/>
      </w:rPr>
    </w:lvl>
    <w:lvl w:ilvl="5">
      <w:start w:val="1"/>
      <w:numFmt w:val="lowerRoman"/>
      <w:lvlText w:val="%6."/>
      <w:lvlJc w:val="right"/>
      <w:pPr>
        <w:ind w:left="4250" w:hanging="180"/>
      </w:pPr>
      <w:rPr>
        <w:rFonts w:hint="default"/>
      </w:rPr>
    </w:lvl>
    <w:lvl w:ilvl="6">
      <w:start w:val="1"/>
      <w:numFmt w:val="decimal"/>
      <w:lvlText w:val="%7."/>
      <w:lvlJc w:val="left"/>
      <w:pPr>
        <w:ind w:left="4970" w:hanging="360"/>
      </w:pPr>
      <w:rPr>
        <w:rFonts w:hint="default"/>
      </w:rPr>
    </w:lvl>
    <w:lvl w:ilvl="7">
      <w:start w:val="1"/>
      <w:numFmt w:val="lowerLetter"/>
      <w:lvlText w:val="%8."/>
      <w:lvlJc w:val="left"/>
      <w:pPr>
        <w:ind w:left="5690" w:hanging="360"/>
      </w:pPr>
      <w:rPr>
        <w:rFonts w:hint="default"/>
      </w:rPr>
    </w:lvl>
    <w:lvl w:ilvl="8">
      <w:start w:val="1"/>
      <w:numFmt w:val="lowerRoman"/>
      <w:lvlText w:val="%9."/>
      <w:lvlJc w:val="right"/>
      <w:pPr>
        <w:ind w:left="6410" w:hanging="180"/>
      </w:pPr>
      <w:rPr>
        <w:rFonts w:hint="default"/>
      </w:rPr>
    </w:lvl>
  </w:abstractNum>
  <w:abstractNum w:abstractNumId="8">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4C71853"/>
    <w:multiLevelType w:val="hybridMultilevel"/>
    <w:tmpl w:val="B48A96D8"/>
    <w:lvl w:ilvl="0" w:tplc="3354766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353B8B"/>
    <w:multiLevelType w:val="multilevel"/>
    <w:tmpl w:val="8E8C1D8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B4E2C89"/>
    <w:multiLevelType w:val="multilevel"/>
    <w:tmpl w:val="8482CD34"/>
    <w:lvl w:ilvl="0">
      <w:start w:val="1"/>
      <w:numFmt w:val="decimal"/>
      <w:suff w:val="space"/>
      <w:lvlText w:val="%1."/>
      <w:lvlJc w:val="right"/>
      <w:pPr>
        <w:ind w:left="170" w:firstLine="227"/>
      </w:pPr>
      <w:rPr>
        <w:rFonts w:hint="default"/>
      </w:rPr>
    </w:lvl>
    <w:lvl w:ilvl="1">
      <w:start w:val="1"/>
      <w:numFmt w:val="lowerLetter"/>
      <w:lvlText w:val="%2."/>
      <w:lvlJc w:val="left"/>
      <w:pPr>
        <w:ind w:left="1370" w:hanging="360"/>
      </w:pPr>
      <w:rPr>
        <w:rFonts w:hint="default"/>
      </w:rPr>
    </w:lvl>
    <w:lvl w:ilvl="2">
      <w:start w:val="1"/>
      <w:numFmt w:val="lowerRoman"/>
      <w:lvlText w:val="%3."/>
      <w:lvlJc w:val="right"/>
      <w:pPr>
        <w:ind w:left="2090" w:hanging="180"/>
      </w:pPr>
      <w:rPr>
        <w:rFonts w:hint="default"/>
      </w:rPr>
    </w:lvl>
    <w:lvl w:ilvl="3">
      <w:start w:val="1"/>
      <w:numFmt w:val="decimal"/>
      <w:lvlText w:val="%4."/>
      <w:lvlJc w:val="left"/>
      <w:pPr>
        <w:ind w:left="2810" w:hanging="360"/>
      </w:pPr>
      <w:rPr>
        <w:rFonts w:hint="default"/>
      </w:rPr>
    </w:lvl>
    <w:lvl w:ilvl="4">
      <w:start w:val="1"/>
      <w:numFmt w:val="lowerLetter"/>
      <w:lvlText w:val="%5."/>
      <w:lvlJc w:val="left"/>
      <w:pPr>
        <w:ind w:left="3530" w:hanging="360"/>
      </w:pPr>
      <w:rPr>
        <w:rFonts w:hint="default"/>
      </w:rPr>
    </w:lvl>
    <w:lvl w:ilvl="5">
      <w:start w:val="1"/>
      <w:numFmt w:val="lowerRoman"/>
      <w:lvlText w:val="%6."/>
      <w:lvlJc w:val="right"/>
      <w:pPr>
        <w:ind w:left="4250" w:hanging="180"/>
      </w:pPr>
      <w:rPr>
        <w:rFonts w:hint="default"/>
      </w:rPr>
    </w:lvl>
    <w:lvl w:ilvl="6">
      <w:start w:val="1"/>
      <w:numFmt w:val="decimal"/>
      <w:lvlText w:val="%7."/>
      <w:lvlJc w:val="left"/>
      <w:pPr>
        <w:ind w:left="4970" w:hanging="360"/>
      </w:pPr>
      <w:rPr>
        <w:rFonts w:hint="default"/>
      </w:rPr>
    </w:lvl>
    <w:lvl w:ilvl="7">
      <w:start w:val="1"/>
      <w:numFmt w:val="lowerLetter"/>
      <w:lvlText w:val="%8."/>
      <w:lvlJc w:val="left"/>
      <w:pPr>
        <w:ind w:left="5690" w:hanging="360"/>
      </w:pPr>
      <w:rPr>
        <w:rFonts w:hint="default"/>
      </w:rPr>
    </w:lvl>
    <w:lvl w:ilvl="8">
      <w:start w:val="1"/>
      <w:numFmt w:val="lowerRoman"/>
      <w:lvlText w:val="%9."/>
      <w:lvlJc w:val="right"/>
      <w:pPr>
        <w:ind w:left="6410" w:hanging="180"/>
      </w:pPr>
      <w:rPr>
        <w:rFonts w:hint="default"/>
      </w:rPr>
    </w:lvl>
  </w:abstractNum>
  <w:abstractNum w:abstractNumId="15">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16"/>
  </w:num>
  <w:num w:numId="5">
    <w:abstractNumId w:val="9"/>
  </w:num>
  <w:num w:numId="6">
    <w:abstractNumId w:val="4"/>
  </w:num>
  <w:num w:numId="7">
    <w:abstractNumId w:val="11"/>
  </w:num>
  <w:num w:numId="8">
    <w:abstractNumId w:val="15"/>
  </w:num>
  <w:num w:numId="9">
    <w:abstractNumId w:val="2"/>
  </w:num>
  <w:num w:numId="10">
    <w:abstractNumId w:val="7"/>
  </w:num>
  <w:num w:numId="11">
    <w:abstractNumId w:val="6"/>
  </w:num>
  <w:num w:numId="12">
    <w:abstractNumId w:val="10"/>
  </w:num>
  <w:num w:numId="13">
    <w:abstractNumId w:val="5"/>
  </w:num>
  <w:num w:numId="14">
    <w:abstractNumId w:val="1"/>
  </w:num>
  <w:num w:numId="15">
    <w:abstractNumId w:val="1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15D"/>
    <w:rsid w:val="00002A98"/>
    <w:rsid w:val="000042F6"/>
    <w:rsid w:val="0000470F"/>
    <w:rsid w:val="00004862"/>
    <w:rsid w:val="00005688"/>
    <w:rsid w:val="000101A6"/>
    <w:rsid w:val="000115D5"/>
    <w:rsid w:val="00012CAB"/>
    <w:rsid w:val="00016086"/>
    <w:rsid w:val="0001666D"/>
    <w:rsid w:val="000200AF"/>
    <w:rsid w:val="00022060"/>
    <w:rsid w:val="00024421"/>
    <w:rsid w:val="0002513E"/>
    <w:rsid w:val="000252C0"/>
    <w:rsid w:val="0002544E"/>
    <w:rsid w:val="000257AA"/>
    <w:rsid w:val="00025A23"/>
    <w:rsid w:val="00025DD3"/>
    <w:rsid w:val="000279C9"/>
    <w:rsid w:val="00027FC7"/>
    <w:rsid w:val="00033183"/>
    <w:rsid w:val="00033543"/>
    <w:rsid w:val="00033713"/>
    <w:rsid w:val="000357B4"/>
    <w:rsid w:val="00036515"/>
    <w:rsid w:val="00040AE0"/>
    <w:rsid w:val="000414B6"/>
    <w:rsid w:val="00043D50"/>
    <w:rsid w:val="00044E65"/>
    <w:rsid w:val="0004610E"/>
    <w:rsid w:val="00046AB8"/>
    <w:rsid w:val="00046C3E"/>
    <w:rsid w:val="00051CC2"/>
    <w:rsid w:val="00052350"/>
    <w:rsid w:val="0005435E"/>
    <w:rsid w:val="0005470C"/>
    <w:rsid w:val="00055D5F"/>
    <w:rsid w:val="000572CA"/>
    <w:rsid w:val="00057519"/>
    <w:rsid w:val="0006038C"/>
    <w:rsid w:val="0006091E"/>
    <w:rsid w:val="00062907"/>
    <w:rsid w:val="00062ADE"/>
    <w:rsid w:val="00062F02"/>
    <w:rsid w:val="000632EC"/>
    <w:rsid w:val="00063574"/>
    <w:rsid w:val="00063709"/>
    <w:rsid w:val="00063E4B"/>
    <w:rsid w:val="000673CE"/>
    <w:rsid w:val="00067C92"/>
    <w:rsid w:val="00070496"/>
    <w:rsid w:val="000718C7"/>
    <w:rsid w:val="00075594"/>
    <w:rsid w:val="000757FC"/>
    <w:rsid w:val="00075A97"/>
    <w:rsid w:val="00075FA3"/>
    <w:rsid w:val="000769B1"/>
    <w:rsid w:val="0008079F"/>
    <w:rsid w:val="00081D6F"/>
    <w:rsid w:val="00082171"/>
    <w:rsid w:val="00084700"/>
    <w:rsid w:val="000860A9"/>
    <w:rsid w:val="00086434"/>
    <w:rsid w:val="000902D1"/>
    <w:rsid w:val="00090401"/>
    <w:rsid w:val="000937D4"/>
    <w:rsid w:val="00094AB2"/>
    <w:rsid w:val="000953A8"/>
    <w:rsid w:val="00097783"/>
    <w:rsid w:val="000A1017"/>
    <w:rsid w:val="000A228F"/>
    <w:rsid w:val="000A3E16"/>
    <w:rsid w:val="000B279A"/>
    <w:rsid w:val="000B298E"/>
    <w:rsid w:val="000B2EB1"/>
    <w:rsid w:val="000B3D5F"/>
    <w:rsid w:val="000B6D57"/>
    <w:rsid w:val="000C036A"/>
    <w:rsid w:val="000C1697"/>
    <w:rsid w:val="000C46A7"/>
    <w:rsid w:val="000C5E61"/>
    <w:rsid w:val="000D0414"/>
    <w:rsid w:val="000D1E2E"/>
    <w:rsid w:val="000D3F6C"/>
    <w:rsid w:val="000D4198"/>
    <w:rsid w:val="000E1E07"/>
    <w:rsid w:val="000E3570"/>
    <w:rsid w:val="000E38E0"/>
    <w:rsid w:val="000F02C5"/>
    <w:rsid w:val="000F31C8"/>
    <w:rsid w:val="000F3490"/>
    <w:rsid w:val="000F49D5"/>
    <w:rsid w:val="000F4E61"/>
    <w:rsid w:val="000F73D3"/>
    <w:rsid w:val="001012EC"/>
    <w:rsid w:val="0010687D"/>
    <w:rsid w:val="00110FB3"/>
    <w:rsid w:val="001143E4"/>
    <w:rsid w:val="001146B4"/>
    <w:rsid w:val="0011484F"/>
    <w:rsid w:val="00115EDD"/>
    <w:rsid w:val="00116FC6"/>
    <w:rsid w:val="001171CC"/>
    <w:rsid w:val="00120ABA"/>
    <w:rsid w:val="001311AD"/>
    <w:rsid w:val="00133A14"/>
    <w:rsid w:val="00134E1D"/>
    <w:rsid w:val="0013629D"/>
    <w:rsid w:val="00140C69"/>
    <w:rsid w:val="00141BFB"/>
    <w:rsid w:val="00144034"/>
    <w:rsid w:val="001440FE"/>
    <w:rsid w:val="0014437A"/>
    <w:rsid w:val="00152D3A"/>
    <w:rsid w:val="00154B6A"/>
    <w:rsid w:val="001551C4"/>
    <w:rsid w:val="00155CAF"/>
    <w:rsid w:val="0016097E"/>
    <w:rsid w:val="001668E1"/>
    <w:rsid w:val="00167F77"/>
    <w:rsid w:val="00170505"/>
    <w:rsid w:val="00172CCB"/>
    <w:rsid w:val="00175004"/>
    <w:rsid w:val="00177AA6"/>
    <w:rsid w:val="00177CAC"/>
    <w:rsid w:val="00177D2B"/>
    <w:rsid w:val="001808B4"/>
    <w:rsid w:val="001835C5"/>
    <w:rsid w:val="0018509E"/>
    <w:rsid w:val="00191666"/>
    <w:rsid w:val="00192D6A"/>
    <w:rsid w:val="001948B0"/>
    <w:rsid w:val="00195AD0"/>
    <w:rsid w:val="001A02C9"/>
    <w:rsid w:val="001A0680"/>
    <w:rsid w:val="001A1330"/>
    <w:rsid w:val="001A308F"/>
    <w:rsid w:val="001A3975"/>
    <w:rsid w:val="001A3D29"/>
    <w:rsid w:val="001A4B57"/>
    <w:rsid w:val="001A6707"/>
    <w:rsid w:val="001B4CD8"/>
    <w:rsid w:val="001C20E2"/>
    <w:rsid w:val="001C46A7"/>
    <w:rsid w:val="001C47FC"/>
    <w:rsid w:val="001C6E95"/>
    <w:rsid w:val="001D2756"/>
    <w:rsid w:val="001D362A"/>
    <w:rsid w:val="001D60C5"/>
    <w:rsid w:val="001D6790"/>
    <w:rsid w:val="001D7932"/>
    <w:rsid w:val="001E13F5"/>
    <w:rsid w:val="001E174B"/>
    <w:rsid w:val="001E3BA8"/>
    <w:rsid w:val="001E4FE9"/>
    <w:rsid w:val="001E5D12"/>
    <w:rsid w:val="001E64F2"/>
    <w:rsid w:val="001F0567"/>
    <w:rsid w:val="001F1F60"/>
    <w:rsid w:val="001F314D"/>
    <w:rsid w:val="001F6BC2"/>
    <w:rsid w:val="001F6CB3"/>
    <w:rsid w:val="001F718C"/>
    <w:rsid w:val="00200292"/>
    <w:rsid w:val="0020103A"/>
    <w:rsid w:val="00201455"/>
    <w:rsid w:val="0020153E"/>
    <w:rsid w:val="002021FE"/>
    <w:rsid w:val="00206678"/>
    <w:rsid w:val="00210233"/>
    <w:rsid w:val="0021035B"/>
    <w:rsid w:val="00212D43"/>
    <w:rsid w:val="00214B75"/>
    <w:rsid w:val="00215178"/>
    <w:rsid w:val="00216A12"/>
    <w:rsid w:val="00221143"/>
    <w:rsid w:val="002217C0"/>
    <w:rsid w:val="00221B68"/>
    <w:rsid w:val="00223331"/>
    <w:rsid w:val="00226561"/>
    <w:rsid w:val="0023062F"/>
    <w:rsid w:val="00230E0E"/>
    <w:rsid w:val="00231BA2"/>
    <w:rsid w:val="00231D0F"/>
    <w:rsid w:val="00231DF3"/>
    <w:rsid w:val="00233C04"/>
    <w:rsid w:val="002348DC"/>
    <w:rsid w:val="002369C8"/>
    <w:rsid w:val="002375B3"/>
    <w:rsid w:val="00237A17"/>
    <w:rsid w:val="00241F4C"/>
    <w:rsid w:val="00243442"/>
    <w:rsid w:val="00243C25"/>
    <w:rsid w:val="002440AF"/>
    <w:rsid w:val="0024444A"/>
    <w:rsid w:val="00244D9E"/>
    <w:rsid w:val="00245FCD"/>
    <w:rsid w:val="002472CF"/>
    <w:rsid w:val="002526C8"/>
    <w:rsid w:val="002536A8"/>
    <w:rsid w:val="00253C2D"/>
    <w:rsid w:val="00257983"/>
    <w:rsid w:val="00260F55"/>
    <w:rsid w:val="002632C1"/>
    <w:rsid w:val="00263E76"/>
    <w:rsid w:val="002640E1"/>
    <w:rsid w:val="002714EB"/>
    <w:rsid w:val="0027210E"/>
    <w:rsid w:val="00272EE3"/>
    <w:rsid w:val="00273219"/>
    <w:rsid w:val="00273678"/>
    <w:rsid w:val="00273CAC"/>
    <w:rsid w:val="002804CF"/>
    <w:rsid w:val="002820C6"/>
    <w:rsid w:val="00282A08"/>
    <w:rsid w:val="002854C9"/>
    <w:rsid w:val="002900C5"/>
    <w:rsid w:val="00290A24"/>
    <w:rsid w:val="00291E9B"/>
    <w:rsid w:val="002939DA"/>
    <w:rsid w:val="00293CA6"/>
    <w:rsid w:val="0029482B"/>
    <w:rsid w:val="00295B2B"/>
    <w:rsid w:val="002961A2"/>
    <w:rsid w:val="002964C1"/>
    <w:rsid w:val="00297DB0"/>
    <w:rsid w:val="002A0706"/>
    <w:rsid w:val="002A0A9B"/>
    <w:rsid w:val="002A0C5D"/>
    <w:rsid w:val="002A3B76"/>
    <w:rsid w:val="002A4737"/>
    <w:rsid w:val="002A59D9"/>
    <w:rsid w:val="002A5A11"/>
    <w:rsid w:val="002A5AE6"/>
    <w:rsid w:val="002A67D5"/>
    <w:rsid w:val="002C03AF"/>
    <w:rsid w:val="002C2EEA"/>
    <w:rsid w:val="002C5843"/>
    <w:rsid w:val="002C6BEB"/>
    <w:rsid w:val="002C7F10"/>
    <w:rsid w:val="002D083C"/>
    <w:rsid w:val="002D2176"/>
    <w:rsid w:val="002E401D"/>
    <w:rsid w:val="002E537C"/>
    <w:rsid w:val="002E57D4"/>
    <w:rsid w:val="002E594D"/>
    <w:rsid w:val="002E5E3F"/>
    <w:rsid w:val="002E6ADF"/>
    <w:rsid w:val="002E73FF"/>
    <w:rsid w:val="002F0752"/>
    <w:rsid w:val="002F7B2A"/>
    <w:rsid w:val="00300B99"/>
    <w:rsid w:val="00300D63"/>
    <w:rsid w:val="003039A5"/>
    <w:rsid w:val="00306298"/>
    <w:rsid w:val="003125F3"/>
    <w:rsid w:val="00312FB3"/>
    <w:rsid w:val="00313312"/>
    <w:rsid w:val="00314B98"/>
    <w:rsid w:val="00314F63"/>
    <w:rsid w:val="003154C2"/>
    <w:rsid w:val="00316618"/>
    <w:rsid w:val="00320F18"/>
    <w:rsid w:val="00321BD0"/>
    <w:rsid w:val="0032394D"/>
    <w:rsid w:val="00326B58"/>
    <w:rsid w:val="003302BD"/>
    <w:rsid w:val="003303CC"/>
    <w:rsid w:val="0033087A"/>
    <w:rsid w:val="003333E9"/>
    <w:rsid w:val="003336CE"/>
    <w:rsid w:val="00333BD7"/>
    <w:rsid w:val="00335F05"/>
    <w:rsid w:val="00340212"/>
    <w:rsid w:val="00341EFC"/>
    <w:rsid w:val="0034224A"/>
    <w:rsid w:val="00344138"/>
    <w:rsid w:val="00345B9F"/>
    <w:rsid w:val="00346856"/>
    <w:rsid w:val="00351063"/>
    <w:rsid w:val="003554D7"/>
    <w:rsid w:val="00356131"/>
    <w:rsid w:val="003628A2"/>
    <w:rsid w:val="003640F0"/>
    <w:rsid w:val="00364798"/>
    <w:rsid w:val="00367DA5"/>
    <w:rsid w:val="0037191E"/>
    <w:rsid w:val="00371937"/>
    <w:rsid w:val="00372760"/>
    <w:rsid w:val="00372DCB"/>
    <w:rsid w:val="003737F2"/>
    <w:rsid w:val="00376D5A"/>
    <w:rsid w:val="00377A96"/>
    <w:rsid w:val="00377FE2"/>
    <w:rsid w:val="00380886"/>
    <w:rsid w:val="003845F9"/>
    <w:rsid w:val="00384B8B"/>
    <w:rsid w:val="00387130"/>
    <w:rsid w:val="00387162"/>
    <w:rsid w:val="003903E2"/>
    <w:rsid w:val="00390D8E"/>
    <w:rsid w:val="00391A1C"/>
    <w:rsid w:val="00395655"/>
    <w:rsid w:val="003A060F"/>
    <w:rsid w:val="003A0FF4"/>
    <w:rsid w:val="003A48EE"/>
    <w:rsid w:val="003A6572"/>
    <w:rsid w:val="003B4449"/>
    <w:rsid w:val="003C1F1E"/>
    <w:rsid w:val="003C557F"/>
    <w:rsid w:val="003C563D"/>
    <w:rsid w:val="003C5C7B"/>
    <w:rsid w:val="003D13C8"/>
    <w:rsid w:val="003D2A50"/>
    <w:rsid w:val="003D49CF"/>
    <w:rsid w:val="003D6231"/>
    <w:rsid w:val="003E066A"/>
    <w:rsid w:val="003E361D"/>
    <w:rsid w:val="003F1A86"/>
    <w:rsid w:val="003F1B64"/>
    <w:rsid w:val="003F2026"/>
    <w:rsid w:val="003F29BC"/>
    <w:rsid w:val="003F3728"/>
    <w:rsid w:val="003F7612"/>
    <w:rsid w:val="003F7CD4"/>
    <w:rsid w:val="004027A6"/>
    <w:rsid w:val="0040510D"/>
    <w:rsid w:val="00405C41"/>
    <w:rsid w:val="00407815"/>
    <w:rsid w:val="00413656"/>
    <w:rsid w:val="00414F26"/>
    <w:rsid w:val="00415D7B"/>
    <w:rsid w:val="00417315"/>
    <w:rsid w:val="00420A7D"/>
    <w:rsid w:val="00420F8B"/>
    <w:rsid w:val="0042418B"/>
    <w:rsid w:val="0042440B"/>
    <w:rsid w:val="004249F5"/>
    <w:rsid w:val="00427DC5"/>
    <w:rsid w:val="00427EF4"/>
    <w:rsid w:val="00430245"/>
    <w:rsid w:val="00430323"/>
    <w:rsid w:val="004361F2"/>
    <w:rsid w:val="00436919"/>
    <w:rsid w:val="004376C2"/>
    <w:rsid w:val="004427B2"/>
    <w:rsid w:val="00442824"/>
    <w:rsid w:val="004444E8"/>
    <w:rsid w:val="004444F4"/>
    <w:rsid w:val="00446EC1"/>
    <w:rsid w:val="00450BCC"/>
    <w:rsid w:val="0045180F"/>
    <w:rsid w:val="00452217"/>
    <w:rsid w:val="00453C28"/>
    <w:rsid w:val="00453E7F"/>
    <w:rsid w:val="00453E85"/>
    <w:rsid w:val="00454A8E"/>
    <w:rsid w:val="00455D0B"/>
    <w:rsid w:val="0046011A"/>
    <w:rsid w:val="0046759A"/>
    <w:rsid w:val="00467C52"/>
    <w:rsid w:val="004705AC"/>
    <w:rsid w:val="0047261C"/>
    <w:rsid w:val="004739BA"/>
    <w:rsid w:val="00475AD1"/>
    <w:rsid w:val="00482E8A"/>
    <w:rsid w:val="00483378"/>
    <w:rsid w:val="00487E51"/>
    <w:rsid w:val="004942CA"/>
    <w:rsid w:val="00496618"/>
    <w:rsid w:val="004A0A82"/>
    <w:rsid w:val="004A1339"/>
    <w:rsid w:val="004A207E"/>
    <w:rsid w:val="004A20AD"/>
    <w:rsid w:val="004A27CC"/>
    <w:rsid w:val="004A285F"/>
    <w:rsid w:val="004A35FD"/>
    <w:rsid w:val="004A3B1F"/>
    <w:rsid w:val="004A55AC"/>
    <w:rsid w:val="004A5C92"/>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02EB"/>
    <w:rsid w:val="004F17EA"/>
    <w:rsid w:val="004F2B1B"/>
    <w:rsid w:val="004F4B94"/>
    <w:rsid w:val="004F70FF"/>
    <w:rsid w:val="004F7953"/>
    <w:rsid w:val="0050084D"/>
    <w:rsid w:val="00501E0F"/>
    <w:rsid w:val="00501E65"/>
    <w:rsid w:val="0050200E"/>
    <w:rsid w:val="00502298"/>
    <w:rsid w:val="00506006"/>
    <w:rsid w:val="00506310"/>
    <w:rsid w:val="0050754B"/>
    <w:rsid w:val="00507B53"/>
    <w:rsid w:val="005121ED"/>
    <w:rsid w:val="005128EA"/>
    <w:rsid w:val="00513071"/>
    <w:rsid w:val="005130D6"/>
    <w:rsid w:val="00514AC6"/>
    <w:rsid w:val="0051624B"/>
    <w:rsid w:val="00517A62"/>
    <w:rsid w:val="00520109"/>
    <w:rsid w:val="00520792"/>
    <w:rsid w:val="00520903"/>
    <w:rsid w:val="005214BD"/>
    <w:rsid w:val="00521850"/>
    <w:rsid w:val="0052214A"/>
    <w:rsid w:val="00522818"/>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47EEF"/>
    <w:rsid w:val="005525EA"/>
    <w:rsid w:val="005531AA"/>
    <w:rsid w:val="00554B28"/>
    <w:rsid w:val="00554CC1"/>
    <w:rsid w:val="00557902"/>
    <w:rsid w:val="0056044E"/>
    <w:rsid w:val="00563FA3"/>
    <w:rsid w:val="005644C8"/>
    <w:rsid w:val="00564E98"/>
    <w:rsid w:val="00573534"/>
    <w:rsid w:val="00573E06"/>
    <w:rsid w:val="005778C6"/>
    <w:rsid w:val="00577F15"/>
    <w:rsid w:val="00583A7E"/>
    <w:rsid w:val="00586CF4"/>
    <w:rsid w:val="00590AF5"/>
    <w:rsid w:val="005913D0"/>
    <w:rsid w:val="005953A7"/>
    <w:rsid w:val="00597BAA"/>
    <w:rsid w:val="00597D5D"/>
    <w:rsid w:val="005A1896"/>
    <w:rsid w:val="005A338B"/>
    <w:rsid w:val="005A407D"/>
    <w:rsid w:val="005A4A9A"/>
    <w:rsid w:val="005A5DAE"/>
    <w:rsid w:val="005A6C42"/>
    <w:rsid w:val="005B7015"/>
    <w:rsid w:val="005C2DFD"/>
    <w:rsid w:val="005C2EA7"/>
    <w:rsid w:val="005C42B0"/>
    <w:rsid w:val="005C43C6"/>
    <w:rsid w:val="005C75B3"/>
    <w:rsid w:val="005C7A87"/>
    <w:rsid w:val="005D001E"/>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F0C39"/>
    <w:rsid w:val="005F27A0"/>
    <w:rsid w:val="005F2ACC"/>
    <w:rsid w:val="005F421E"/>
    <w:rsid w:val="005F53D2"/>
    <w:rsid w:val="005F630F"/>
    <w:rsid w:val="005F79AF"/>
    <w:rsid w:val="0060094C"/>
    <w:rsid w:val="00600B63"/>
    <w:rsid w:val="00601137"/>
    <w:rsid w:val="00603F3C"/>
    <w:rsid w:val="006040E1"/>
    <w:rsid w:val="006047CE"/>
    <w:rsid w:val="00604A61"/>
    <w:rsid w:val="00610231"/>
    <w:rsid w:val="00613ECC"/>
    <w:rsid w:val="00614150"/>
    <w:rsid w:val="00616625"/>
    <w:rsid w:val="00617D55"/>
    <w:rsid w:val="00617F06"/>
    <w:rsid w:val="006240D8"/>
    <w:rsid w:val="00626132"/>
    <w:rsid w:val="006277E4"/>
    <w:rsid w:val="0063318F"/>
    <w:rsid w:val="00633D08"/>
    <w:rsid w:val="00634DDD"/>
    <w:rsid w:val="006361E3"/>
    <w:rsid w:val="0063730A"/>
    <w:rsid w:val="00641EF4"/>
    <w:rsid w:val="00642470"/>
    <w:rsid w:val="00642D90"/>
    <w:rsid w:val="00645DFC"/>
    <w:rsid w:val="0065019C"/>
    <w:rsid w:val="00656642"/>
    <w:rsid w:val="00662BFF"/>
    <w:rsid w:val="00665AE8"/>
    <w:rsid w:val="00667B16"/>
    <w:rsid w:val="006712A6"/>
    <w:rsid w:val="00671E4E"/>
    <w:rsid w:val="0067456E"/>
    <w:rsid w:val="00675133"/>
    <w:rsid w:val="00677AB0"/>
    <w:rsid w:val="006802C1"/>
    <w:rsid w:val="00685E6E"/>
    <w:rsid w:val="00686496"/>
    <w:rsid w:val="00690C9F"/>
    <w:rsid w:val="00690FE6"/>
    <w:rsid w:val="00691BD4"/>
    <w:rsid w:val="006940E9"/>
    <w:rsid w:val="00694141"/>
    <w:rsid w:val="006941C8"/>
    <w:rsid w:val="00697863"/>
    <w:rsid w:val="006A0D8A"/>
    <w:rsid w:val="006A36D7"/>
    <w:rsid w:val="006A512F"/>
    <w:rsid w:val="006A70E2"/>
    <w:rsid w:val="006B03F6"/>
    <w:rsid w:val="006B4070"/>
    <w:rsid w:val="006B5E2B"/>
    <w:rsid w:val="006C1FAA"/>
    <w:rsid w:val="006C605F"/>
    <w:rsid w:val="006C71C0"/>
    <w:rsid w:val="006D1F20"/>
    <w:rsid w:val="006D26AD"/>
    <w:rsid w:val="006D2BDD"/>
    <w:rsid w:val="006D4254"/>
    <w:rsid w:val="006D5F6F"/>
    <w:rsid w:val="006D6C3E"/>
    <w:rsid w:val="006D745F"/>
    <w:rsid w:val="006D7881"/>
    <w:rsid w:val="006D7E56"/>
    <w:rsid w:val="006E23DE"/>
    <w:rsid w:val="006E2D88"/>
    <w:rsid w:val="006E32E7"/>
    <w:rsid w:val="006E3D3C"/>
    <w:rsid w:val="006E46A3"/>
    <w:rsid w:val="006E58C1"/>
    <w:rsid w:val="006E7B3B"/>
    <w:rsid w:val="006F282A"/>
    <w:rsid w:val="006F33DD"/>
    <w:rsid w:val="006F35F8"/>
    <w:rsid w:val="006F4781"/>
    <w:rsid w:val="006F6420"/>
    <w:rsid w:val="00702986"/>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0DE3"/>
    <w:rsid w:val="00731B88"/>
    <w:rsid w:val="007329D4"/>
    <w:rsid w:val="00732DEB"/>
    <w:rsid w:val="007362EB"/>
    <w:rsid w:val="00736B76"/>
    <w:rsid w:val="00736C03"/>
    <w:rsid w:val="007377F2"/>
    <w:rsid w:val="00737BC4"/>
    <w:rsid w:val="00737D3E"/>
    <w:rsid w:val="007423F8"/>
    <w:rsid w:val="00742F57"/>
    <w:rsid w:val="007431DE"/>
    <w:rsid w:val="00743EFE"/>
    <w:rsid w:val="00745349"/>
    <w:rsid w:val="0074534D"/>
    <w:rsid w:val="00745851"/>
    <w:rsid w:val="007508FE"/>
    <w:rsid w:val="007511D5"/>
    <w:rsid w:val="007516D1"/>
    <w:rsid w:val="0075213E"/>
    <w:rsid w:val="00753049"/>
    <w:rsid w:val="00753545"/>
    <w:rsid w:val="00756242"/>
    <w:rsid w:val="00756290"/>
    <w:rsid w:val="00756A19"/>
    <w:rsid w:val="0076108C"/>
    <w:rsid w:val="00761B5E"/>
    <w:rsid w:val="0076408A"/>
    <w:rsid w:val="0076716E"/>
    <w:rsid w:val="00773DD9"/>
    <w:rsid w:val="00774BE7"/>
    <w:rsid w:val="00777754"/>
    <w:rsid w:val="00781306"/>
    <w:rsid w:val="00781635"/>
    <w:rsid w:val="007836C8"/>
    <w:rsid w:val="007863C8"/>
    <w:rsid w:val="007934F1"/>
    <w:rsid w:val="00794229"/>
    <w:rsid w:val="00795A1B"/>
    <w:rsid w:val="007970F0"/>
    <w:rsid w:val="007971F3"/>
    <w:rsid w:val="007A4157"/>
    <w:rsid w:val="007B1141"/>
    <w:rsid w:val="007B24F7"/>
    <w:rsid w:val="007B3D33"/>
    <w:rsid w:val="007C393A"/>
    <w:rsid w:val="007C5DF2"/>
    <w:rsid w:val="007C6C8E"/>
    <w:rsid w:val="007D09DC"/>
    <w:rsid w:val="007D6B06"/>
    <w:rsid w:val="007D76D7"/>
    <w:rsid w:val="007E249E"/>
    <w:rsid w:val="007E5ED7"/>
    <w:rsid w:val="007E6242"/>
    <w:rsid w:val="007E633B"/>
    <w:rsid w:val="007E6AD6"/>
    <w:rsid w:val="007F135A"/>
    <w:rsid w:val="007F229C"/>
    <w:rsid w:val="007F2EE0"/>
    <w:rsid w:val="007F5275"/>
    <w:rsid w:val="007F6783"/>
    <w:rsid w:val="007F7DFC"/>
    <w:rsid w:val="008004AE"/>
    <w:rsid w:val="0080232E"/>
    <w:rsid w:val="00803CA0"/>
    <w:rsid w:val="0080529C"/>
    <w:rsid w:val="00812789"/>
    <w:rsid w:val="00813718"/>
    <w:rsid w:val="00813EBF"/>
    <w:rsid w:val="00815F0A"/>
    <w:rsid w:val="00817D17"/>
    <w:rsid w:val="00824374"/>
    <w:rsid w:val="00824BA3"/>
    <w:rsid w:val="00826F86"/>
    <w:rsid w:val="00831124"/>
    <w:rsid w:val="00831D3C"/>
    <w:rsid w:val="00831E9A"/>
    <w:rsid w:val="00833124"/>
    <w:rsid w:val="00841854"/>
    <w:rsid w:val="00842C8D"/>
    <w:rsid w:val="0084455A"/>
    <w:rsid w:val="00844CC3"/>
    <w:rsid w:val="008457E2"/>
    <w:rsid w:val="00845BC3"/>
    <w:rsid w:val="00846469"/>
    <w:rsid w:val="008476BF"/>
    <w:rsid w:val="00847CFC"/>
    <w:rsid w:val="008508D5"/>
    <w:rsid w:val="0085319B"/>
    <w:rsid w:val="00853C0E"/>
    <w:rsid w:val="00854E7C"/>
    <w:rsid w:val="00855317"/>
    <w:rsid w:val="00855962"/>
    <w:rsid w:val="00856F8A"/>
    <w:rsid w:val="00857187"/>
    <w:rsid w:val="00860FE7"/>
    <w:rsid w:val="00861CE5"/>
    <w:rsid w:val="0086226E"/>
    <w:rsid w:val="00864193"/>
    <w:rsid w:val="0086505F"/>
    <w:rsid w:val="00865EE3"/>
    <w:rsid w:val="0086600C"/>
    <w:rsid w:val="00866AB0"/>
    <w:rsid w:val="00870893"/>
    <w:rsid w:val="00872A86"/>
    <w:rsid w:val="00874481"/>
    <w:rsid w:val="00875D88"/>
    <w:rsid w:val="00881967"/>
    <w:rsid w:val="0088605D"/>
    <w:rsid w:val="00887913"/>
    <w:rsid w:val="00890675"/>
    <w:rsid w:val="0089123B"/>
    <w:rsid w:val="00891BE7"/>
    <w:rsid w:val="0089334F"/>
    <w:rsid w:val="00894526"/>
    <w:rsid w:val="00894946"/>
    <w:rsid w:val="0089506D"/>
    <w:rsid w:val="00895506"/>
    <w:rsid w:val="00897EDF"/>
    <w:rsid w:val="008A00BC"/>
    <w:rsid w:val="008A0B79"/>
    <w:rsid w:val="008A1687"/>
    <w:rsid w:val="008A2346"/>
    <w:rsid w:val="008A2DF5"/>
    <w:rsid w:val="008A3A73"/>
    <w:rsid w:val="008A52D8"/>
    <w:rsid w:val="008A5E27"/>
    <w:rsid w:val="008A721D"/>
    <w:rsid w:val="008B48E6"/>
    <w:rsid w:val="008B4BDA"/>
    <w:rsid w:val="008C01F4"/>
    <w:rsid w:val="008C0503"/>
    <w:rsid w:val="008C4944"/>
    <w:rsid w:val="008C4A55"/>
    <w:rsid w:val="008C5E5E"/>
    <w:rsid w:val="008D022E"/>
    <w:rsid w:val="008D08F5"/>
    <w:rsid w:val="008D0DDB"/>
    <w:rsid w:val="008D2350"/>
    <w:rsid w:val="008D2B13"/>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2191"/>
    <w:rsid w:val="008F35DB"/>
    <w:rsid w:val="008F39D3"/>
    <w:rsid w:val="008F4969"/>
    <w:rsid w:val="008F5129"/>
    <w:rsid w:val="008F6393"/>
    <w:rsid w:val="00901470"/>
    <w:rsid w:val="00902FF9"/>
    <w:rsid w:val="00905EB8"/>
    <w:rsid w:val="00905F3A"/>
    <w:rsid w:val="0090679B"/>
    <w:rsid w:val="0090782D"/>
    <w:rsid w:val="00912765"/>
    <w:rsid w:val="0091304F"/>
    <w:rsid w:val="0091523F"/>
    <w:rsid w:val="0091558A"/>
    <w:rsid w:val="00915B80"/>
    <w:rsid w:val="00917058"/>
    <w:rsid w:val="0092190B"/>
    <w:rsid w:val="00923C45"/>
    <w:rsid w:val="00924F20"/>
    <w:rsid w:val="00924F7D"/>
    <w:rsid w:val="00931024"/>
    <w:rsid w:val="009312BE"/>
    <w:rsid w:val="00932D4A"/>
    <w:rsid w:val="00933F4C"/>
    <w:rsid w:val="00934865"/>
    <w:rsid w:val="00935587"/>
    <w:rsid w:val="009360D2"/>
    <w:rsid w:val="00936B7F"/>
    <w:rsid w:val="009379D0"/>
    <w:rsid w:val="00940D15"/>
    <w:rsid w:val="009415CD"/>
    <w:rsid w:val="0094334A"/>
    <w:rsid w:val="00943E2F"/>
    <w:rsid w:val="00944454"/>
    <w:rsid w:val="00947F3D"/>
    <w:rsid w:val="00952D0A"/>
    <w:rsid w:val="00953FD7"/>
    <w:rsid w:val="00954732"/>
    <w:rsid w:val="009551F9"/>
    <w:rsid w:val="00956BD2"/>
    <w:rsid w:val="0096092A"/>
    <w:rsid w:val="00963058"/>
    <w:rsid w:val="00963AE2"/>
    <w:rsid w:val="00963E96"/>
    <w:rsid w:val="00967E97"/>
    <w:rsid w:val="00970834"/>
    <w:rsid w:val="00972F4C"/>
    <w:rsid w:val="009754E9"/>
    <w:rsid w:val="00975F5E"/>
    <w:rsid w:val="00977612"/>
    <w:rsid w:val="009827FE"/>
    <w:rsid w:val="00983B09"/>
    <w:rsid w:val="00990860"/>
    <w:rsid w:val="00990FC4"/>
    <w:rsid w:val="00992009"/>
    <w:rsid w:val="0099513B"/>
    <w:rsid w:val="00996B48"/>
    <w:rsid w:val="009A19C4"/>
    <w:rsid w:val="009A453C"/>
    <w:rsid w:val="009A5EAF"/>
    <w:rsid w:val="009A7C4E"/>
    <w:rsid w:val="009B0239"/>
    <w:rsid w:val="009B153D"/>
    <w:rsid w:val="009B1744"/>
    <w:rsid w:val="009B1EE9"/>
    <w:rsid w:val="009B2B15"/>
    <w:rsid w:val="009B3DAC"/>
    <w:rsid w:val="009B568A"/>
    <w:rsid w:val="009C016D"/>
    <w:rsid w:val="009C08B5"/>
    <w:rsid w:val="009C2972"/>
    <w:rsid w:val="009C4545"/>
    <w:rsid w:val="009C4DFC"/>
    <w:rsid w:val="009D0944"/>
    <w:rsid w:val="009D47F2"/>
    <w:rsid w:val="009D5384"/>
    <w:rsid w:val="009D580E"/>
    <w:rsid w:val="009D6D2E"/>
    <w:rsid w:val="009D753B"/>
    <w:rsid w:val="009E0CEB"/>
    <w:rsid w:val="009E44C6"/>
    <w:rsid w:val="009E4DF8"/>
    <w:rsid w:val="009E6C5E"/>
    <w:rsid w:val="009E7717"/>
    <w:rsid w:val="009E784C"/>
    <w:rsid w:val="009E7FF1"/>
    <w:rsid w:val="009F0800"/>
    <w:rsid w:val="009F23CB"/>
    <w:rsid w:val="009F34D7"/>
    <w:rsid w:val="009F5722"/>
    <w:rsid w:val="009F7176"/>
    <w:rsid w:val="00A02072"/>
    <w:rsid w:val="00A0334B"/>
    <w:rsid w:val="00A03BC9"/>
    <w:rsid w:val="00A04A98"/>
    <w:rsid w:val="00A0510A"/>
    <w:rsid w:val="00A11521"/>
    <w:rsid w:val="00A11D46"/>
    <w:rsid w:val="00A11FC5"/>
    <w:rsid w:val="00A163D9"/>
    <w:rsid w:val="00A20444"/>
    <w:rsid w:val="00A21BAC"/>
    <w:rsid w:val="00A23041"/>
    <w:rsid w:val="00A23452"/>
    <w:rsid w:val="00A26499"/>
    <w:rsid w:val="00A27017"/>
    <w:rsid w:val="00A27F81"/>
    <w:rsid w:val="00A30636"/>
    <w:rsid w:val="00A30F0D"/>
    <w:rsid w:val="00A31338"/>
    <w:rsid w:val="00A32258"/>
    <w:rsid w:val="00A3356F"/>
    <w:rsid w:val="00A342A5"/>
    <w:rsid w:val="00A3568B"/>
    <w:rsid w:val="00A377AE"/>
    <w:rsid w:val="00A426CE"/>
    <w:rsid w:val="00A428B2"/>
    <w:rsid w:val="00A4509D"/>
    <w:rsid w:val="00A46227"/>
    <w:rsid w:val="00A46303"/>
    <w:rsid w:val="00A50A06"/>
    <w:rsid w:val="00A50CD4"/>
    <w:rsid w:val="00A52FAE"/>
    <w:rsid w:val="00A53909"/>
    <w:rsid w:val="00A544D9"/>
    <w:rsid w:val="00A55704"/>
    <w:rsid w:val="00A5623C"/>
    <w:rsid w:val="00A57A10"/>
    <w:rsid w:val="00A57F06"/>
    <w:rsid w:val="00A600FC"/>
    <w:rsid w:val="00A606F7"/>
    <w:rsid w:val="00A60884"/>
    <w:rsid w:val="00A610CB"/>
    <w:rsid w:val="00A643D6"/>
    <w:rsid w:val="00A64DC1"/>
    <w:rsid w:val="00A6623B"/>
    <w:rsid w:val="00A7058C"/>
    <w:rsid w:val="00A70B39"/>
    <w:rsid w:val="00A72224"/>
    <w:rsid w:val="00A85016"/>
    <w:rsid w:val="00A85598"/>
    <w:rsid w:val="00A856B0"/>
    <w:rsid w:val="00A8607A"/>
    <w:rsid w:val="00A86D8D"/>
    <w:rsid w:val="00A90530"/>
    <w:rsid w:val="00A917A9"/>
    <w:rsid w:val="00A919EA"/>
    <w:rsid w:val="00A91A2A"/>
    <w:rsid w:val="00A94B87"/>
    <w:rsid w:val="00A9750F"/>
    <w:rsid w:val="00AA599A"/>
    <w:rsid w:val="00AA5E2F"/>
    <w:rsid w:val="00AA7A14"/>
    <w:rsid w:val="00AB5812"/>
    <w:rsid w:val="00AB5BFC"/>
    <w:rsid w:val="00AB674C"/>
    <w:rsid w:val="00AB7845"/>
    <w:rsid w:val="00AC0541"/>
    <w:rsid w:val="00AC135D"/>
    <w:rsid w:val="00AC2072"/>
    <w:rsid w:val="00AC40DC"/>
    <w:rsid w:val="00AC4ECB"/>
    <w:rsid w:val="00AD21C9"/>
    <w:rsid w:val="00AD3F9D"/>
    <w:rsid w:val="00AD4746"/>
    <w:rsid w:val="00AD5010"/>
    <w:rsid w:val="00AE20C4"/>
    <w:rsid w:val="00AE2731"/>
    <w:rsid w:val="00AE3244"/>
    <w:rsid w:val="00AE4C05"/>
    <w:rsid w:val="00AE564E"/>
    <w:rsid w:val="00AE6725"/>
    <w:rsid w:val="00AE6BE8"/>
    <w:rsid w:val="00AE6FA9"/>
    <w:rsid w:val="00AE7DF6"/>
    <w:rsid w:val="00AE7E34"/>
    <w:rsid w:val="00AF12B7"/>
    <w:rsid w:val="00AF2498"/>
    <w:rsid w:val="00AF4D26"/>
    <w:rsid w:val="00AF7291"/>
    <w:rsid w:val="00AF73A4"/>
    <w:rsid w:val="00B00BAD"/>
    <w:rsid w:val="00B00DA4"/>
    <w:rsid w:val="00B03860"/>
    <w:rsid w:val="00B045C7"/>
    <w:rsid w:val="00B05A10"/>
    <w:rsid w:val="00B0691A"/>
    <w:rsid w:val="00B11252"/>
    <w:rsid w:val="00B113DD"/>
    <w:rsid w:val="00B1358E"/>
    <w:rsid w:val="00B145B3"/>
    <w:rsid w:val="00B152AE"/>
    <w:rsid w:val="00B17C41"/>
    <w:rsid w:val="00B17FDB"/>
    <w:rsid w:val="00B24B51"/>
    <w:rsid w:val="00B31B92"/>
    <w:rsid w:val="00B320D9"/>
    <w:rsid w:val="00B321D4"/>
    <w:rsid w:val="00B330B9"/>
    <w:rsid w:val="00B3495F"/>
    <w:rsid w:val="00B34AF6"/>
    <w:rsid w:val="00B34CBF"/>
    <w:rsid w:val="00B37C7C"/>
    <w:rsid w:val="00B40DAD"/>
    <w:rsid w:val="00B42361"/>
    <w:rsid w:val="00B42491"/>
    <w:rsid w:val="00B429D4"/>
    <w:rsid w:val="00B433E4"/>
    <w:rsid w:val="00B458D2"/>
    <w:rsid w:val="00B45FC1"/>
    <w:rsid w:val="00B4660F"/>
    <w:rsid w:val="00B5191C"/>
    <w:rsid w:val="00B5758A"/>
    <w:rsid w:val="00B6355E"/>
    <w:rsid w:val="00B64471"/>
    <w:rsid w:val="00B65B84"/>
    <w:rsid w:val="00B71C25"/>
    <w:rsid w:val="00B7272A"/>
    <w:rsid w:val="00B73133"/>
    <w:rsid w:val="00B74629"/>
    <w:rsid w:val="00B75F90"/>
    <w:rsid w:val="00B8036D"/>
    <w:rsid w:val="00B82C78"/>
    <w:rsid w:val="00B84A5C"/>
    <w:rsid w:val="00B87124"/>
    <w:rsid w:val="00B876ED"/>
    <w:rsid w:val="00B93313"/>
    <w:rsid w:val="00B93841"/>
    <w:rsid w:val="00B948D2"/>
    <w:rsid w:val="00B95598"/>
    <w:rsid w:val="00B97D40"/>
    <w:rsid w:val="00BA1B31"/>
    <w:rsid w:val="00BA478A"/>
    <w:rsid w:val="00BA66F5"/>
    <w:rsid w:val="00BA726F"/>
    <w:rsid w:val="00BB47BB"/>
    <w:rsid w:val="00BC27D7"/>
    <w:rsid w:val="00BC47FF"/>
    <w:rsid w:val="00BD0327"/>
    <w:rsid w:val="00BD0FA0"/>
    <w:rsid w:val="00BD0FD6"/>
    <w:rsid w:val="00BD2B98"/>
    <w:rsid w:val="00BD7382"/>
    <w:rsid w:val="00BD7BD3"/>
    <w:rsid w:val="00BD7C56"/>
    <w:rsid w:val="00BE0D0E"/>
    <w:rsid w:val="00BE1037"/>
    <w:rsid w:val="00BE2460"/>
    <w:rsid w:val="00BE395D"/>
    <w:rsid w:val="00BE482D"/>
    <w:rsid w:val="00BE5DB7"/>
    <w:rsid w:val="00BE6BFB"/>
    <w:rsid w:val="00BF0159"/>
    <w:rsid w:val="00BF3060"/>
    <w:rsid w:val="00BF4FD5"/>
    <w:rsid w:val="00BF5B8B"/>
    <w:rsid w:val="00C03495"/>
    <w:rsid w:val="00C10FB3"/>
    <w:rsid w:val="00C11946"/>
    <w:rsid w:val="00C129C4"/>
    <w:rsid w:val="00C1385A"/>
    <w:rsid w:val="00C15115"/>
    <w:rsid w:val="00C20178"/>
    <w:rsid w:val="00C20CDA"/>
    <w:rsid w:val="00C20DC3"/>
    <w:rsid w:val="00C216FA"/>
    <w:rsid w:val="00C222CC"/>
    <w:rsid w:val="00C2421A"/>
    <w:rsid w:val="00C24511"/>
    <w:rsid w:val="00C25E9F"/>
    <w:rsid w:val="00C266A4"/>
    <w:rsid w:val="00C27D33"/>
    <w:rsid w:val="00C31286"/>
    <w:rsid w:val="00C31A5B"/>
    <w:rsid w:val="00C32478"/>
    <w:rsid w:val="00C34C0E"/>
    <w:rsid w:val="00C35EF2"/>
    <w:rsid w:val="00C403B4"/>
    <w:rsid w:val="00C406DE"/>
    <w:rsid w:val="00C411FE"/>
    <w:rsid w:val="00C41B61"/>
    <w:rsid w:val="00C43296"/>
    <w:rsid w:val="00C434F9"/>
    <w:rsid w:val="00C43E93"/>
    <w:rsid w:val="00C44883"/>
    <w:rsid w:val="00C45CC3"/>
    <w:rsid w:val="00C45CCE"/>
    <w:rsid w:val="00C46170"/>
    <w:rsid w:val="00C467CA"/>
    <w:rsid w:val="00C467D4"/>
    <w:rsid w:val="00C46941"/>
    <w:rsid w:val="00C47381"/>
    <w:rsid w:val="00C5278E"/>
    <w:rsid w:val="00C528AD"/>
    <w:rsid w:val="00C538D8"/>
    <w:rsid w:val="00C550EA"/>
    <w:rsid w:val="00C63AA7"/>
    <w:rsid w:val="00C666AF"/>
    <w:rsid w:val="00C718DA"/>
    <w:rsid w:val="00C71D8C"/>
    <w:rsid w:val="00C7273A"/>
    <w:rsid w:val="00C72BBA"/>
    <w:rsid w:val="00C73873"/>
    <w:rsid w:val="00C75FCC"/>
    <w:rsid w:val="00C86431"/>
    <w:rsid w:val="00C868C8"/>
    <w:rsid w:val="00C91224"/>
    <w:rsid w:val="00C9316D"/>
    <w:rsid w:val="00C936C2"/>
    <w:rsid w:val="00C9387E"/>
    <w:rsid w:val="00C948FD"/>
    <w:rsid w:val="00C975B4"/>
    <w:rsid w:val="00C97FB9"/>
    <w:rsid w:val="00CA155E"/>
    <w:rsid w:val="00CA2E10"/>
    <w:rsid w:val="00CA3D9D"/>
    <w:rsid w:val="00CA6A60"/>
    <w:rsid w:val="00CA7999"/>
    <w:rsid w:val="00CB4E0C"/>
    <w:rsid w:val="00CB6814"/>
    <w:rsid w:val="00CC0DD8"/>
    <w:rsid w:val="00CC1279"/>
    <w:rsid w:val="00CC7B28"/>
    <w:rsid w:val="00CD056E"/>
    <w:rsid w:val="00CD1405"/>
    <w:rsid w:val="00CD21F3"/>
    <w:rsid w:val="00CD518F"/>
    <w:rsid w:val="00CD5664"/>
    <w:rsid w:val="00CD6F72"/>
    <w:rsid w:val="00CD7C04"/>
    <w:rsid w:val="00CE1A25"/>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1601D"/>
    <w:rsid w:val="00D1765B"/>
    <w:rsid w:val="00D22435"/>
    <w:rsid w:val="00D23711"/>
    <w:rsid w:val="00D23ED7"/>
    <w:rsid w:val="00D24A91"/>
    <w:rsid w:val="00D25823"/>
    <w:rsid w:val="00D2649F"/>
    <w:rsid w:val="00D2742F"/>
    <w:rsid w:val="00D34D79"/>
    <w:rsid w:val="00D36CA4"/>
    <w:rsid w:val="00D37896"/>
    <w:rsid w:val="00D41A30"/>
    <w:rsid w:val="00D469E3"/>
    <w:rsid w:val="00D5313C"/>
    <w:rsid w:val="00D532DC"/>
    <w:rsid w:val="00D53C62"/>
    <w:rsid w:val="00D569A1"/>
    <w:rsid w:val="00D62F5A"/>
    <w:rsid w:val="00D63557"/>
    <w:rsid w:val="00D63E9B"/>
    <w:rsid w:val="00D71C75"/>
    <w:rsid w:val="00D76AAD"/>
    <w:rsid w:val="00D76DCC"/>
    <w:rsid w:val="00D80223"/>
    <w:rsid w:val="00D824B2"/>
    <w:rsid w:val="00D82A70"/>
    <w:rsid w:val="00D82B55"/>
    <w:rsid w:val="00D83702"/>
    <w:rsid w:val="00D838C4"/>
    <w:rsid w:val="00D85615"/>
    <w:rsid w:val="00D904F8"/>
    <w:rsid w:val="00D96DF5"/>
    <w:rsid w:val="00DA0F8B"/>
    <w:rsid w:val="00DA4C8E"/>
    <w:rsid w:val="00DB5EFB"/>
    <w:rsid w:val="00DB75E1"/>
    <w:rsid w:val="00DC60E2"/>
    <w:rsid w:val="00DC61A2"/>
    <w:rsid w:val="00DC69CD"/>
    <w:rsid w:val="00DD139E"/>
    <w:rsid w:val="00DD2C2B"/>
    <w:rsid w:val="00DD4DA6"/>
    <w:rsid w:val="00DD502C"/>
    <w:rsid w:val="00DD7AA4"/>
    <w:rsid w:val="00DE1C7B"/>
    <w:rsid w:val="00DE33B8"/>
    <w:rsid w:val="00DE370C"/>
    <w:rsid w:val="00DE48BE"/>
    <w:rsid w:val="00DE5489"/>
    <w:rsid w:val="00DE73BB"/>
    <w:rsid w:val="00DF25A4"/>
    <w:rsid w:val="00DF4AC7"/>
    <w:rsid w:val="00DF50BB"/>
    <w:rsid w:val="00DF568A"/>
    <w:rsid w:val="00DF5EF4"/>
    <w:rsid w:val="00DF623A"/>
    <w:rsid w:val="00E00230"/>
    <w:rsid w:val="00E00442"/>
    <w:rsid w:val="00E015B8"/>
    <w:rsid w:val="00E02445"/>
    <w:rsid w:val="00E043C4"/>
    <w:rsid w:val="00E047E9"/>
    <w:rsid w:val="00E0521D"/>
    <w:rsid w:val="00E074E3"/>
    <w:rsid w:val="00E123B0"/>
    <w:rsid w:val="00E135B7"/>
    <w:rsid w:val="00E13B7B"/>
    <w:rsid w:val="00E142EC"/>
    <w:rsid w:val="00E158DF"/>
    <w:rsid w:val="00E1752B"/>
    <w:rsid w:val="00E21F18"/>
    <w:rsid w:val="00E2203D"/>
    <w:rsid w:val="00E220AD"/>
    <w:rsid w:val="00E222BB"/>
    <w:rsid w:val="00E23EFC"/>
    <w:rsid w:val="00E24E92"/>
    <w:rsid w:val="00E26258"/>
    <w:rsid w:val="00E27FFC"/>
    <w:rsid w:val="00E3274A"/>
    <w:rsid w:val="00E33457"/>
    <w:rsid w:val="00E33AED"/>
    <w:rsid w:val="00E3454D"/>
    <w:rsid w:val="00E352D8"/>
    <w:rsid w:val="00E36D56"/>
    <w:rsid w:val="00E377AA"/>
    <w:rsid w:val="00E41613"/>
    <w:rsid w:val="00E4166F"/>
    <w:rsid w:val="00E41BB3"/>
    <w:rsid w:val="00E42966"/>
    <w:rsid w:val="00E44A1B"/>
    <w:rsid w:val="00E47E16"/>
    <w:rsid w:val="00E52B88"/>
    <w:rsid w:val="00E53B43"/>
    <w:rsid w:val="00E54558"/>
    <w:rsid w:val="00E55296"/>
    <w:rsid w:val="00E56265"/>
    <w:rsid w:val="00E5793F"/>
    <w:rsid w:val="00E60752"/>
    <w:rsid w:val="00E61C1E"/>
    <w:rsid w:val="00E61E3D"/>
    <w:rsid w:val="00E61F16"/>
    <w:rsid w:val="00E64889"/>
    <w:rsid w:val="00E65C58"/>
    <w:rsid w:val="00E67755"/>
    <w:rsid w:val="00E67830"/>
    <w:rsid w:val="00E67F54"/>
    <w:rsid w:val="00E72CDA"/>
    <w:rsid w:val="00E76BD1"/>
    <w:rsid w:val="00E77098"/>
    <w:rsid w:val="00E7735D"/>
    <w:rsid w:val="00E7793E"/>
    <w:rsid w:val="00E7794B"/>
    <w:rsid w:val="00E804F0"/>
    <w:rsid w:val="00E8474D"/>
    <w:rsid w:val="00E87046"/>
    <w:rsid w:val="00E87AAD"/>
    <w:rsid w:val="00E9076C"/>
    <w:rsid w:val="00E932E8"/>
    <w:rsid w:val="00E9569E"/>
    <w:rsid w:val="00E959BD"/>
    <w:rsid w:val="00E96851"/>
    <w:rsid w:val="00E97820"/>
    <w:rsid w:val="00EA0351"/>
    <w:rsid w:val="00EA151B"/>
    <w:rsid w:val="00EA28DD"/>
    <w:rsid w:val="00EA2ADC"/>
    <w:rsid w:val="00EA3777"/>
    <w:rsid w:val="00EA6B4F"/>
    <w:rsid w:val="00EA759A"/>
    <w:rsid w:val="00EA7FE4"/>
    <w:rsid w:val="00EB06DD"/>
    <w:rsid w:val="00EB11E2"/>
    <w:rsid w:val="00EB59D0"/>
    <w:rsid w:val="00EB648A"/>
    <w:rsid w:val="00EB6C95"/>
    <w:rsid w:val="00EB6E90"/>
    <w:rsid w:val="00EB71B3"/>
    <w:rsid w:val="00EC103F"/>
    <w:rsid w:val="00EC18A9"/>
    <w:rsid w:val="00EC2608"/>
    <w:rsid w:val="00EC2DD4"/>
    <w:rsid w:val="00EC388A"/>
    <w:rsid w:val="00EC3A7D"/>
    <w:rsid w:val="00EC5DBC"/>
    <w:rsid w:val="00ED14E1"/>
    <w:rsid w:val="00ED343A"/>
    <w:rsid w:val="00ED364A"/>
    <w:rsid w:val="00ED4074"/>
    <w:rsid w:val="00ED7690"/>
    <w:rsid w:val="00EE137A"/>
    <w:rsid w:val="00EE22E1"/>
    <w:rsid w:val="00EE30F3"/>
    <w:rsid w:val="00EE3199"/>
    <w:rsid w:val="00EE34D1"/>
    <w:rsid w:val="00EE6EA0"/>
    <w:rsid w:val="00EF17B5"/>
    <w:rsid w:val="00EF21BC"/>
    <w:rsid w:val="00EF22DA"/>
    <w:rsid w:val="00EF3B04"/>
    <w:rsid w:val="00EF431B"/>
    <w:rsid w:val="00EF4920"/>
    <w:rsid w:val="00EF72B0"/>
    <w:rsid w:val="00F00C40"/>
    <w:rsid w:val="00F00CD5"/>
    <w:rsid w:val="00F01245"/>
    <w:rsid w:val="00F03EE5"/>
    <w:rsid w:val="00F04A79"/>
    <w:rsid w:val="00F06310"/>
    <w:rsid w:val="00F11D4F"/>
    <w:rsid w:val="00F12F9E"/>
    <w:rsid w:val="00F15297"/>
    <w:rsid w:val="00F15BAF"/>
    <w:rsid w:val="00F15F9D"/>
    <w:rsid w:val="00F16044"/>
    <w:rsid w:val="00F23427"/>
    <w:rsid w:val="00F23789"/>
    <w:rsid w:val="00F30D37"/>
    <w:rsid w:val="00F37E2C"/>
    <w:rsid w:val="00F426EE"/>
    <w:rsid w:val="00F43176"/>
    <w:rsid w:val="00F4439D"/>
    <w:rsid w:val="00F44CFD"/>
    <w:rsid w:val="00F456C2"/>
    <w:rsid w:val="00F4570D"/>
    <w:rsid w:val="00F5180C"/>
    <w:rsid w:val="00F51B36"/>
    <w:rsid w:val="00F521F4"/>
    <w:rsid w:val="00F54121"/>
    <w:rsid w:val="00F54AC6"/>
    <w:rsid w:val="00F5675C"/>
    <w:rsid w:val="00F61E91"/>
    <w:rsid w:val="00F657B4"/>
    <w:rsid w:val="00F7032E"/>
    <w:rsid w:val="00F73987"/>
    <w:rsid w:val="00F7694A"/>
    <w:rsid w:val="00F80CD3"/>
    <w:rsid w:val="00F80FDF"/>
    <w:rsid w:val="00F8787B"/>
    <w:rsid w:val="00F87E94"/>
    <w:rsid w:val="00F92145"/>
    <w:rsid w:val="00F93CB3"/>
    <w:rsid w:val="00F94C2A"/>
    <w:rsid w:val="00F94E39"/>
    <w:rsid w:val="00F95194"/>
    <w:rsid w:val="00F95CFC"/>
    <w:rsid w:val="00F96E87"/>
    <w:rsid w:val="00F97925"/>
    <w:rsid w:val="00F97DD0"/>
    <w:rsid w:val="00FA029D"/>
    <w:rsid w:val="00FA26A0"/>
    <w:rsid w:val="00FA2D8D"/>
    <w:rsid w:val="00FA3B4C"/>
    <w:rsid w:val="00FA54B3"/>
    <w:rsid w:val="00FA59CF"/>
    <w:rsid w:val="00FA6E4F"/>
    <w:rsid w:val="00FA70A7"/>
    <w:rsid w:val="00FB0D80"/>
    <w:rsid w:val="00FB1992"/>
    <w:rsid w:val="00FB4BB4"/>
    <w:rsid w:val="00FB55BD"/>
    <w:rsid w:val="00FB72EC"/>
    <w:rsid w:val="00FC3975"/>
    <w:rsid w:val="00FC53F3"/>
    <w:rsid w:val="00FC6675"/>
    <w:rsid w:val="00FC66C2"/>
    <w:rsid w:val="00FC6F59"/>
    <w:rsid w:val="00FD0C75"/>
    <w:rsid w:val="00FD0C89"/>
    <w:rsid w:val="00FD125F"/>
    <w:rsid w:val="00FD2E83"/>
    <w:rsid w:val="00FD49E9"/>
    <w:rsid w:val="00FD6185"/>
    <w:rsid w:val="00FE05A8"/>
    <w:rsid w:val="00FE237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E9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 w:type="paragraph" w:customStyle="1" w:styleId="Style19">
    <w:name w:val="Style19"/>
    <w:basedOn w:val="Normal"/>
    <w:uiPriority w:val="99"/>
    <w:rsid w:val="009D47F2"/>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9D47F2"/>
    <w:rPr>
      <w:rFonts w:ascii="Verdana" w:hAnsi="Verdana" w:cs="Verdana"/>
      <w:sz w:val="18"/>
      <w:szCs w:val="18"/>
    </w:rPr>
  </w:style>
  <w:style w:type="character" w:customStyle="1" w:styleId="HeaderChar2CharChar1">
    <w:name w:val="Header Char2 Char Char1"/>
    <w:aliases w:val="Header Char1 Char1 Char Char1,Header Char Char Char1 Char Char1,Header Char1 Char Char Char Char Char1,Header Char Char Char Char Char Char Char1,Header Char Char1 Char Char1,Header Char1 Char Char1 Char Char"/>
    <w:locked/>
    <w:rsid w:val="009D47F2"/>
    <w:rPr>
      <w:rFonts w:hAnsi="Verdana" w:cs="Verdana"/>
      <w:sz w:val="24"/>
      <w:szCs w:val="24"/>
      <w:lang w:val="x-none"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 w:type="paragraph" w:customStyle="1" w:styleId="Style19">
    <w:name w:val="Style19"/>
    <w:basedOn w:val="Normal"/>
    <w:uiPriority w:val="99"/>
    <w:rsid w:val="009D47F2"/>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9D47F2"/>
    <w:rPr>
      <w:rFonts w:ascii="Verdana" w:hAnsi="Verdana" w:cs="Verdana"/>
      <w:sz w:val="18"/>
      <w:szCs w:val="18"/>
    </w:rPr>
  </w:style>
  <w:style w:type="character" w:customStyle="1" w:styleId="HeaderChar2CharChar1">
    <w:name w:val="Header Char2 Char Char1"/>
    <w:aliases w:val="Header Char1 Char1 Char Char1,Header Char Char Char1 Char Char1,Header Char1 Char Char Char Char Char1,Header Char Char Char Char Char Char Char1,Header Char Char1 Char Char1,Header Char1 Char Char1 Char Char"/>
    <w:locked/>
    <w:rsid w:val="009D47F2"/>
    <w:rPr>
      <w:rFonts w:hAnsi="Verdana" w:cs="Verdana"/>
      <w:sz w:val="24"/>
      <w:szCs w:val="24"/>
      <w:lang w:val="x-none"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95EA-FE51-4460-8EA0-F91C23AF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3729</Words>
  <Characters>21633</Characters>
  <Application>Microsoft Office Word</Application>
  <DocSecurity>0</DocSecurity>
  <Lines>180</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25312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2021-01-11T10:08:00Z</dcterms:created>
  <dcterms:modified xsi:type="dcterms:W3CDTF">2021-01-15T12:00:00Z</dcterms:modified>
</cp:coreProperties>
</file>