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82337" w:rsidRDefault="00582337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F21F88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F21F88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Д-Р 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237662" w:rsidRPr="00237662" w:rsidRDefault="0037641A" w:rsidP="00460AD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Проект на заповед за изм</w:t>
            </w:r>
            <w:r w:rsidR="007011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енение на Заповед № РД 09 – 481 от 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22.06.2020 г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№ </w:t>
            </w:r>
            <w:r>
              <w:t xml:space="preserve"> 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 – 7.015 по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</w:t>
            </w:r>
            <w:r w:rsidR="00237662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.</w:t>
            </w:r>
          </w:p>
          <w:p w:rsidR="0057112B" w:rsidRPr="00092BEA" w:rsidRDefault="0057112B" w:rsidP="00237662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37641A">
        <w:rPr>
          <w:rFonts w:ascii="Times New Roman" w:hAnsi="Times New Roman"/>
          <w:sz w:val="24"/>
          <w:szCs w:val="24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чл. 26, ал. 7, т. 2 от Закона за управление на средствата от Европейските структурни и инвестиционни фондове (ЗУСЕСИФ), Ви представям за одобрение заповед за изм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енение на Заповед № РД 09 – 481 от 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22.06.2020 г.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№ </w:t>
      </w:r>
      <w:r w:rsidRPr="0037641A">
        <w:rPr>
          <w:rFonts w:ascii="Times New Roman" w:hAnsi="Times New Roman"/>
          <w:sz w:val="24"/>
          <w:szCs w:val="24"/>
          <w:lang w:val="en-GB"/>
        </w:rPr>
        <w:t>BG06RDNP001 – 7.015 по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37641A">
        <w:rPr>
          <w:rFonts w:ascii="Times New Roman" w:hAnsi="Times New Roman"/>
          <w:sz w:val="24"/>
          <w:szCs w:val="24"/>
        </w:rPr>
        <w:t>с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№ </w:t>
      </w:r>
      <w:r w:rsidRPr="0037641A">
        <w:rPr>
          <w:rFonts w:ascii="Times New Roman" w:hAnsi="Times New Roman"/>
          <w:sz w:val="24"/>
          <w:szCs w:val="24"/>
          <w:lang w:val="en-GB"/>
        </w:rPr>
        <w:t>BG06RDNP001 – 7.015 по подмярка 7.6. „</w:t>
      </w:r>
      <w:r w:rsidRPr="0037641A">
        <w:rPr>
          <w:rFonts w:ascii="Times New Roman" w:hAnsi="Times New Roman"/>
          <w:sz w:val="24"/>
          <w:szCs w:val="24"/>
          <w:lang w:val="bg-BG"/>
        </w:rPr>
        <w:t>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t>Определ</w:t>
      </w:r>
      <w:r w:rsidR="00701148">
        <w:rPr>
          <w:rFonts w:ascii="Times New Roman" w:hAnsi="Times New Roman"/>
          <w:bCs/>
          <w:sz w:val="24"/>
          <w:szCs w:val="24"/>
          <w:lang w:val="bg-BG"/>
        </w:rPr>
        <w:t xml:space="preserve">еният със Заповед № РД 09 – 481 от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>22.06.2020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 бюджет по процедурата е в размер на левовата равностойност на 14 532 817,00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Pr="0037641A">
        <w:rPr>
          <w:rFonts w:ascii="Times New Roman" w:hAnsi="Times New Roman"/>
          <w:bCs/>
          <w:sz w:val="24"/>
          <w:szCs w:val="24"/>
        </w:rPr>
        <w:t>28 4</w:t>
      </w:r>
      <w:r w:rsidR="00701148">
        <w:rPr>
          <w:rFonts w:ascii="Times New Roman" w:hAnsi="Times New Roman"/>
          <w:bCs/>
          <w:sz w:val="24"/>
          <w:szCs w:val="24"/>
        </w:rPr>
        <w:t>23 283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лева. В рамките на проведения в периода 22.06 – 23.09.2020 г. прием на проектни предложения по подмярката постъпиха 133 бр. проектни предложения с общ размер на заявената безвъзмездна финансова помощ 38.9 млн. евро. </w:t>
      </w:r>
    </w:p>
    <w:p w:rsidR="0037641A" w:rsidRPr="009D5C66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Съгласно информация получена от Държавен фонд „Земеделие“, недостига на средства </w:t>
      </w:r>
      <w:r>
        <w:rPr>
          <w:rFonts w:ascii="Times New Roman" w:hAnsi="Times New Roman"/>
          <w:bCs/>
          <w:sz w:val="24"/>
          <w:szCs w:val="24"/>
          <w:lang w:val="bg-BG"/>
        </w:rPr>
        <w:t>за финансиране на всички постъпили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 на обща стойност на заявените разходи </w:t>
      </w:r>
      <w:r w:rsidR="009D5C66">
        <w:rPr>
          <w:rFonts w:ascii="Times New Roman" w:hAnsi="Times New Roman"/>
          <w:bCs/>
          <w:sz w:val="24"/>
          <w:szCs w:val="24"/>
          <w:lang w:val="bg-BG"/>
        </w:rPr>
        <w:t xml:space="preserve">е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в размер на </w:t>
      </w:r>
      <w:r w:rsidR="009D5C66" w:rsidRPr="009D5C66">
        <w:rPr>
          <w:rFonts w:ascii="Times New Roman" w:hAnsi="Times New Roman"/>
          <w:bCs/>
          <w:sz w:val="24"/>
          <w:szCs w:val="24"/>
        </w:rPr>
        <w:t>20 830 000,00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евро (</w:t>
      </w:r>
      <w:r w:rsidR="009D5C66" w:rsidRPr="009D5C66">
        <w:rPr>
          <w:rFonts w:ascii="Times New Roman" w:hAnsi="Times New Roman"/>
          <w:bCs/>
          <w:sz w:val="24"/>
          <w:szCs w:val="24"/>
          <w:lang w:val="bg-BG"/>
        </w:rPr>
        <w:t>40 739 314,00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лв.)</w:t>
      </w:r>
      <w:r w:rsidRPr="0037641A">
        <w:rPr>
          <w:rFonts w:ascii="Times New Roman" w:hAnsi="Times New Roman"/>
          <w:bCs/>
          <w:sz w:val="24"/>
          <w:szCs w:val="24"/>
        </w:rPr>
        <w:t xml:space="preserve">.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Това </w:t>
      </w:r>
      <w:r w:rsidR="009D5C66">
        <w:rPr>
          <w:rFonts w:ascii="Times New Roman" w:hAnsi="Times New Roman"/>
          <w:bCs/>
          <w:sz w:val="24"/>
          <w:szCs w:val="24"/>
          <w:lang w:val="bg-BG"/>
        </w:rPr>
        <w:t xml:space="preserve">включва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>всички проектни предложения подадени в периода на прием по процедура</w:t>
      </w:r>
      <w:r w:rsidR="009D5C66">
        <w:rPr>
          <w:rFonts w:ascii="Times New Roman" w:hAnsi="Times New Roman"/>
          <w:bCs/>
          <w:sz w:val="24"/>
          <w:szCs w:val="24"/>
          <w:lang w:val="bg-BG"/>
        </w:rPr>
        <w:t>та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и получили  </w:t>
      </w:r>
      <w:r w:rsidR="009D5C66" w:rsidRPr="009D5C66">
        <w:rPr>
          <w:rFonts w:ascii="Times New Roman" w:hAnsi="Times New Roman"/>
          <w:bCs/>
          <w:sz w:val="24"/>
          <w:szCs w:val="24"/>
          <w:lang w:val="bg-BG"/>
        </w:rPr>
        <w:t>минималния брой точки по критериите за оценка и отговарящи на изискванията за допустимост.</w:t>
      </w:r>
    </w:p>
    <w:p w:rsidR="001D4EA6" w:rsidRDefault="009D5C66" w:rsidP="001D4EA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D5C66">
        <w:rPr>
          <w:rFonts w:ascii="Times New Roman" w:hAnsi="Times New Roman"/>
          <w:sz w:val="24"/>
          <w:szCs w:val="24"/>
          <w:lang w:val="bg-BG"/>
        </w:rPr>
        <w:t xml:space="preserve">С цел максимално изпълнение на заложените цели, свързани със запазване на духовния и културен живот на населението в селските райони и запазване на богатото </w:t>
      </w:r>
      <w:r w:rsidRPr="009D5C66">
        <w:rPr>
          <w:rFonts w:ascii="Times New Roman" w:hAnsi="Times New Roman"/>
          <w:sz w:val="24"/>
          <w:szCs w:val="24"/>
          <w:lang w:val="bg-BG"/>
        </w:rPr>
        <w:lastRenderedPageBreak/>
        <w:t xml:space="preserve">културно наследство, което се съхранява в различни обекти с религиозно значение, 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на проведеният на </w:t>
      </w:r>
      <w:r w:rsidRPr="0037641A">
        <w:rPr>
          <w:rFonts w:ascii="Times New Roman" w:hAnsi="Times New Roman"/>
          <w:sz w:val="24"/>
          <w:szCs w:val="24"/>
          <w:lang w:val="en-GB"/>
        </w:rPr>
        <w:t>22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декември 2020 г. Комитет по наблюдение на ПРСР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беше взето решение, </w:t>
      </w:r>
      <w:r w:rsidR="00701148">
        <w:rPr>
          <w:rFonts w:ascii="Times New Roman" w:hAnsi="Times New Roman"/>
          <w:sz w:val="24"/>
          <w:szCs w:val="24"/>
          <w:lang w:val="bg-BG"/>
        </w:rPr>
        <w:t>средства в размер на 20 830 000</w:t>
      </w:r>
      <w:r w:rsidRPr="009D5C66">
        <w:rPr>
          <w:rFonts w:ascii="Times New Roman" w:hAnsi="Times New Roman"/>
          <w:sz w:val="24"/>
          <w:szCs w:val="24"/>
          <w:lang w:val="bg-BG"/>
        </w:rPr>
        <w:t xml:space="preserve"> евро да бъдат прехвърл</w:t>
      </w:r>
      <w:r>
        <w:rPr>
          <w:rFonts w:ascii="Times New Roman" w:hAnsi="Times New Roman"/>
          <w:sz w:val="24"/>
          <w:szCs w:val="24"/>
          <w:lang w:val="bg-BG"/>
        </w:rPr>
        <w:t xml:space="preserve">ени към бюджета на подмярка 7.6 </w:t>
      </w:r>
      <w:r w:rsidRPr="009D5C66">
        <w:rPr>
          <w:rFonts w:ascii="Times New Roman" w:hAnsi="Times New Roman"/>
          <w:sz w:val="24"/>
          <w:szCs w:val="24"/>
          <w:lang w:val="bg-BG"/>
        </w:rPr>
        <w:t>„Проучвания и инвестиции, свързани с поддържане, възстановяване и подобряване на културното и природно наследство на селата“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1D4EA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>Посочените по-горе средства ще бъдат осигурени и прехвърлени от мерки и подмерки от ПРСР 2014-2020 г.</w:t>
      </w:r>
      <w:r w:rsidR="001D4EA6">
        <w:rPr>
          <w:rFonts w:ascii="Times New Roman" w:hAnsi="Times New Roman"/>
          <w:sz w:val="24"/>
          <w:szCs w:val="24"/>
          <w:lang w:val="bg-BG"/>
        </w:rPr>
        <w:t>,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 xml:space="preserve"> съгласно взетото решение на Комитета по наблюдение на Програмата.</w:t>
      </w:r>
    </w:p>
    <w:p w:rsidR="00F21F88" w:rsidRPr="00F21F88" w:rsidRDefault="00F21F88" w:rsidP="00F21F8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1F88">
        <w:rPr>
          <w:rFonts w:ascii="Times New Roman" w:hAnsi="Times New Roman"/>
          <w:sz w:val="24"/>
          <w:szCs w:val="24"/>
          <w:lang w:val="bg-BG"/>
        </w:rPr>
        <w:t xml:space="preserve">10-то изменение на ПРСР 2014-2020 г. с включеното в него предложение за прехвърляне на средства е </w:t>
      </w:r>
      <w:r w:rsidRPr="00F21F88">
        <w:rPr>
          <w:rFonts w:ascii="Times New Roman" w:hAnsi="Times New Roman"/>
          <w:sz w:val="24"/>
          <w:szCs w:val="24"/>
        </w:rPr>
        <w:t>одобрено от Министерския съвет на Република България на проведено заседание на 13.01.2021 г.</w:t>
      </w:r>
      <w:r w:rsidRPr="00F21F88">
        <w:rPr>
          <w:rFonts w:ascii="Times New Roman" w:hAnsi="Times New Roman"/>
          <w:sz w:val="24"/>
          <w:szCs w:val="24"/>
          <w:lang w:val="bg-BG"/>
        </w:rPr>
        <w:t xml:space="preserve"> и е нотифицирано до Европейската комисия чрез системата SFC на 14.01.2021 г.</w:t>
      </w:r>
    </w:p>
    <w:p w:rsidR="0037641A" w:rsidRPr="0037641A" w:rsidRDefault="001D4EA6" w:rsidP="001D4EA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цел максимално усвояване на финансовият ресурс по подмярка </w:t>
      </w:r>
      <w:r w:rsidR="00926C08" w:rsidRPr="00926C08">
        <w:rPr>
          <w:rFonts w:ascii="Times New Roman" w:hAnsi="Times New Roman"/>
          <w:sz w:val="24"/>
          <w:szCs w:val="24"/>
          <w:lang w:val="bg-BG"/>
        </w:rPr>
        <w:t>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926C08">
        <w:rPr>
          <w:rFonts w:ascii="Times New Roman" w:hAnsi="Times New Roman"/>
          <w:sz w:val="24"/>
          <w:szCs w:val="24"/>
          <w:lang w:val="bg-BG"/>
        </w:rPr>
        <w:t>,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Ви предлагаме да бъде увеличен финансовия ресурс по процедурата със </w:t>
      </w:r>
      <w:r w:rsidR="00926C08" w:rsidRPr="00926C08">
        <w:rPr>
          <w:rFonts w:ascii="Times New Roman" w:hAnsi="Times New Roman"/>
          <w:sz w:val="24"/>
          <w:szCs w:val="24"/>
        </w:rPr>
        <w:t>40 739 314,00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926C08" w:rsidRPr="00926C08">
        <w:rPr>
          <w:rFonts w:ascii="Times New Roman" w:hAnsi="Times New Roman"/>
          <w:sz w:val="24"/>
          <w:szCs w:val="24"/>
          <w:lang w:val="bg-BG"/>
        </w:rPr>
        <w:t>20 830 000,00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евро, или общия размер на бюджета по процедурата да бъде увеличен на </w:t>
      </w:r>
      <w:r w:rsidR="001704FB" w:rsidRPr="001704FB">
        <w:rPr>
          <w:rFonts w:ascii="Times New Roman" w:hAnsi="Times New Roman"/>
          <w:sz w:val="24"/>
          <w:szCs w:val="24"/>
        </w:rPr>
        <w:t>69 162 597,49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1704FB" w:rsidRPr="001704FB">
        <w:rPr>
          <w:rFonts w:ascii="Times New Roman" w:hAnsi="Times New Roman"/>
          <w:sz w:val="24"/>
          <w:szCs w:val="24"/>
        </w:rPr>
        <w:t>35 362 817,00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евро, с цел да бъдат финансирани </w:t>
      </w:r>
      <w:r w:rsidR="001704FB">
        <w:rPr>
          <w:rFonts w:ascii="Times New Roman" w:hAnsi="Times New Roman"/>
          <w:sz w:val="24"/>
          <w:szCs w:val="24"/>
          <w:lang w:val="bg-BG"/>
        </w:rPr>
        <w:t>всички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които са </w:t>
      </w:r>
      <w:r w:rsidR="001704FB">
        <w:rPr>
          <w:rFonts w:ascii="Times New Roman" w:hAnsi="Times New Roman"/>
          <w:sz w:val="24"/>
          <w:szCs w:val="24"/>
          <w:lang w:val="bg-BG"/>
        </w:rPr>
        <w:t xml:space="preserve">получили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>минималния брой точки по критериите за оценка и отговарящи на изискванията за допустимост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>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Заповед № 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РД 09 – 481 от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>22.06.2020 г.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№ BG06RDNP001 – 7.015 по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1704FB">
        <w:rPr>
          <w:rFonts w:ascii="Times New Roman" w:hAnsi="Times New Roman"/>
          <w:sz w:val="24"/>
          <w:szCs w:val="24"/>
          <w:lang w:val="bg-BG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Министерството на земеделието, храните и горите и на Единния информационен портал за обща информация за управлението на Европейските структурни и инвестиционни фондове: 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>www.eufunds.bg</w:t>
      </w:r>
      <w:r w:rsidRPr="0037641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7641A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УВАЖАЕМА ГОСПОЖО ЗАМЕСТНИК-МИНИСТЪР,</w:t>
      </w:r>
    </w:p>
    <w:p w:rsidR="001A7DA0" w:rsidRPr="0037641A" w:rsidRDefault="001A7DA0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5, чл. 26, ал. 7, т. 2 от ЗУСЕСИФ предлагам да издадете заповед за изменение на Заповед № </w:t>
      </w:r>
      <w:r w:rsidR="00A51326">
        <w:rPr>
          <w:rFonts w:ascii="Times New Roman" w:hAnsi="Times New Roman"/>
          <w:sz w:val="24"/>
          <w:szCs w:val="24"/>
          <w:lang w:val="bg-BG"/>
        </w:rPr>
        <w:t xml:space="preserve">РД 09 – 481 от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>22.06.2020 г.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№ BG06RDNP001 – 7.015 по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AF6A20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A20" w:rsidRDefault="00AF6A20">
      <w:r>
        <w:separator/>
      </w:r>
    </w:p>
  </w:endnote>
  <w:endnote w:type="continuationSeparator" w:id="0">
    <w:p w:rsidR="00AF6A20" w:rsidRDefault="00AF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F21F88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A20" w:rsidRDefault="00AF6A20">
      <w:r>
        <w:separator/>
      </w:r>
    </w:p>
  </w:footnote>
  <w:footnote w:type="continuationSeparator" w:id="0">
    <w:p w:rsidR="00AF6A20" w:rsidRDefault="00AF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887" w:rsidRDefault="00AF6A2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3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887" w:rsidRDefault="00AF6A2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4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F6A20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2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EB6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4EA6"/>
    <w:rsid w:val="001D5D05"/>
    <w:rsid w:val="001D61EB"/>
    <w:rsid w:val="001E1567"/>
    <w:rsid w:val="001E423E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6659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1148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3A8"/>
    <w:rsid w:val="007574FB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1326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04A2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6A20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476BB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878DB"/>
    <w:rsid w:val="00D905E2"/>
    <w:rsid w:val="00D92FBE"/>
    <w:rsid w:val="00D95C12"/>
    <w:rsid w:val="00D977EF"/>
    <w:rsid w:val="00D97C5F"/>
    <w:rsid w:val="00DB2BB8"/>
    <w:rsid w:val="00DC4DA0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1F88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8814367C-01BE-4223-B3FB-482E34AD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D081-76B6-48F4-89A5-44DDAB78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972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deploy_admin</cp:lastModifiedBy>
  <cp:revision>12</cp:revision>
  <cp:lastPrinted>2018-01-26T09:05:00Z</cp:lastPrinted>
  <dcterms:created xsi:type="dcterms:W3CDTF">2020-06-22T11:34:00Z</dcterms:created>
  <dcterms:modified xsi:type="dcterms:W3CDTF">2021-01-14T14:54:00Z</dcterms:modified>
</cp:coreProperties>
</file>