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650" w:type="dxa"/>
        <w:jc w:val="center"/>
        <w:tblBorders>
          <w:top w:val="single" w:sz="12" w:space="0" w:color="2E74B5"/>
          <w:left w:val="single" w:sz="12" w:space="0" w:color="2E74B5"/>
          <w:bottom w:val="single" w:sz="12" w:space="0" w:color="2E74B5"/>
          <w:right w:val="single" w:sz="12" w:space="0" w:color="2E74B5"/>
          <w:insideH w:val="single" w:sz="12" w:space="0" w:color="2E74B5"/>
          <w:insideV w:val="single" w:sz="12" w:space="0" w:color="2E74B5"/>
        </w:tblBorders>
        <w:tblLayout w:type="fixed"/>
        <w:tblLook w:val="0000" w:firstRow="0" w:lastRow="0" w:firstColumn="0" w:lastColumn="0" w:noHBand="0" w:noVBand="0"/>
      </w:tblPr>
      <w:tblGrid>
        <w:gridCol w:w="15650"/>
      </w:tblGrid>
      <w:tr w:rsidR="000B31D5">
        <w:trPr>
          <w:trHeight w:val="958"/>
          <w:jc w:val="center"/>
        </w:trPr>
        <w:tc>
          <w:tcPr>
            <w:tcW w:w="15650" w:type="dxa"/>
            <w:shd w:val="clear" w:color="auto" w:fill="BDD6EE"/>
          </w:tcPr>
          <w:p w:rsidR="000B31D5" w:rsidRDefault="005B04B7">
            <w:pPr>
              <w:tabs>
                <w:tab w:val="left" w:pos="2190"/>
              </w:tabs>
              <w:spacing w:before="120" w:line="360" w:lineRule="auto"/>
              <w:jc w:val="center"/>
              <w:rPr>
                <w:rFonts w:ascii="Verdana" w:hAnsi="Verdana"/>
                <w:b/>
                <w:spacing w:val="60"/>
              </w:rPr>
            </w:pPr>
            <w:r>
              <w:rPr>
                <w:rFonts w:ascii="Verdana" w:hAnsi="Verdana"/>
                <w:b/>
                <w:spacing w:val="60"/>
              </w:rPr>
              <w:t>СПРАВКА</w:t>
            </w:r>
          </w:p>
          <w:p w:rsidR="000B31D5" w:rsidRDefault="005B04B7">
            <w:pPr>
              <w:tabs>
                <w:tab w:val="left" w:pos="2190"/>
              </w:tabs>
              <w:spacing w:line="360" w:lineRule="auto"/>
              <w:ind w:left="567" w:right="567"/>
              <w:jc w:val="center"/>
              <w:rPr>
                <w:rFonts w:ascii="Verdana" w:hAnsi="Verdana"/>
                <w:b/>
                <w:sz w:val="20"/>
                <w:szCs w:val="20"/>
                <w:lang w:val="en-US"/>
              </w:rPr>
            </w:pPr>
            <w:r>
              <w:rPr>
                <w:rFonts w:ascii="Verdana" w:hAnsi="Verdana"/>
                <w:b/>
                <w:sz w:val="20"/>
                <w:szCs w:val="20"/>
              </w:rPr>
              <w:t xml:space="preserve">ЗА ОТРАЗЯВАНЕ НА ПОСТЪПИЛИТЕ ПРЕДЛОЖЕНИЯ И СТАНОВИЩА ОТ ОБЩЕСТВЕНИТЕ КОНСУЛТАЦИИ НА ПРОЕКТА НА НАРЕДБА ЗА ВЕТЕРИНАРНОМЕДИЦИНСКИТЕ ИЗИСКВАНИЯ И МЕРКИТЕ ЗА БИОСИГУРНОСТ КЪМ ЖИВОТНОВЪДНИТЕ </w:t>
            </w:r>
            <w:r>
              <w:rPr>
                <w:rFonts w:ascii="Verdana" w:hAnsi="Verdana"/>
                <w:b/>
                <w:sz w:val="20"/>
                <w:szCs w:val="20"/>
              </w:rPr>
              <w:br/>
              <w:t>ОБЕКТИ ЗА РИБА И ДРУГИ ВОДНИ ОРГАНИЗМИ</w:t>
            </w:r>
          </w:p>
        </w:tc>
      </w:tr>
    </w:tbl>
    <w:p w:rsidR="000B31D5" w:rsidRDefault="000B31D5">
      <w:pPr>
        <w:rPr>
          <w:sz w:val="16"/>
          <w:szCs w:val="16"/>
        </w:rPr>
      </w:pPr>
    </w:p>
    <w:tbl>
      <w:tblPr>
        <w:tblW w:w="15650" w:type="dxa"/>
        <w:jc w:val="center"/>
        <w:tblBorders>
          <w:top w:val="single" w:sz="12" w:space="0" w:color="2E74B5"/>
          <w:left w:val="single" w:sz="12" w:space="0" w:color="2E74B5"/>
          <w:bottom w:val="single" w:sz="12" w:space="0" w:color="2E74B5"/>
          <w:right w:val="single" w:sz="12" w:space="0" w:color="2E74B5"/>
          <w:insideH w:val="single" w:sz="12" w:space="0" w:color="2E74B5"/>
          <w:insideV w:val="single" w:sz="12" w:space="0" w:color="2E74B5"/>
        </w:tblBorders>
        <w:tblLayout w:type="fixed"/>
        <w:tblLook w:val="0000" w:firstRow="0" w:lastRow="0" w:firstColumn="0" w:lastColumn="0" w:noHBand="0" w:noVBand="0"/>
      </w:tblPr>
      <w:tblGrid>
        <w:gridCol w:w="622"/>
        <w:gridCol w:w="2470"/>
        <w:gridCol w:w="5982"/>
        <w:gridCol w:w="1531"/>
        <w:gridCol w:w="5045"/>
      </w:tblGrid>
      <w:tr w:rsidR="000B31D5">
        <w:trPr>
          <w:trHeight w:val="565"/>
          <w:tblHeader/>
          <w:jc w:val="center"/>
        </w:trPr>
        <w:tc>
          <w:tcPr>
            <w:tcW w:w="622" w:type="dxa"/>
            <w:tcBorders>
              <w:bottom w:val="single" w:sz="12" w:space="0" w:color="2E74B5"/>
            </w:tcBorders>
            <w:shd w:val="clear" w:color="auto" w:fill="DEEAF6"/>
            <w:vAlign w:val="center"/>
          </w:tcPr>
          <w:p w:rsidR="000B31D5" w:rsidRDefault="005B04B7">
            <w:pPr>
              <w:tabs>
                <w:tab w:val="left" w:pos="192"/>
              </w:tabs>
              <w:jc w:val="center"/>
              <w:rPr>
                <w:rFonts w:ascii="Verdana" w:hAnsi="Verdana"/>
                <w:b/>
                <w:sz w:val="18"/>
                <w:szCs w:val="18"/>
              </w:rPr>
            </w:pPr>
            <w:r>
              <w:rPr>
                <w:rFonts w:ascii="Verdana" w:hAnsi="Verdana"/>
                <w:b/>
                <w:sz w:val="18"/>
                <w:szCs w:val="18"/>
              </w:rPr>
              <w:t>№</w:t>
            </w:r>
          </w:p>
        </w:tc>
        <w:tc>
          <w:tcPr>
            <w:tcW w:w="2470" w:type="dxa"/>
            <w:tcBorders>
              <w:bottom w:val="single" w:sz="12" w:space="0" w:color="2E74B5"/>
            </w:tcBorders>
            <w:shd w:val="clear" w:color="auto" w:fill="DEEAF6"/>
            <w:vAlign w:val="center"/>
          </w:tcPr>
          <w:p w:rsidR="000B31D5" w:rsidRDefault="005B04B7">
            <w:pPr>
              <w:spacing w:before="40"/>
              <w:jc w:val="center"/>
              <w:rPr>
                <w:rFonts w:ascii="Verdana" w:hAnsi="Verdana"/>
                <w:b/>
                <w:sz w:val="19"/>
                <w:szCs w:val="19"/>
              </w:rPr>
            </w:pPr>
            <w:r>
              <w:rPr>
                <w:rFonts w:ascii="Verdana" w:hAnsi="Verdana"/>
                <w:b/>
                <w:sz w:val="19"/>
                <w:szCs w:val="19"/>
              </w:rPr>
              <w:t xml:space="preserve">Организация/ </w:t>
            </w:r>
            <w:r>
              <w:rPr>
                <w:rFonts w:ascii="Verdana" w:hAnsi="Verdana"/>
                <w:b/>
                <w:sz w:val="19"/>
                <w:szCs w:val="19"/>
              </w:rPr>
              <w:br/>
              <w:t>потребител</w:t>
            </w:r>
          </w:p>
          <w:p w:rsidR="000B31D5" w:rsidRDefault="005B04B7">
            <w:pPr>
              <w:spacing w:after="20"/>
              <w:jc w:val="center"/>
              <w:rPr>
                <w:rFonts w:ascii="Verdana" w:hAnsi="Verdana"/>
                <w:b/>
                <w:sz w:val="13"/>
                <w:szCs w:val="13"/>
              </w:rPr>
            </w:pPr>
            <w:r>
              <w:rPr>
                <w:rFonts w:ascii="Verdana" w:hAnsi="Verdana"/>
                <w:b/>
                <w:sz w:val="13"/>
                <w:szCs w:val="13"/>
              </w:rPr>
              <w:t>(вкл. начина на получаване на предложението)</w:t>
            </w:r>
          </w:p>
        </w:tc>
        <w:tc>
          <w:tcPr>
            <w:tcW w:w="5982" w:type="dxa"/>
            <w:tcBorders>
              <w:bottom w:val="single" w:sz="12" w:space="0" w:color="2E74B5"/>
            </w:tcBorders>
            <w:shd w:val="clear" w:color="auto" w:fill="DEEAF6"/>
            <w:vAlign w:val="center"/>
          </w:tcPr>
          <w:p w:rsidR="000B31D5" w:rsidRDefault="005B04B7">
            <w:pPr>
              <w:jc w:val="center"/>
              <w:rPr>
                <w:rFonts w:ascii="Verdana" w:hAnsi="Verdana"/>
                <w:b/>
                <w:sz w:val="19"/>
                <w:szCs w:val="19"/>
              </w:rPr>
            </w:pPr>
            <w:r>
              <w:rPr>
                <w:rFonts w:ascii="Verdana" w:hAnsi="Verdana"/>
                <w:b/>
                <w:sz w:val="19"/>
                <w:szCs w:val="19"/>
              </w:rPr>
              <w:t>Бележки и предложения</w:t>
            </w:r>
          </w:p>
        </w:tc>
        <w:tc>
          <w:tcPr>
            <w:tcW w:w="1531" w:type="dxa"/>
            <w:tcBorders>
              <w:bottom w:val="single" w:sz="12" w:space="0" w:color="2E74B5"/>
            </w:tcBorders>
            <w:shd w:val="clear" w:color="auto" w:fill="DEEAF6"/>
            <w:vAlign w:val="center"/>
          </w:tcPr>
          <w:p w:rsidR="000B31D5" w:rsidRDefault="005B04B7">
            <w:pPr>
              <w:jc w:val="center"/>
              <w:rPr>
                <w:rFonts w:ascii="Verdana" w:hAnsi="Verdana"/>
                <w:b/>
                <w:sz w:val="18"/>
                <w:szCs w:val="18"/>
              </w:rPr>
            </w:pPr>
            <w:r>
              <w:rPr>
                <w:rFonts w:ascii="Verdana" w:hAnsi="Verdana"/>
                <w:b/>
                <w:sz w:val="18"/>
                <w:szCs w:val="18"/>
              </w:rPr>
              <w:t>Приети/</w:t>
            </w:r>
          </w:p>
          <w:p w:rsidR="000B31D5" w:rsidRDefault="005B04B7">
            <w:pPr>
              <w:jc w:val="center"/>
              <w:rPr>
                <w:rFonts w:ascii="Verdana" w:hAnsi="Verdana"/>
                <w:b/>
                <w:sz w:val="18"/>
                <w:szCs w:val="18"/>
              </w:rPr>
            </w:pPr>
            <w:r>
              <w:rPr>
                <w:rFonts w:ascii="Verdana" w:hAnsi="Verdana"/>
                <w:b/>
                <w:sz w:val="18"/>
                <w:szCs w:val="18"/>
              </w:rPr>
              <w:t>неприети</w:t>
            </w:r>
          </w:p>
        </w:tc>
        <w:tc>
          <w:tcPr>
            <w:tcW w:w="5045" w:type="dxa"/>
            <w:tcBorders>
              <w:bottom w:val="single" w:sz="12" w:space="0" w:color="2E74B5"/>
            </w:tcBorders>
            <w:shd w:val="clear" w:color="auto" w:fill="DEEAF6"/>
            <w:vAlign w:val="center"/>
          </w:tcPr>
          <w:p w:rsidR="000B31D5" w:rsidRDefault="005B04B7">
            <w:pPr>
              <w:jc w:val="center"/>
              <w:rPr>
                <w:rFonts w:ascii="Verdana" w:hAnsi="Verdana"/>
                <w:sz w:val="18"/>
                <w:szCs w:val="18"/>
              </w:rPr>
            </w:pPr>
            <w:r>
              <w:rPr>
                <w:rFonts w:ascii="Verdana" w:hAnsi="Verdana"/>
                <w:b/>
                <w:sz w:val="18"/>
                <w:szCs w:val="18"/>
              </w:rPr>
              <w:t>Мотиви</w:t>
            </w:r>
          </w:p>
        </w:tc>
      </w:tr>
      <w:tr w:rsidR="000B31D5">
        <w:trPr>
          <w:trHeight w:val="255"/>
          <w:jc w:val="center"/>
        </w:trPr>
        <w:tc>
          <w:tcPr>
            <w:tcW w:w="622" w:type="dxa"/>
            <w:vMerge w:val="restart"/>
            <w:shd w:val="clear" w:color="auto" w:fill="auto"/>
          </w:tcPr>
          <w:p w:rsidR="000B31D5" w:rsidRDefault="000B31D5">
            <w:pPr>
              <w:pStyle w:val="ListParagraph"/>
              <w:numPr>
                <w:ilvl w:val="0"/>
                <w:numId w:val="10"/>
              </w:numPr>
              <w:tabs>
                <w:tab w:val="left" w:pos="192"/>
              </w:tabs>
              <w:spacing w:before="60" w:after="20"/>
              <w:ind w:left="357" w:hanging="357"/>
              <w:jc w:val="center"/>
              <w:rPr>
                <w:rFonts w:ascii="Verdana" w:hAnsi="Verdana"/>
                <w:b/>
                <w:sz w:val="18"/>
                <w:szCs w:val="18"/>
              </w:rPr>
            </w:pPr>
          </w:p>
        </w:tc>
        <w:tc>
          <w:tcPr>
            <w:tcW w:w="2470" w:type="dxa"/>
            <w:vMerge w:val="restart"/>
            <w:shd w:val="clear" w:color="auto" w:fill="auto"/>
          </w:tcPr>
          <w:p w:rsidR="000B31D5" w:rsidRDefault="005B04B7">
            <w:pPr>
              <w:spacing w:before="60" w:after="20"/>
              <w:rPr>
                <w:rFonts w:ascii="Verdana" w:hAnsi="Verdana"/>
                <w:b/>
                <w:sz w:val="18"/>
                <w:szCs w:val="18"/>
                <w:lang w:val="en-US"/>
              </w:rPr>
            </w:pPr>
            <w:r>
              <w:rPr>
                <w:rFonts w:ascii="Verdana" w:hAnsi="Verdana"/>
                <w:b/>
                <w:sz w:val="18"/>
                <w:szCs w:val="18"/>
              </w:rPr>
              <w:t>АСОЦИАЦИЯ НА ПРОИЗВОДИТЕЛИТЕ НА РИБНИ ПРОДУКТИ</w:t>
            </w:r>
            <w:r>
              <w:rPr>
                <w:rFonts w:ascii="Verdana" w:hAnsi="Verdana"/>
                <w:b/>
                <w:sz w:val="18"/>
                <w:szCs w:val="18"/>
                <w:lang w:val="en-US"/>
              </w:rPr>
              <w:t xml:space="preserve"> – </w:t>
            </w:r>
            <w:r>
              <w:rPr>
                <w:rFonts w:ascii="Verdana" w:hAnsi="Verdana"/>
                <w:b/>
                <w:sz w:val="18"/>
                <w:szCs w:val="18"/>
              </w:rPr>
              <w:t>БГФИШ</w:t>
            </w:r>
          </w:p>
          <w:p w:rsidR="000B31D5" w:rsidRDefault="005B04B7">
            <w:pPr>
              <w:rPr>
                <w:rFonts w:ascii="Verdana" w:hAnsi="Verdana"/>
                <w:sz w:val="18"/>
                <w:szCs w:val="18"/>
                <w:lang w:val="en-US"/>
              </w:rPr>
            </w:pPr>
            <w:r>
              <w:rPr>
                <w:rFonts w:ascii="Verdana" w:hAnsi="Verdana"/>
                <w:sz w:val="18"/>
                <w:szCs w:val="18"/>
                <w:lang w:val="en-US"/>
              </w:rPr>
              <w:t>(</w:t>
            </w:r>
            <w:r>
              <w:rPr>
                <w:rFonts w:ascii="Verdana" w:hAnsi="Verdana"/>
                <w:sz w:val="18"/>
                <w:szCs w:val="18"/>
              </w:rPr>
              <w:t>по електронен път</w:t>
            </w:r>
            <w:r>
              <w:rPr>
                <w:rFonts w:ascii="Verdana" w:hAnsi="Verdana"/>
                <w:sz w:val="18"/>
                <w:szCs w:val="18"/>
                <w:lang w:val="en-US"/>
              </w:rPr>
              <w:t>)</w:t>
            </w:r>
          </w:p>
        </w:tc>
        <w:tc>
          <w:tcPr>
            <w:tcW w:w="5982" w:type="dxa"/>
            <w:tcBorders>
              <w:bottom w:val="nil"/>
            </w:tcBorders>
            <w:shd w:val="clear" w:color="auto" w:fill="auto"/>
          </w:tcPr>
          <w:p w:rsidR="000B31D5" w:rsidRDefault="005B04B7">
            <w:pPr>
              <w:spacing w:before="60" w:after="20"/>
              <w:jc w:val="both"/>
              <w:rPr>
                <w:rFonts w:ascii="Verdana" w:hAnsi="Verdana"/>
                <w:sz w:val="18"/>
                <w:szCs w:val="18"/>
              </w:rPr>
            </w:pPr>
            <w:r>
              <w:rPr>
                <w:rFonts w:ascii="Verdana" w:hAnsi="Verdana"/>
                <w:sz w:val="18"/>
                <w:szCs w:val="18"/>
              </w:rPr>
              <w:t>Дава следните коментари:</w:t>
            </w:r>
          </w:p>
        </w:tc>
        <w:tc>
          <w:tcPr>
            <w:tcW w:w="1531" w:type="dxa"/>
            <w:tcBorders>
              <w:bottom w:val="nil"/>
            </w:tcBorders>
            <w:shd w:val="clear" w:color="auto" w:fill="auto"/>
          </w:tcPr>
          <w:p w:rsidR="000B31D5" w:rsidRDefault="000B31D5">
            <w:pPr>
              <w:rPr>
                <w:rFonts w:ascii="Verdana" w:hAnsi="Verdana"/>
                <w:color w:val="000000"/>
                <w:sz w:val="18"/>
                <w:szCs w:val="18"/>
              </w:rPr>
            </w:pPr>
          </w:p>
        </w:tc>
        <w:tc>
          <w:tcPr>
            <w:tcW w:w="5045" w:type="dxa"/>
            <w:tcBorders>
              <w:bottom w:val="nil"/>
            </w:tcBorders>
            <w:shd w:val="clear" w:color="auto" w:fill="auto"/>
          </w:tcPr>
          <w:p w:rsidR="000B31D5" w:rsidRDefault="000B31D5">
            <w:pPr>
              <w:jc w:val="both"/>
              <w:rPr>
                <w:rFonts w:ascii="Verdana" w:hAnsi="Verdana"/>
                <w:sz w:val="18"/>
                <w:szCs w:val="18"/>
              </w:rPr>
            </w:pPr>
          </w:p>
        </w:tc>
      </w:tr>
      <w:tr w:rsidR="000B31D5">
        <w:trPr>
          <w:trHeight w:val="596"/>
          <w:jc w:val="center"/>
        </w:trPr>
        <w:tc>
          <w:tcPr>
            <w:tcW w:w="622" w:type="dxa"/>
            <w:vMerge/>
            <w:shd w:val="clear" w:color="auto" w:fill="auto"/>
          </w:tcPr>
          <w:p w:rsidR="000B31D5" w:rsidRDefault="000B31D5">
            <w:pPr>
              <w:pStyle w:val="ListParagraph"/>
              <w:numPr>
                <w:ilvl w:val="0"/>
                <w:numId w:val="10"/>
              </w:numPr>
              <w:tabs>
                <w:tab w:val="left" w:pos="192"/>
              </w:tabs>
              <w:ind w:left="357" w:hanging="357"/>
              <w:jc w:val="center"/>
              <w:rPr>
                <w:rFonts w:ascii="Verdana" w:hAnsi="Verdana"/>
                <w:b/>
                <w:sz w:val="18"/>
                <w:szCs w:val="18"/>
              </w:rPr>
            </w:pPr>
          </w:p>
        </w:tc>
        <w:tc>
          <w:tcPr>
            <w:tcW w:w="2470" w:type="dxa"/>
            <w:vMerge/>
            <w:shd w:val="clear" w:color="auto" w:fill="auto"/>
          </w:tcPr>
          <w:p w:rsidR="000B31D5" w:rsidRDefault="000B31D5">
            <w:pPr>
              <w:rPr>
                <w:rFonts w:ascii="Verdana" w:hAnsi="Verdana"/>
                <w:b/>
                <w:bCs/>
                <w:color w:val="000000"/>
                <w:spacing w:val="-2"/>
                <w:w w:val="86"/>
                <w:sz w:val="18"/>
                <w:szCs w:val="18"/>
              </w:rPr>
            </w:pPr>
          </w:p>
        </w:tc>
        <w:tc>
          <w:tcPr>
            <w:tcW w:w="5982" w:type="dxa"/>
            <w:tcBorders>
              <w:top w:val="nil"/>
              <w:bottom w:val="nil"/>
            </w:tcBorders>
            <w:shd w:val="clear" w:color="auto" w:fill="auto"/>
          </w:tcPr>
          <w:p w:rsidR="000B31D5" w:rsidRDefault="005B04B7">
            <w:pPr>
              <w:spacing w:before="60" w:after="20"/>
              <w:jc w:val="both"/>
              <w:rPr>
                <w:rFonts w:ascii="Verdana" w:hAnsi="Verdana"/>
                <w:sz w:val="18"/>
                <w:szCs w:val="18"/>
              </w:rPr>
            </w:pPr>
            <w:r>
              <w:rPr>
                <w:rFonts w:ascii="Verdana" w:hAnsi="Verdana"/>
                <w:sz w:val="18"/>
                <w:szCs w:val="18"/>
              </w:rPr>
              <w:t>- По чл. 2, ал. 4 – предлагаме да се добави т. З със следния текст: „смесени (растения и риба – аквапоника, оризища и други";</w:t>
            </w:r>
          </w:p>
        </w:tc>
        <w:tc>
          <w:tcPr>
            <w:tcW w:w="1531" w:type="dxa"/>
            <w:tcBorders>
              <w:top w:val="nil"/>
              <w:bottom w:val="nil"/>
            </w:tcBorders>
            <w:shd w:val="clear" w:color="auto" w:fill="auto"/>
          </w:tcPr>
          <w:p w:rsidR="000B31D5" w:rsidRDefault="005B04B7">
            <w:pPr>
              <w:spacing w:before="60"/>
              <w:rPr>
                <w:rFonts w:ascii="Verdana" w:hAnsi="Verdana"/>
                <w:sz w:val="18"/>
                <w:szCs w:val="18"/>
              </w:rPr>
            </w:pPr>
            <w:r>
              <w:rPr>
                <w:rFonts w:ascii="Verdana" w:hAnsi="Verdana"/>
                <w:sz w:val="18"/>
                <w:szCs w:val="18"/>
              </w:rPr>
              <w:t>Приема се</w:t>
            </w:r>
          </w:p>
          <w:p w:rsidR="000B31D5" w:rsidRDefault="000B31D5">
            <w:pPr>
              <w:spacing w:before="60"/>
              <w:rPr>
                <w:rFonts w:ascii="Verdana" w:hAnsi="Verdana"/>
                <w:color w:val="000000"/>
                <w:sz w:val="18"/>
                <w:szCs w:val="18"/>
              </w:rPr>
            </w:pPr>
          </w:p>
        </w:tc>
        <w:tc>
          <w:tcPr>
            <w:tcW w:w="5045" w:type="dxa"/>
            <w:tcBorders>
              <w:top w:val="nil"/>
              <w:bottom w:val="nil"/>
            </w:tcBorders>
            <w:shd w:val="clear" w:color="auto" w:fill="auto"/>
          </w:tcPr>
          <w:p w:rsidR="000B31D5" w:rsidRDefault="000B31D5">
            <w:pPr>
              <w:spacing w:before="60" w:after="20"/>
              <w:jc w:val="both"/>
              <w:rPr>
                <w:rFonts w:ascii="Verdana" w:hAnsi="Verdana"/>
                <w:sz w:val="18"/>
                <w:szCs w:val="18"/>
              </w:rPr>
            </w:pPr>
          </w:p>
        </w:tc>
      </w:tr>
      <w:tr w:rsidR="000B31D5">
        <w:trPr>
          <w:trHeight w:val="596"/>
          <w:jc w:val="center"/>
        </w:trPr>
        <w:tc>
          <w:tcPr>
            <w:tcW w:w="622" w:type="dxa"/>
            <w:vMerge/>
            <w:shd w:val="clear" w:color="auto" w:fill="auto"/>
          </w:tcPr>
          <w:p w:rsidR="000B31D5" w:rsidRDefault="000B31D5">
            <w:pPr>
              <w:pStyle w:val="ListParagraph"/>
              <w:numPr>
                <w:ilvl w:val="0"/>
                <w:numId w:val="10"/>
              </w:numPr>
              <w:tabs>
                <w:tab w:val="left" w:pos="192"/>
              </w:tabs>
              <w:ind w:left="357" w:hanging="357"/>
              <w:jc w:val="center"/>
              <w:rPr>
                <w:rFonts w:ascii="Verdana" w:hAnsi="Verdana"/>
                <w:b/>
                <w:sz w:val="18"/>
                <w:szCs w:val="18"/>
              </w:rPr>
            </w:pPr>
          </w:p>
        </w:tc>
        <w:tc>
          <w:tcPr>
            <w:tcW w:w="2470" w:type="dxa"/>
            <w:vMerge/>
            <w:shd w:val="clear" w:color="auto" w:fill="auto"/>
          </w:tcPr>
          <w:p w:rsidR="000B31D5" w:rsidRDefault="000B31D5">
            <w:pPr>
              <w:rPr>
                <w:rFonts w:ascii="Verdana" w:hAnsi="Verdana"/>
                <w:b/>
                <w:bCs/>
                <w:color w:val="000000"/>
                <w:spacing w:val="-2"/>
                <w:w w:val="86"/>
                <w:sz w:val="18"/>
                <w:szCs w:val="18"/>
              </w:rPr>
            </w:pPr>
          </w:p>
        </w:tc>
        <w:tc>
          <w:tcPr>
            <w:tcW w:w="5982" w:type="dxa"/>
            <w:tcBorders>
              <w:top w:val="nil"/>
              <w:bottom w:val="nil"/>
            </w:tcBorders>
            <w:shd w:val="clear" w:color="auto" w:fill="auto"/>
          </w:tcPr>
          <w:p w:rsidR="000B31D5" w:rsidRDefault="005B04B7">
            <w:pPr>
              <w:spacing w:before="60" w:after="20"/>
              <w:jc w:val="both"/>
              <w:rPr>
                <w:rFonts w:ascii="Verdana" w:hAnsi="Verdana"/>
                <w:sz w:val="18"/>
                <w:szCs w:val="18"/>
              </w:rPr>
            </w:pPr>
            <w:r>
              <w:rPr>
                <w:rFonts w:ascii="Verdana" w:hAnsi="Verdana"/>
                <w:sz w:val="18"/>
                <w:szCs w:val="18"/>
              </w:rPr>
              <w:t>- В чл. З, т. 5 да се добави: „без тези, които са част от воден обект – мидени плантации или садкови стопанства";</w:t>
            </w:r>
          </w:p>
        </w:tc>
        <w:tc>
          <w:tcPr>
            <w:tcW w:w="1531" w:type="dxa"/>
            <w:tcBorders>
              <w:top w:val="nil"/>
              <w:bottom w:val="nil"/>
            </w:tcBorders>
            <w:shd w:val="clear" w:color="auto" w:fill="auto"/>
          </w:tcPr>
          <w:p w:rsidR="000B31D5" w:rsidRDefault="005B04B7">
            <w:pPr>
              <w:spacing w:before="60" w:after="20"/>
              <w:rPr>
                <w:rFonts w:ascii="Verdana" w:hAnsi="Verdana"/>
                <w:sz w:val="18"/>
                <w:szCs w:val="18"/>
              </w:rPr>
            </w:pPr>
            <w:r>
              <w:rPr>
                <w:rFonts w:ascii="Verdana" w:hAnsi="Verdana"/>
                <w:sz w:val="18"/>
                <w:szCs w:val="18"/>
              </w:rPr>
              <w:t>Приема се по принцип</w:t>
            </w:r>
          </w:p>
        </w:tc>
        <w:tc>
          <w:tcPr>
            <w:tcW w:w="5045" w:type="dxa"/>
            <w:tcBorders>
              <w:top w:val="nil"/>
              <w:bottom w:val="nil"/>
            </w:tcBorders>
            <w:shd w:val="clear" w:color="auto" w:fill="auto"/>
          </w:tcPr>
          <w:p w:rsidR="000B31D5" w:rsidRDefault="005B04B7">
            <w:pPr>
              <w:spacing w:before="60" w:after="20"/>
              <w:jc w:val="both"/>
              <w:rPr>
                <w:rFonts w:ascii="Verdana" w:hAnsi="Verdana"/>
                <w:sz w:val="18"/>
                <w:szCs w:val="18"/>
              </w:rPr>
            </w:pPr>
            <w:r>
              <w:rPr>
                <w:rFonts w:ascii="Verdana" w:hAnsi="Verdana"/>
                <w:sz w:val="18"/>
                <w:szCs w:val="18"/>
              </w:rPr>
              <w:t>Текстът е редактиран.</w:t>
            </w:r>
          </w:p>
        </w:tc>
      </w:tr>
      <w:tr w:rsidR="000B31D5">
        <w:trPr>
          <w:trHeight w:val="596"/>
          <w:jc w:val="center"/>
        </w:trPr>
        <w:tc>
          <w:tcPr>
            <w:tcW w:w="622" w:type="dxa"/>
            <w:vMerge/>
            <w:shd w:val="clear" w:color="auto" w:fill="auto"/>
          </w:tcPr>
          <w:p w:rsidR="000B31D5" w:rsidRDefault="000B31D5">
            <w:pPr>
              <w:pStyle w:val="ListParagraph"/>
              <w:numPr>
                <w:ilvl w:val="0"/>
                <w:numId w:val="10"/>
              </w:numPr>
              <w:tabs>
                <w:tab w:val="left" w:pos="192"/>
              </w:tabs>
              <w:ind w:left="357" w:hanging="357"/>
              <w:jc w:val="center"/>
              <w:rPr>
                <w:rFonts w:ascii="Verdana" w:hAnsi="Verdana"/>
                <w:b/>
                <w:sz w:val="18"/>
                <w:szCs w:val="18"/>
              </w:rPr>
            </w:pPr>
          </w:p>
        </w:tc>
        <w:tc>
          <w:tcPr>
            <w:tcW w:w="2470" w:type="dxa"/>
            <w:vMerge/>
            <w:shd w:val="clear" w:color="auto" w:fill="auto"/>
          </w:tcPr>
          <w:p w:rsidR="000B31D5" w:rsidRDefault="000B31D5">
            <w:pPr>
              <w:rPr>
                <w:rFonts w:ascii="Verdana" w:hAnsi="Verdana"/>
                <w:b/>
                <w:bCs/>
                <w:color w:val="000000"/>
                <w:spacing w:val="-2"/>
                <w:w w:val="86"/>
                <w:sz w:val="18"/>
                <w:szCs w:val="18"/>
              </w:rPr>
            </w:pPr>
          </w:p>
        </w:tc>
        <w:tc>
          <w:tcPr>
            <w:tcW w:w="5982" w:type="dxa"/>
            <w:tcBorders>
              <w:top w:val="nil"/>
              <w:bottom w:val="nil"/>
            </w:tcBorders>
            <w:shd w:val="clear" w:color="auto" w:fill="auto"/>
          </w:tcPr>
          <w:p w:rsidR="000B31D5" w:rsidRDefault="005B04B7">
            <w:pPr>
              <w:spacing w:before="60" w:after="20"/>
              <w:jc w:val="both"/>
              <w:rPr>
                <w:rFonts w:ascii="Verdana" w:hAnsi="Verdana"/>
                <w:sz w:val="18"/>
                <w:szCs w:val="18"/>
              </w:rPr>
            </w:pPr>
            <w:r>
              <w:rPr>
                <w:rFonts w:ascii="Verdana" w:hAnsi="Verdana"/>
                <w:sz w:val="18"/>
                <w:szCs w:val="18"/>
              </w:rPr>
              <w:t>- Относно чл. З, т. 7, лимитите трябва да се определят според здравния статус с Наредба на БАБХ, за да може той да се гарантира;</w:t>
            </w:r>
          </w:p>
        </w:tc>
        <w:tc>
          <w:tcPr>
            <w:tcW w:w="1531" w:type="dxa"/>
            <w:tcBorders>
              <w:top w:val="nil"/>
              <w:bottom w:val="nil"/>
            </w:tcBorders>
            <w:shd w:val="clear" w:color="auto" w:fill="auto"/>
          </w:tcPr>
          <w:p w:rsidR="000B31D5" w:rsidRDefault="005B04B7">
            <w:pPr>
              <w:spacing w:before="60" w:after="20"/>
              <w:rPr>
                <w:rFonts w:ascii="Verdana" w:hAnsi="Verdana"/>
                <w:sz w:val="18"/>
                <w:szCs w:val="18"/>
              </w:rPr>
            </w:pPr>
            <w:r>
              <w:rPr>
                <w:rFonts w:ascii="Verdana" w:hAnsi="Verdana"/>
                <w:sz w:val="18"/>
                <w:szCs w:val="18"/>
              </w:rPr>
              <w:t>Приема се по принцип</w:t>
            </w:r>
          </w:p>
        </w:tc>
        <w:tc>
          <w:tcPr>
            <w:tcW w:w="5045" w:type="dxa"/>
            <w:tcBorders>
              <w:top w:val="nil"/>
              <w:bottom w:val="nil"/>
            </w:tcBorders>
            <w:shd w:val="clear" w:color="auto" w:fill="auto"/>
          </w:tcPr>
          <w:p w:rsidR="000B31D5" w:rsidRDefault="005B04B7">
            <w:pPr>
              <w:spacing w:before="60" w:after="20"/>
              <w:jc w:val="both"/>
              <w:rPr>
                <w:rFonts w:ascii="Verdana" w:hAnsi="Verdana"/>
                <w:sz w:val="18"/>
                <w:szCs w:val="18"/>
              </w:rPr>
            </w:pPr>
            <w:r>
              <w:rPr>
                <w:rFonts w:ascii="Verdana" w:hAnsi="Verdana"/>
                <w:sz w:val="18"/>
                <w:szCs w:val="18"/>
              </w:rPr>
              <w:t xml:space="preserve">Предложението е извън обхвата на проекта на наредбата. </w:t>
            </w:r>
          </w:p>
        </w:tc>
      </w:tr>
      <w:tr w:rsidR="000B31D5">
        <w:trPr>
          <w:trHeight w:val="596"/>
          <w:jc w:val="center"/>
        </w:trPr>
        <w:tc>
          <w:tcPr>
            <w:tcW w:w="622" w:type="dxa"/>
            <w:vMerge/>
            <w:shd w:val="clear" w:color="auto" w:fill="auto"/>
          </w:tcPr>
          <w:p w:rsidR="000B31D5" w:rsidRDefault="000B31D5">
            <w:pPr>
              <w:pStyle w:val="ListParagraph"/>
              <w:numPr>
                <w:ilvl w:val="0"/>
                <w:numId w:val="10"/>
              </w:numPr>
              <w:tabs>
                <w:tab w:val="left" w:pos="192"/>
              </w:tabs>
              <w:ind w:left="357" w:hanging="357"/>
              <w:jc w:val="center"/>
              <w:rPr>
                <w:rFonts w:ascii="Verdana" w:hAnsi="Verdana"/>
                <w:b/>
                <w:sz w:val="18"/>
                <w:szCs w:val="18"/>
              </w:rPr>
            </w:pPr>
          </w:p>
        </w:tc>
        <w:tc>
          <w:tcPr>
            <w:tcW w:w="2470" w:type="dxa"/>
            <w:vMerge/>
            <w:shd w:val="clear" w:color="auto" w:fill="auto"/>
          </w:tcPr>
          <w:p w:rsidR="000B31D5" w:rsidRDefault="000B31D5">
            <w:pPr>
              <w:rPr>
                <w:rFonts w:ascii="Verdana" w:hAnsi="Verdana"/>
                <w:b/>
                <w:bCs/>
                <w:color w:val="000000"/>
                <w:spacing w:val="-2"/>
                <w:w w:val="86"/>
                <w:sz w:val="18"/>
                <w:szCs w:val="18"/>
              </w:rPr>
            </w:pPr>
          </w:p>
        </w:tc>
        <w:tc>
          <w:tcPr>
            <w:tcW w:w="5982" w:type="dxa"/>
            <w:tcBorders>
              <w:top w:val="nil"/>
              <w:bottom w:val="nil"/>
            </w:tcBorders>
            <w:shd w:val="clear" w:color="auto" w:fill="auto"/>
          </w:tcPr>
          <w:p w:rsidR="000B31D5" w:rsidRDefault="005B04B7">
            <w:pPr>
              <w:spacing w:before="60" w:after="20"/>
              <w:jc w:val="both"/>
              <w:rPr>
                <w:rFonts w:ascii="Verdana" w:hAnsi="Verdana"/>
                <w:sz w:val="18"/>
                <w:szCs w:val="18"/>
              </w:rPr>
            </w:pPr>
            <w:r>
              <w:rPr>
                <w:rFonts w:ascii="Verdana" w:hAnsi="Verdana"/>
                <w:sz w:val="18"/>
                <w:szCs w:val="18"/>
              </w:rPr>
              <w:t>- Относно чл. 4, той трябва да бъде съгласно Закона за ветеринарномедицинската дейност и Закона за храните;</w:t>
            </w:r>
          </w:p>
        </w:tc>
        <w:tc>
          <w:tcPr>
            <w:tcW w:w="1531" w:type="dxa"/>
            <w:tcBorders>
              <w:top w:val="nil"/>
              <w:bottom w:val="nil"/>
            </w:tcBorders>
            <w:shd w:val="clear" w:color="auto" w:fill="auto"/>
          </w:tcPr>
          <w:p w:rsidR="000B31D5" w:rsidRDefault="005B04B7">
            <w:pPr>
              <w:spacing w:before="60" w:after="20"/>
              <w:rPr>
                <w:rFonts w:ascii="Verdana" w:hAnsi="Verdana"/>
                <w:sz w:val="18"/>
                <w:szCs w:val="18"/>
              </w:rPr>
            </w:pPr>
            <w:r>
              <w:rPr>
                <w:rFonts w:ascii="Verdana" w:hAnsi="Verdana"/>
                <w:sz w:val="18"/>
                <w:szCs w:val="18"/>
              </w:rPr>
              <w:t>Приема се по принцип</w:t>
            </w:r>
          </w:p>
        </w:tc>
        <w:tc>
          <w:tcPr>
            <w:tcW w:w="5045" w:type="dxa"/>
            <w:tcBorders>
              <w:top w:val="nil"/>
              <w:bottom w:val="nil"/>
            </w:tcBorders>
            <w:shd w:val="clear" w:color="auto" w:fill="auto"/>
          </w:tcPr>
          <w:p w:rsidR="000B31D5" w:rsidRDefault="005B04B7">
            <w:pPr>
              <w:spacing w:before="60" w:after="20"/>
              <w:jc w:val="both"/>
              <w:rPr>
                <w:rFonts w:ascii="Verdana" w:hAnsi="Verdana"/>
                <w:sz w:val="18"/>
                <w:szCs w:val="18"/>
              </w:rPr>
            </w:pPr>
            <w:r>
              <w:rPr>
                <w:rFonts w:ascii="Verdana" w:hAnsi="Verdana"/>
                <w:sz w:val="18"/>
                <w:szCs w:val="18"/>
              </w:rPr>
              <w:t>Изискванията определени в чл. 4 от проекта на наредбата са съобразени с изискванията на Закона за ветеринарномедицинската дейност и Закона за храните.</w:t>
            </w:r>
          </w:p>
        </w:tc>
      </w:tr>
      <w:tr w:rsidR="000B31D5">
        <w:trPr>
          <w:trHeight w:val="596"/>
          <w:jc w:val="center"/>
        </w:trPr>
        <w:tc>
          <w:tcPr>
            <w:tcW w:w="622" w:type="dxa"/>
            <w:vMerge/>
            <w:shd w:val="clear" w:color="auto" w:fill="auto"/>
          </w:tcPr>
          <w:p w:rsidR="000B31D5" w:rsidRDefault="000B31D5">
            <w:pPr>
              <w:pStyle w:val="ListParagraph"/>
              <w:numPr>
                <w:ilvl w:val="0"/>
                <w:numId w:val="10"/>
              </w:numPr>
              <w:tabs>
                <w:tab w:val="left" w:pos="192"/>
              </w:tabs>
              <w:ind w:left="357" w:hanging="357"/>
              <w:jc w:val="center"/>
              <w:rPr>
                <w:rFonts w:ascii="Verdana" w:hAnsi="Verdana"/>
                <w:b/>
                <w:sz w:val="18"/>
                <w:szCs w:val="18"/>
              </w:rPr>
            </w:pPr>
          </w:p>
        </w:tc>
        <w:tc>
          <w:tcPr>
            <w:tcW w:w="2470" w:type="dxa"/>
            <w:vMerge/>
            <w:shd w:val="clear" w:color="auto" w:fill="auto"/>
          </w:tcPr>
          <w:p w:rsidR="000B31D5" w:rsidRDefault="000B31D5">
            <w:pPr>
              <w:rPr>
                <w:rFonts w:ascii="Verdana" w:hAnsi="Verdana"/>
                <w:b/>
                <w:bCs/>
                <w:color w:val="000000"/>
                <w:spacing w:val="-2"/>
                <w:w w:val="86"/>
                <w:sz w:val="18"/>
                <w:szCs w:val="18"/>
              </w:rPr>
            </w:pPr>
          </w:p>
        </w:tc>
        <w:tc>
          <w:tcPr>
            <w:tcW w:w="5982" w:type="dxa"/>
            <w:tcBorders>
              <w:top w:val="nil"/>
              <w:bottom w:val="nil"/>
            </w:tcBorders>
            <w:shd w:val="clear" w:color="auto" w:fill="auto"/>
          </w:tcPr>
          <w:p w:rsidR="000B31D5" w:rsidRDefault="005B04B7">
            <w:pPr>
              <w:spacing w:before="60" w:after="20"/>
              <w:jc w:val="both"/>
              <w:rPr>
                <w:rFonts w:ascii="Verdana" w:hAnsi="Verdana"/>
                <w:sz w:val="18"/>
                <w:szCs w:val="18"/>
              </w:rPr>
            </w:pPr>
            <w:r>
              <w:rPr>
                <w:rFonts w:ascii="Verdana" w:hAnsi="Verdana"/>
                <w:sz w:val="18"/>
                <w:szCs w:val="18"/>
              </w:rPr>
              <w:t>- В чл. 7, ал. 6, т. 5 да се добави: „или да се използват с търговска цел – само за лична консумация";</w:t>
            </w:r>
          </w:p>
        </w:tc>
        <w:tc>
          <w:tcPr>
            <w:tcW w:w="1531" w:type="dxa"/>
            <w:tcBorders>
              <w:top w:val="nil"/>
              <w:bottom w:val="nil"/>
            </w:tcBorders>
            <w:shd w:val="clear" w:color="auto" w:fill="auto"/>
          </w:tcPr>
          <w:p w:rsidR="000B31D5" w:rsidRDefault="005B04B7">
            <w:pPr>
              <w:spacing w:before="60" w:after="20"/>
              <w:rPr>
                <w:rFonts w:ascii="Verdana" w:hAnsi="Verdana"/>
                <w:sz w:val="18"/>
                <w:szCs w:val="18"/>
              </w:rPr>
            </w:pPr>
            <w:r>
              <w:rPr>
                <w:rFonts w:ascii="Verdana" w:hAnsi="Verdana"/>
                <w:sz w:val="18"/>
                <w:szCs w:val="18"/>
              </w:rPr>
              <w:t xml:space="preserve">Приема се по принцип </w:t>
            </w:r>
          </w:p>
        </w:tc>
        <w:tc>
          <w:tcPr>
            <w:tcW w:w="5045" w:type="dxa"/>
            <w:tcBorders>
              <w:top w:val="nil"/>
              <w:bottom w:val="nil"/>
            </w:tcBorders>
            <w:shd w:val="clear" w:color="auto" w:fill="auto"/>
          </w:tcPr>
          <w:p w:rsidR="000B31D5" w:rsidRDefault="005B04B7">
            <w:pPr>
              <w:spacing w:before="60" w:after="20"/>
              <w:jc w:val="both"/>
              <w:rPr>
                <w:rFonts w:ascii="Verdana" w:hAnsi="Verdana"/>
                <w:sz w:val="18"/>
                <w:szCs w:val="18"/>
              </w:rPr>
            </w:pPr>
            <w:r>
              <w:rPr>
                <w:rFonts w:ascii="Verdana" w:hAnsi="Verdana"/>
                <w:sz w:val="18"/>
                <w:szCs w:val="18"/>
              </w:rPr>
              <w:t>В чл. 7 са определени изискванията към обектите осъществяващи развъждане и отглеждане на риби и други водни животни за декоративни и други цели несвързани с храните за хора. Предложението противоречи на т. 1 на чл. 7 „</w:t>
            </w:r>
            <w:r>
              <w:rPr>
                <w:rFonts w:ascii="Verdana" w:hAnsi="Verdana"/>
                <w:i/>
                <w:sz w:val="18"/>
                <w:szCs w:val="18"/>
              </w:rPr>
              <w:t>Обектите отглеждащи риби и други водни животни извън целите за храна за хора и използващи ги с цел продажба и предоставяне на трети лица“</w:t>
            </w:r>
            <w:r>
              <w:rPr>
                <w:rFonts w:ascii="Verdana" w:hAnsi="Verdana"/>
                <w:sz w:val="18"/>
                <w:szCs w:val="18"/>
              </w:rPr>
              <w:t>.</w:t>
            </w:r>
          </w:p>
        </w:tc>
      </w:tr>
      <w:tr w:rsidR="000B31D5">
        <w:trPr>
          <w:trHeight w:val="596"/>
          <w:jc w:val="center"/>
        </w:trPr>
        <w:tc>
          <w:tcPr>
            <w:tcW w:w="622" w:type="dxa"/>
            <w:vMerge/>
            <w:shd w:val="clear" w:color="auto" w:fill="auto"/>
          </w:tcPr>
          <w:p w:rsidR="000B31D5" w:rsidRDefault="000B31D5">
            <w:pPr>
              <w:pStyle w:val="ListParagraph"/>
              <w:numPr>
                <w:ilvl w:val="0"/>
                <w:numId w:val="10"/>
              </w:numPr>
              <w:tabs>
                <w:tab w:val="left" w:pos="192"/>
              </w:tabs>
              <w:ind w:left="357" w:hanging="357"/>
              <w:jc w:val="center"/>
              <w:rPr>
                <w:rFonts w:ascii="Verdana" w:hAnsi="Verdana"/>
                <w:b/>
                <w:sz w:val="18"/>
                <w:szCs w:val="18"/>
              </w:rPr>
            </w:pPr>
          </w:p>
        </w:tc>
        <w:tc>
          <w:tcPr>
            <w:tcW w:w="2470" w:type="dxa"/>
            <w:vMerge/>
            <w:shd w:val="clear" w:color="auto" w:fill="auto"/>
          </w:tcPr>
          <w:p w:rsidR="000B31D5" w:rsidRDefault="000B31D5">
            <w:pPr>
              <w:rPr>
                <w:rFonts w:ascii="Verdana" w:hAnsi="Verdana"/>
                <w:b/>
                <w:bCs/>
                <w:color w:val="000000"/>
                <w:spacing w:val="-2"/>
                <w:w w:val="86"/>
                <w:sz w:val="18"/>
                <w:szCs w:val="18"/>
              </w:rPr>
            </w:pPr>
          </w:p>
        </w:tc>
        <w:tc>
          <w:tcPr>
            <w:tcW w:w="5982" w:type="dxa"/>
            <w:tcBorders>
              <w:top w:val="nil"/>
              <w:bottom w:val="nil"/>
            </w:tcBorders>
            <w:shd w:val="clear" w:color="auto" w:fill="auto"/>
          </w:tcPr>
          <w:p w:rsidR="000B31D5" w:rsidRDefault="005B04B7">
            <w:pPr>
              <w:spacing w:before="60" w:after="20"/>
              <w:jc w:val="both"/>
              <w:rPr>
                <w:rFonts w:ascii="Verdana" w:hAnsi="Verdana"/>
                <w:sz w:val="18"/>
                <w:szCs w:val="18"/>
              </w:rPr>
            </w:pPr>
            <w:r>
              <w:rPr>
                <w:rFonts w:ascii="Verdana" w:hAnsi="Verdana"/>
                <w:sz w:val="18"/>
                <w:szCs w:val="18"/>
              </w:rPr>
              <w:t>- Срокът по чл. 9, ал. 1, т. 7 в) да бъде две години;</w:t>
            </w:r>
          </w:p>
        </w:tc>
        <w:tc>
          <w:tcPr>
            <w:tcW w:w="1531" w:type="dxa"/>
            <w:tcBorders>
              <w:top w:val="nil"/>
              <w:bottom w:val="nil"/>
            </w:tcBorders>
            <w:shd w:val="clear" w:color="auto" w:fill="auto"/>
          </w:tcPr>
          <w:p w:rsidR="000B31D5" w:rsidRDefault="005B04B7">
            <w:pPr>
              <w:spacing w:before="60" w:after="20"/>
              <w:rPr>
                <w:rFonts w:ascii="Verdana" w:hAnsi="Verdana"/>
                <w:sz w:val="18"/>
                <w:szCs w:val="18"/>
              </w:rPr>
            </w:pPr>
            <w:r>
              <w:rPr>
                <w:rFonts w:ascii="Verdana" w:hAnsi="Verdana"/>
                <w:sz w:val="18"/>
                <w:szCs w:val="18"/>
              </w:rPr>
              <w:t>Не се приема</w:t>
            </w:r>
          </w:p>
        </w:tc>
        <w:tc>
          <w:tcPr>
            <w:tcW w:w="5045" w:type="dxa"/>
            <w:tcBorders>
              <w:top w:val="nil"/>
              <w:bottom w:val="nil"/>
            </w:tcBorders>
            <w:shd w:val="clear" w:color="auto" w:fill="auto"/>
          </w:tcPr>
          <w:p w:rsidR="000B31D5" w:rsidRDefault="005B04B7">
            <w:pPr>
              <w:spacing w:before="60" w:after="20"/>
              <w:jc w:val="both"/>
              <w:rPr>
                <w:rFonts w:ascii="Verdana" w:hAnsi="Verdana"/>
                <w:sz w:val="18"/>
                <w:szCs w:val="18"/>
              </w:rPr>
            </w:pPr>
            <w:r>
              <w:rPr>
                <w:rFonts w:ascii="Verdana" w:hAnsi="Verdana"/>
                <w:sz w:val="18"/>
                <w:szCs w:val="18"/>
              </w:rPr>
              <w:t xml:space="preserve">Съгласно чл. 186 на Регламент (ЕС) 2016/429 на Европейския парламент и на Съвета от 9 март 2016 година за заразните болести по животните и за изменение и отмяна на определени актове в областта на здравеопазването на животните дневниците в животновъдните обекти за </w:t>
            </w:r>
            <w:r>
              <w:rPr>
                <w:rFonts w:ascii="Verdana" w:hAnsi="Verdana"/>
                <w:sz w:val="18"/>
                <w:szCs w:val="18"/>
              </w:rPr>
              <w:lastRenderedPageBreak/>
              <w:t xml:space="preserve">аквакултура, се съхраняват за срок не по-кратък от три години. Съгласно чл. 27 от Закона за фуражите срокът за съхранение на информацията позволяваща проследяване на използваният фураж съхранява в срок от три години. </w:t>
            </w:r>
          </w:p>
        </w:tc>
      </w:tr>
      <w:tr w:rsidR="000B31D5">
        <w:trPr>
          <w:trHeight w:val="596"/>
          <w:jc w:val="center"/>
        </w:trPr>
        <w:tc>
          <w:tcPr>
            <w:tcW w:w="622" w:type="dxa"/>
            <w:vMerge/>
            <w:shd w:val="clear" w:color="auto" w:fill="auto"/>
          </w:tcPr>
          <w:p w:rsidR="000B31D5" w:rsidRDefault="000B31D5">
            <w:pPr>
              <w:pStyle w:val="ListParagraph"/>
              <w:numPr>
                <w:ilvl w:val="0"/>
                <w:numId w:val="10"/>
              </w:numPr>
              <w:tabs>
                <w:tab w:val="left" w:pos="192"/>
              </w:tabs>
              <w:ind w:left="357" w:hanging="357"/>
              <w:jc w:val="center"/>
              <w:rPr>
                <w:rFonts w:ascii="Verdana" w:hAnsi="Verdana"/>
                <w:b/>
                <w:sz w:val="18"/>
                <w:szCs w:val="18"/>
              </w:rPr>
            </w:pPr>
          </w:p>
        </w:tc>
        <w:tc>
          <w:tcPr>
            <w:tcW w:w="2470" w:type="dxa"/>
            <w:vMerge/>
            <w:shd w:val="clear" w:color="auto" w:fill="auto"/>
          </w:tcPr>
          <w:p w:rsidR="000B31D5" w:rsidRDefault="000B31D5">
            <w:pPr>
              <w:rPr>
                <w:rFonts w:ascii="Verdana" w:hAnsi="Verdana"/>
                <w:b/>
                <w:bCs/>
                <w:color w:val="000000"/>
                <w:spacing w:val="-2"/>
                <w:w w:val="86"/>
                <w:sz w:val="18"/>
                <w:szCs w:val="18"/>
              </w:rPr>
            </w:pPr>
          </w:p>
        </w:tc>
        <w:tc>
          <w:tcPr>
            <w:tcW w:w="5982" w:type="dxa"/>
            <w:tcBorders>
              <w:top w:val="nil"/>
              <w:bottom w:val="nil"/>
            </w:tcBorders>
            <w:shd w:val="clear" w:color="auto" w:fill="auto"/>
          </w:tcPr>
          <w:p w:rsidR="000B31D5" w:rsidRDefault="005B04B7">
            <w:pPr>
              <w:spacing w:before="60" w:after="20"/>
              <w:jc w:val="both"/>
              <w:rPr>
                <w:rFonts w:ascii="Verdana" w:hAnsi="Verdana"/>
                <w:sz w:val="18"/>
                <w:szCs w:val="18"/>
              </w:rPr>
            </w:pPr>
            <w:r>
              <w:rPr>
                <w:rFonts w:ascii="Verdana" w:hAnsi="Verdana"/>
                <w:sz w:val="18"/>
                <w:szCs w:val="18"/>
              </w:rPr>
              <w:t>- В чл. 9, ал. 1, т. 13, след думата „водовземане" да се добави ,„водоползване";</w:t>
            </w:r>
          </w:p>
        </w:tc>
        <w:tc>
          <w:tcPr>
            <w:tcW w:w="1531" w:type="dxa"/>
            <w:tcBorders>
              <w:top w:val="nil"/>
              <w:bottom w:val="nil"/>
            </w:tcBorders>
            <w:shd w:val="clear" w:color="auto" w:fill="auto"/>
          </w:tcPr>
          <w:p w:rsidR="000B31D5" w:rsidRDefault="005B04B7">
            <w:pPr>
              <w:spacing w:before="60" w:after="20"/>
              <w:rPr>
                <w:rFonts w:ascii="Verdana" w:hAnsi="Verdana"/>
                <w:color w:val="FF0000"/>
                <w:sz w:val="18"/>
                <w:szCs w:val="18"/>
              </w:rPr>
            </w:pPr>
            <w:r>
              <w:rPr>
                <w:rFonts w:ascii="Verdana" w:hAnsi="Verdana"/>
                <w:sz w:val="18"/>
                <w:szCs w:val="18"/>
              </w:rPr>
              <w:t>Приема се</w:t>
            </w:r>
          </w:p>
        </w:tc>
        <w:tc>
          <w:tcPr>
            <w:tcW w:w="5045" w:type="dxa"/>
            <w:tcBorders>
              <w:top w:val="nil"/>
              <w:bottom w:val="nil"/>
            </w:tcBorders>
            <w:shd w:val="clear" w:color="auto" w:fill="auto"/>
          </w:tcPr>
          <w:p w:rsidR="000B31D5" w:rsidRDefault="000B31D5">
            <w:pPr>
              <w:spacing w:before="60" w:after="20"/>
              <w:jc w:val="both"/>
              <w:rPr>
                <w:rFonts w:ascii="Verdana" w:hAnsi="Verdana"/>
                <w:sz w:val="18"/>
                <w:szCs w:val="18"/>
              </w:rPr>
            </w:pPr>
          </w:p>
        </w:tc>
      </w:tr>
      <w:tr w:rsidR="000B31D5">
        <w:trPr>
          <w:trHeight w:val="596"/>
          <w:jc w:val="center"/>
        </w:trPr>
        <w:tc>
          <w:tcPr>
            <w:tcW w:w="622" w:type="dxa"/>
            <w:vMerge/>
            <w:tcBorders>
              <w:bottom w:val="single" w:sz="12" w:space="0" w:color="2E74B5"/>
            </w:tcBorders>
            <w:shd w:val="clear" w:color="auto" w:fill="auto"/>
          </w:tcPr>
          <w:p w:rsidR="000B31D5" w:rsidRDefault="000B31D5">
            <w:pPr>
              <w:pStyle w:val="ListParagraph"/>
              <w:numPr>
                <w:ilvl w:val="0"/>
                <w:numId w:val="10"/>
              </w:numPr>
              <w:tabs>
                <w:tab w:val="left" w:pos="192"/>
              </w:tabs>
              <w:ind w:left="357" w:hanging="357"/>
              <w:jc w:val="center"/>
              <w:rPr>
                <w:rFonts w:ascii="Verdana" w:hAnsi="Verdana"/>
                <w:b/>
                <w:sz w:val="18"/>
                <w:szCs w:val="18"/>
              </w:rPr>
            </w:pPr>
          </w:p>
        </w:tc>
        <w:tc>
          <w:tcPr>
            <w:tcW w:w="2470" w:type="dxa"/>
            <w:vMerge/>
            <w:tcBorders>
              <w:bottom w:val="single" w:sz="12" w:space="0" w:color="2E74B5"/>
            </w:tcBorders>
            <w:shd w:val="clear" w:color="auto" w:fill="auto"/>
          </w:tcPr>
          <w:p w:rsidR="000B31D5" w:rsidRDefault="000B31D5">
            <w:pPr>
              <w:rPr>
                <w:rFonts w:ascii="Verdana" w:hAnsi="Verdana"/>
                <w:b/>
                <w:bCs/>
                <w:color w:val="000000"/>
                <w:spacing w:val="-2"/>
                <w:w w:val="86"/>
                <w:sz w:val="18"/>
                <w:szCs w:val="18"/>
              </w:rPr>
            </w:pPr>
          </w:p>
        </w:tc>
        <w:tc>
          <w:tcPr>
            <w:tcW w:w="5982" w:type="dxa"/>
            <w:tcBorders>
              <w:top w:val="nil"/>
              <w:bottom w:val="single" w:sz="12" w:space="0" w:color="2E74B5"/>
            </w:tcBorders>
            <w:shd w:val="clear" w:color="auto" w:fill="auto"/>
          </w:tcPr>
          <w:p w:rsidR="000B31D5" w:rsidRDefault="005B04B7">
            <w:pPr>
              <w:spacing w:before="60" w:after="20"/>
              <w:jc w:val="both"/>
              <w:rPr>
                <w:rFonts w:ascii="Verdana" w:hAnsi="Verdana"/>
                <w:sz w:val="18"/>
                <w:szCs w:val="18"/>
              </w:rPr>
            </w:pPr>
            <w:r>
              <w:rPr>
                <w:rFonts w:ascii="Verdana" w:hAnsi="Verdana"/>
                <w:sz w:val="18"/>
                <w:szCs w:val="18"/>
              </w:rPr>
              <w:t>Добавяме, че проектът на Наредба е утежнен поради това, че се изброяват всички изменения на Регламентите. Нека се посочи само последният актуален Регламент.</w:t>
            </w:r>
          </w:p>
        </w:tc>
        <w:tc>
          <w:tcPr>
            <w:tcW w:w="1531" w:type="dxa"/>
            <w:tcBorders>
              <w:top w:val="nil"/>
              <w:bottom w:val="single" w:sz="12" w:space="0" w:color="2E74B5"/>
            </w:tcBorders>
            <w:shd w:val="clear" w:color="auto" w:fill="auto"/>
          </w:tcPr>
          <w:p w:rsidR="000B31D5" w:rsidRDefault="005B04B7">
            <w:pPr>
              <w:spacing w:before="60" w:after="20"/>
              <w:rPr>
                <w:rFonts w:ascii="Verdana" w:hAnsi="Verdana"/>
                <w:sz w:val="18"/>
                <w:szCs w:val="18"/>
              </w:rPr>
            </w:pPr>
            <w:r>
              <w:rPr>
                <w:rFonts w:ascii="Verdana" w:hAnsi="Verdana"/>
                <w:sz w:val="18"/>
                <w:szCs w:val="18"/>
              </w:rPr>
              <w:t>Приема се по принцип</w:t>
            </w:r>
          </w:p>
        </w:tc>
        <w:tc>
          <w:tcPr>
            <w:tcW w:w="5045" w:type="dxa"/>
            <w:tcBorders>
              <w:top w:val="nil"/>
              <w:bottom w:val="single" w:sz="12" w:space="0" w:color="2E74B5"/>
            </w:tcBorders>
            <w:shd w:val="clear" w:color="auto" w:fill="auto"/>
          </w:tcPr>
          <w:p w:rsidR="000B31D5" w:rsidRDefault="005B04B7">
            <w:pPr>
              <w:spacing w:before="60" w:after="20"/>
              <w:jc w:val="both"/>
              <w:rPr>
                <w:rFonts w:ascii="Verdana" w:hAnsi="Verdana"/>
                <w:sz w:val="18"/>
                <w:szCs w:val="18"/>
              </w:rPr>
            </w:pPr>
            <w:r>
              <w:rPr>
                <w:rFonts w:ascii="Verdana" w:hAnsi="Verdana"/>
                <w:sz w:val="18"/>
                <w:szCs w:val="18"/>
              </w:rPr>
              <w:t>Пълното наименование на регламентите е изписано в резултат на постъпило становище от дирекция „Правни дейности и законодателство на ЕС“, МЗХГ.</w:t>
            </w:r>
          </w:p>
        </w:tc>
      </w:tr>
      <w:tr w:rsidR="000B31D5">
        <w:trPr>
          <w:trHeight w:val="247"/>
          <w:jc w:val="center"/>
        </w:trPr>
        <w:tc>
          <w:tcPr>
            <w:tcW w:w="622" w:type="dxa"/>
            <w:vMerge w:val="restart"/>
            <w:shd w:val="clear" w:color="auto" w:fill="auto"/>
          </w:tcPr>
          <w:p w:rsidR="000B31D5" w:rsidRDefault="000B31D5">
            <w:pPr>
              <w:pStyle w:val="ListParagraph"/>
              <w:numPr>
                <w:ilvl w:val="0"/>
                <w:numId w:val="10"/>
              </w:numPr>
              <w:tabs>
                <w:tab w:val="left" w:pos="192"/>
              </w:tabs>
              <w:spacing w:before="60" w:after="20"/>
              <w:ind w:left="357" w:hanging="357"/>
              <w:jc w:val="center"/>
              <w:rPr>
                <w:rFonts w:ascii="Verdana" w:hAnsi="Verdana"/>
                <w:b/>
                <w:sz w:val="18"/>
                <w:szCs w:val="18"/>
              </w:rPr>
            </w:pPr>
          </w:p>
        </w:tc>
        <w:tc>
          <w:tcPr>
            <w:tcW w:w="2470" w:type="dxa"/>
            <w:vMerge w:val="restart"/>
            <w:shd w:val="clear" w:color="auto" w:fill="auto"/>
          </w:tcPr>
          <w:p w:rsidR="000B31D5" w:rsidRDefault="005B04B7">
            <w:pPr>
              <w:spacing w:before="60" w:after="20"/>
              <w:rPr>
                <w:rFonts w:ascii="Verdana" w:hAnsi="Verdana"/>
                <w:b/>
                <w:bCs/>
                <w:color w:val="000000"/>
                <w:sz w:val="18"/>
                <w:szCs w:val="18"/>
              </w:rPr>
            </w:pPr>
            <w:r>
              <w:rPr>
                <w:rFonts w:ascii="Verdana" w:hAnsi="Verdana"/>
                <w:b/>
                <w:bCs/>
                <w:color w:val="000000"/>
                <w:sz w:val="18"/>
                <w:szCs w:val="18"/>
              </w:rPr>
              <w:t xml:space="preserve">НАЦИОНАЛНА </w:t>
            </w:r>
            <w:r>
              <w:rPr>
                <w:rFonts w:ascii="Verdana" w:hAnsi="Verdana"/>
                <w:b/>
                <w:bCs/>
                <w:color w:val="000000"/>
                <w:sz w:val="18"/>
                <w:szCs w:val="18"/>
              </w:rPr>
              <w:br/>
              <w:t xml:space="preserve">АСОЦИАЦИЯ НА </w:t>
            </w:r>
            <w:r>
              <w:rPr>
                <w:rFonts w:ascii="Verdana" w:hAnsi="Verdana"/>
                <w:b/>
                <w:bCs/>
                <w:color w:val="000000"/>
                <w:sz w:val="18"/>
                <w:szCs w:val="18"/>
              </w:rPr>
              <w:br/>
              <w:t>РИБОПРОИЗВОДИТЕЛИТЕ</w:t>
            </w:r>
          </w:p>
          <w:p w:rsidR="000B31D5" w:rsidRDefault="005B04B7">
            <w:pPr>
              <w:rPr>
                <w:rFonts w:ascii="Verdana" w:hAnsi="Verdana"/>
                <w:sz w:val="18"/>
                <w:szCs w:val="18"/>
              </w:rPr>
            </w:pPr>
            <w:r>
              <w:rPr>
                <w:rFonts w:ascii="Verdana" w:hAnsi="Verdana"/>
                <w:sz w:val="18"/>
                <w:szCs w:val="18"/>
                <w:lang w:val="en-US"/>
              </w:rPr>
              <w:t>(</w:t>
            </w:r>
            <w:r>
              <w:rPr>
                <w:rFonts w:ascii="Verdana" w:hAnsi="Verdana"/>
                <w:sz w:val="18"/>
                <w:szCs w:val="18"/>
              </w:rPr>
              <w:t>по електронен път</w:t>
            </w:r>
            <w:r>
              <w:rPr>
                <w:rFonts w:ascii="Verdana" w:hAnsi="Verdana"/>
                <w:sz w:val="18"/>
                <w:szCs w:val="18"/>
                <w:lang w:val="en-US"/>
              </w:rPr>
              <w:t>)</w:t>
            </w:r>
          </w:p>
        </w:tc>
        <w:tc>
          <w:tcPr>
            <w:tcW w:w="5982" w:type="dxa"/>
            <w:tcBorders>
              <w:bottom w:val="nil"/>
            </w:tcBorders>
            <w:shd w:val="clear" w:color="auto" w:fill="auto"/>
          </w:tcPr>
          <w:p w:rsidR="000B31D5" w:rsidRDefault="005B04B7">
            <w:pPr>
              <w:spacing w:before="60" w:after="20"/>
              <w:jc w:val="both"/>
              <w:rPr>
                <w:rFonts w:ascii="Verdana" w:hAnsi="Verdana"/>
                <w:sz w:val="18"/>
                <w:szCs w:val="18"/>
              </w:rPr>
            </w:pPr>
            <w:r>
              <w:rPr>
                <w:rFonts w:ascii="Verdana" w:hAnsi="Verdana"/>
                <w:sz w:val="18"/>
                <w:szCs w:val="18"/>
              </w:rPr>
              <w:t>По така представения проект имаме следните предложения:</w:t>
            </w:r>
          </w:p>
        </w:tc>
        <w:tc>
          <w:tcPr>
            <w:tcW w:w="1531" w:type="dxa"/>
            <w:tcBorders>
              <w:bottom w:val="nil"/>
            </w:tcBorders>
            <w:shd w:val="clear" w:color="auto" w:fill="auto"/>
          </w:tcPr>
          <w:p w:rsidR="000B31D5" w:rsidRDefault="000B31D5">
            <w:pPr>
              <w:spacing w:before="60" w:after="20"/>
              <w:rPr>
                <w:rFonts w:ascii="Verdana" w:hAnsi="Verdana"/>
                <w:sz w:val="18"/>
                <w:szCs w:val="18"/>
              </w:rPr>
            </w:pPr>
          </w:p>
        </w:tc>
        <w:tc>
          <w:tcPr>
            <w:tcW w:w="5045" w:type="dxa"/>
            <w:tcBorders>
              <w:bottom w:val="nil"/>
            </w:tcBorders>
            <w:shd w:val="clear" w:color="auto" w:fill="auto"/>
          </w:tcPr>
          <w:p w:rsidR="000B31D5" w:rsidRDefault="000B31D5">
            <w:pPr>
              <w:spacing w:before="60" w:after="20"/>
              <w:jc w:val="both"/>
              <w:rPr>
                <w:rFonts w:ascii="Verdana" w:hAnsi="Verdana"/>
                <w:sz w:val="18"/>
                <w:szCs w:val="18"/>
              </w:rPr>
            </w:pPr>
          </w:p>
        </w:tc>
      </w:tr>
      <w:tr w:rsidR="000B31D5">
        <w:trPr>
          <w:trHeight w:val="596"/>
          <w:jc w:val="center"/>
        </w:trPr>
        <w:tc>
          <w:tcPr>
            <w:tcW w:w="622" w:type="dxa"/>
            <w:vMerge/>
            <w:tcBorders>
              <w:bottom w:val="single" w:sz="12" w:space="0" w:color="2E74B5"/>
            </w:tcBorders>
            <w:shd w:val="clear" w:color="auto" w:fill="auto"/>
          </w:tcPr>
          <w:p w:rsidR="000B31D5" w:rsidRDefault="000B31D5">
            <w:pPr>
              <w:pStyle w:val="ListParagraph"/>
              <w:numPr>
                <w:ilvl w:val="0"/>
                <w:numId w:val="10"/>
              </w:numPr>
              <w:tabs>
                <w:tab w:val="left" w:pos="192"/>
              </w:tabs>
              <w:ind w:left="357" w:hanging="357"/>
              <w:jc w:val="center"/>
              <w:rPr>
                <w:rFonts w:ascii="Verdana" w:hAnsi="Verdana"/>
                <w:b/>
                <w:sz w:val="18"/>
                <w:szCs w:val="18"/>
                <w:highlight w:val="yellow"/>
              </w:rPr>
            </w:pPr>
          </w:p>
        </w:tc>
        <w:tc>
          <w:tcPr>
            <w:tcW w:w="2470" w:type="dxa"/>
            <w:vMerge/>
            <w:tcBorders>
              <w:bottom w:val="single" w:sz="12" w:space="0" w:color="2E74B5"/>
            </w:tcBorders>
            <w:shd w:val="clear" w:color="auto" w:fill="auto"/>
          </w:tcPr>
          <w:p w:rsidR="000B31D5" w:rsidRDefault="000B31D5">
            <w:pPr>
              <w:rPr>
                <w:rFonts w:ascii="Verdana" w:hAnsi="Verdana"/>
                <w:b/>
                <w:bCs/>
                <w:color w:val="000000"/>
                <w:spacing w:val="-2"/>
                <w:w w:val="86"/>
                <w:sz w:val="18"/>
                <w:szCs w:val="18"/>
                <w:highlight w:val="yellow"/>
              </w:rPr>
            </w:pPr>
          </w:p>
        </w:tc>
        <w:tc>
          <w:tcPr>
            <w:tcW w:w="5982" w:type="dxa"/>
            <w:tcBorders>
              <w:top w:val="nil"/>
              <w:bottom w:val="nil"/>
            </w:tcBorders>
            <w:shd w:val="clear" w:color="auto" w:fill="auto"/>
          </w:tcPr>
          <w:p w:rsidR="000B31D5" w:rsidRDefault="005B04B7">
            <w:pPr>
              <w:spacing w:before="60" w:after="20"/>
              <w:jc w:val="both"/>
              <w:rPr>
                <w:rFonts w:ascii="Verdana" w:hAnsi="Verdana"/>
                <w:sz w:val="18"/>
                <w:szCs w:val="18"/>
              </w:rPr>
            </w:pPr>
            <w:r>
              <w:rPr>
                <w:rFonts w:ascii="Verdana" w:hAnsi="Verdana"/>
                <w:spacing w:val="4"/>
                <w:sz w:val="18"/>
                <w:szCs w:val="18"/>
              </w:rPr>
              <w:t>1. В чл. 3, т. 5 – предлагаме да отпадне текста „за заустване определени в Наредба № Н-4 от 2012 г. за характеризиране на повърхностните води (обн., ДВ, бр. 22 от 2013 г.) и Наредба № 1 от 2011 г. за мониторинг на водите (обн., ДВ, бр. 34 от 2011 г.);”.</w:t>
            </w:r>
            <w:r>
              <w:rPr>
                <w:rFonts w:ascii="Verdana" w:hAnsi="Verdana"/>
                <w:sz w:val="18"/>
                <w:szCs w:val="18"/>
              </w:rPr>
              <w:t xml:space="preserve"> Мотивите са: тези изисквания не са обект на тази наредба и не могат да подлежат на контрол от БАБХ. Също така в текста на тези наредби няма такова изискване за животновъдни обекти. При получаване на разрешителни за „Ползване на воден обект” и „водовземане” по Закона за водите и съответните наредби, в самите разрешителни се вписва условие за изработване на индивидуална  мониторингова програма на водата. Резултатите от тази програма са обект на компетенция на МОСВ и съответните Басейнови дирекции които при нарушения издават препоръки и имат права дори и да прекратят съответното разрешително или да не го продължат понеже то се издава за определен срок. Предлагаме в края на изречението вместо горния текст да се добави „по съответните разрешителни по Закона за водите”.</w:t>
            </w:r>
          </w:p>
        </w:tc>
        <w:tc>
          <w:tcPr>
            <w:tcW w:w="1531" w:type="dxa"/>
            <w:tcBorders>
              <w:top w:val="nil"/>
              <w:bottom w:val="nil"/>
            </w:tcBorders>
            <w:shd w:val="clear" w:color="auto" w:fill="auto"/>
          </w:tcPr>
          <w:p w:rsidR="000B31D5" w:rsidRDefault="005B04B7">
            <w:pPr>
              <w:spacing w:before="60" w:after="20"/>
              <w:rPr>
                <w:rFonts w:ascii="Verdana" w:hAnsi="Verdana"/>
                <w:sz w:val="18"/>
                <w:szCs w:val="18"/>
              </w:rPr>
            </w:pPr>
            <w:r>
              <w:rPr>
                <w:rFonts w:ascii="Verdana" w:hAnsi="Verdana"/>
                <w:sz w:val="18"/>
                <w:szCs w:val="18"/>
              </w:rPr>
              <w:t xml:space="preserve">Приема се </w:t>
            </w:r>
          </w:p>
        </w:tc>
        <w:tc>
          <w:tcPr>
            <w:tcW w:w="5045" w:type="dxa"/>
            <w:tcBorders>
              <w:top w:val="nil"/>
              <w:bottom w:val="nil"/>
            </w:tcBorders>
            <w:shd w:val="clear" w:color="auto" w:fill="auto"/>
          </w:tcPr>
          <w:p w:rsidR="000B31D5" w:rsidRDefault="000B31D5">
            <w:pPr>
              <w:spacing w:before="60" w:after="20"/>
              <w:jc w:val="both"/>
              <w:rPr>
                <w:rFonts w:ascii="Verdana" w:hAnsi="Verdana"/>
                <w:sz w:val="18"/>
                <w:szCs w:val="18"/>
              </w:rPr>
            </w:pPr>
          </w:p>
        </w:tc>
      </w:tr>
      <w:tr w:rsidR="000B31D5">
        <w:trPr>
          <w:trHeight w:val="596"/>
          <w:jc w:val="center"/>
        </w:trPr>
        <w:tc>
          <w:tcPr>
            <w:tcW w:w="622" w:type="dxa"/>
            <w:vMerge/>
            <w:tcBorders>
              <w:bottom w:val="single" w:sz="12" w:space="0" w:color="2E74B5"/>
            </w:tcBorders>
            <w:shd w:val="clear" w:color="auto" w:fill="auto"/>
          </w:tcPr>
          <w:p w:rsidR="000B31D5" w:rsidRDefault="000B31D5">
            <w:pPr>
              <w:pStyle w:val="ListParagraph"/>
              <w:numPr>
                <w:ilvl w:val="0"/>
                <w:numId w:val="10"/>
              </w:numPr>
              <w:tabs>
                <w:tab w:val="left" w:pos="192"/>
              </w:tabs>
              <w:ind w:left="357" w:hanging="357"/>
              <w:jc w:val="center"/>
              <w:rPr>
                <w:rFonts w:ascii="Verdana" w:hAnsi="Verdana"/>
                <w:b/>
                <w:sz w:val="18"/>
                <w:szCs w:val="18"/>
                <w:highlight w:val="yellow"/>
              </w:rPr>
            </w:pPr>
          </w:p>
        </w:tc>
        <w:tc>
          <w:tcPr>
            <w:tcW w:w="2470" w:type="dxa"/>
            <w:vMerge/>
            <w:tcBorders>
              <w:bottom w:val="single" w:sz="12" w:space="0" w:color="2E74B5"/>
            </w:tcBorders>
            <w:shd w:val="clear" w:color="auto" w:fill="auto"/>
          </w:tcPr>
          <w:p w:rsidR="000B31D5" w:rsidRDefault="000B31D5">
            <w:pPr>
              <w:rPr>
                <w:rFonts w:ascii="Verdana" w:hAnsi="Verdana"/>
                <w:b/>
                <w:bCs/>
                <w:color w:val="000000"/>
                <w:spacing w:val="-2"/>
                <w:w w:val="86"/>
                <w:sz w:val="18"/>
                <w:szCs w:val="18"/>
                <w:highlight w:val="yellow"/>
              </w:rPr>
            </w:pPr>
          </w:p>
        </w:tc>
        <w:tc>
          <w:tcPr>
            <w:tcW w:w="5982" w:type="dxa"/>
            <w:tcBorders>
              <w:top w:val="nil"/>
              <w:bottom w:val="nil"/>
            </w:tcBorders>
            <w:shd w:val="clear" w:color="auto" w:fill="auto"/>
          </w:tcPr>
          <w:p w:rsidR="000B31D5" w:rsidRDefault="005B04B7">
            <w:pPr>
              <w:spacing w:before="60" w:after="20"/>
              <w:jc w:val="both"/>
              <w:rPr>
                <w:rFonts w:ascii="Verdana" w:hAnsi="Verdana"/>
                <w:sz w:val="18"/>
                <w:szCs w:val="18"/>
              </w:rPr>
            </w:pPr>
            <w:r>
              <w:rPr>
                <w:rFonts w:ascii="Verdana" w:hAnsi="Verdana"/>
                <w:sz w:val="18"/>
                <w:szCs w:val="18"/>
              </w:rPr>
              <w:t xml:space="preserve">2. В т. 6 да отпадне текста „в мрежени клетки (садки)”. На негово място да се добави „както и изпускателните съоръ-жения“. Мотиви – така написано изискването е специфично </w:t>
            </w:r>
            <w:r>
              <w:rPr>
                <w:rFonts w:ascii="Verdana" w:hAnsi="Verdana"/>
                <w:sz w:val="18"/>
                <w:szCs w:val="18"/>
              </w:rPr>
              <w:lastRenderedPageBreak/>
              <w:t>и би трябвало да се отнесе към съответната точка.</w:t>
            </w:r>
          </w:p>
        </w:tc>
        <w:tc>
          <w:tcPr>
            <w:tcW w:w="1531" w:type="dxa"/>
            <w:tcBorders>
              <w:top w:val="nil"/>
              <w:bottom w:val="nil"/>
            </w:tcBorders>
            <w:shd w:val="clear" w:color="auto" w:fill="auto"/>
          </w:tcPr>
          <w:p w:rsidR="000B31D5" w:rsidRDefault="005B04B7">
            <w:pPr>
              <w:spacing w:before="60" w:after="20"/>
              <w:rPr>
                <w:rFonts w:ascii="Verdana" w:hAnsi="Verdana"/>
                <w:sz w:val="18"/>
                <w:szCs w:val="18"/>
              </w:rPr>
            </w:pPr>
            <w:r>
              <w:rPr>
                <w:rFonts w:ascii="Verdana" w:hAnsi="Verdana"/>
                <w:sz w:val="18"/>
                <w:szCs w:val="18"/>
              </w:rPr>
              <w:lastRenderedPageBreak/>
              <w:t>Приема се</w:t>
            </w:r>
          </w:p>
        </w:tc>
        <w:tc>
          <w:tcPr>
            <w:tcW w:w="5045" w:type="dxa"/>
            <w:tcBorders>
              <w:top w:val="nil"/>
              <w:bottom w:val="nil"/>
            </w:tcBorders>
            <w:shd w:val="clear" w:color="auto" w:fill="auto"/>
          </w:tcPr>
          <w:p w:rsidR="000B31D5" w:rsidRDefault="000B31D5">
            <w:pPr>
              <w:spacing w:before="60" w:after="20"/>
              <w:jc w:val="both"/>
              <w:rPr>
                <w:rFonts w:ascii="Verdana" w:hAnsi="Verdana"/>
                <w:sz w:val="18"/>
                <w:szCs w:val="18"/>
              </w:rPr>
            </w:pPr>
          </w:p>
        </w:tc>
      </w:tr>
      <w:tr w:rsidR="000B31D5">
        <w:trPr>
          <w:trHeight w:val="596"/>
          <w:jc w:val="center"/>
        </w:trPr>
        <w:tc>
          <w:tcPr>
            <w:tcW w:w="622" w:type="dxa"/>
            <w:vMerge/>
            <w:tcBorders>
              <w:bottom w:val="single" w:sz="12" w:space="0" w:color="2E74B5"/>
            </w:tcBorders>
            <w:shd w:val="clear" w:color="auto" w:fill="auto"/>
          </w:tcPr>
          <w:p w:rsidR="000B31D5" w:rsidRDefault="000B31D5">
            <w:pPr>
              <w:pStyle w:val="ListParagraph"/>
              <w:numPr>
                <w:ilvl w:val="0"/>
                <w:numId w:val="10"/>
              </w:numPr>
              <w:tabs>
                <w:tab w:val="left" w:pos="192"/>
              </w:tabs>
              <w:ind w:left="357" w:hanging="357"/>
              <w:jc w:val="center"/>
              <w:rPr>
                <w:rFonts w:ascii="Verdana" w:hAnsi="Verdana"/>
                <w:b/>
                <w:sz w:val="18"/>
                <w:szCs w:val="18"/>
                <w:highlight w:val="yellow"/>
              </w:rPr>
            </w:pPr>
          </w:p>
        </w:tc>
        <w:tc>
          <w:tcPr>
            <w:tcW w:w="2470" w:type="dxa"/>
            <w:vMerge/>
            <w:tcBorders>
              <w:bottom w:val="single" w:sz="12" w:space="0" w:color="2E74B5"/>
            </w:tcBorders>
            <w:shd w:val="clear" w:color="auto" w:fill="auto"/>
          </w:tcPr>
          <w:p w:rsidR="000B31D5" w:rsidRDefault="000B31D5">
            <w:pPr>
              <w:rPr>
                <w:rFonts w:ascii="Verdana" w:hAnsi="Verdana"/>
                <w:b/>
                <w:bCs/>
                <w:color w:val="000000"/>
                <w:spacing w:val="-2"/>
                <w:w w:val="86"/>
                <w:sz w:val="18"/>
                <w:szCs w:val="18"/>
                <w:highlight w:val="yellow"/>
              </w:rPr>
            </w:pPr>
          </w:p>
        </w:tc>
        <w:tc>
          <w:tcPr>
            <w:tcW w:w="5982" w:type="dxa"/>
            <w:tcBorders>
              <w:top w:val="nil"/>
              <w:bottom w:val="nil"/>
            </w:tcBorders>
            <w:shd w:val="clear" w:color="auto" w:fill="auto"/>
          </w:tcPr>
          <w:p w:rsidR="000B31D5" w:rsidRDefault="005B04B7">
            <w:pPr>
              <w:spacing w:before="60" w:after="20"/>
              <w:jc w:val="both"/>
              <w:rPr>
                <w:rFonts w:ascii="Verdana" w:hAnsi="Verdana"/>
                <w:sz w:val="18"/>
                <w:szCs w:val="18"/>
              </w:rPr>
            </w:pPr>
            <w:r>
              <w:rPr>
                <w:rFonts w:ascii="Verdana" w:hAnsi="Verdana"/>
                <w:sz w:val="18"/>
                <w:szCs w:val="18"/>
              </w:rPr>
              <w:t>3. Т. 7 да се добави към чл. 7, ал .2, където са специфичните изисквания към обектите отглеждащи риба в мрежести клетки. Мотиви – това изискване е специфично към тези обекти.</w:t>
            </w:r>
          </w:p>
        </w:tc>
        <w:tc>
          <w:tcPr>
            <w:tcW w:w="1531" w:type="dxa"/>
            <w:tcBorders>
              <w:top w:val="nil"/>
              <w:bottom w:val="nil"/>
            </w:tcBorders>
            <w:shd w:val="clear" w:color="auto" w:fill="auto"/>
          </w:tcPr>
          <w:p w:rsidR="000B31D5" w:rsidRDefault="005B04B7">
            <w:pPr>
              <w:spacing w:before="60" w:after="20"/>
              <w:rPr>
                <w:rFonts w:ascii="Verdana" w:hAnsi="Verdana"/>
                <w:sz w:val="18"/>
                <w:szCs w:val="18"/>
              </w:rPr>
            </w:pPr>
            <w:r>
              <w:rPr>
                <w:rFonts w:ascii="Verdana" w:hAnsi="Verdana"/>
                <w:sz w:val="18"/>
                <w:szCs w:val="18"/>
              </w:rPr>
              <w:t>Приема се</w:t>
            </w:r>
          </w:p>
        </w:tc>
        <w:tc>
          <w:tcPr>
            <w:tcW w:w="5045" w:type="dxa"/>
            <w:tcBorders>
              <w:top w:val="nil"/>
              <w:bottom w:val="nil"/>
            </w:tcBorders>
            <w:shd w:val="clear" w:color="auto" w:fill="auto"/>
          </w:tcPr>
          <w:p w:rsidR="000B31D5" w:rsidRDefault="000B31D5">
            <w:pPr>
              <w:spacing w:before="60" w:after="20"/>
              <w:jc w:val="both"/>
              <w:rPr>
                <w:rFonts w:ascii="Verdana" w:hAnsi="Verdana"/>
                <w:sz w:val="18"/>
                <w:szCs w:val="18"/>
              </w:rPr>
            </w:pPr>
          </w:p>
        </w:tc>
      </w:tr>
      <w:tr w:rsidR="000B31D5">
        <w:trPr>
          <w:trHeight w:val="236"/>
          <w:jc w:val="center"/>
        </w:trPr>
        <w:tc>
          <w:tcPr>
            <w:tcW w:w="622" w:type="dxa"/>
            <w:vMerge/>
            <w:tcBorders>
              <w:bottom w:val="single" w:sz="12" w:space="0" w:color="2E74B5"/>
            </w:tcBorders>
            <w:shd w:val="clear" w:color="auto" w:fill="auto"/>
          </w:tcPr>
          <w:p w:rsidR="000B31D5" w:rsidRDefault="000B31D5">
            <w:pPr>
              <w:pStyle w:val="ListParagraph"/>
              <w:numPr>
                <w:ilvl w:val="0"/>
                <w:numId w:val="10"/>
              </w:numPr>
              <w:tabs>
                <w:tab w:val="left" w:pos="192"/>
              </w:tabs>
              <w:ind w:left="357" w:hanging="357"/>
              <w:jc w:val="center"/>
              <w:rPr>
                <w:rFonts w:ascii="Verdana" w:hAnsi="Verdana"/>
                <w:b/>
                <w:sz w:val="18"/>
                <w:szCs w:val="18"/>
                <w:highlight w:val="yellow"/>
              </w:rPr>
            </w:pPr>
          </w:p>
        </w:tc>
        <w:tc>
          <w:tcPr>
            <w:tcW w:w="2470" w:type="dxa"/>
            <w:vMerge/>
            <w:tcBorders>
              <w:bottom w:val="single" w:sz="12" w:space="0" w:color="2E74B5"/>
            </w:tcBorders>
            <w:shd w:val="clear" w:color="auto" w:fill="auto"/>
          </w:tcPr>
          <w:p w:rsidR="000B31D5" w:rsidRDefault="000B31D5">
            <w:pPr>
              <w:rPr>
                <w:rFonts w:ascii="Verdana" w:hAnsi="Verdana"/>
                <w:b/>
                <w:bCs/>
                <w:color w:val="000000"/>
                <w:spacing w:val="-2"/>
                <w:w w:val="86"/>
                <w:sz w:val="18"/>
                <w:szCs w:val="18"/>
                <w:highlight w:val="yellow"/>
              </w:rPr>
            </w:pPr>
          </w:p>
        </w:tc>
        <w:tc>
          <w:tcPr>
            <w:tcW w:w="5982" w:type="dxa"/>
            <w:tcBorders>
              <w:top w:val="nil"/>
              <w:bottom w:val="nil"/>
            </w:tcBorders>
            <w:shd w:val="clear" w:color="auto" w:fill="auto"/>
          </w:tcPr>
          <w:p w:rsidR="000B31D5" w:rsidRDefault="005B04B7">
            <w:pPr>
              <w:spacing w:before="60" w:after="20"/>
              <w:jc w:val="both"/>
              <w:rPr>
                <w:rFonts w:ascii="Verdana" w:hAnsi="Verdana"/>
                <w:sz w:val="18"/>
                <w:szCs w:val="18"/>
              </w:rPr>
            </w:pPr>
            <w:r>
              <w:rPr>
                <w:rFonts w:ascii="Verdana" w:hAnsi="Verdana"/>
                <w:sz w:val="18"/>
                <w:szCs w:val="18"/>
              </w:rPr>
              <w:t>4. В чл. 7 ал. 4 предлагаме да се използва термина „развлекателен“ в скоби в едно с „платен риболов”. Така написано създава тълкуване какво да се прави, ако за риболова не се заплаща? Би могло да се „заобиколи“ регистрирането и контрола на обекта и  лицето, ако то не получава заплащане, а друг вид облага срещу предоставяне на такава услуга към трети лица.</w:t>
            </w:r>
          </w:p>
        </w:tc>
        <w:tc>
          <w:tcPr>
            <w:tcW w:w="1531" w:type="dxa"/>
            <w:tcBorders>
              <w:top w:val="nil"/>
              <w:bottom w:val="nil"/>
            </w:tcBorders>
            <w:shd w:val="clear" w:color="auto" w:fill="auto"/>
          </w:tcPr>
          <w:p w:rsidR="000B31D5" w:rsidRDefault="005B04B7">
            <w:pPr>
              <w:spacing w:before="60" w:after="20"/>
              <w:rPr>
                <w:rFonts w:ascii="Verdana" w:hAnsi="Verdana"/>
                <w:sz w:val="18"/>
                <w:szCs w:val="18"/>
              </w:rPr>
            </w:pPr>
            <w:r>
              <w:rPr>
                <w:rFonts w:ascii="Verdana" w:hAnsi="Verdana"/>
                <w:sz w:val="18"/>
                <w:szCs w:val="18"/>
              </w:rPr>
              <w:t>Приема се</w:t>
            </w:r>
          </w:p>
        </w:tc>
        <w:tc>
          <w:tcPr>
            <w:tcW w:w="5045" w:type="dxa"/>
            <w:tcBorders>
              <w:top w:val="nil"/>
              <w:bottom w:val="nil"/>
            </w:tcBorders>
            <w:shd w:val="clear" w:color="auto" w:fill="auto"/>
          </w:tcPr>
          <w:p w:rsidR="000B31D5" w:rsidRDefault="000B31D5">
            <w:pPr>
              <w:spacing w:before="60" w:after="20"/>
              <w:jc w:val="both"/>
              <w:rPr>
                <w:rFonts w:ascii="Verdana" w:hAnsi="Verdana"/>
                <w:sz w:val="18"/>
                <w:szCs w:val="18"/>
              </w:rPr>
            </w:pPr>
          </w:p>
        </w:tc>
      </w:tr>
      <w:tr w:rsidR="000B31D5">
        <w:trPr>
          <w:trHeight w:val="596"/>
          <w:jc w:val="center"/>
        </w:trPr>
        <w:tc>
          <w:tcPr>
            <w:tcW w:w="622" w:type="dxa"/>
            <w:vMerge/>
            <w:tcBorders>
              <w:bottom w:val="single" w:sz="12" w:space="0" w:color="2E74B5"/>
            </w:tcBorders>
            <w:shd w:val="clear" w:color="auto" w:fill="auto"/>
          </w:tcPr>
          <w:p w:rsidR="000B31D5" w:rsidRDefault="000B31D5">
            <w:pPr>
              <w:pStyle w:val="ListParagraph"/>
              <w:numPr>
                <w:ilvl w:val="0"/>
                <w:numId w:val="10"/>
              </w:numPr>
              <w:tabs>
                <w:tab w:val="left" w:pos="192"/>
              </w:tabs>
              <w:ind w:left="357" w:hanging="357"/>
              <w:jc w:val="center"/>
              <w:rPr>
                <w:rFonts w:ascii="Verdana" w:hAnsi="Verdana"/>
                <w:b/>
                <w:sz w:val="18"/>
                <w:szCs w:val="18"/>
                <w:highlight w:val="yellow"/>
              </w:rPr>
            </w:pPr>
          </w:p>
        </w:tc>
        <w:tc>
          <w:tcPr>
            <w:tcW w:w="2470" w:type="dxa"/>
            <w:vMerge/>
            <w:tcBorders>
              <w:bottom w:val="single" w:sz="12" w:space="0" w:color="2E74B5"/>
            </w:tcBorders>
            <w:shd w:val="clear" w:color="auto" w:fill="auto"/>
          </w:tcPr>
          <w:p w:rsidR="000B31D5" w:rsidRDefault="000B31D5">
            <w:pPr>
              <w:rPr>
                <w:rFonts w:ascii="Verdana" w:hAnsi="Verdana"/>
                <w:b/>
                <w:bCs/>
                <w:color w:val="000000"/>
                <w:spacing w:val="-2"/>
                <w:w w:val="86"/>
                <w:sz w:val="18"/>
                <w:szCs w:val="18"/>
                <w:highlight w:val="yellow"/>
              </w:rPr>
            </w:pPr>
          </w:p>
        </w:tc>
        <w:tc>
          <w:tcPr>
            <w:tcW w:w="5982" w:type="dxa"/>
            <w:tcBorders>
              <w:top w:val="nil"/>
              <w:bottom w:val="nil"/>
            </w:tcBorders>
            <w:shd w:val="clear" w:color="auto" w:fill="auto"/>
          </w:tcPr>
          <w:p w:rsidR="000B31D5" w:rsidRDefault="005B04B7">
            <w:pPr>
              <w:spacing w:before="60" w:after="20"/>
              <w:jc w:val="both"/>
              <w:rPr>
                <w:rFonts w:ascii="Verdana" w:hAnsi="Verdana"/>
                <w:sz w:val="18"/>
                <w:szCs w:val="18"/>
              </w:rPr>
            </w:pPr>
            <w:r>
              <w:rPr>
                <w:rFonts w:ascii="Verdana" w:hAnsi="Verdana"/>
                <w:sz w:val="18"/>
                <w:szCs w:val="18"/>
              </w:rPr>
              <w:t>5.  В чл. 7, ал. 4, т. 3 след думите „такива обекти” да се добави следното: „,както и тези използвани за примамка”. Мотиви – в тези обекти има концентрирано и интензивно събиране на лица (риболовци) от различни региони на страната които могат безпрепятствено да внесат риби от други необследвани и контролирани обекти с цел използването им за „жива стръв”. С този текст не се забранява използването на жива стръв , а се цели да се контролира преноса на жива риба и пускането ѝ във водата при положение, че е потенциално опасна като носител на заразни заболявания.</w:t>
            </w:r>
          </w:p>
        </w:tc>
        <w:tc>
          <w:tcPr>
            <w:tcW w:w="1531" w:type="dxa"/>
            <w:tcBorders>
              <w:top w:val="nil"/>
              <w:bottom w:val="nil"/>
            </w:tcBorders>
            <w:shd w:val="clear" w:color="auto" w:fill="auto"/>
          </w:tcPr>
          <w:p w:rsidR="000B31D5" w:rsidRDefault="005B04B7">
            <w:pPr>
              <w:spacing w:before="60" w:after="20"/>
              <w:rPr>
                <w:rFonts w:ascii="Verdana" w:hAnsi="Verdana"/>
                <w:sz w:val="18"/>
                <w:szCs w:val="18"/>
              </w:rPr>
            </w:pPr>
            <w:r>
              <w:rPr>
                <w:rFonts w:ascii="Verdana" w:hAnsi="Verdana"/>
                <w:sz w:val="18"/>
                <w:szCs w:val="18"/>
              </w:rPr>
              <w:t>Приема се</w:t>
            </w:r>
          </w:p>
        </w:tc>
        <w:tc>
          <w:tcPr>
            <w:tcW w:w="5045" w:type="dxa"/>
            <w:tcBorders>
              <w:top w:val="nil"/>
              <w:bottom w:val="nil"/>
            </w:tcBorders>
            <w:shd w:val="clear" w:color="auto" w:fill="auto"/>
          </w:tcPr>
          <w:p w:rsidR="000B31D5" w:rsidRDefault="000B31D5">
            <w:pPr>
              <w:spacing w:before="60" w:after="20"/>
              <w:jc w:val="both"/>
              <w:rPr>
                <w:rFonts w:ascii="Verdana" w:hAnsi="Verdana"/>
                <w:sz w:val="18"/>
                <w:szCs w:val="18"/>
              </w:rPr>
            </w:pPr>
          </w:p>
        </w:tc>
      </w:tr>
      <w:tr w:rsidR="000B31D5">
        <w:trPr>
          <w:trHeight w:val="596"/>
          <w:jc w:val="center"/>
        </w:trPr>
        <w:tc>
          <w:tcPr>
            <w:tcW w:w="622" w:type="dxa"/>
            <w:vMerge/>
            <w:tcBorders>
              <w:bottom w:val="single" w:sz="12" w:space="0" w:color="2E74B5"/>
            </w:tcBorders>
            <w:shd w:val="clear" w:color="auto" w:fill="auto"/>
          </w:tcPr>
          <w:p w:rsidR="000B31D5" w:rsidRDefault="000B31D5">
            <w:pPr>
              <w:pStyle w:val="ListParagraph"/>
              <w:numPr>
                <w:ilvl w:val="0"/>
                <w:numId w:val="10"/>
              </w:numPr>
              <w:tabs>
                <w:tab w:val="left" w:pos="192"/>
              </w:tabs>
              <w:ind w:left="357" w:hanging="357"/>
              <w:jc w:val="center"/>
              <w:rPr>
                <w:rFonts w:ascii="Verdana" w:hAnsi="Verdana"/>
                <w:b/>
                <w:sz w:val="18"/>
                <w:szCs w:val="18"/>
                <w:highlight w:val="yellow"/>
              </w:rPr>
            </w:pPr>
          </w:p>
        </w:tc>
        <w:tc>
          <w:tcPr>
            <w:tcW w:w="2470" w:type="dxa"/>
            <w:vMerge/>
            <w:tcBorders>
              <w:bottom w:val="single" w:sz="12" w:space="0" w:color="2E74B5"/>
            </w:tcBorders>
            <w:shd w:val="clear" w:color="auto" w:fill="auto"/>
          </w:tcPr>
          <w:p w:rsidR="000B31D5" w:rsidRDefault="000B31D5">
            <w:pPr>
              <w:rPr>
                <w:rFonts w:ascii="Verdana" w:hAnsi="Verdana"/>
                <w:b/>
                <w:bCs/>
                <w:color w:val="000000"/>
                <w:spacing w:val="-2"/>
                <w:w w:val="86"/>
                <w:sz w:val="18"/>
                <w:szCs w:val="18"/>
                <w:highlight w:val="yellow"/>
              </w:rPr>
            </w:pPr>
          </w:p>
        </w:tc>
        <w:tc>
          <w:tcPr>
            <w:tcW w:w="5982" w:type="dxa"/>
            <w:tcBorders>
              <w:top w:val="nil"/>
            </w:tcBorders>
            <w:shd w:val="clear" w:color="auto" w:fill="auto"/>
          </w:tcPr>
          <w:p w:rsidR="000B31D5" w:rsidRDefault="005B04B7">
            <w:pPr>
              <w:spacing w:before="60" w:after="20"/>
              <w:jc w:val="both"/>
              <w:rPr>
                <w:rFonts w:ascii="Verdana" w:hAnsi="Verdana"/>
                <w:sz w:val="18"/>
                <w:szCs w:val="18"/>
              </w:rPr>
            </w:pPr>
            <w:r>
              <w:rPr>
                <w:rFonts w:ascii="Verdana" w:hAnsi="Verdana"/>
                <w:sz w:val="18"/>
                <w:szCs w:val="18"/>
              </w:rPr>
              <w:t>6. В допълнителните разпоредби предлагаме към т. 8 да се прибави следното изречение : „Водоснабдяването му е самостоятелно (независимо) и излизащите води не преминават през други басейни.”</w:t>
            </w:r>
          </w:p>
          <w:p w:rsidR="000B31D5" w:rsidRDefault="005B04B7">
            <w:pPr>
              <w:spacing w:before="60" w:after="20"/>
              <w:jc w:val="both"/>
              <w:rPr>
                <w:rFonts w:ascii="Verdana" w:hAnsi="Verdana"/>
                <w:sz w:val="18"/>
                <w:szCs w:val="18"/>
              </w:rPr>
            </w:pPr>
            <w:r>
              <w:rPr>
                <w:rFonts w:ascii="Verdana" w:hAnsi="Verdana"/>
                <w:sz w:val="18"/>
                <w:szCs w:val="18"/>
              </w:rPr>
              <w:t>Мотив – една от важните особености на тези басейни е недопускане на излизащата от тях вода да влезе в контакт с тази в останалите басейни. Чрез водата могат да се пренесат болестотворни агенти , които да причинят заболяване на цялото стопанство независимо от карантинирането на отделната партида риба.</w:t>
            </w:r>
          </w:p>
        </w:tc>
        <w:tc>
          <w:tcPr>
            <w:tcW w:w="1531" w:type="dxa"/>
            <w:tcBorders>
              <w:top w:val="nil"/>
            </w:tcBorders>
            <w:shd w:val="clear" w:color="auto" w:fill="auto"/>
          </w:tcPr>
          <w:p w:rsidR="000B31D5" w:rsidRDefault="005B04B7">
            <w:pPr>
              <w:spacing w:before="60" w:after="20"/>
              <w:rPr>
                <w:rFonts w:ascii="Verdana" w:hAnsi="Verdana"/>
                <w:sz w:val="18"/>
                <w:szCs w:val="18"/>
              </w:rPr>
            </w:pPr>
            <w:r>
              <w:rPr>
                <w:rFonts w:ascii="Verdana" w:hAnsi="Verdana"/>
                <w:sz w:val="18"/>
                <w:szCs w:val="18"/>
              </w:rPr>
              <w:t>Приема се</w:t>
            </w:r>
          </w:p>
        </w:tc>
        <w:tc>
          <w:tcPr>
            <w:tcW w:w="5045" w:type="dxa"/>
            <w:tcBorders>
              <w:top w:val="nil"/>
            </w:tcBorders>
            <w:shd w:val="clear" w:color="auto" w:fill="auto"/>
          </w:tcPr>
          <w:p w:rsidR="000B31D5" w:rsidRDefault="000B31D5">
            <w:pPr>
              <w:spacing w:before="60" w:after="20"/>
              <w:jc w:val="both"/>
              <w:rPr>
                <w:rFonts w:ascii="Verdana" w:hAnsi="Verdana"/>
                <w:sz w:val="18"/>
                <w:szCs w:val="18"/>
              </w:rPr>
            </w:pPr>
          </w:p>
        </w:tc>
      </w:tr>
    </w:tbl>
    <w:p w:rsidR="000B31D5" w:rsidRDefault="000B31D5">
      <w:pPr>
        <w:ind w:left="284"/>
        <w:rPr>
          <w:rFonts w:ascii="Verdana" w:hAnsi="Verdana"/>
          <w:b/>
          <w:bCs/>
          <w:caps/>
          <w:sz w:val="20"/>
          <w:szCs w:val="20"/>
        </w:rPr>
      </w:pPr>
      <w:bookmarkStart w:id="0" w:name="_GoBack"/>
      <w:bookmarkEnd w:id="0"/>
    </w:p>
    <w:sectPr w:rsidR="000B31D5" w:rsidSect="005B04B7">
      <w:footerReference w:type="even" r:id="rId9"/>
      <w:footerReference w:type="default" r:id="rId10"/>
      <w:pgSz w:w="16838" w:h="11906" w:orient="landscape" w:code="9"/>
      <w:pgMar w:top="1418"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B52" w:rsidRDefault="00996B52">
      <w:r>
        <w:separator/>
      </w:r>
    </w:p>
  </w:endnote>
  <w:endnote w:type="continuationSeparator" w:id="0">
    <w:p w:rsidR="00996B52" w:rsidRDefault="00996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1D5" w:rsidRDefault="005B04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B31D5" w:rsidRDefault="000B31D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673086"/>
      <w:docPartObj>
        <w:docPartGallery w:val="Page Numbers (Bottom of Page)"/>
        <w:docPartUnique/>
      </w:docPartObj>
    </w:sdtPr>
    <w:sdtEndPr>
      <w:rPr>
        <w:rFonts w:ascii="Verdana" w:hAnsi="Verdana"/>
        <w:noProof/>
        <w:sz w:val="18"/>
        <w:szCs w:val="18"/>
      </w:rPr>
    </w:sdtEndPr>
    <w:sdtContent>
      <w:p w:rsidR="000B31D5" w:rsidRDefault="005B04B7" w:rsidP="005B04B7">
        <w:pPr>
          <w:pStyle w:val="Footer"/>
          <w:spacing w:before="120"/>
          <w:jc w:val="right"/>
          <w:rPr>
            <w:rFonts w:ascii="Verdana" w:hAnsi="Verdana"/>
            <w:sz w:val="18"/>
            <w:szCs w:val="18"/>
          </w:rPr>
        </w:pPr>
        <w:r>
          <w:rPr>
            <w:rFonts w:ascii="Verdana" w:hAnsi="Verdana"/>
            <w:sz w:val="18"/>
            <w:szCs w:val="18"/>
          </w:rPr>
          <w:fldChar w:fldCharType="begin"/>
        </w:r>
        <w:r>
          <w:rPr>
            <w:rFonts w:ascii="Verdana" w:hAnsi="Verdana"/>
            <w:sz w:val="18"/>
            <w:szCs w:val="18"/>
          </w:rPr>
          <w:instrText xml:space="preserve"> PAGE   \* MERGEFORMAT </w:instrText>
        </w:r>
        <w:r>
          <w:rPr>
            <w:rFonts w:ascii="Verdana" w:hAnsi="Verdana"/>
            <w:sz w:val="18"/>
            <w:szCs w:val="18"/>
          </w:rPr>
          <w:fldChar w:fldCharType="separate"/>
        </w:r>
        <w:r w:rsidR="000A6CE8">
          <w:rPr>
            <w:rFonts w:ascii="Verdana" w:hAnsi="Verdana"/>
            <w:noProof/>
            <w:sz w:val="18"/>
            <w:szCs w:val="18"/>
          </w:rPr>
          <w:t>3</w:t>
        </w:r>
        <w:r>
          <w:rPr>
            <w:rFonts w:ascii="Verdana" w:hAnsi="Verdana"/>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B52" w:rsidRDefault="00996B52">
      <w:r>
        <w:separator/>
      </w:r>
    </w:p>
  </w:footnote>
  <w:footnote w:type="continuationSeparator" w:id="0">
    <w:p w:rsidR="00996B52" w:rsidRDefault="00996B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A76C2"/>
    <w:multiLevelType w:val="hybridMultilevel"/>
    <w:tmpl w:val="5A9A53A2"/>
    <w:lvl w:ilvl="0" w:tplc="D87E1762">
      <w:start w:val="3"/>
      <w:numFmt w:val="bullet"/>
      <w:lvlText w:val="-"/>
      <w:lvlJc w:val="left"/>
      <w:pPr>
        <w:ind w:left="543" w:hanging="360"/>
      </w:pPr>
      <w:rPr>
        <w:rFonts w:ascii="Times New Roman" w:eastAsia="Times New Roman" w:hAnsi="Times New Roman" w:cs="Times New Roman" w:hint="default"/>
      </w:rPr>
    </w:lvl>
    <w:lvl w:ilvl="1" w:tplc="04020003" w:tentative="1">
      <w:start w:val="1"/>
      <w:numFmt w:val="bullet"/>
      <w:lvlText w:val="o"/>
      <w:lvlJc w:val="left"/>
      <w:pPr>
        <w:ind w:left="1263" w:hanging="360"/>
      </w:pPr>
      <w:rPr>
        <w:rFonts w:ascii="Courier New" w:hAnsi="Courier New" w:cs="Courier New" w:hint="default"/>
      </w:rPr>
    </w:lvl>
    <w:lvl w:ilvl="2" w:tplc="04020005" w:tentative="1">
      <w:start w:val="1"/>
      <w:numFmt w:val="bullet"/>
      <w:lvlText w:val=""/>
      <w:lvlJc w:val="left"/>
      <w:pPr>
        <w:ind w:left="1983" w:hanging="360"/>
      </w:pPr>
      <w:rPr>
        <w:rFonts w:ascii="Wingdings" w:hAnsi="Wingdings" w:hint="default"/>
      </w:rPr>
    </w:lvl>
    <w:lvl w:ilvl="3" w:tplc="04020001" w:tentative="1">
      <w:start w:val="1"/>
      <w:numFmt w:val="bullet"/>
      <w:lvlText w:val=""/>
      <w:lvlJc w:val="left"/>
      <w:pPr>
        <w:ind w:left="2703" w:hanging="360"/>
      </w:pPr>
      <w:rPr>
        <w:rFonts w:ascii="Symbol" w:hAnsi="Symbol" w:hint="default"/>
      </w:rPr>
    </w:lvl>
    <w:lvl w:ilvl="4" w:tplc="04020003" w:tentative="1">
      <w:start w:val="1"/>
      <w:numFmt w:val="bullet"/>
      <w:lvlText w:val="o"/>
      <w:lvlJc w:val="left"/>
      <w:pPr>
        <w:ind w:left="3423" w:hanging="360"/>
      </w:pPr>
      <w:rPr>
        <w:rFonts w:ascii="Courier New" w:hAnsi="Courier New" w:cs="Courier New" w:hint="default"/>
      </w:rPr>
    </w:lvl>
    <w:lvl w:ilvl="5" w:tplc="04020005" w:tentative="1">
      <w:start w:val="1"/>
      <w:numFmt w:val="bullet"/>
      <w:lvlText w:val=""/>
      <w:lvlJc w:val="left"/>
      <w:pPr>
        <w:ind w:left="4143" w:hanging="360"/>
      </w:pPr>
      <w:rPr>
        <w:rFonts w:ascii="Wingdings" w:hAnsi="Wingdings" w:hint="default"/>
      </w:rPr>
    </w:lvl>
    <w:lvl w:ilvl="6" w:tplc="04020001" w:tentative="1">
      <w:start w:val="1"/>
      <w:numFmt w:val="bullet"/>
      <w:lvlText w:val=""/>
      <w:lvlJc w:val="left"/>
      <w:pPr>
        <w:ind w:left="4863" w:hanging="360"/>
      </w:pPr>
      <w:rPr>
        <w:rFonts w:ascii="Symbol" w:hAnsi="Symbol" w:hint="default"/>
      </w:rPr>
    </w:lvl>
    <w:lvl w:ilvl="7" w:tplc="04020003" w:tentative="1">
      <w:start w:val="1"/>
      <w:numFmt w:val="bullet"/>
      <w:lvlText w:val="o"/>
      <w:lvlJc w:val="left"/>
      <w:pPr>
        <w:ind w:left="5583" w:hanging="360"/>
      </w:pPr>
      <w:rPr>
        <w:rFonts w:ascii="Courier New" w:hAnsi="Courier New" w:cs="Courier New" w:hint="default"/>
      </w:rPr>
    </w:lvl>
    <w:lvl w:ilvl="8" w:tplc="04020005" w:tentative="1">
      <w:start w:val="1"/>
      <w:numFmt w:val="bullet"/>
      <w:lvlText w:val=""/>
      <w:lvlJc w:val="left"/>
      <w:pPr>
        <w:ind w:left="6303" w:hanging="360"/>
      </w:pPr>
      <w:rPr>
        <w:rFonts w:ascii="Wingdings" w:hAnsi="Wingdings" w:hint="default"/>
      </w:rPr>
    </w:lvl>
  </w:abstractNum>
  <w:abstractNum w:abstractNumId="1">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966EDC"/>
    <w:multiLevelType w:val="hybridMultilevel"/>
    <w:tmpl w:val="75104A90"/>
    <w:lvl w:ilvl="0" w:tplc="0409000F">
      <w:start w:val="1"/>
      <w:numFmt w:val="decimal"/>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543A0C1B"/>
    <w:multiLevelType w:val="hybridMultilevel"/>
    <w:tmpl w:val="3EC0A40C"/>
    <w:lvl w:ilvl="0" w:tplc="0402000F">
      <w:start w:val="1"/>
      <w:numFmt w:val="decimal"/>
      <w:lvlText w:val="%1."/>
      <w:lvlJc w:val="left"/>
      <w:pPr>
        <w:ind w:left="785"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7BE31872"/>
    <w:multiLevelType w:val="hybridMultilevel"/>
    <w:tmpl w:val="E6A049BA"/>
    <w:lvl w:ilvl="0" w:tplc="4FFCD31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9"/>
  </w:num>
  <w:num w:numId="5">
    <w:abstractNumId w:val="5"/>
  </w:num>
  <w:num w:numId="6">
    <w:abstractNumId w:val="2"/>
  </w:num>
  <w:num w:numId="7">
    <w:abstractNumId w:val="6"/>
  </w:num>
  <w:num w:numId="8">
    <w:abstractNumId w:val="8"/>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D5"/>
    <w:rsid w:val="000A6CE8"/>
    <w:rsid w:val="000B2921"/>
    <w:rsid w:val="000B31D5"/>
    <w:rsid w:val="005B04B7"/>
    <w:rsid w:val="00996B52"/>
    <w:rsid w:val="00F943C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bg-BG"/>
    </w:rPr>
  </w:style>
  <w:style w:type="paragraph" w:styleId="Heading1">
    <w:name w:val="heading 1"/>
    <w:basedOn w:val="Normal"/>
    <w:next w:val="Normal"/>
    <w:qFormat/>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pPr>
      <w:tabs>
        <w:tab w:val="center" w:pos="4536"/>
        <w:tab w:val="right" w:pos="9072"/>
      </w:tabs>
    </w:pPr>
  </w:style>
  <w:style w:type="paragraph" w:styleId="BodyTextIndent">
    <w:name w:val="Body Text Indent"/>
    <w:basedOn w:val="Normal"/>
    <w:pPr>
      <w:ind w:left="720" w:firstLine="720"/>
    </w:pPr>
    <w:rPr>
      <w:szCs w:val="20"/>
      <w:lang w:eastAsia="en-US"/>
    </w:rPr>
  </w:style>
  <w:style w:type="paragraph" w:styleId="Title">
    <w:name w:val="Title"/>
    <w:basedOn w:val="Normal"/>
    <w:qFormat/>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pPr>
      <w:spacing w:after="60"/>
      <w:jc w:val="center"/>
      <w:outlineLvl w:val="1"/>
    </w:pPr>
    <w:rPr>
      <w:rFonts w:ascii="Arial" w:hAnsi="Arial" w:cs="Arial"/>
      <w:lang w:eastAsia="en-US"/>
    </w:rPr>
  </w:style>
  <w:style w:type="character" w:styleId="Hyperlink">
    <w:name w:val="Hyperlink"/>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Pr>
      <w:sz w:val="24"/>
      <w:szCs w:val="24"/>
      <w:lang w:val="bg-BG" w:eastAsia="bg-BG" w:bidi="ar-SA"/>
    </w:rPr>
  </w:style>
  <w:style w:type="paragraph" w:styleId="BalloonText">
    <w:name w:val="Balloon Text"/>
    <w:basedOn w:val="Normal"/>
    <w:semiHidden/>
    <w:rPr>
      <w:rFonts w:ascii="Tahoma" w:hAnsi="Tahoma" w:cs="Tahoma"/>
      <w:sz w:val="16"/>
      <w:szCs w:val="16"/>
    </w:rPr>
  </w:style>
  <w:style w:type="character" w:customStyle="1" w:styleId="samedocreference1">
    <w:name w:val="samedocreference1"/>
    <w:rPr>
      <w:i w:val="0"/>
      <w:iCs w:val="0"/>
      <w:color w:val="8B0000"/>
      <w:u w:val="single"/>
    </w:rPr>
  </w:style>
  <w:style w:type="character" w:customStyle="1" w:styleId="newdocreference1">
    <w:name w:val="newdocreference1"/>
    <w:rPr>
      <w:i w:val="0"/>
      <w:iCs w:val="0"/>
      <w:color w:val="0000FF"/>
      <w:u w:val="single"/>
    </w:rPr>
  </w:style>
  <w:style w:type="paragraph" w:styleId="BodyText">
    <w:name w:val="Body Text"/>
    <w:basedOn w:val="Normal"/>
    <w:link w:val="BodyTextChar"/>
    <w:pPr>
      <w:spacing w:after="120"/>
    </w:pPr>
  </w:style>
  <w:style w:type="character" w:customStyle="1" w:styleId="BodyTextChar">
    <w:name w:val="Body Text Char"/>
    <w:link w:val="BodyText"/>
    <w:rPr>
      <w:sz w:val="24"/>
      <w:szCs w:val="24"/>
      <w:lang w:val="bg-BG" w:eastAsia="bg-BG"/>
    </w:rPr>
  </w:style>
  <w:style w:type="character" w:styleId="Strong">
    <w:name w:val="Strong"/>
    <w:uiPriority w:val="22"/>
    <w:qFormat/>
    <w:rPr>
      <w:b/>
      <w:bCs/>
    </w:rPr>
  </w:style>
  <w:style w:type="character" w:styleId="Emphasis">
    <w:name w:val="Emphasis"/>
    <w:uiPriority w:val="20"/>
    <w:qFormat/>
    <w:rPr>
      <w:i/>
      <w:iCs/>
    </w:rPr>
  </w:style>
  <w:style w:type="character" w:customStyle="1" w:styleId="ldef1">
    <w:name w:val="ldef1"/>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Pr>
      <w:sz w:val="24"/>
      <w:szCs w:val="24"/>
      <w:lang w:eastAsia="bg-BG"/>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lan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eastAsia="bg-BG"/>
    </w:rPr>
  </w:style>
  <w:style w:type="paragraph" w:styleId="Revision">
    <w:name w:val="Revision"/>
    <w:hidden/>
    <w:uiPriority w:val="99"/>
    <w:semiHidden/>
    <w:rPr>
      <w:sz w:val="24"/>
      <w:szCs w:val="24"/>
      <w:lang w:eastAsia="bg-BG"/>
    </w:rPr>
  </w:style>
  <w:style w:type="paragraph" w:customStyle="1" w:styleId="1">
    <w:name w:val="Нормален1"/>
    <w:pPr>
      <w:widowControl w:val="0"/>
      <w:autoSpaceDE w:val="0"/>
      <w:autoSpaceDN w:val="0"/>
      <w:adjustRightInd w:val="0"/>
    </w:pPr>
    <w:rPr>
      <w:sz w:val="24"/>
      <w:szCs w:val="24"/>
      <w:lang w:eastAsia="en-US"/>
    </w:rPr>
  </w:style>
  <w:style w:type="paragraph" w:customStyle="1" w:styleId="Style19">
    <w:name w:val="Style19"/>
    <w:basedOn w:val="Normal"/>
    <w:uiPriority w:val="99"/>
    <w:pPr>
      <w:widowControl w:val="0"/>
      <w:autoSpaceDE w:val="0"/>
      <w:autoSpaceDN w:val="0"/>
      <w:adjustRightInd w:val="0"/>
      <w:spacing w:line="365" w:lineRule="exact"/>
      <w:ind w:firstLine="715"/>
      <w:jc w:val="both"/>
    </w:pPr>
    <w:rPr>
      <w:rFonts w:ascii="Verdana" w:hAnsi="Verdana" w:cs="Verdana"/>
    </w:rPr>
  </w:style>
  <w:style w:type="character" w:customStyle="1" w:styleId="FontStyle52">
    <w:name w:val="Font Style52"/>
    <w:uiPriority w:val="99"/>
    <w:rPr>
      <w:rFonts w:ascii="Verdana" w:hAnsi="Verdana" w:cs="Verdan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bg-BG"/>
    </w:rPr>
  </w:style>
  <w:style w:type="paragraph" w:styleId="Heading1">
    <w:name w:val="heading 1"/>
    <w:basedOn w:val="Normal"/>
    <w:next w:val="Normal"/>
    <w:qFormat/>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pPr>
      <w:tabs>
        <w:tab w:val="center" w:pos="4536"/>
        <w:tab w:val="right" w:pos="9072"/>
      </w:tabs>
    </w:pPr>
  </w:style>
  <w:style w:type="paragraph" w:styleId="BodyTextIndent">
    <w:name w:val="Body Text Indent"/>
    <w:basedOn w:val="Normal"/>
    <w:pPr>
      <w:ind w:left="720" w:firstLine="720"/>
    </w:pPr>
    <w:rPr>
      <w:szCs w:val="20"/>
      <w:lang w:eastAsia="en-US"/>
    </w:rPr>
  </w:style>
  <w:style w:type="paragraph" w:styleId="Title">
    <w:name w:val="Title"/>
    <w:basedOn w:val="Normal"/>
    <w:qFormat/>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pPr>
      <w:spacing w:after="60"/>
      <w:jc w:val="center"/>
      <w:outlineLvl w:val="1"/>
    </w:pPr>
    <w:rPr>
      <w:rFonts w:ascii="Arial" w:hAnsi="Arial" w:cs="Arial"/>
      <w:lang w:eastAsia="en-US"/>
    </w:rPr>
  </w:style>
  <w:style w:type="character" w:styleId="Hyperlink">
    <w:name w:val="Hyperlink"/>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Pr>
      <w:sz w:val="24"/>
      <w:szCs w:val="24"/>
      <w:lang w:val="bg-BG" w:eastAsia="bg-BG" w:bidi="ar-SA"/>
    </w:rPr>
  </w:style>
  <w:style w:type="paragraph" w:styleId="BalloonText">
    <w:name w:val="Balloon Text"/>
    <w:basedOn w:val="Normal"/>
    <w:semiHidden/>
    <w:rPr>
      <w:rFonts w:ascii="Tahoma" w:hAnsi="Tahoma" w:cs="Tahoma"/>
      <w:sz w:val="16"/>
      <w:szCs w:val="16"/>
    </w:rPr>
  </w:style>
  <w:style w:type="character" w:customStyle="1" w:styleId="samedocreference1">
    <w:name w:val="samedocreference1"/>
    <w:rPr>
      <w:i w:val="0"/>
      <w:iCs w:val="0"/>
      <w:color w:val="8B0000"/>
      <w:u w:val="single"/>
    </w:rPr>
  </w:style>
  <w:style w:type="character" w:customStyle="1" w:styleId="newdocreference1">
    <w:name w:val="newdocreference1"/>
    <w:rPr>
      <w:i w:val="0"/>
      <w:iCs w:val="0"/>
      <w:color w:val="0000FF"/>
      <w:u w:val="single"/>
    </w:rPr>
  </w:style>
  <w:style w:type="paragraph" w:styleId="BodyText">
    <w:name w:val="Body Text"/>
    <w:basedOn w:val="Normal"/>
    <w:link w:val="BodyTextChar"/>
    <w:pPr>
      <w:spacing w:after="120"/>
    </w:pPr>
  </w:style>
  <w:style w:type="character" w:customStyle="1" w:styleId="BodyTextChar">
    <w:name w:val="Body Text Char"/>
    <w:link w:val="BodyText"/>
    <w:rPr>
      <w:sz w:val="24"/>
      <w:szCs w:val="24"/>
      <w:lang w:val="bg-BG" w:eastAsia="bg-BG"/>
    </w:rPr>
  </w:style>
  <w:style w:type="character" w:styleId="Strong">
    <w:name w:val="Strong"/>
    <w:uiPriority w:val="22"/>
    <w:qFormat/>
    <w:rPr>
      <w:b/>
      <w:bCs/>
    </w:rPr>
  </w:style>
  <w:style w:type="character" w:styleId="Emphasis">
    <w:name w:val="Emphasis"/>
    <w:uiPriority w:val="20"/>
    <w:qFormat/>
    <w:rPr>
      <w:i/>
      <w:iCs/>
    </w:rPr>
  </w:style>
  <w:style w:type="character" w:customStyle="1" w:styleId="ldef1">
    <w:name w:val="ldef1"/>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Pr>
      <w:sz w:val="24"/>
      <w:szCs w:val="24"/>
      <w:lang w:eastAsia="bg-BG"/>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lan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eastAsia="bg-BG"/>
    </w:rPr>
  </w:style>
  <w:style w:type="paragraph" w:styleId="Revision">
    <w:name w:val="Revision"/>
    <w:hidden/>
    <w:uiPriority w:val="99"/>
    <w:semiHidden/>
    <w:rPr>
      <w:sz w:val="24"/>
      <w:szCs w:val="24"/>
      <w:lang w:eastAsia="bg-BG"/>
    </w:rPr>
  </w:style>
  <w:style w:type="paragraph" w:customStyle="1" w:styleId="1">
    <w:name w:val="Нормален1"/>
    <w:pPr>
      <w:widowControl w:val="0"/>
      <w:autoSpaceDE w:val="0"/>
      <w:autoSpaceDN w:val="0"/>
      <w:adjustRightInd w:val="0"/>
    </w:pPr>
    <w:rPr>
      <w:sz w:val="24"/>
      <w:szCs w:val="24"/>
      <w:lang w:eastAsia="en-US"/>
    </w:rPr>
  </w:style>
  <w:style w:type="paragraph" w:customStyle="1" w:styleId="Style19">
    <w:name w:val="Style19"/>
    <w:basedOn w:val="Normal"/>
    <w:uiPriority w:val="99"/>
    <w:pPr>
      <w:widowControl w:val="0"/>
      <w:autoSpaceDE w:val="0"/>
      <w:autoSpaceDN w:val="0"/>
      <w:adjustRightInd w:val="0"/>
      <w:spacing w:line="365" w:lineRule="exact"/>
      <w:ind w:firstLine="715"/>
      <w:jc w:val="both"/>
    </w:pPr>
    <w:rPr>
      <w:rFonts w:ascii="Verdana" w:hAnsi="Verdana" w:cs="Verdana"/>
    </w:rPr>
  </w:style>
  <w:style w:type="character" w:customStyle="1" w:styleId="FontStyle52">
    <w:name w:val="Font Style52"/>
    <w:uiPriority w:val="99"/>
    <w:rPr>
      <w:rFonts w:ascii="Verdana" w:hAnsi="Verdana" w:cs="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17317750">
      <w:bodyDiv w:val="1"/>
      <w:marLeft w:val="0"/>
      <w:marRight w:val="0"/>
      <w:marTop w:val="0"/>
      <w:marBottom w:val="0"/>
      <w:divBdr>
        <w:top w:val="none" w:sz="0" w:space="0" w:color="auto"/>
        <w:left w:val="none" w:sz="0" w:space="0" w:color="auto"/>
        <w:bottom w:val="none" w:sz="0" w:space="0" w:color="auto"/>
        <w:right w:val="none" w:sz="0" w:space="0" w:color="auto"/>
      </w:divBdr>
    </w:div>
    <w:div w:id="1022242083">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B5EF5-2643-4418-B882-3283B4324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5747</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2020-08-07T14:54:00Z</dcterms:created>
  <dcterms:modified xsi:type="dcterms:W3CDTF">2021-01-13T09:28:00Z</dcterms:modified>
</cp:coreProperties>
</file>