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Default="003B7872"/>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AC236A">
              <w:rPr>
                <w:rFonts w:ascii="Times New Roman" w:hAnsi="Times New Roman" w:cs="Times New Roman"/>
                <w:b/>
                <w:lang w:val="en-US"/>
              </w:rPr>
              <w:t>ПЕТО</w:t>
            </w:r>
            <w:r w:rsidR="00704FE9" w:rsidRPr="00704FE9">
              <w:rPr>
                <w:rFonts w:ascii="Times New Roman" w:hAnsi="Times New Roman" w:cs="Times New Roman"/>
                <w:b/>
              </w:rPr>
              <w:t xml:space="preserve"> 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86BF59F">
      <w:pPr>
        <w:rPr>
          <w:rFonts w:ascii="Arial Narrow" w:hAnsi="Arial Narrow"/>
        </w:rPr>
      </w:pPr>
    </w:p>
    <w:tbl>
      <w:tblPr>
        <w:tblStyle w:val="TableGrid"/>
        <w:tblW w:w="14353" w:type="dxa"/>
        <w:tblInd w:w="-1062" w:type="dxa"/>
        <w:tblLayout w:type="fixed"/>
        <w:tblLook w:val="04A0" w:firstRow="1" w:lastRow="0" w:firstColumn="1" w:lastColumn="0" w:noHBand="0" w:noVBand="1"/>
      </w:tblPr>
      <w:tblGrid>
        <w:gridCol w:w="449"/>
        <w:gridCol w:w="1714"/>
        <w:gridCol w:w="12190"/>
      </w:tblGrid>
      <w:tr w:rsidR="00FD2D0E" w:rsidRPr="002954C9" w:rsidTr="00003C8B">
        <w:tc>
          <w:tcPr>
            <w:tcW w:w="449" w:type="dxa"/>
            <w:vAlign w:val="center"/>
          </w:tcPr>
          <w:p w:rsidR="00FD2D0E" w:rsidRPr="002954C9" w:rsidRDefault="00FD2D0E"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FD2D0E" w:rsidRDefault="00FD2D0E"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Организация</w:t>
            </w:r>
            <w:r>
              <w:rPr>
                <w:rFonts w:ascii="Times New Roman" w:hAnsi="Times New Roman" w:cs="Times New Roman"/>
                <w:b/>
                <w:sz w:val="18"/>
                <w:szCs w:val="18"/>
              </w:rPr>
              <w:t>/</w:t>
            </w:r>
          </w:p>
          <w:p w:rsidR="00FD2D0E" w:rsidRPr="00D11298" w:rsidRDefault="00FD2D0E" w:rsidP="001E7468">
            <w:pPr>
              <w:jc w:val="center"/>
              <w:rPr>
                <w:rFonts w:ascii="Times New Roman" w:hAnsi="Times New Roman" w:cs="Times New Roman"/>
                <w:b/>
                <w:sz w:val="18"/>
                <w:szCs w:val="18"/>
              </w:rPr>
            </w:pPr>
            <w:r>
              <w:rPr>
                <w:rFonts w:ascii="Times New Roman" w:hAnsi="Times New Roman" w:cs="Times New Roman"/>
                <w:b/>
                <w:sz w:val="18"/>
                <w:szCs w:val="18"/>
              </w:rPr>
              <w:t>подател</w:t>
            </w:r>
          </w:p>
        </w:tc>
        <w:tc>
          <w:tcPr>
            <w:tcW w:w="12190" w:type="dxa"/>
            <w:shd w:val="clear" w:color="auto" w:fill="FFFFFF" w:themeFill="background1"/>
            <w:vAlign w:val="center"/>
          </w:tcPr>
          <w:p w:rsidR="00FD2D0E" w:rsidRDefault="00FD2D0E" w:rsidP="001E7468">
            <w:pPr>
              <w:jc w:val="center"/>
              <w:rPr>
                <w:rFonts w:ascii="Times New Roman" w:hAnsi="Times New Roman" w:cs="Times New Roman"/>
                <w:b/>
                <w:bCs/>
                <w:sz w:val="18"/>
                <w:szCs w:val="18"/>
              </w:rPr>
            </w:pPr>
            <w:r w:rsidRPr="002954C9">
              <w:rPr>
                <w:rFonts w:ascii="Times New Roman" w:hAnsi="Times New Roman" w:cs="Times New Roman"/>
                <w:b/>
                <w:sz w:val="18"/>
                <w:szCs w:val="18"/>
              </w:rPr>
              <w:t>Бележки и предложения</w:t>
            </w:r>
          </w:p>
        </w:tc>
      </w:tr>
      <w:tr w:rsidR="006303C5" w:rsidRPr="002954C9" w:rsidTr="006303C5">
        <w:tc>
          <w:tcPr>
            <w:tcW w:w="14353" w:type="dxa"/>
            <w:gridSpan w:val="3"/>
            <w:shd w:val="clear" w:color="auto" w:fill="C6D9F1" w:themeFill="text2" w:themeFillTint="33"/>
            <w:vAlign w:val="center"/>
          </w:tcPr>
          <w:p w:rsidR="006303C5" w:rsidRPr="006303C5" w:rsidRDefault="006303C5" w:rsidP="006303C5">
            <w:pPr>
              <w:jc w:val="center"/>
              <w:rPr>
                <w:rFonts w:ascii="Times New Roman" w:hAnsi="Times New Roman" w:cs="Times New Roman"/>
                <w:b/>
                <w:bCs/>
                <w:sz w:val="20"/>
                <w:szCs w:val="20"/>
              </w:rPr>
            </w:pPr>
            <w:r w:rsidRPr="006303C5">
              <w:rPr>
                <w:rFonts w:ascii="Times New Roman" w:hAnsi="Times New Roman" w:cs="Times New Roman"/>
                <w:b/>
                <w:sz w:val="20"/>
                <w:szCs w:val="20"/>
              </w:rPr>
              <w:t>ОСНОВНО ПОДПОМАГАНЕ НА ДОХОДИТЕ ЗА УСТОЙЧИВОСТ</w:t>
            </w:r>
          </w:p>
        </w:tc>
      </w:tr>
      <w:tr w:rsidR="00781456" w:rsidRPr="002954C9" w:rsidTr="00EA73B5">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1</w:t>
            </w:r>
          </w:p>
        </w:tc>
        <w:tc>
          <w:tcPr>
            <w:tcW w:w="1714" w:type="dxa"/>
            <w:shd w:val="clear" w:color="auto" w:fill="FFFFFF" w:themeFill="background1"/>
            <w:vAlign w:val="center"/>
          </w:tcPr>
          <w:p w:rsidR="00781456" w:rsidRPr="00A277B3" w:rsidRDefault="00781456" w:rsidP="001E7468">
            <w:pPr>
              <w:jc w:val="center"/>
              <w:rPr>
                <w:rFonts w:ascii="Times New Roman" w:hAnsi="Times New Roman" w:cs="Times New Roman"/>
                <w:b/>
                <w:sz w:val="20"/>
                <w:szCs w:val="20"/>
                <w:lang w:val="en-US"/>
              </w:rPr>
            </w:pPr>
            <w:r w:rsidRPr="00A277B3">
              <w:rPr>
                <w:rFonts w:ascii="Times New Roman" w:hAnsi="Times New Roman" w:cs="Times New Roman"/>
                <w:b/>
                <w:sz w:val="20"/>
                <w:szCs w:val="20"/>
              </w:rPr>
              <w:t>Н</w:t>
            </w:r>
            <w:r w:rsidRPr="00A277B3">
              <w:rPr>
                <w:rFonts w:ascii="Times New Roman" w:hAnsi="Times New Roman" w:cs="Times New Roman"/>
                <w:b/>
                <w:sz w:val="20"/>
                <w:szCs w:val="20"/>
                <w:lang w:val="en-US"/>
              </w:rPr>
              <w:t>ационална асоциация на зърнопроизводителите</w:t>
            </w:r>
          </w:p>
        </w:tc>
        <w:tc>
          <w:tcPr>
            <w:tcW w:w="12190" w:type="dxa"/>
            <w:shd w:val="clear" w:color="auto" w:fill="FFFFFF" w:themeFill="background1"/>
            <w:vAlign w:val="center"/>
          </w:tcPr>
          <w:p w:rsidR="00781456" w:rsidRPr="00E7517B" w:rsidRDefault="00781456" w:rsidP="00844392">
            <w:pPr>
              <w:pStyle w:val="BodyText"/>
              <w:jc w:val="both"/>
              <w:rPr>
                <w:rFonts w:eastAsia="Calibri"/>
                <w:lang w:eastAsia="bg-BG"/>
              </w:rPr>
            </w:pPr>
            <w:r w:rsidRPr="00E7517B">
              <w:rPr>
                <w:rFonts w:eastAsia="Calibri"/>
                <w:lang w:eastAsia="bg-BG"/>
              </w:rPr>
              <w:t>Като допустими бенефициенти по интервенцията са заложени земеделски стопанин, които отговарят на изискванията за „истински земеделски стопани“. Никъде в интервенцията, обаче, не се посочват тези изисквания, което прави програмирането твърде усложнено;</w:t>
            </w:r>
          </w:p>
          <w:p w:rsidR="00781456" w:rsidRPr="00E7517B" w:rsidRDefault="00781456" w:rsidP="00844392">
            <w:pPr>
              <w:pStyle w:val="BodyText"/>
              <w:jc w:val="both"/>
              <w:rPr>
                <w:rFonts w:eastAsia="Calibri"/>
                <w:lang w:eastAsia="bg-BG"/>
              </w:rPr>
            </w:pPr>
            <w:r w:rsidRPr="00E7517B">
              <w:rPr>
                <w:rFonts w:eastAsia="Calibri"/>
                <w:lang w:eastAsia="bg-BG"/>
              </w:rPr>
              <w:t xml:space="preserve">Въпреки липсата на окончателни параметри на бюджетите по директните плащания на този етап от преговорния процес, НАЗ счита, че е редно МЗХГ да предложи екстраполации и разиграване на възможните варианти на подпомагане по интервенцията при залагане на различни финансови параметри и условия. Това ще позволи на членовете в Тематичната работна група да работят при по-голяма яснота, прогнозируемост и разчетност по отношение на базовите ставки по основното подпомагане на доходите за устойчивост; </w:t>
            </w:r>
          </w:p>
          <w:p w:rsidR="00781456" w:rsidRPr="00E7517B" w:rsidRDefault="00781456" w:rsidP="00844392">
            <w:pPr>
              <w:pStyle w:val="BodyText"/>
              <w:jc w:val="both"/>
              <w:rPr>
                <w:rFonts w:eastAsia="Calibri"/>
                <w:lang w:eastAsia="bg-BG"/>
              </w:rPr>
            </w:pPr>
            <w:r w:rsidRPr="00E7517B">
              <w:rPr>
                <w:rFonts w:eastAsia="Calibri"/>
                <w:lang w:eastAsia="bg-BG"/>
              </w:rPr>
              <w:t>Не става ясен текстът разписан във „Връзка с условността</w:t>
            </w:r>
            <w:proofErr w:type="gramStart"/>
            <w:r w:rsidRPr="00E7517B">
              <w:rPr>
                <w:rFonts w:eastAsia="Calibri"/>
                <w:lang w:eastAsia="bg-BG"/>
              </w:rPr>
              <w:t>“ по</w:t>
            </w:r>
            <w:proofErr w:type="gramEnd"/>
            <w:r w:rsidRPr="00E7517B">
              <w:rPr>
                <w:rFonts w:eastAsia="Calibri"/>
                <w:lang w:eastAsia="bg-BG"/>
              </w:rPr>
              <w:t xml:space="preserve"> тази интервенция. В допълнение, има ли разлика между изискванията за предварителна условност по тази интервенция и изискванията за условност по интервенцията</w:t>
            </w:r>
            <w:r w:rsidRPr="00E7517B">
              <w:rPr>
                <w:rFonts w:eastAsia="Calibri"/>
                <w:b/>
                <w:bCs/>
                <w:lang w:eastAsia="bg-BG"/>
              </w:rPr>
              <w:t xml:space="preserve"> </w:t>
            </w:r>
            <w:r w:rsidRPr="00E7517B">
              <w:rPr>
                <w:rFonts w:eastAsia="Calibri"/>
                <w:lang w:eastAsia="bg-BG"/>
              </w:rPr>
              <w:t>за „</w:t>
            </w:r>
            <w:r w:rsidRPr="00E7517B">
              <w:rPr>
                <w:rFonts w:eastAsia="Calibri"/>
                <w:noProof/>
                <w:lang w:eastAsia="bg-BG"/>
              </w:rPr>
              <w:t>Допълнително преразпределително подпомагане на доходите за устойчивост“.</w:t>
            </w:r>
            <w:r w:rsidRPr="00E7517B">
              <w:rPr>
                <w:rFonts w:eastAsia="Calibri"/>
                <w:lang w:eastAsia="bg-BG"/>
              </w:rPr>
              <w:t xml:space="preserve">  </w:t>
            </w:r>
          </w:p>
          <w:p w:rsidR="00781456" w:rsidRPr="31439A07" w:rsidRDefault="00781456" w:rsidP="001E7468">
            <w:pPr>
              <w:jc w:val="center"/>
              <w:rPr>
                <w:rFonts w:ascii="Times New Roman" w:hAnsi="Times New Roman" w:cs="Times New Roman"/>
                <w:b/>
                <w:bCs/>
                <w:sz w:val="18"/>
                <w:szCs w:val="18"/>
              </w:rPr>
            </w:pPr>
          </w:p>
        </w:tc>
      </w:tr>
      <w:tr w:rsidR="006303C5" w:rsidRPr="002954C9" w:rsidTr="006303C5">
        <w:tc>
          <w:tcPr>
            <w:tcW w:w="14353" w:type="dxa"/>
            <w:gridSpan w:val="3"/>
            <w:shd w:val="clear" w:color="auto" w:fill="C6D9F1" w:themeFill="text2" w:themeFillTint="33"/>
            <w:vAlign w:val="center"/>
          </w:tcPr>
          <w:p w:rsidR="006303C5" w:rsidRPr="006303C5" w:rsidRDefault="006303C5" w:rsidP="001E7468">
            <w:pPr>
              <w:jc w:val="center"/>
              <w:rPr>
                <w:rFonts w:ascii="Times New Roman" w:hAnsi="Times New Roman" w:cs="Times New Roman"/>
                <w:b/>
                <w:bCs/>
                <w:sz w:val="18"/>
                <w:szCs w:val="18"/>
              </w:rPr>
            </w:pPr>
            <w:r w:rsidRPr="006303C5">
              <w:rPr>
                <w:rFonts w:ascii="Times New Roman" w:hAnsi="Times New Roman" w:cs="Times New Roman"/>
                <w:b/>
                <w:sz w:val="20"/>
                <w:szCs w:val="20"/>
              </w:rPr>
              <w:t>ДОПЪЛНИТЕЛНО ПРЕРАЗПРЕДЕЛИТЕЛНО ПОДПОМАГАНЕ НА ДОХОДИТЕ ЗА УСТОЙЧИВОСТ</w:t>
            </w:r>
          </w:p>
        </w:tc>
      </w:tr>
      <w:tr w:rsidR="00781456" w:rsidRPr="002954C9" w:rsidTr="000735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2</w:t>
            </w:r>
          </w:p>
        </w:tc>
        <w:tc>
          <w:tcPr>
            <w:tcW w:w="1714" w:type="dxa"/>
            <w:shd w:val="clear" w:color="auto" w:fill="FFFFFF" w:themeFill="background1"/>
            <w:vAlign w:val="center"/>
          </w:tcPr>
          <w:p w:rsidR="00781456" w:rsidRPr="00260713" w:rsidRDefault="00781456" w:rsidP="001E7468">
            <w:pPr>
              <w:jc w:val="center"/>
              <w:rPr>
                <w:rFonts w:ascii="Times New Roman" w:hAnsi="Times New Roman" w:cs="Times New Roman"/>
                <w:b/>
                <w:sz w:val="20"/>
                <w:szCs w:val="20"/>
              </w:rPr>
            </w:pPr>
            <w:r w:rsidRPr="00A277B3">
              <w:rPr>
                <w:rFonts w:ascii="Times New Roman" w:hAnsi="Times New Roman" w:cs="Times New Roman"/>
                <w:b/>
                <w:sz w:val="20"/>
                <w:szCs w:val="20"/>
              </w:rPr>
              <w:t>Национална асоциация на зърнопроизводителите</w:t>
            </w:r>
          </w:p>
        </w:tc>
        <w:tc>
          <w:tcPr>
            <w:tcW w:w="12190" w:type="dxa"/>
            <w:shd w:val="clear" w:color="auto" w:fill="FFFFFF" w:themeFill="background1"/>
            <w:vAlign w:val="center"/>
          </w:tcPr>
          <w:p w:rsidR="00781456" w:rsidRPr="00260713" w:rsidRDefault="00781456" w:rsidP="00844392">
            <w:pPr>
              <w:pStyle w:val="BodyText"/>
              <w:jc w:val="both"/>
              <w:rPr>
                <w:rFonts w:eastAsia="Calibri"/>
                <w:lang w:eastAsia="bg-BG"/>
              </w:rPr>
            </w:pPr>
            <w:r w:rsidRPr="00260713">
              <w:rPr>
                <w:rFonts w:eastAsia="Calibri"/>
                <w:noProof/>
                <w:lang w:eastAsia="bg-BG"/>
              </w:rPr>
              <w:t xml:space="preserve">НАЗ счита, че предложението за въвеждане на изискване по интервенцията за максимален размер на земеделските стопанства до 500 ха. е дискриминационно, недостатъчно аргументирано и икономически необосновано. Ако се опрем на опита </w:t>
            </w:r>
            <w:r w:rsidRPr="00260713">
              <w:rPr>
                <w:rFonts w:eastAsia="Calibri"/>
                <w:bCs/>
                <w:iCs/>
                <w:lang w:eastAsia="bg-BG"/>
              </w:rPr>
              <w:t xml:space="preserve">от прилагането на Схемата за преразпределително плащане през периода 2014-2020 г., ще установим, че именно по тази схема бяха извършени най-много злоупотреби, бяха установени най-много изкуствено създадени условия и разделяне на стопанства с цел облагодетелстване в по-голям размер по схемата. Именно при по-малките и </w:t>
            </w:r>
            <w:r w:rsidRPr="00260713">
              <w:rPr>
                <w:rFonts w:eastAsia="Calibri"/>
                <w:bCs/>
                <w:iCs/>
                <w:lang w:eastAsia="bg-BG"/>
              </w:rPr>
              <w:lastRenderedPageBreak/>
              <w:t xml:space="preserve">средните стопанства се наблюдава по-голям икономически ефект от разделяне на стопанството на няколко по-малки стопанства. Този факт в никой случай не </w:t>
            </w:r>
            <w:r w:rsidRPr="00260713">
              <w:rPr>
                <w:rFonts w:eastAsia="Calibri"/>
                <w:lang w:eastAsia="bg-BG"/>
              </w:rPr>
              <w:t>допринася за балансирано разпределение</w:t>
            </w:r>
            <w:r w:rsidRPr="00260713">
              <w:rPr>
                <w:rFonts w:eastAsia="Calibri"/>
                <w:bCs/>
                <w:iCs/>
                <w:lang w:eastAsia="bg-BG"/>
              </w:rPr>
              <w:t xml:space="preserve"> на подпомагането на хектар и не </w:t>
            </w:r>
            <w:r w:rsidRPr="00260713">
              <w:rPr>
                <w:rFonts w:eastAsia="Calibri"/>
                <w:lang w:eastAsia="bg-BG"/>
              </w:rPr>
              <w:t>постига по-висок преразпределителен ефект на подпомагането</w:t>
            </w:r>
            <w:r w:rsidRPr="00260713">
              <w:rPr>
                <w:rFonts w:eastAsia="Calibri"/>
                <w:bCs/>
                <w:iCs/>
                <w:lang w:eastAsia="bg-BG"/>
              </w:rPr>
              <w:t>. В допълнение, както е разписано и в самата интервенция малките и средни по размер стопанства са най-голямата група стопанства в страната, тоест дори и да се ограничи достъпа до интервенцията на стопанствата над 500ха., средствата за малките и средните стопанства няма да нараснат до толкова, че да се постигне по-висока финансова устойчивост.</w:t>
            </w:r>
            <w:r w:rsidRPr="00260713">
              <w:rPr>
                <w:rFonts w:eastAsia="Calibri"/>
                <w:lang w:eastAsia="bg-BG"/>
              </w:rPr>
              <w:t xml:space="preserve"> В тази връзка, </w:t>
            </w:r>
            <w:r w:rsidRPr="00260713">
              <w:rPr>
                <w:rFonts w:eastAsia="Calibri"/>
                <w:noProof/>
                <w:lang w:eastAsia="bg-BG"/>
              </w:rPr>
              <w:t xml:space="preserve">НАЗ категорично се противопоставя на предложението за ограничаване на обхвата на </w:t>
            </w:r>
            <w:r w:rsidRPr="00260713">
              <w:rPr>
                <w:rFonts w:eastAsia="Calibri"/>
                <w:lang w:eastAsia="bg-BG"/>
              </w:rPr>
              <w:t>интервенцията за „</w:t>
            </w:r>
            <w:r w:rsidRPr="00260713">
              <w:rPr>
                <w:rFonts w:eastAsia="Calibri"/>
                <w:noProof/>
                <w:lang w:eastAsia="bg-BG"/>
              </w:rPr>
              <w:t>Допълнително преразпределително подпомагане на доходите за устойчивост“.</w:t>
            </w:r>
          </w:p>
          <w:p w:rsidR="00781456" w:rsidRPr="31439A07" w:rsidRDefault="00781456" w:rsidP="001E7468">
            <w:pPr>
              <w:jc w:val="center"/>
              <w:rPr>
                <w:rFonts w:ascii="Times New Roman" w:hAnsi="Times New Roman" w:cs="Times New Roman"/>
                <w:b/>
                <w:bCs/>
                <w:sz w:val="18"/>
                <w:szCs w:val="18"/>
              </w:rPr>
            </w:pPr>
          </w:p>
        </w:tc>
      </w:tr>
      <w:tr w:rsidR="006303C5" w:rsidRPr="002954C9" w:rsidTr="006303C5">
        <w:tc>
          <w:tcPr>
            <w:tcW w:w="14353" w:type="dxa"/>
            <w:gridSpan w:val="3"/>
            <w:shd w:val="clear" w:color="auto" w:fill="C6D9F1" w:themeFill="text2" w:themeFillTint="33"/>
            <w:vAlign w:val="center"/>
          </w:tcPr>
          <w:p w:rsidR="006303C5" w:rsidRPr="006303C5" w:rsidRDefault="006303C5" w:rsidP="001E7468">
            <w:pPr>
              <w:jc w:val="center"/>
              <w:rPr>
                <w:rFonts w:ascii="Times New Roman" w:hAnsi="Times New Roman" w:cs="Times New Roman"/>
                <w:b/>
                <w:bCs/>
                <w:sz w:val="18"/>
                <w:szCs w:val="18"/>
              </w:rPr>
            </w:pPr>
            <w:r w:rsidRPr="006303C5">
              <w:rPr>
                <w:rFonts w:ascii="Times New Roman" w:hAnsi="Times New Roman" w:cs="Times New Roman"/>
                <w:b/>
                <w:sz w:val="20"/>
                <w:szCs w:val="20"/>
              </w:rPr>
              <w:lastRenderedPageBreak/>
              <w:t>ДОПЪЛНИТЕЛНО ПОДПОМАГАНЕ НА ДОХОДИТЕ НА МЛАДИ ЗЕМЕДЕЛСКИ СТОПАНИ</w:t>
            </w:r>
          </w:p>
        </w:tc>
      </w:tr>
      <w:tr w:rsidR="00781456" w:rsidRPr="002954C9" w:rsidTr="003215B8">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3</w:t>
            </w:r>
          </w:p>
        </w:tc>
        <w:tc>
          <w:tcPr>
            <w:tcW w:w="1714" w:type="dxa"/>
            <w:shd w:val="clear" w:color="auto" w:fill="FFFFFF" w:themeFill="background1"/>
            <w:vAlign w:val="center"/>
          </w:tcPr>
          <w:p w:rsidR="00781456" w:rsidRPr="00260713" w:rsidRDefault="00781456" w:rsidP="001E7468">
            <w:pPr>
              <w:jc w:val="center"/>
              <w:rPr>
                <w:rFonts w:ascii="Times New Roman" w:hAnsi="Times New Roman" w:cs="Times New Roman"/>
                <w:b/>
                <w:sz w:val="20"/>
                <w:szCs w:val="20"/>
              </w:rPr>
            </w:pPr>
            <w:r w:rsidRPr="00A277B3">
              <w:rPr>
                <w:rFonts w:ascii="Times New Roman" w:hAnsi="Times New Roman" w:cs="Times New Roman"/>
                <w:b/>
                <w:sz w:val="20"/>
                <w:szCs w:val="20"/>
              </w:rPr>
              <w:t>Национална асоциация на зърнопроизводителите</w:t>
            </w:r>
          </w:p>
        </w:tc>
        <w:tc>
          <w:tcPr>
            <w:tcW w:w="12190" w:type="dxa"/>
            <w:shd w:val="clear" w:color="auto" w:fill="FFFFFF" w:themeFill="background1"/>
            <w:vAlign w:val="center"/>
          </w:tcPr>
          <w:p w:rsidR="00781456" w:rsidRPr="00260713" w:rsidRDefault="00781456" w:rsidP="00844392">
            <w:pPr>
              <w:pStyle w:val="BodyText"/>
              <w:jc w:val="both"/>
              <w:rPr>
                <w:rFonts w:eastAsia="Calibri"/>
                <w:b/>
                <w:bCs/>
                <w:lang w:eastAsia="bg-BG"/>
              </w:rPr>
            </w:pPr>
            <w:r w:rsidRPr="00260713">
              <w:rPr>
                <w:rFonts w:eastAsia="Calibri"/>
                <w:lang w:eastAsia="bg-BG"/>
              </w:rPr>
              <w:t xml:space="preserve">Да се изясни какъв е механизмът за прилагане на ежегодно нарастваща ставка по интервенцията, спомената в графата за „Размер на подпомагането, метод на изчисление, обосновка защо този размер на подпомагане допринася за постигане на целевите стойности“. </w:t>
            </w:r>
          </w:p>
          <w:p w:rsidR="00781456" w:rsidRPr="31439A07" w:rsidRDefault="00781456" w:rsidP="001E7468">
            <w:pPr>
              <w:jc w:val="center"/>
              <w:rPr>
                <w:rFonts w:ascii="Times New Roman" w:hAnsi="Times New Roman" w:cs="Times New Roman"/>
                <w:b/>
                <w:bCs/>
                <w:sz w:val="18"/>
                <w:szCs w:val="18"/>
              </w:rPr>
            </w:pPr>
          </w:p>
        </w:tc>
      </w:tr>
      <w:tr w:rsidR="006303C5" w:rsidRPr="002954C9" w:rsidTr="006303C5">
        <w:tc>
          <w:tcPr>
            <w:tcW w:w="14353" w:type="dxa"/>
            <w:gridSpan w:val="3"/>
            <w:shd w:val="clear" w:color="auto" w:fill="C6D9F1" w:themeFill="text2" w:themeFillTint="33"/>
            <w:vAlign w:val="center"/>
          </w:tcPr>
          <w:p w:rsidR="006303C5" w:rsidRPr="006303C5" w:rsidRDefault="006303C5" w:rsidP="001E7468">
            <w:pPr>
              <w:jc w:val="center"/>
              <w:rPr>
                <w:rFonts w:ascii="Times New Roman" w:hAnsi="Times New Roman" w:cs="Times New Roman"/>
                <w:b/>
                <w:bCs/>
                <w:sz w:val="18"/>
                <w:szCs w:val="18"/>
              </w:rPr>
            </w:pPr>
            <w:r w:rsidRPr="006303C5">
              <w:rPr>
                <w:rFonts w:ascii="Times New Roman" w:hAnsi="Times New Roman" w:cs="Times New Roman"/>
                <w:b/>
                <w:sz w:val="20"/>
                <w:szCs w:val="20"/>
              </w:rPr>
              <w:t>КОНСУЛТАНТСКИ УСЛУГИ</w:t>
            </w:r>
          </w:p>
        </w:tc>
      </w:tr>
      <w:tr w:rsidR="00781456" w:rsidRPr="002954C9" w:rsidTr="00A070FE">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4</w:t>
            </w:r>
          </w:p>
        </w:tc>
        <w:tc>
          <w:tcPr>
            <w:tcW w:w="1714" w:type="dxa"/>
            <w:shd w:val="clear" w:color="auto" w:fill="FFFFFF" w:themeFill="background1"/>
            <w:vAlign w:val="center"/>
          </w:tcPr>
          <w:p w:rsidR="00781456" w:rsidRPr="006303C5" w:rsidRDefault="00781456" w:rsidP="001E7468">
            <w:pPr>
              <w:jc w:val="center"/>
              <w:rPr>
                <w:rFonts w:ascii="Times New Roman" w:hAnsi="Times New Roman" w:cs="Times New Roman"/>
                <w:b/>
                <w:sz w:val="20"/>
                <w:szCs w:val="20"/>
              </w:rPr>
            </w:pPr>
            <w:r w:rsidRPr="006303C5">
              <w:rPr>
                <w:rFonts w:ascii="Times New Roman" w:hAnsi="Times New Roman" w:cs="Times New Roman"/>
                <w:b/>
                <w:sz w:val="20"/>
                <w:szCs w:val="20"/>
              </w:rPr>
              <w:t xml:space="preserve">Технически инспекторат, ДФЗ </w:t>
            </w:r>
          </w:p>
        </w:tc>
        <w:tc>
          <w:tcPr>
            <w:tcW w:w="12190" w:type="dxa"/>
            <w:shd w:val="clear" w:color="auto" w:fill="FFFFFF" w:themeFill="background1"/>
            <w:vAlign w:val="center"/>
          </w:tcPr>
          <w:p w:rsidR="00781456" w:rsidRDefault="00781456" w:rsidP="00844392">
            <w:pPr>
              <w:pStyle w:val="BodyText"/>
              <w:jc w:val="both"/>
            </w:pPr>
            <w:r>
              <w:t>В дизайна на интервенцията е посочено - Необходимо е също така да бъде осигурена възможност за предоставяне на консултантски услуги за малки и млади земеделски стопани, свързани с използването на дигитални инструменти; управлението на риска в стопанствата и Европейското партньорство за иновации за селскостопанска производителност и устойчивост).</w:t>
            </w:r>
          </w:p>
          <w:p w:rsidR="00781456" w:rsidRPr="006303C5" w:rsidRDefault="00781456" w:rsidP="00844392">
            <w:pPr>
              <w:pStyle w:val="BodyText"/>
              <w:jc w:val="both"/>
            </w:pPr>
            <w:r w:rsidRPr="006303C5">
              <w:t xml:space="preserve">Това е изключително важно перо и предлагам да стане и пакет услуга и то не само за малки и млади земеделски стопани, а насочени и към по-възрастната група. </w:t>
            </w:r>
          </w:p>
          <w:p w:rsidR="00781456" w:rsidRPr="006303C5" w:rsidRDefault="00781456" w:rsidP="00844392">
            <w:pPr>
              <w:pStyle w:val="BodyText"/>
              <w:jc w:val="both"/>
            </w:pPr>
            <w:r w:rsidRPr="006303C5">
              <w:t xml:space="preserve">Следва да се има предвид, че комуникацията за новия програмен между РА и бенефициерите ще изисква активно </w:t>
            </w:r>
            <w:r w:rsidRPr="00260713">
              <w:t>участие</w:t>
            </w:r>
            <w:r w:rsidRPr="006303C5">
              <w:t xml:space="preserve"> на бенефициерите в процеса, чрез изпращане на геотагнати изображения изпратени от бенефициера, чрез приложение разработено от РА и предоставено за свободно използване. </w:t>
            </w:r>
          </w:p>
          <w:p w:rsidR="00781456" w:rsidRPr="006303C5" w:rsidRDefault="00781456" w:rsidP="00844392">
            <w:pPr>
              <w:pStyle w:val="BodyText"/>
              <w:jc w:val="both"/>
            </w:pPr>
            <w:r w:rsidRPr="006303C5">
              <w:t>Ще е необходима консултация на част от бенефициерите как да бъде използвано то, както може би и помощ на място за правилното заснемане (което ще има изисквания за посока на заснемане, чистота на заснетото, липса на осветеност и т.н, повече инфо за изискванията към снимките може да видите в Ръководството на ЕК за използване на геотагнати изображения, като доказателства съобразно предоставената от Регламента възможност)</w:t>
            </w:r>
          </w:p>
          <w:p w:rsidR="00781456" w:rsidRPr="006303C5" w:rsidRDefault="00781456" w:rsidP="00844392">
            <w:pPr>
              <w:pStyle w:val="BodyText"/>
              <w:jc w:val="both"/>
            </w:pPr>
            <w:r w:rsidRPr="006303C5">
              <w:t xml:space="preserve">Също така, РА ще изпраща ел. </w:t>
            </w:r>
            <w:proofErr w:type="gramStart"/>
            <w:r w:rsidRPr="006303C5">
              <w:t>съобщения</w:t>
            </w:r>
            <w:proofErr w:type="gramEnd"/>
            <w:r w:rsidRPr="006303C5">
              <w:t xml:space="preserve"> в СЕУ или друг ел. </w:t>
            </w:r>
            <w:proofErr w:type="gramStart"/>
            <w:r w:rsidRPr="006303C5">
              <w:t>начин</w:t>
            </w:r>
            <w:proofErr w:type="gramEnd"/>
            <w:r w:rsidRPr="006303C5">
              <w:t xml:space="preserve"> за открити несъответствия или съмнения, които стопанина следва да знае как да провери и съответно да изрази несъгласие и/или да предостви информация за реалното състояние на даден парцел.</w:t>
            </w:r>
          </w:p>
          <w:p w:rsidR="00781456" w:rsidRPr="31439A07" w:rsidRDefault="00781456" w:rsidP="001E7468">
            <w:pPr>
              <w:jc w:val="center"/>
              <w:rPr>
                <w:rFonts w:ascii="Times New Roman" w:hAnsi="Times New Roman" w:cs="Times New Roman"/>
                <w:b/>
                <w:bCs/>
                <w:sz w:val="18"/>
                <w:szCs w:val="18"/>
              </w:rPr>
            </w:pPr>
          </w:p>
        </w:tc>
      </w:tr>
      <w:tr w:rsidR="00781456" w:rsidRPr="002954C9" w:rsidTr="00402BFC">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5</w:t>
            </w:r>
          </w:p>
        </w:tc>
        <w:tc>
          <w:tcPr>
            <w:tcW w:w="1714" w:type="dxa"/>
            <w:shd w:val="clear" w:color="auto" w:fill="FFFFFF" w:themeFill="background1"/>
            <w:vAlign w:val="center"/>
          </w:tcPr>
          <w:p w:rsidR="00781456" w:rsidRPr="006303C5" w:rsidRDefault="00781456" w:rsidP="001E7468">
            <w:pPr>
              <w:jc w:val="center"/>
              <w:rPr>
                <w:rFonts w:ascii="Times New Roman" w:hAnsi="Times New Roman" w:cs="Times New Roman"/>
                <w:b/>
                <w:sz w:val="20"/>
                <w:szCs w:val="20"/>
              </w:rPr>
            </w:pPr>
            <w:r w:rsidRPr="00A277B3">
              <w:rPr>
                <w:rFonts w:ascii="Times New Roman" w:hAnsi="Times New Roman" w:cs="Times New Roman"/>
                <w:b/>
                <w:sz w:val="20"/>
                <w:szCs w:val="20"/>
              </w:rPr>
              <w:t>Национална асоциация на зърнопроизводителите</w:t>
            </w:r>
          </w:p>
        </w:tc>
        <w:tc>
          <w:tcPr>
            <w:tcW w:w="12190" w:type="dxa"/>
            <w:shd w:val="clear" w:color="auto" w:fill="FFFFFF" w:themeFill="background1"/>
            <w:vAlign w:val="center"/>
          </w:tcPr>
          <w:p w:rsidR="00781456" w:rsidRPr="00260713" w:rsidRDefault="00781456" w:rsidP="00844392">
            <w:pPr>
              <w:pStyle w:val="BodyText"/>
              <w:jc w:val="both"/>
              <w:rPr>
                <w:rFonts w:eastAsia="Calibri"/>
                <w:lang w:eastAsia="bg-BG"/>
              </w:rPr>
            </w:pPr>
            <w:r w:rsidRPr="00260713">
              <w:rPr>
                <w:rFonts w:eastAsia="Calibri"/>
                <w:lang w:eastAsia="bg-BG"/>
              </w:rPr>
              <w:t xml:space="preserve">В текста на интервенцията е подчертана потребността от „разширяване достъпа до знания чрез използването на повече образователни източници за придобиване на необходимите знания и практически опит, в това число необходимостта от разширяване на консултантския капацитет и възможността за предоставянето на допълнителни консултантски услуги“. В допълнение, в обосновката на интервенцията се установява сериозен недостиг на кадри за обучения и консултации и е </w:t>
            </w:r>
            <w:r w:rsidRPr="00260713">
              <w:rPr>
                <w:rFonts w:eastAsia="Calibri"/>
                <w:lang w:eastAsia="bg-BG"/>
              </w:rPr>
              <w:lastRenderedPageBreak/>
              <w:t>подчертано, че Националната служба за съвети в земеделието може само частично да помогне за посрещане на потребностите от висококвалифицирани мениджърски кадри. В тази връзка, следва да се включат и други допустими бенефициенти по интервенцията с цел предоставяне на актуални и навременни консултантски услуги. По аналог на интервенцията</w:t>
            </w:r>
            <w:r w:rsidRPr="00260713">
              <w:rPr>
                <w:rFonts w:eastAsia="Calibri"/>
                <w:b/>
                <w:bCs/>
                <w:lang w:eastAsia="bg-BG"/>
              </w:rPr>
              <w:t xml:space="preserve"> </w:t>
            </w:r>
            <w:r w:rsidRPr="00260713">
              <w:rPr>
                <w:rFonts w:eastAsia="Calibri"/>
                <w:lang w:eastAsia="bg-BG"/>
              </w:rPr>
              <w:t>за „Професионално обучение и придобиване на умения“ и като естествена и логична взаимовръзка между двете интервенции, НАЗ предлага допустими бенефициенти по интервенцията за  „</w:t>
            </w:r>
            <w:r w:rsidRPr="00260713">
              <w:rPr>
                <w:rFonts w:eastAsia="Calibri"/>
                <w:bCs/>
                <w:lang w:eastAsia="bg-BG"/>
              </w:rPr>
              <w:t xml:space="preserve">Консултантски услуги и повишаване на консултантския капацитет“ </w:t>
            </w:r>
            <w:r w:rsidRPr="00260713">
              <w:rPr>
                <w:rFonts w:eastAsia="Calibri"/>
                <w:lang w:eastAsia="bg-BG"/>
              </w:rPr>
              <w:t>да бъдат и юридически лица с нестопанска цел с предмет на дейност в областта на селското стопанство;</w:t>
            </w:r>
          </w:p>
          <w:p w:rsidR="00781456" w:rsidRPr="00260713" w:rsidRDefault="00781456" w:rsidP="00844392">
            <w:pPr>
              <w:pStyle w:val="BodyText"/>
              <w:jc w:val="both"/>
              <w:rPr>
                <w:rFonts w:eastAsia="Calibri"/>
                <w:lang w:eastAsia="bg-BG"/>
              </w:rPr>
            </w:pPr>
            <w:r w:rsidRPr="00260713">
              <w:rPr>
                <w:rFonts w:eastAsia="Calibri"/>
                <w:lang w:eastAsia="bg-BG"/>
              </w:rPr>
              <w:t>Не става ясно по какъв начин интервенцията ще насърчи участието на земеделските стопани, техните организации и НССЗ в Системата за знания и иновации в селското стопанство (СЗИСС);</w:t>
            </w:r>
          </w:p>
          <w:p w:rsidR="00781456" w:rsidRPr="00260713" w:rsidRDefault="00781456" w:rsidP="00844392">
            <w:pPr>
              <w:pStyle w:val="BodyText"/>
              <w:jc w:val="both"/>
              <w:rPr>
                <w:rFonts w:eastAsia="Calibri"/>
                <w:lang w:eastAsia="bg-BG"/>
              </w:rPr>
            </w:pPr>
            <w:r w:rsidRPr="00260713">
              <w:rPr>
                <w:rFonts w:eastAsia="Calibri"/>
                <w:lang w:eastAsia="bg-BG"/>
              </w:rPr>
              <w:t>Всички земеделски производители, независимо от размера на стопанството и земеделския бранш, имат нужда от съветнически и консултантски услуги в изключително голяма степен що се отнася до: повишаването на знанията за смекчаване на последиците от изменението на климата и за адаптация към него, както и за устойчивата енергия; повишаването на знанията за устойчиво управление на природните ресурси (води, почви, въздух) и добри практики в земеделието по отношение на природните ресурси;  опазването на околната среда и биологичното разнообразие; екологосъобразните практики – консервационно, интегрирано и биологично земеделие; използването на дигитални инструменти; управлението на риска в стопанствата; Европейското партньорство за иновации за селскостопанска производителност и устойчивост. Колкото повече земеделски стопани бъдат консултирани и посъветвани по гореспоменатите теми (съответно обхванати по-големи мащаби от земеделските площи), свързани със зеления преход и дигитализацията, толкова повече се увеличават възможностите и шансовете на страната ни за достигане на високите цели, заложени в „Зелената сделка“, както и в стратегиите от „Фермата до трапезата“ и „Стратегията за биоразнообразието“. В тази връзка, НАЗ предлага консултантските пакети № 4, 5, 6, 7, 8, 9 и 10 да се предоставят на всички заинтересовани земеделски стопани, без отношение към размера на стопанството.</w:t>
            </w:r>
          </w:p>
          <w:p w:rsidR="00781456" w:rsidRPr="31439A07" w:rsidRDefault="00781456" w:rsidP="001E7468">
            <w:pPr>
              <w:jc w:val="center"/>
              <w:rPr>
                <w:rFonts w:ascii="Times New Roman" w:hAnsi="Times New Roman" w:cs="Times New Roman"/>
                <w:b/>
                <w:bCs/>
                <w:sz w:val="18"/>
                <w:szCs w:val="18"/>
              </w:rPr>
            </w:pPr>
          </w:p>
        </w:tc>
      </w:tr>
      <w:tr w:rsidR="00781456" w:rsidRPr="002954C9" w:rsidTr="00D756D1">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6</w:t>
            </w:r>
          </w:p>
        </w:tc>
        <w:tc>
          <w:tcPr>
            <w:tcW w:w="1714" w:type="dxa"/>
            <w:shd w:val="clear" w:color="auto" w:fill="FFFFFF" w:themeFill="background1"/>
            <w:vAlign w:val="center"/>
          </w:tcPr>
          <w:p w:rsidR="00781456" w:rsidRPr="00AA0A64" w:rsidRDefault="00781456" w:rsidP="001E7468">
            <w:pPr>
              <w:jc w:val="center"/>
              <w:rPr>
                <w:rFonts w:ascii="Times New Roman" w:hAnsi="Times New Roman" w:cs="Times New Roman"/>
                <w:b/>
                <w:sz w:val="20"/>
                <w:szCs w:val="20"/>
                <w:lang w:val="en-US"/>
              </w:rPr>
            </w:pPr>
            <w:r>
              <w:rPr>
                <w:rFonts w:ascii="Times New Roman" w:hAnsi="Times New Roman" w:cs="Times New Roman"/>
                <w:b/>
                <w:sz w:val="20"/>
                <w:szCs w:val="20"/>
              </w:rPr>
              <w:t>Съюз на дунавските овощари</w:t>
            </w:r>
            <w:r>
              <w:rPr>
                <w:rFonts w:ascii="Times New Roman" w:hAnsi="Times New Roman" w:cs="Times New Roman"/>
                <w:b/>
                <w:sz w:val="20"/>
                <w:szCs w:val="20"/>
                <w:lang w:val="en-US"/>
              </w:rPr>
              <w:t xml:space="preserve"> и Добруджански овощарски съюз</w:t>
            </w:r>
          </w:p>
        </w:tc>
        <w:tc>
          <w:tcPr>
            <w:tcW w:w="12190" w:type="dxa"/>
            <w:shd w:val="clear" w:color="auto" w:fill="FFFFFF" w:themeFill="background1"/>
            <w:vAlign w:val="center"/>
          </w:tcPr>
          <w:p w:rsidR="00781456" w:rsidRPr="006821FA" w:rsidRDefault="00781456" w:rsidP="00844392">
            <w:pPr>
              <w:pStyle w:val="BodyText"/>
              <w:jc w:val="both"/>
              <w:rPr>
                <w:rFonts w:eastAsia="Calibri"/>
              </w:rPr>
            </w:pPr>
            <w:r w:rsidRPr="006821FA">
              <w:rPr>
                <w:rFonts w:eastAsia="Calibri"/>
              </w:rPr>
              <w:t>В ситуацията на постоянно променящи се условия на производството, включително новите зелени изисквания, промяна на климата, конкурентната среда, смятаме че НССЗ няма да има нужния капацитет да покрие нуждите на бранша в предоставянето на консултантски услуги. Една от целите на Браншовите организации е да направи съответното производство по конткурентноспособно. Наши членове постоянно посещават изложения и следят инновациите в съответните производства, свързани с по ефективно производство, зелени практики и нови методи за отглеждане.</w:t>
            </w:r>
          </w:p>
          <w:p w:rsidR="00781456" w:rsidRPr="006821FA" w:rsidRDefault="00781456" w:rsidP="00844392">
            <w:pPr>
              <w:pStyle w:val="BodyText"/>
              <w:jc w:val="both"/>
              <w:rPr>
                <w:rFonts w:eastAsia="Calibri"/>
              </w:rPr>
            </w:pPr>
            <w:r w:rsidRPr="006821FA">
              <w:rPr>
                <w:rFonts w:eastAsia="Calibri"/>
              </w:rPr>
              <w:t>Предлагаме като допустими бенефициенти по мярката да се включат: юридически лица с нестопанска цел с предмет на дейност в областта на селското стопанство.</w:t>
            </w:r>
          </w:p>
          <w:p w:rsidR="00781456" w:rsidRPr="31439A07" w:rsidRDefault="00781456" w:rsidP="001E7468">
            <w:pPr>
              <w:jc w:val="center"/>
              <w:rPr>
                <w:rFonts w:ascii="Times New Roman" w:hAnsi="Times New Roman" w:cs="Times New Roman"/>
                <w:b/>
                <w:bCs/>
                <w:sz w:val="18"/>
                <w:szCs w:val="18"/>
              </w:rPr>
            </w:pPr>
          </w:p>
        </w:tc>
      </w:tr>
      <w:tr w:rsidR="006303C5" w:rsidRPr="002954C9" w:rsidTr="006303C5">
        <w:tc>
          <w:tcPr>
            <w:tcW w:w="14353" w:type="dxa"/>
            <w:gridSpan w:val="3"/>
            <w:shd w:val="clear" w:color="auto" w:fill="C6D9F1" w:themeFill="text2" w:themeFillTint="33"/>
            <w:vAlign w:val="center"/>
          </w:tcPr>
          <w:p w:rsidR="006303C5" w:rsidRPr="006303C5" w:rsidRDefault="006303C5" w:rsidP="001E7468">
            <w:pPr>
              <w:jc w:val="center"/>
              <w:rPr>
                <w:rFonts w:ascii="Times New Roman" w:hAnsi="Times New Roman" w:cs="Times New Roman"/>
                <w:b/>
                <w:bCs/>
                <w:sz w:val="20"/>
                <w:szCs w:val="20"/>
              </w:rPr>
            </w:pPr>
            <w:r w:rsidRPr="006303C5">
              <w:rPr>
                <w:rFonts w:ascii="Times New Roman" w:hAnsi="Times New Roman" w:cs="Times New Roman"/>
                <w:b/>
                <w:bCs/>
                <w:sz w:val="20"/>
                <w:szCs w:val="20"/>
              </w:rPr>
              <w:t>ОБМЕН НА ЗНАНИЯ И ИНФОРМАЦИЯ</w:t>
            </w: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7</w:t>
            </w:r>
          </w:p>
        </w:tc>
        <w:tc>
          <w:tcPr>
            <w:tcW w:w="1714" w:type="dxa"/>
            <w:shd w:val="clear" w:color="auto" w:fill="FFFFFF" w:themeFill="background1"/>
            <w:vAlign w:val="center"/>
          </w:tcPr>
          <w:p w:rsidR="00781456" w:rsidRPr="00A277B3" w:rsidRDefault="00781456" w:rsidP="001E7468">
            <w:pPr>
              <w:jc w:val="center"/>
              <w:rPr>
                <w:rFonts w:ascii="Times New Roman" w:hAnsi="Times New Roman" w:cs="Times New Roman"/>
                <w:b/>
                <w:sz w:val="20"/>
                <w:szCs w:val="20"/>
                <w:lang w:val="en-US"/>
              </w:rPr>
            </w:pPr>
            <w:r>
              <w:rPr>
                <w:rFonts w:ascii="Times New Roman" w:hAnsi="Times New Roman" w:cs="Times New Roman"/>
                <w:b/>
                <w:sz w:val="20"/>
                <w:szCs w:val="20"/>
              </w:rPr>
              <w:t>Н</w:t>
            </w:r>
            <w:r>
              <w:rPr>
                <w:rFonts w:ascii="Times New Roman" w:hAnsi="Times New Roman" w:cs="Times New Roman"/>
                <w:b/>
                <w:sz w:val="20"/>
                <w:szCs w:val="20"/>
                <w:lang w:val="en-US"/>
              </w:rPr>
              <w:t>ационална  служба за съвети в земеделието</w:t>
            </w:r>
          </w:p>
        </w:tc>
        <w:tc>
          <w:tcPr>
            <w:tcW w:w="12190" w:type="dxa"/>
            <w:shd w:val="clear" w:color="auto" w:fill="FFFFFF" w:themeFill="background1"/>
            <w:vAlign w:val="center"/>
          </w:tcPr>
          <w:p w:rsidR="00781456" w:rsidRDefault="00781456" w:rsidP="00844392">
            <w:pPr>
              <w:pStyle w:val="BodyText"/>
              <w:keepNext/>
              <w:spacing w:before="240" w:line="280" w:lineRule="atLeast"/>
              <w:jc w:val="both"/>
              <w:outlineLvl w:val="1"/>
              <w:rPr>
                <w:b/>
                <w:iCs/>
                <w:szCs w:val="24"/>
                <w:lang w:val="bg-BG"/>
              </w:rPr>
            </w:pPr>
            <w:bookmarkStart w:id="0" w:name="_Hlk57902800"/>
            <w:r>
              <w:rPr>
                <w:b/>
                <w:iCs/>
                <w:szCs w:val="24"/>
                <w:lang w:val="bg-BG"/>
              </w:rPr>
              <w:t>А. Като допустима организация за провеждане на демонстрационни дейности да бъде добавена и Национална служба за съвети в земеделието.</w:t>
            </w:r>
          </w:p>
          <w:tbl>
            <w:tblPr>
              <w:tblStyle w:val="TableGrid"/>
              <w:tblW w:w="8362" w:type="dxa"/>
              <w:jc w:val="center"/>
              <w:tblLayout w:type="fixed"/>
              <w:tblLook w:val="04A0" w:firstRow="1" w:lastRow="0" w:firstColumn="1" w:lastColumn="0" w:noHBand="0" w:noVBand="1"/>
            </w:tblPr>
            <w:tblGrid>
              <w:gridCol w:w="5030"/>
              <w:gridCol w:w="3332"/>
            </w:tblGrid>
            <w:tr w:rsidR="00781456" w:rsidTr="006303C5">
              <w:trPr>
                <w:jc w:val="center"/>
              </w:trPr>
              <w:tc>
                <w:tcPr>
                  <w:tcW w:w="5030" w:type="dxa"/>
                  <w:tcBorders>
                    <w:top w:val="single" w:sz="4" w:space="0" w:color="auto"/>
                    <w:left w:val="single" w:sz="4" w:space="0" w:color="auto"/>
                    <w:bottom w:val="single" w:sz="4" w:space="0" w:color="auto"/>
                    <w:right w:val="single" w:sz="4" w:space="0" w:color="auto"/>
                  </w:tcBorders>
                  <w:hideMark/>
                </w:tcPr>
                <w:bookmarkEnd w:id="0"/>
                <w:p w:rsidR="00781456" w:rsidRDefault="00781456" w:rsidP="006303C5">
                  <w:pPr>
                    <w:pStyle w:val="BodyText"/>
                    <w:spacing w:before="240" w:line="280" w:lineRule="atLeast"/>
                    <w:ind w:left="175"/>
                    <w:outlineLvl w:val="1"/>
                    <w:rPr>
                      <w:bCs/>
                      <w:iCs/>
                      <w:szCs w:val="24"/>
                    </w:rPr>
                  </w:pPr>
                  <w:r>
                    <w:rPr>
                      <w:bCs/>
                      <w:iCs/>
                      <w:szCs w:val="24"/>
                      <w:lang w:val="bg-BG"/>
                    </w:rPr>
                    <w:lastRenderedPageBreak/>
                    <w:t>Настоящ текст</w:t>
                  </w:r>
                </w:p>
              </w:tc>
              <w:tc>
                <w:tcPr>
                  <w:tcW w:w="3332" w:type="dxa"/>
                  <w:tcBorders>
                    <w:top w:val="single" w:sz="4" w:space="0" w:color="auto"/>
                    <w:left w:val="single" w:sz="4" w:space="0" w:color="auto"/>
                    <w:bottom w:val="single" w:sz="4" w:space="0" w:color="auto"/>
                    <w:right w:val="single" w:sz="4" w:space="0" w:color="auto"/>
                  </w:tcBorders>
                  <w:hideMark/>
                </w:tcPr>
                <w:p w:rsidR="00781456" w:rsidRDefault="00781456" w:rsidP="006303C5">
                  <w:pPr>
                    <w:pStyle w:val="BodyText"/>
                    <w:spacing w:before="240" w:line="280" w:lineRule="atLeast"/>
                    <w:outlineLvl w:val="1"/>
                    <w:rPr>
                      <w:bCs/>
                      <w:iCs/>
                      <w:szCs w:val="24"/>
                      <w:lang w:val="bg-BG"/>
                    </w:rPr>
                  </w:pPr>
                  <w:r>
                    <w:rPr>
                      <w:bCs/>
                      <w:iCs/>
                      <w:szCs w:val="24"/>
                      <w:lang w:val="bg-BG"/>
                    </w:rPr>
                    <w:t>Предложение за промяна</w:t>
                  </w:r>
                </w:p>
              </w:tc>
            </w:tr>
            <w:tr w:rsidR="00781456" w:rsidTr="006303C5">
              <w:trPr>
                <w:jc w:val="center"/>
              </w:trPr>
              <w:tc>
                <w:tcPr>
                  <w:tcW w:w="5030" w:type="dxa"/>
                  <w:tcBorders>
                    <w:top w:val="single" w:sz="4" w:space="0" w:color="auto"/>
                    <w:left w:val="single" w:sz="4" w:space="0" w:color="auto"/>
                    <w:bottom w:val="single" w:sz="4" w:space="0" w:color="auto"/>
                    <w:right w:val="single" w:sz="4" w:space="0" w:color="auto"/>
                  </w:tcBorders>
                </w:tcPr>
                <w:p w:rsidR="00781456" w:rsidRDefault="00781456" w:rsidP="00844392">
                  <w:pPr>
                    <w:pStyle w:val="BodyText"/>
                    <w:spacing w:before="240" w:line="280" w:lineRule="atLeast"/>
                    <w:ind w:left="927"/>
                    <w:jc w:val="both"/>
                    <w:outlineLvl w:val="1"/>
                    <w:rPr>
                      <w:b/>
                      <w:bCs/>
                      <w:iCs/>
                      <w:sz w:val="22"/>
                      <w:szCs w:val="22"/>
                      <w:lang w:val="bg-BG" w:eastAsia="x-none"/>
                    </w:rPr>
                  </w:pPr>
                  <w:r>
                    <w:rPr>
                      <w:b/>
                      <w:bCs/>
                      <w:iCs/>
                      <w:sz w:val="22"/>
                      <w:szCs w:val="22"/>
                      <w:lang w:val="bg-BG"/>
                    </w:rPr>
                    <w:t>3. Условия за допустимост</w:t>
                  </w:r>
                </w:p>
                <w:p w:rsidR="00781456" w:rsidRDefault="00781456" w:rsidP="00844392">
                  <w:pPr>
                    <w:pStyle w:val="BodyText"/>
                    <w:spacing w:before="240" w:line="280" w:lineRule="atLeast"/>
                    <w:jc w:val="both"/>
                    <w:outlineLvl w:val="1"/>
                    <w:rPr>
                      <w:bCs/>
                      <w:iCs/>
                      <w:sz w:val="22"/>
                      <w:szCs w:val="22"/>
                      <w:lang w:val="bg-BG"/>
                    </w:rPr>
                  </w:pPr>
                  <w:r>
                    <w:rPr>
                      <w:bCs/>
                      <w:iCs/>
                      <w:sz w:val="22"/>
                      <w:szCs w:val="22"/>
                      <w:lang w:val="bg-BG"/>
                    </w:rPr>
                    <w:t>......</w:t>
                  </w:r>
                </w:p>
                <w:p w:rsidR="00781456" w:rsidRDefault="00781456" w:rsidP="00844392">
                  <w:pPr>
                    <w:pStyle w:val="BodyText"/>
                    <w:spacing w:before="240" w:line="280" w:lineRule="atLeast"/>
                    <w:ind w:left="927"/>
                    <w:jc w:val="both"/>
                    <w:outlineLvl w:val="1"/>
                    <w:rPr>
                      <w:bCs/>
                      <w:iCs/>
                      <w:sz w:val="22"/>
                      <w:szCs w:val="22"/>
                      <w:lang w:val="bg-BG"/>
                    </w:rPr>
                  </w:pPr>
                  <w:r>
                    <w:rPr>
                      <w:bCs/>
                      <w:iCs/>
                      <w:sz w:val="22"/>
                      <w:szCs w:val="22"/>
                      <w:lang w:val="bg-BG"/>
                    </w:rPr>
                    <w:t>Бенефициенти, предоставящи трансфер на знания чрез демонстрационни дейности могат да бъдат и организации, които провеждат научно-изследователска дейност или образователна дейност в областта на селското или горското стопанство, или в областта на хранителните технологии, както и юридически лица с нестопанска цел, регистрирани по реда на Закона за юридическите лица с нестопанска цел. Организациите трябва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w:t>
                  </w:r>
                </w:p>
                <w:p w:rsidR="00781456" w:rsidRDefault="00781456" w:rsidP="00844392">
                  <w:pPr>
                    <w:pStyle w:val="BodyText"/>
                    <w:spacing w:before="240" w:line="280" w:lineRule="atLeast"/>
                    <w:jc w:val="both"/>
                    <w:outlineLvl w:val="1"/>
                    <w:rPr>
                      <w:bCs/>
                      <w:iCs/>
                      <w:sz w:val="22"/>
                      <w:szCs w:val="22"/>
                      <w:lang w:val="bg-BG"/>
                    </w:rPr>
                  </w:pPr>
                  <w:r>
                    <w:rPr>
                      <w:bCs/>
                      <w:iCs/>
                      <w:sz w:val="22"/>
                      <w:szCs w:val="22"/>
                      <w:lang w:val="bg-BG"/>
                    </w:rPr>
                    <w:t>....................</w:t>
                  </w:r>
                </w:p>
                <w:p w:rsidR="00781456" w:rsidRDefault="00781456" w:rsidP="00844392">
                  <w:pPr>
                    <w:pStyle w:val="BodyText"/>
                    <w:spacing w:before="240" w:line="280" w:lineRule="atLeast"/>
                    <w:ind w:left="927"/>
                    <w:jc w:val="both"/>
                    <w:outlineLvl w:val="1"/>
                    <w:rPr>
                      <w:bCs/>
                      <w:iCs/>
                      <w:sz w:val="22"/>
                      <w:szCs w:val="22"/>
                      <w:lang w:val="bg-BG"/>
                    </w:rPr>
                  </w:pPr>
                  <w:r>
                    <w:rPr>
                      <w:sz w:val="22"/>
                      <w:szCs w:val="22"/>
                      <w:lang w:val="bg-BG"/>
                    </w:rPr>
                    <w:t xml:space="preserve">Бенефициенти, предоставящи трансфер на знания чрез демонстрационни дейности могат да бъдат висши училища, акредитирани по Закона за висшето образование, професионални гимназии по Закона за професионалното образование и обучение или научни институти или опитни станции, които </w:t>
                  </w:r>
                  <w:r>
                    <w:rPr>
                      <w:sz w:val="22"/>
                      <w:szCs w:val="22"/>
                      <w:lang w:val="bg-BG"/>
                    </w:rPr>
                    <w:lastRenderedPageBreak/>
                    <w:t>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които са организации по Закона за Селскостопанската академия, Закона за Българската академия на науките или Закона за горите.</w:t>
                  </w:r>
                </w:p>
                <w:p w:rsidR="00781456" w:rsidRDefault="00781456" w:rsidP="00844392">
                  <w:pPr>
                    <w:pStyle w:val="BodyText"/>
                    <w:spacing w:before="240" w:line="280" w:lineRule="atLeast"/>
                    <w:jc w:val="both"/>
                    <w:outlineLvl w:val="1"/>
                    <w:rPr>
                      <w:bCs/>
                      <w:iCs/>
                      <w:sz w:val="22"/>
                      <w:szCs w:val="22"/>
                      <w:lang w:val="bg-BG"/>
                    </w:rPr>
                  </w:pPr>
                </w:p>
              </w:tc>
              <w:tc>
                <w:tcPr>
                  <w:tcW w:w="3332" w:type="dxa"/>
                  <w:tcBorders>
                    <w:top w:val="single" w:sz="4" w:space="0" w:color="auto"/>
                    <w:left w:val="single" w:sz="4" w:space="0" w:color="auto"/>
                    <w:bottom w:val="single" w:sz="4" w:space="0" w:color="auto"/>
                    <w:right w:val="single" w:sz="4" w:space="0" w:color="auto"/>
                  </w:tcBorders>
                  <w:hideMark/>
                </w:tcPr>
                <w:p w:rsidR="00781456" w:rsidRDefault="00781456" w:rsidP="00844392">
                  <w:pPr>
                    <w:pStyle w:val="BodyText"/>
                    <w:spacing w:before="240" w:line="280" w:lineRule="atLeast"/>
                    <w:jc w:val="both"/>
                    <w:outlineLvl w:val="1"/>
                    <w:rPr>
                      <w:b/>
                      <w:bCs/>
                      <w:iCs/>
                      <w:sz w:val="22"/>
                      <w:szCs w:val="22"/>
                      <w:lang w:val="bg-BG" w:eastAsia="x-none"/>
                    </w:rPr>
                  </w:pPr>
                  <w:r>
                    <w:rPr>
                      <w:b/>
                      <w:bCs/>
                      <w:iCs/>
                      <w:sz w:val="22"/>
                      <w:szCs w:val="22"/>
                      <w:lang w:val="bg-BG"/>
                    </w:rPr>
                    <w:lastRenderedPageBreak/>
                    <w:t>3. Условия за допустимост</w:t>
                  </w:r>
                </w:p>
                <w:p w:rsidR="00781456" w:rsidRDefault="00781456" w:rsidP="00844392">
                  <w:pPr>
                    <w:pStyle w:val="BodyText"/>
                    <w:spacing w:before="240" w:line="280" w:lineRule="atLeast"/>
                    <w:jc w:val="both"/>
                    <w:outlineLvl w:val="1"/>
                    <w:rPr>
                      <w:bCs/>
                      <w:iCs/>
                      <w:sz w:val="22"/>
                      <w:szCs w:val="22"/>
                      <w:lang w:val="bg-BG"/>
                    </w:rPr>
                  </w:pPr>
                  <w:r>
                    <w:rPr>
                      <w:bCs/>
                      <w:iCs/>
                      <w:sz w:val="22"/>
                      <w:szCs w:val="22"/>
                      <w:lang w:val="bg-BG"/>
                    </w:rPr>
                    <w:t>............................</w:t>
                  </w:r>
                </w:p>
                <w:p w:rsidR="00781456" w:rsidRDefault="00781456" w:rsidP="00844392">
                  <w:pPr>
                    <w:pStyle w:val="BodyText"/>
                    <w:spacing w:before="240" w:line="280" w:lineRule="atLeast"/>
                    <w:ind w:right="1024"/>
                    <w:jc w:val="both"/>
                    <w:outlineLvl w:val="1"/>
                    <w:rPr>
                      <w:bCs/>
                      <w:iCs/>
                      <w:sz w:val="22"/>
                      <w:szCs w:val="22"/>
                      <w:lang w:val="bg-BG"/>
                    </w:rPr>
                  </w:pPr>
                  <w:r>
                    <w:rPr>
                      <w:bCs/>
                      <w:iCs/>
                      <w:sz w:val="22"/>
                      <w:szCs w:val="22"/>
                      <w:lang w:val="bg-BG"/>
                    </w:rPr>
                    <w:t xml:space="preserve">Бенефициенти, предоставящи трансфер на знания чрез демонстрационни дейности могат да бъдат и организации, които провеждат научно-изследователска дейност или образователна дейност в областта на селското или горското стопанство, или в областта на хранителните технологии, както и юридически лица с нестопанска цел, регистрирани по реда на Закона за юридическите лица с нестопанска цел. Организациите трябва да разполагат със собствени </w:t>
                  </w:r>
                  <w:r w:rsidRPr="00892B41">
                    <w:rPr>
                      <w:bCs/>
                      <w:iCs/>
                      <w:sz w:val="22"/>
                      <w:szCs w:val="22"/>
                      <w:lang w:val="bg-BG"/>
                    </w:rPr>
                    <w:t xml:space="preserve">или </w:t>
                  </w:r>
                  <w:r w:rsidRPr="00892B41">
                    <w:rPr>
                      <w:bCs/>
                      <w:iCs/>
                      <w:sz w:val="22"/>
                      <w:szCs w:val="22"/>
                      <w:lang w:val="bg-BG"/>
                    </w:rPr>
                    <w:lastRenderedPageBreak/>
                    <w:t xml:space="preserve">наети </w:t>
                  </w:r>
                  <w:r>
                    <w:rPr>
                      <w:bCs/>
                      <w:iCs/>
                      <w:sz w:val="22"/>
                      <w:szCs w:val="22"/>
                      <w:lang w:val="bg-BG"/>
                    </w:rPr>
                    <w:t>демонстрационни обекти от типа на учебно-опитни полета, изследователски опитни полета, учебни или изследователски лаборатории.</w:t>
                  </w:r>
                </w:p>
                <w:p w:rsidR="00781456" w:rsidRDefault="00781456" w:rsidP="00844392">
                  <w:pPr>
                    <w:pStyle w:val="BodyText"/>
                    <w:spacing w:before="240" w:line="280" w:lineRule="atLeast"/>
                    <w:jc w:val="both"/>
                    <w:outlineLvl w:val="1"/>
                    <w:rPr>
                      <w:bCs/>
                      <w:iCs/>
                      <w:sz w:val="22"/>
                      <w:szCs w:val="22"/>
                      <w:lang w:val="bg-BG"/>
                    </w:rPr>
                  </w:pPr>
                  <w:r>
                    <w:rPr>
                      <w:bCs/>
                      <w:iCs/>
                      <w:sz w:val="22"/>
                      <w:szCs w:val="22"/>
                      <w:lang w:val="bg-BG"/>
                    </w:rPr>
                    <w:t>......................</w:t>
                  </w:r>
                </w:p>
                <w:p w:rsidR="00781456" w:rsidRDefault="00781456" w:rsidP="00844392">
                  <w:pPr>
                    <w:pStyle w:val="BodyText"/>
                    <w:spacing w:before="240" w:line="280" w:lineRule="atLeast"/>
                    <w:ind w:right="175"/>
                    <w:jc w:val="both"/>
                    <w:outlineLvl w:val="1"/>
                    <w:rPr>
                      <w:bCs/>
                      <w:iCs/>
                      <w:sz w:val="22"/>
                      <w:szCs w:val="22"/>
                      <w:lang w:val="bg-BG"/>
                    </w:rPr>
                  </w:pPr>
                  <w:r>
                    <w:rPr>
                      <w:sz w:val="22"/>
                      <w:szCs w:val="22"/>
                      <w:lang w:val="bg-BG"/>
                    </w:rPr>
                    <w:t xml:space="preserve">Бенефициенти, предоставящи трансфер на знания чрез демонстрационни дейности могат да бъдат </w:t>
                  </w:r>
                  <w:r w:rsidRPr="00892B41">
                    <w:rPr>
                      <w:sz w:val="22"/>
                      <w:szCs w:val="22"/>
                      <w:lang w:val="bg-BG"/>
                    </w:rPr>
                    <w:t>НССЗ чрез линцензирания си ЦПО</w:t>
                  </w:r>
                  <w:r>
                    <w:rPr>
                      <w:sz w:val="22"/>
                      <w:szCs w:val="22"/>
                      <w:lang w:val="bg-BG"/>
                    </w:rPr>
                    <w:t xml:space="preserve">, висши училища, акредитирани по Закона за висшето образование, професионални гимназии по Закона за професионалното образование и обучение или научни институти или опитни станции,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които са организации по </w:t>
                  </w:r>
                  <w:r>
                    <w:rPr>
                      <w:sz w:val="22"/>
                      <w:szCs w:val="22"/>
                      <w:lang w:val="bg-BG"/>
                    </w:rPr>
                    <w:lastRenderedPageBreak/>
                    <w:t>Закона за Селскостопанската академия, Закона за Българската академия на науките или Закона за горите.</w:t>
                  </w:r>
                </w:p>
              </w:tc>
            </w:tr>
          </w:tbl>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lastRenderedPageBreak/>
              <w:t>Мотивите ни са следните:</w:t>
            </w:r>
          </w:p>
          <w:p w:rsidR="00781456" w:rsidRPr="00844392" w:rsidRDefault="00781456" w:rsidP="00844392">
            <w:pPr>
              <w:pStyle w:val="BodyText"/>
              <w:keepNext/>
              <w:tabs>
                <w:tab w:val="left" w:pos="284"/>
              </w:tabs>
              <w:spacing w:before="240" w:line="280" w:lineRule="atLeast"/>
              <w:jc w:val="both"/>
              <w:outlineLvl w:val="1"/>
              <w:rPr>
                <w:rFonts w:eastAsia="Calibri"/>
              </w:rPr>
            </w:pPr>
            <w:r w:rsidRPr="00844392">
              <w:rPr>
                <w:rFonts w:eastAsia="Calibri"/>
              </w:rPr>
              <w:t>1.</w:t>
            </w:r>
            <w:r w:rsidRPr="00844392">
              <w:rPr>
                <w:rFonts w:eastAsia="Calibri"/>
              </w:rPr>
              <w:tab/>
              <w:t>НССЗ има лицензиран от НАПОО Център за професионално обучение (ЦПО) с право да обучава по част от професии и специалности следните професионални направления 621 „Растениевъдство и животновъдство“, 623 „Горско стопанство“, 541 „Хранителни технологии“, 640 „Ветеринарна медицина“. Това е проверимо на  интернет страницата на НАПОО: https://www.navet.government.bg/bg/registar-na-tsentrovete-za-profesiona/ .</w:t>
            </w:r>
          </w:p>
          <w:p w:rsidR="00781456" w:rsidRPr="00844392" w:rsidRDefault="00781456" w:rsidP="00844392">
            <w:pPr>
              <w:pStyle w:val="BodyText"/>
              <w:keepNext/>
              <w:tabs>
                <w:tab w:val="left" w:pos="284"/>
              </w:tabs>
              <w:spacing w:line="280" w:lineRule="atLeast"/>
              <w:jc w:val="both"/>
              <w:outlineLvl w:val="1"/>
              <w:rPr>
                <w:rFonts w:eastAsia="Calibri"/>
              </w:rPr>
            </w:pPr>
            <w:r w:rsidRPr="00844392">
              <w:rPr>
                <w:rFonts w:eastAsia="Calibri"/>
              </w:rPr>
              <w:t>2.</w:t>
            </w:r>
            <w:r w:rsidRPr="00844392">
              <w:rPr>
                <w:rFonts w:eastAsia="Calibri"/>
              </w:rPr>
              <w:tab/>
              <w:t>НССЗ е организация, създадена по Закона за селскостопанска дейност. В Правилника за устройство и дейността на НССЗ са записани следните дейности:</w:t>
            </w:r>
          </w:p>
          <w:p w:rsidR="00781456" w:rsidRPr="00844392" w:rsidRDefault="00781456" w:rsidP="00844392">
            <w:pPr>
              <w:pStyle w:val="BodyText"/>
              <w:keepNext/>
              <w:spacing w:line="280" w:lineRule="atLeast"/>
              <w:ind w:firstLine="284"/>
              <w:jc w:val="both"/>
              <w:outlineLvl w:val="1"/>
              <w:rPr>
                <w:rFonts w:eastAsia="Calibri"/>
              </w:rPr>
            </w:pPr>
            <w:r w:rsidRPr="00844392">
              <w:rPr>
                <w:rFonts w:eastAsia="Calibri"/>
              </w:rPr>
              <w:t>- чл.13, ал. 1, т.1 - „подпомага трансфера и приложението на научните и практическите достижения в областта на земеделието“;</w:t>
            </w:r>
          </w:p>
          <w:p w:rsidR="00781456" w:rsidRPr="00844392" w:rsidRDefault="00781456" w:rsidP="00844392">
            <w:pPr>
              <w:pStyle w:val="BodyText"/>
              <w:keepNext/>
              <w:spacing w:line="280" w:lineRule="atLeast"/>
              <w:ind w:firstLine="284"/>
              <w:jc w:val="both"/>
              <w:outlineLvl w:val="1"/>
              <w:rPr>
                <w:rFonts w:eastAsia="Calibri"/>
              </w:rPr>
            </w:pPr>
            <w:r w:rsidRPr="00844392">
              <w:rPr>
                <w:rFonts w:eastAsia="Calibri"/>
              </w:rPr>
              <w:t>- чл.13, ал.1, т.3 - „организира и извършва обучение на земеделски стопани“</w:t>
            </w: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Трансферът на знание е основна дейност на НССЗ, за разлика от институтите и университетите. НССЗ е създадена точно с тази цел и ежегодно извършва дейности, свързани с трансфера на знание и технологични практики.</w:t>
            </w:r>
          </w:p>
          <w:p w:rsidR="00781456" w:rsidRPr="00844392" w:rsidRDefault="00781456" w:rsidP="00844392">
            <w:pPr>
              <w:pStyle w:val="BodyText"/>
              <w:keepNext/>
              <w:tabs>
                <w:tab w:val="left" w:pos="284"/>
              </w:tabs>
              <w:spacing w:before="240" w:line="280" w:lineRule="atLeast"/>
              <w:jc w:val="both"/>
              <w:outlineLvl w:val="1"/>
              <w:rPr>
                <w:rFonts w:eastAsia="Calibri"/>
              </w:rPr>
            </w:pPr>
            <w:r w:rsidRPr="00844392">
              <w:rPr>
                <w:rFonts w:eastAsia="Calibri"/>
              </w:rPr>
              <w:t>3.</w:t>
            </w:r>
            <w:r w:rsidRPr="00844392">
              <w:rPr>
                <w:rFonts w:eastAsia="Calibri"/>
              </w:rPr>
              <w:tab/>
              <w:t>Ежегодно НССЗ извършва между 120-150 обучителни събития за земеделските стопани по реда на чл. 13, ал.1, т.1, трансферирайки добри практики, технологични и иновативни решения. Половината от тези обучителни събития се провеждат с демонстрации на терен/ стопанство, в което тази практика е внедрена. НССЗ не разполага със собствени демонстрационни полета, но за целта използва реални земеделски стопанства, където дори съвместно с фермера нагледно се представя съответното технологично решение. Дори в момента, НССЗ продължава да провежда демонстрационни обучения, при спазване на всички противоепидемични мерки, в т.ч. и поддържа записи на същите.</w:t>
            </w:r>
          </w:p>
          <w:p w:rsidR="00781456" w:rsidRPr="00844392" w:rsidRDefault="00781456" w:rsidP="00844392">
            <w:pPr>
              <w:pStyle w:val="BodyText"/>
              <w:keepNext/>
              <w:tabs>
                <w:tab w:val="left" w:pos="284"/>
              </w:tabs>
              <w:spacing w:before="120" w:line="280" w:lineRule="atLeast"/>
              <w:jc w:val="both"/>
              <w:outlineLvl w:val="1"/>
              <w:rPr>
                <w:rFonts w:eastAsia="Calibri"/>
              </w:rPr>
            </w:pPr>
            <w:r w:rsidRPr="00844392">
              <w:rPr>
                <w:rFonts w:eastAsia="Calibri"/>
              </w:rPr>
              <w:t>4.</w:t>
            </w:r>
            <w:r w:rsidRPr="00844392">
              <w:rPr>
                <w:rFonts w:eastAsia="Calibri"/>
              </w:rPr>
              <w:tab/>
              <w:t xml:space="preserve">НССЗ разполага с необходимия капацитет и експертиза. Като част от консорциумите на два проекта по програма Хоризонт 2020: проект PLAID („Взаимно обучение: Достъп до иновации чрез демонстрации“) и проект NEFERTITI („Свързани в мрежи европейски ферми за стимулиране на взаимното обогатяване на знанията и използването на иновации чрез демонстрации“)  експерти на НССЗ бяха обучени да  идентифицират „демонстрационни стопанства“, да видео документират дейностите и внедрените практики в тях. Експертите от НССЗ бяха обучени и как да провеждат и документират демонстрационни обучение, налични са ръководства и протоколи, освен това: </w:t>
            </w:r>
          </w:p>
          <w:p w:rsidR="00781456" w:rsidRPr="00844392" w:rsidRDefault="00781456" w:rsidP="00844392">
            <w:pPr>
              <w:pStyle w:val="BodyText"/>
              <w:keepNext/>
              <w:spacing w:line="280" w:lineRule="atLeast"/>
              <w:ind w:firstLine="284"/>
              <w:jc w:val="both"/>
              <w:outlineLvl w:val="1"/>
              <w:rPr>
                <w:rFonts w:eastAsia="Calibri"/>
              </w:rPr>
            </w:pPr>
            <w:r w:rsidRPr="00844392">
              <w:rPr>
                <w:rFonts w:eastAsia="Calibri"/>
              </w:rPr>
              <w:t>₋</w:t>
            </w:r>
            <w:r w:rsidRPr="00844392">
              <w:rPr>
                <w:rFonts w:eastAsia="Calibri"/>
              </w:rPr>
              <w:tab/>
              <w:t xml:space="preserve">по проект PLAID, НССЗ беше лидер на Работен пакет 4 „Улесняване на достъпа чрез виртуални демонстрации“, </w:t>
            </w:r>
            <w:r w:rsidRPr="00844392">
              <w:rPr>
                <w:rFonts w:eastAsia="Calibri"/>
              </w:rPr>
              <w:lastRenderedPageBreak/>
              <w:t>по който бяха разработени и оценени онлайн решения за разширяване на обхвата на демонстрационни дейности на пазарните стопанства. Бяха избрани и подпомогнати пилотните „виртуални демонстрационни ферми" във Великобритания, България и Швейцария за разработването на техни собствени онлайн материали и извършване на „виртуални“ демонстрационни дейности. Също така бяха определени, изследвани и анализирани 2 казуса (конкретни практически случаи) в България за демонстрационни дейности на пазарни стопанства.</w:t>
            </w:r>
          </w:p>
          <w:p w:rsidR="00781456" w:rsidRPr="00844392" w:rsidRDefault="00781456" w:rsidP="00844392">
            <w:pPr>
              <w:pStyle w:val="BodyText"/>
              <w:keepNext/>
              <w:spacing w:line="280" w:lineRule="atLeast"/>
              <w:ind w:firstLine="284"/>
              <w:jc w:val="both"/>
              <w:outlineLvl w:val="1"/>
              <w:rPr>
                <w:rFonts w:eastAsia="Calibri"/>
              </w:rPr>
            </w:pPr>
            <w:r w:rsidRPr="00844392">
              <w:rPr>
                <w:rFonts w:eastAsia="Calibri"/>
              </w:rPr>
              <w:t>₋</w:t>
            </w:r>
            <w:r w:rsidRPr="00844392">
              <w:rPr>
                <w:rFonts w:eastAsia="Calibri"/>
              </w:rPr>
              <w:tab/>
              <w:t>по проект NEFERTITI НССЗ ръководи и координира дейностите по тематичната мрежа 7"Подобряване на ефективността при използването на хранителни вещества в градинарството ". Освен това в България под ръководството на НССЗ са създадени два хъба – единия по мрежа 7 и един по мрежа 9 „Намаляване употребата на пестицидите при производството на грозде, плодове и зеленчуци“. Дейностите на двата хъба включват демонстрации на място за фермери и разпространение на иновации за фермери. През 2019 г. и 2020 г. по проекта са  организирани и проведени над 15 събития, включващи демонстрации на различни земеделски практики.</w:t>
            </w: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Използването на демонстрационни стопанства на реални земеделски стопани дори е препоръчително и се използва широка в останалите европейски страни. Фермерите имат повече доверие, когато видят дадена практика реализирана в действащо стопанство, отколкото в създадени специализирани опитни полета на институти и университети, където действитената обстановка се различава от практита. Най- ценното за обучаваните земеделски стопани е да могат да черпят информация директно от извора, да задават въпроси и да получават отговори от фермер, реализирал практиката.</w:t>
            </w: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Б. Да бъде обмислено да бъде увеличен максималният размер на допустимите разходи за един бенефициент за извършване на демонстрационни дейности за периода на прилагане на стратегическия план  от 200 000 лв. на 400 000 лв.</w:t>
            </w: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Мотивите ни са следните:</w:t>
            </w: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Практическите обучения / обучения чрез демонстрации е много ефективен и припознат от фермерите начин за обучение. Този начин е предпочитан от тях, защото на практика се запознават с практиката, виждат ползите, пропуските и т.н. За това е добре да се даде възможност да се организират и повече демонстрации от една организация, ако тя успее да мотивира фермерите да участват в тях и да не се ограничава техния избор поради достигане на лимита за разходи за организацията.</w:t>
            </w:r>
          </w:p>
          <w:p w:rsidR="00781456" w:rsidRPr="00844392" w:rsidRDefault="00781456" w:rsidP="00844392">
            <w:pPr>
              <w:pStyle w:val="BodyText"/>
              <w:keepNext/>
              <w:spacing w:before="240"/>
              <w:jc w:val="both"/>
              <w:outlineLvl w:val="1"/>
              <w:rPr>
                <w:rFonts w:eastAsia="Calibri"/>
              </w:rPr>
            </w:pPr>
          </w:p>
          <w:p w:rsidR="00781456" w:rsidRPr="00844392" w:rsidRDefault="00781456" w:rsidP="00844392">
            <w:pPr>
              <w:pStyle w:val="BodyText"/>
              <w:keepNext/>
              <w:spacing w:before="240" w:line="280" w:lineRule="atLeast"/>
              <w:jc w:val="both"/>
              <w:outlineLvl w:val="1"/>
              <w:rPr>
                <w:rFonts w:eastAsia="Calibri"/>
              </w:rPr>
            </w:pPr>
            <w:r w:rsidRPr="00844392">
              <w:rPr>
                <w:rFonts w:eastAsia="Calibri"/>
              </w:rPr>
              <w:t>Б. Да бъде обмислено да бъде увеличен максималният размер на допустимите разходи за един бенефициент за извършване на дейности, свързани с предоставяне на обучения чрез провеждане на курсове и</w:t>
            </w:r>
            <w:r>
              <w:rPr>
                <w:b/>
                <w:iCs/>
                <w:szCs w:val="24"/>
                <w:lang w:val="bg-BG"/>
              </w:rPr>
              <w:t xml:space="preserve"> </w:t>
            </w:r>
            <w:r w:rsidRPr="00844392">
              <w:rPr>
                <w:rFonts w:eastAsia="Calibri"/>
              </w:rPr>
              <w:t>семинари, за периода на прилагане на стратегическия план  от 500 000 лв. на 750 000 лв.</w:t>
            </w:r>
          </w:p>
          <w:p w:rsidR="00781456" w:rsidRPr="00844392" w:rsidRDefault="00781456" w:rsidP="006303C5">
            <w:pPr>
              <w:pStyle w:val="BodyText"/>
              <w:keepNext/>
              <w:spacing w:before="240" w:line="280" w:lineRule="atLeast"/>
              <w:outlineLvl w:val="1"/>
              <w:rPr>
                <w:rFonts w:eastAsia="Calibri"/>
              </w:rPr>
            </w:pPr>
            <w:r w:rsidRPr="00844392">
              <w:rPr>
                <w:rFonts w:eastAsia="Calibri"/>
              </w:rPr>
              <w:lastRenderedPageBreak/>
              <w:t>Мотивите ни са следните:</w:t>
            </w:r>
          </w:p>
          <w:p w:rsidR="00781456" w:rsidRPr="00844392" w:rsidRDefault="00781456" w:rsidP="006303C5">
            <w:pPr>
              <w:jc w:val="both"/>
              <w:rPr>
                <w:rFonts w:ascii="Times New Roman" w:eastAsia="Calibri" w:hAnsi="Times New Roman" w:cs="Times New Roman"/>
                <w:sz w:val="23"/>
                <w:szCs w:val="23"/>
                <w:lang w:val="en-US"/>
              </w:rPr>
            </w:pPr>
            <w:r w:rsidRPr="00844392">
              <w:rPr>
                <w:rFonts w:ascii="Times New Roman" w:eastAsia="Calibri" w:hAnsi="Times New Roman" w:cs="Times New Roman"/>
                <w:sz w:val="23"/>
                <w:szCs w:val="23"/>
                <w:lang w:val="en-US"/>
              </w:rPr>
              <w:t>Считаме за удачно да се даде възможност да се организират и повече обучения от една организация, ако тя успее да мотивира фермерите да участват в тях и да не се ограничава техния избор поради достигане на лимита за разходи за организацията. Така и ще се стимулират организациите да провеждат по-качествени обучения за да привличат повече фермери за участие в тях.</w:t>
            </w:r>
          </w:p>
          <w:p w:rsidR="00781456" w:rsidRPr="31439A07" w:rsidRDefault="00781456" w:rsidP="001E7468">
            <w:pPr>
              <w:jc w:val="center"/>
              <w:rPr>
                <w:rFonts w:ascii="Times New Roman" w:hAnsi="Times New Roman" w:cs="Times New Roman"/>
                <w:b/>
                <w:bCs/>
                <w:sz w:val="18"/>
                <w:szCs w:val="18"/>
              </w:rPr>
            </w:pP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8</w:t>
            </w:r>
          </w:p>
        </w:tc>
        <w:tc>
          <w:tcPr>
            <w:tcW w:w="1714" w:type="dxa"/>
            <w:shd w:val="clear" w:color="auto" w:fill="FFFFFF" w:themeFill="background1"/>
            <w:vAlign w:val="center"/>
          </w:tcPr>
          <w:p w:rsidR="00781456" w:rsidRPr="006303C5" w:rsidRDefault="00781456" w:rsidP="001E7468">
            <w:pPr>
              <w:jc w:val="center"/>
              <w:rPr>
                <w:rFonts w:ascii="Times New Roman" w:hAnsi="Times New Roman" w:cs="Times New Roman"/>
                <w:b/>
                <w:sz w:val="20"/>
                <w:szCs w:val="20"/>
              </w:rPr>
            </w:pPr>
            <w:r>
              <w:rPr>
                <w:rFonts w:ascii="Times New Roman" w:hAnsi="Times New Roman" w:cs="Times New Roman"/>
                <w:b/>
                <w:sz w:val="20"/>
                <w:szCs w:val="20"/>
                <w:lang w:val="en-US"/>
              </w:rPr>
              <w:t xml:space="preserve">Получен от имейл: </w:t>
            </w:r>
            <w:r w:rsidRPr="00E7517B">
              <w:rPr>
                <w:rFonts w:ascii="Times New Roman" w:hAnsi="Times New Roman" w:cs="Times New Roman"/>
                <w:b/>
                <w:sz w:val="20"/>
                <w:szCs w:val="20"/>
              </w:rPr>
              <w:t>rosi_bb@abv.bg</w:t>
            </w:r>
            <w:r>
              <w:rPr>
                <w:rFonts w:ascii="Times New Roman" w:hAnsi="Times New Roman" w:cs="Times New Roman"/>
                <w:b/>
                <w:sz w:val="20"/>
                <w:szCs w:val="20"/>
              </w:rPr>
              <w:t xml:space="preserve"> </w:t>
            </w:r>
          </w:p>
        </w:tc>
        <w:tc>
          <w:tcPr>
            <w:tcW w:w="12190" w:type="dxa"/>
            <w:shd w:val="clear" w:color="auto" w:fill="FFFFFF" w:themeFill="background1"/>
            <w:vAlign w:val="center"/>
          </w:tcPr>
          <w:p w:rsidR="00781456" w:rsidRPr="00E7517B" w:rsidRDefault="00781456" w:rsidP="00844392">
            <w:pPr>
              <w:pStyle w:val="BodyText"/>
              <w:jc w:val="both"/>
              <w:rPr>
                <w:rFonts w:eastAsia="Calibri"/>
              </w:rPr>
            </w:pPr>
            <w:r w:rsidRPr="00E7517B">
              <w:rPr>
                <w:rFonts w:eastAsia="Calibri"/>
              </w:rPr>
              <w:t>А)  Националната служба по съвети в земеделието.</w:t>
            </w:r>
          </w:p>
          <w:p w:rsidR="00781456" w:rsidRPr="00E7517B" w:rsidRDefault="00781456" w:rsidP="00844392">
            <w:pPr>
              <w:pStyle w:val="BodyText"/>
              <w:jc w:val="both"/>
              <w:rPr>
                <w:rFonts w:eastAsia="Calibri"/>
              </w:rPr>
            </w:pPr>
            <w:r w:rsidRPr="00E7517B">
              <w:rPr>
                <w:rFonts w:eastAsia="Calibri"/>
              </w:rPr>
              <w:t>- Ако по разписания начин се осъществи тази интервенция възниква въпроса:  Защо тази служба съществува и получава заплати, ако ще разчита на новото голямо заплащане? Не се ли получава двойно финансиране на служителите им? Те са се специализирали само да правят проекти по Мярка 6.1. Затова ли предвиждате и създаване на мобилни общински центрове</w:t>
            </w:r>
            <w:proofErr w:type="gramStart"/>
            <w:r w:rsidRPr="00E7517B">
              <w:rPr>
                <w:rFonts w:eastAsia="Calibri"/>
              </w:rPr>
              <w:t>,  които</w:t>
            </w:r>
            <w:proofErr w:type="gramEnd"/>
            <w:r w:rsidRPr="00E7517B">
              <w:rPr>
                <w:rFonts w:eastAsia="Calibri"/>
              </w:rPr>
              <w:t xml:space="preserve"> също няма да изпълнят целта: консултиране, обмен на знания и информация, защото няма реални специалисти, особено в отрасъл растениевъдство. За тези длъжности се изисква и усет, и любов и съвременна база, които липсват. </w:t>
            </w:r>
          </w:p>
          <w:p w:rsidR="00781456" w:rsidRPr="00E7517B" w:rsidRDefault="00781456" w:rsidP="00844392">
            <w:pPr>
              <w:pStyle w:val="BodyText"/>
              <w:jc w:val="both"/>
              <w:rPr>
                <w:rFonts w:eastAsia="Calibri"/>
              </w:rPr>
            </w:pPr>
            <w:r w:rsidRPr="00E7517B">
              <w:rPr>
                <w:rFonts w:eastAsia="Calibri"/>
              </w:rPr>
              <w:t>- Ако целта е закупуване на транспортни средства, назначаване на определени хора и отчитане на дейност, то тогава прилагайте интервенцията в този вид, както при много други неефективни мерки.</w:t>
            </w:r>
          </w:p>
          <w:p w:rsidR="00781456" w:rsidRPr="00E7517B" w:rsidRDefault="00781456" w:rsidP="00844392">
            <w:pPr>
              <w:pStyle w:val="BodyText"/>
              <w:jc w:val="both"/>
              <w:rPr>
                <w:rFonts w:eastAsia="Calibri"/>
              </w:rPr>
            </w:pPr>
            <w:r w:rsidRPr="00E7517B">
              <w:rPr>
                <w:rFonts w:eastAsia="Calibri"/>
              </w:rPr>
              <w:t xml:space="preserve">- Предвижданите индивидуални консултански пакети по 1 500 евро няма да дадат резултат съгласно описаните обстоятелства, а ще доведат само до регистриране на случайни младежи като земеделски стопани, защото центровете </w:t>
            </w:r>
            <w:proofErr w:type="gramStart"/>
            <w:r w:rsidRPr="00E7517B">
              <w:rPr>
                <w:rFonts w:eastAsia="Calibri"/>
              </w:rPr>
              <w:t>ще  вземат</w:t>
            </w:r>
            <w:proofErr w:type="gramEnd"/>
            <w:r w:rsidRPr="00E7517B">
              <w:rPr>
                <w:rFonts w:eastAsia="Calibri"/>
              </w:rPr>
              <w:t xml:space="preserve"> по 3 000 лв. </w:t>
            </w:r>
            <w:proofErr w:type="gramStart"/>
            <w:r w:rsidRPr="00E7517B">
              <w:rPr>
                <w:rFonts w:eastAsia="Calibri"/>
              </w:rPr>
              <w:t>на</w:t>
            </w:r>
            <w:proofErr w:type="gramEnd"/>
            <w:r w:rsidRPr="00E7517B">
              <w:rPr>
                <w:rFonts w:eastAsia="Calibri"/>
              </w:rPr>
              <w:t xml:space="preserve"> бройка.</w:t>
            </w:r>
          </w:p>
          <w:p w:rsidR="00781456" w:rsidRPr="00E7517B" w:rsidRDefault="00781456" w:rsidP="00844392">
            <w:pPr>
              <w:pStyle w:val="BodyText"/>
              <w:jc w:val="both"/>
              <w:rPr>
                <w:rFonts w:eastAsia="Calibri"/>
              </w:rPr>
            </w:pPr>
            <w:r w:rsidRPr="00E7517B">
              <w:rPr>
                <w:rFonts w:eastAsia="Calibri"/>
              </w:rPr>
              <w:t xml:space="preserve">- Няма никаква разлика между пакет 1 и пакет 2. Защо? </w:t>
            </w:r>
          </w:p>
          <w:p w:rsidR="00781456" w:rsidRPr="00E7517B" w:rsidRDefault="00781456" w:rsidP="00844392">
            <w:pPr>
              <w:pStyle w:val="BodyText"/>
              <w:jc w:val="both"/>
              <w:rPr>
                <w:rFonts w:eastAsia="Calibri"/>
              </w:rPr>
            </w:pPr>
            <w:r w:rsidRPr="00E7517B">
              <w:rPr>
                <w:rFonts w:eastAsia="Calibri"/>
              </w:rPr>
              <w:t xml:space="preserve">- Всички тези негативи ще доведат до неполезно източване на средства, които могат да отидат до висши и специализирани училища, които да се модернизират и така да привличат и </w:t>
            </w:r>
            <w:proofErr w:type="gramStart"/>
            <w:r w:rsidRPr="00E7517B">
              <w:rPr>
                <w:rFonts w:eastAsia="Calibri"/>
              </w:rPr>
              <w:t>обучат  истински</w:t>
            </w:r>
            <w:proofErr w:type="gramEnd"/>
            <w:r w:rsidRPr="00E7517B">
              <w:rPr>
                <w:rFonts w:eastAsia="Calibri"/>
              </w:rPr>
              <w:t xml:space="preserve"> специалисти.</w:t>
            </w:r>
          </w:p>
          <w:p w:rsidR="00781456" w:rsidRPr="00E7517B" w:rsidRDefault="00781456" w:rsidP="00844392">
            <w:pPr>
              <w:pStyle w:val="BodyText"/>
              <w:jc w:val="both"/>
              <w:rPr>
                <w:rFonts w:eastAsia="Calibri"/>
              </w:rPr>
            </w:pPr>
            <w:r w:rsidRPr="00E7517B">
              <w:rPr>
                <w:rFonts w:eastAsia="Calibri"/>
              </w:rPr>
              <w:t>Б) Обучението осъществявано от други институции като ВУЗ-ове, специализирани училища и центрове са много по-ефективни, защото разполагат с по-добър капацитет относно база и специалисти.</w:t>
            </w:r>
          </w:p>
          <w:p w:rsidR="00781456" w:rsidRPr="00E7517B" w:rsidRDefault="00781456" w:rsidP="00844392">
            <w:pPr>
              <w:pStyle w:val="BodyText"/>
              <w:jc w:val="both"/>
              <w:rPr>
                <w:rFonts w:eastAsia="Calibri"/>
              </w:rPr>
            </w:pPr>
            <w:r w:rsidRPr="00E7517B">
              <w:rPr>
                <w:rFonts w:eastAsia="Calibri"/>
              </w:rPr>
              <w:t xml:space="preserve">- Не е за подценяване и обстоятелството, че на курсовете се срещат, запознават, обменят информация и стават приятели колеги от различни краища на страната. Така консултациите и обученията на колеги от съответна професионална </w:t>
            </w:r>
            <w:proofErr w:type="gramStart"/>
            <w:r w:rsidRPr="00E7517B">
              <w:rPr>
                <w:rFonts w:eastAsia="Calibri"/>
              </w:rPr>
              <w:t>област  продължават</w:t>
            </w:r>
            <w:proofErr w:type="gramEnd"/>
            <w:r w:rsidRPr="00E7517B">
              <w:rPr>
                <w:rFonts w:eastAsia="Calibri"/>
              </w:rPr>
              <w:t xml:space="preserve"> с години и са по-важни от лекциите, защото получените знания вече са сполучливо приложени в дейността на стопанствата.</w:t>
            </w:r>
          </w:p>
          <w:p w:rsidR="00781456" w:rsidRPr="00E7517B" w:rsidRDefault="00781456" w:rsidP="00844392">
            <w:pPr>
              <w:pStyle w:val="BodyText"/>
              <w:jc w:val="both"/>
              <w:rPr>
                <w:rFonts w:eastAsia="Calibri"/>
              </w:rPr>
            </w:pPr>
            <w:r w:rsidRPr="00E7517B">
              <w:rPr>
                <w:rFonts w:eastAsia="Calibri"/>
              </w:rPr>
              <w:t>- Резултатът от този вид обучение е вече доказан от предходния програмен период – 2007-2014.</w:t>
            </w:r>
          </w:p>
          <w:p w:rsidR="00781456" w:rsidRPr="00E7517B" w:rsidRDefault="00781456" w:rsidP="00844392">
            <w:pPr>
              <w:pStyle w:val="BodyText"/>
              <w:jc w:val="both"/>
              <w:rPr>
                <w:rFonts w:eastAsia="Calibri"/>
              </w:rPr>
            </w:pPr>
            <w:r w:rsidRPr="00E7517B">
              <w:rPr>
                <w:rFonts w:eastAsia="Calibri"/>
              </w:rPr>
              <w:t>Ние настояваме за реални, работещи интервенции, които да подпомагат производителите в дейността им и така за българското население ще има родни, здравословни и вкусни продукти. На такива ще се радват и чуждите граждани.</w:t>
            </w:r>
          </w:p>
          <w:p w:rsidR="00781456" w:rsidRPr="00E7517B" w:rsidRDefault="00781456" w:rsidP="00844392">
            <w:pPr>
              <w:pStyle w:val="BodyText"/>
              <w:jc w:val="both"/>
              <w:rPr>
                <w:rFonts w:eastAsia="Calibri"/>
              </w:rPr>
            </w:pPr>
            <w:r w:rsidRPr="00E7517B">
              <w:rPr>
                <w:rFonts w:eastAsia="Calibri"/>
              </w:rPr>
              <w:t xml:space="preserve">За да се постигне това е необходимо да има истински специалисти в МЗХГ и неговите подразделения. До сега не знаем колко служителя със специалност – растениевъдство има в тези структури, които да ни гарантират компетентност. </w:t>
            </w:r>
          </w:p>
          <w:p w:rsidR="00781456" w:rsidRPr="00E7517B" w:rsidRDefault="00781456" w:rsidP="00844392">
            <w:pPr>
              <w:pStyle w:val="BodyText"/>
              <w:jc w:val="both"/>
              <w:rPr>
                <w:rFonts w:eastAsia="Calibri"/>
              </w:rPr>
            </w:pPr>
            <w:r w:rsidRPr="00E7517B">
              <w:rPr>
                <w:rFonts w:eastAsia="Calibri"/>
              </w:rPr>
              <w:t xml:space="preserve">Предлагаме, когато започне разработване на някакъв проект, това да се обяви навреме и се посочат имената на служителите, които работят по него, за да можем да се свързваме с тях и навреме да даваме становищата си. Още при </w:t>
            </w:r>
            <w:r w:rsidRPr="00E7517B">
              <w:rPr>
                <w:rFonts w:eastAsia="Calibri"/>
              </w:rPr>
              <w:lastRenderedPageBreak/>
              <w:t xml:space="preserve">разработването на проекта да се търсят и вземат под внимание предложенията на организации и стопани, които най-добре познават материята. Трябва ръководството и служителите от отделните сектори да са посетили земеделски стопани и да знаят кои са добре работещи и да се вслушват в техните мнения, а не само на представители на организации, които в повечето случаи са административни служители, а не реални производители. </w:t>
            </w:r>
          </w:p>
          <w:p w:rsidR="00781456" w:rsidRPr="31439A07" w:rsidRDefault="00781456" w:rsidP="001E7468">
            <w:pPr>
              <w:jc w:val="center"/>
              <w:rPr>
                <w:rFonts w:ascii="Times New Roman" w:hAnsi="Times New Roman" w:cs="Times New Roman"/>
                <w:b/>
                <w:bCs/>
                <w:sz w:val="18"/>
                <w:szCs w:val="18"/>
              </w:rPr>
            </w:pP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9</w:t>
            </w:r>
          </w:p>
        </w:tc>
        <w:tc>
          <w:tcPr>
            <w:tcW w:w="1714" w:type="dxa"/>
            <w:shd w:val="clear" w:color="auto" w:fill="FFFFFF" w:themeFill="background1"/>
            <w:vAlign w:val="center"/>
          </w:tcPr>
          <w:p w:rsidR="00781456" w:rsidRPr="00E7517B" w:rsidRDefault="00781456" w:rsidP="001E7468">
            <w:pPr>
              <w:jc w:val="center"/>
              <w:rPr>
                <w:rFonts w:ascii="Times New Roman" w:hAnsi="Times New Roman" w:cs="Times New Roman"/>
                <w:b/>
                <w:sz w:val="20"/>
                <w:szCs w:val="20"/>
              </w:rPr>
            </w:pPr>
            <w:r w:rsidRPr="00A277B3">
              <w:rPr>
                <w:rFonts w:ascii="Times New Roman" w:hAnsi="Times New Roman" w:cs="Times New Roman"/>
                <w:b/>
                <w:sz w:val="20"/>
                <w:szCs w:val="20"/>
              </w:rPr>
              <w:t>Национална асоциация на зърнопроизводителите</w:t>
            </w:r>
          </w:p>
        </w:tc>
        <w:tc>
          <w:tcPr>
            <w:tcW w:w="12190" w:type="dxa"/>
            <w:shd w:val="clear" w:color="auto" w:fill="FFFFFF" w:themeFill="background1"/>
            <w:vAlign w:val="center"/>
          </w:tcPr>
          <w:p w:rsidR="00781456" w:rsidRPr="00260713" w:rsidRDefault="00781456" w:rsidP="00844392">
            <w:pPr>
              <w:pStyle w:val="BodyText"/>
              <w:jc w:val="both"/>
              <w:rPr>
                <w:rFonts w:eastAsia="Calibri"/>
                <w:lang w:eastAsia="bg-BG"/>
              </w:rPr>
            </w:pPr>
            <w:r w:rsidRPr="00260713">
              <w:rPr>
                <w:rFonts w:eastAsia="Calibri"/>
                <w:lang w:eastAsia="bg-BG"/>
              </w:rPr>
              <w:t xml:space="preserve">Да се разграничат ясно информационните семинари </w:t>
            </w:r>
            <w:r w:rsidRPr="00260713">
              <w:rPr>
                <w:rFonts w:eastAsia="Calibri"/>
                <w:iCs/>
                <w:lang w:eastAsia="bg-BG"/>
              </w:rPr>
              <w:t>с продължителност 8 и 18 часа</w:t>
            </w:r>
            <w:r w:rsidRPr="00260713">
              <w:rPr>
                <w:rFonts w:eastAsia="Calibri"/>
                <w:lang w:eastAsia="bg-BG"/>
              </w:rPr>
              <w:t xml:space="preserve"> от обученията за професионална квалификация и краткосрочните обучения. Заложеното определение за информационните семинари е много конкретно и точно, това са тематични срещи, на които се разглеждат и обсъждат конкретни приоритетни теми, конкретизирани в обхвата на специфичните цели на Стратегическия план. В тази връзка, не би следвало информационните семинари да се разглеждат като краткосрочни обучения или обучителни курсове;</w:t>
            </w:r>
          </w:p>
          <w:p w:rsidR="00781456" w:rsidRPr="00260713" w:rsidRDefault="00781456" w:rsidP="00844392">
            <w:pPr>
              <w:pStyle w:val="BodyText"/>
              <w:jc w:val="both"/>
              <w:rPr>
                <w:rFonts w:eastAsia="Calibri"/>
                <w:lang w:eastAsia="bg-BG"/>
              </w:rPr>
            </w:pPr>
            <w:r w:rsidRPr="00260713">
              <w:rPr>
                <w:rFonts w:eastAsia="Calibri"/>
                <w:lang w:eastAsia="bg-BG"/>
              </w:rPr>
              <w:t xml:space="preserve">НАЗ предлага към </w:t>
            </w:r>
            <w:r w:rsidRPr="00260713">
              <w:rPr>
                <w:lang w:eastAsia="bg-BG"/>
              </w:rPr>
              <w:t xml:space="preserve">бенефициентите, предоставящи трансфер на знания чрез информационни семинари да бъдат включени и </w:t>
            </w:r>
            <w:r w:rsidRPr="00260713">
              <w:rPr>
                <w:rFonts w:eastAsia="Calibri"/>
                <w:lang w:eastAsia="bg-BG"/>
              </w:rPr>
              <w:t xml:space="preserve">юридически лица с нестопанска цел с предмет на дейност в областта на селското стопанство. Именно тези организации познават в най-голяма степен информационните нужди и потребности на земеделските стопани, както и актуалната тематика в дадения бранш; </w:t>
            </w:r>
          </w:p>
          <w:p w:rsidR="00781456" w:rsidRPr="00260713" w:rsidRDefault="00781456" w:rsidP="00844392">
            <w:pPr>
              <w:pStyle w:val="BodyText"/>
              <w:jc w:val="both"/>
              <w:rPr>
                <w:rFonts w:eastAsia="Calibri"/>
                <w:b/>
                <w:bCs/>
                <w:lang w:eastAsia="bg-BG"/>
              </w:rPr>
            </w:pPr>
            <w:r w:rsidRPr="00260713">
              <w:rPr>
                <w:lang w:eastAsia="bg-BG"/>
              </w:rPr>
              <w:t>Заложено е изискване бенефициентите, предоставящи трансфер на знания чрез демонстрационни дейности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 При положение, че за извършване на демонстрационни дейности са допустими юридически лица с нестопанска цел с предмет на дейност в областта на селското стопанство НАЗ предлага като демонстрационни обекти да бъдат посочени и реални земеделски полета от сеитбооборота на земеделски стопанства</w:t>
            </w:r>
            <w:r w:rsidRPr="00260713">
              <w:rPr>
                <w:rFonts w:eastAsia="Calibri"/>
                <w:lang w:eastAsia="bg-BG"/>
              </w:rPr>
              <w:t>, където да се провеждат практически занятия по определена тема с цел придобиване на информация и запознаване в реални практически условия. Именно полетата в земеделските стопанства отговарят на реалните практически условия за работа на земеделските стопани.</w:t>
            </w:r>
          </w:p>
          <w:p w:rsidR="00781456" w:rsidRPr="31439A07" w:rsidRDefault="00781456" w:rsidP="001E7468">
            <w:pPr>
              <w:jc w:val="center"/>
              <w:rPr>
                <w:rFonts w:ascii="Times New Roman" w:hAnsi="Times New Roman" w:cs="Times New Roman"/>
                <w:b/>
                <w:bCs/>
                <w:sz w:val="18"/>
                <w:szCs w:val="18"/>
              </w:rPr>
            </w:pPr>
          </w:p>
        </w:tc>
      </w:tr>
      <w:tr w:rsidR="00C3267A" w:rsidRPr="002954C9" w:rsidTr="00CB7063">
        <w:tc>
          <w:tcPr>
            <w:tcW w:w="449" w:type="dxa"/>
            <w:vAlign w:val="center"/>
          </w:tcPr>
          <w:p w:rsidR="00C3267A" w:rsidRPr="002954C9" w:rsidRDefault="00C3267A" w:rsidP="001E7468">
            <w:pPr>
              <w:jc w:val="center"/>
              <w:rPr>
                <w:rFonts w:ascii="Times New Roman" w:hAnsi="Times New Roman" w:cs="Times New Roman"/>
                <w:b/>
                <w:sz w:val="18"/>
                <w:szCs w:val="18"/>
              </w:rPr>
            </w:pPr>
            <w:r>
              <w:rPr>
                <w:rFonts w:ascii="Times New Roman" w:hAnsi="Times New Roman" w:cs="Times New Roman"/>
                <w:b/>
                <w:sz w:val="18"/>
                <w:szCs w:val="18"/>
              </w:rPr>
              <w:t>10</w:t>
            </w:r>
          </w:p>
        </w:tc>
        <w:tc>
          <w:tcPr>
            <w:tcW w:w="1714" w:type="dxa"/>
            <w:shd w:val="clear" w:color="auto" w:fill="FFFFFF" w:themeFill="background1"/>
            <w:vAlign w:val="center"/>
          </w:tcPr>
          <w:p w:rsidR="00C3267A" w:rsidRPr="00AE1CF5" w:rsidRDefault="00C3267A" w:rsidP="00EA242F">
            <w:pPr>
              <w:jc w:val="center"/>
              <w:rPr>
                <w:rFonts w:ascii="Times New Roman" w:hAnsi="Times New Roman" w:cs="Times New Roman"/>
                <w:b/>
                <w:sz w:val="20"/>
                <w:szCs w:val="20"/>
                <w:lang w:val="en-US"/>
              </w:rPr>
            </w:pPr>
            <w:r>
              <w:rPr>
                <w:rFonts w:ascii="Times New Roman" w:hAnsi="Times New Roman" w:cs="Times New Roman"/>
                <w:b/>
                <w:sz w:val="20"/>
                <w:szCs w:val="20"/>
              </w:rPr>
              <w:t>Съюз на дунавските овощари</w:t>
            </w:r>
            <w:r>
              <w:rPr>
                <w:rFonts w:ascii="Times New Roman" w:hAnsi="Times New Roman" w:cs="Times New Roman"/>
                <w:b/>
                <w:sz w:val="20"/>
                <w:szCs w:val="20"/>
                <w:lang w:val="en-US"/>
              </w:rPr>
              <w:t xml:space="preserve"> </w:t>
            </w:r>
            <w:r w:rsidRPr="00AE1CF5">
              <w:rPr>
                <w:rFonts w:ascii="Times New Roman" w:hAnsi="Times New Roman" w:cs="Times New Roman"/>
                <w:b/>
                <w:sz w:val="20"/>
                <w:szCs w:val="20"/>
                <w:lang w:val="en-US"/>
              </w:rPr>
              <w:t>и Добруджански овощарски съюз</w:t>
            </w:r>
          </w:p>
        </w:tc>
        <w:tc>
          <w:tcPr>
            <w:tcW w:w="12190" w:type="dxa"/>
            <w:shd w:val="clear" w:color="auto" w:fill="FFFFFF" w:themeFill="background1"/>
            <w:vAlign w:val="center"/>
          </w:tcPr>
          <w:p w:rsidR="00C3267A" w:rsidRPr="006821FA" w:rsidRDefault="00C3267A" w:rsidP="00C3267A">
            <w:pPr>
              <w:pStyle w:val="BodyText"/>
              <w:jc w:val="both"/>
              <w:rPr>
                <w:rFonts w:eastAsia="Calibri"/>
              </w:rPr>
            </w:pPr>
            <w:r w:rsidRPr="006821FA">
              <w:rPr>
                <w:rFonts w:eastAsia="Calibri"/>
              </w:rPr>
              <w:t>По текст "Организациите трябва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w:t>
            </w:r>
          </w:p>
          <w:p w:rsidR="00C3267A" w:rsidRPr="006821FA" w:rsidRDefault="00C3267A" w:rsidP="00C3267A">
            <w:pPr>
              <w:pStyle w:val="BodyText"/>
              <w:jc w:val="both"/>
              <w:rPr>
                <w:rFonts w:eastAsia="Calibri"/>
              </w:rPr>
            </w:pPr>
            <w:r w:rsidRPr="006821FA">
              <w:rPr>
                <w:rFonts w:eastAsia="Calibri"/>
              </w:rPr>
              <w:t>Браншовите организации в овощарст</w:t>
            </w:r>
            <w:bookmarkStart w:id="1" w:name="_GoBack"/>
            <w:bookmarkEnd w:id="1"/>
            <w:r w:rsidRPr="006821FA">
              <w:rPr>
                <w:rFonts w:eastAsia="Calibri"/>
              </w:rPr>
              <w:t>вото са структури, които тясно работят със своите членове. Те не представляват опитни станции със свои площи. Опитите и инновациите от нови сортове или нови технологии се извършват изцяло на полета, собственост на своити членове. Те се проследяват от собстваника и агрономи на сдружениятя.</w:t>
            </w:r>
          </w:p>
          <w:p w:rsidR="00C3267A" w:rsidRPr="31439A07" w:rsidRDefault="00C3267A" w:rsidP="00C3267A">
            <w:pPr>
              <w:jc w:val="both"/>
              <w:rPr>
                <w:rFonts w:ascii="Times New Roman" w:hAnsi="Times New Roman" w:cs="Times New Roman"/>
                <w:b/>
                <w:bCs/>
                <w:sz w:val="18"/>
                <w:szCs w:val="18"/>
              </w:rPr>
            </w:pPr>
            <w:r w:rsidRPr="00C3267A">
              <w:rPr>
                <w:rFonts w:ascii="Times New Roman" w:eastAsia="Calibri" w:hAnsi="Times New Roman" w:cs="Times New Roman"/>
                <w:sz w:val="23"/>
                <w:szCs w:val="23"/>
                <w:lang w:val="en-US"/>
              </w:rPr>
              <w:t>Предлагаме за демонстрационни обекти от типа на учебно-опитни полета и изследователски опитни полета да може да се използвата такива, собственост на член на</w:t>
            </w: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11</w:t>
            </w:r>
          </w:p>
        </w:tc>
        <w:tc>
          <w:tcPr>
            <w:tcW w:w="1714" w:type="dxa"/>
            <w:shd w:val="clear" w:color="auto" w:fill="FFFFFF" w:themeFill="background1"/>
            <w:vAlign w:val="center"/>
          </w:tcPr>
          <w:p w:rsidR="00781456" w:rsidRDefault="00781456" w:rsidP="00EA242F">
            <w:pPr>
              <w:jc w:val="center"/>
              <w:rPr>
                <w:rFonts w:ascii="Times New Roman" w:hAnsi="Times New Roman" w:cs="Times New Roman"/>
                <w:b/>
                <w:sz w:val="20"/>
                <w:szCs w:val="20"/>
              </w:rPr>
            </w:pPr>
            <w:r w:rsidRPr="00425A8F">
              <w:rPr>
                <w:rFonts w:ascii="Times New Roman" w:hAnsi="Times New Roman" w:cs="Times New Roman"/>
                <w:b/>
                <w:sz w:val="20"/>
                <w:szCs w:val="20"/>
              </w:rPr>
              <w:t>Асоциация на земеделските производители в България</w:t>
            </w:r>
          </w:p>
        </w:tc>
        <w:tc>
          <w:tcPr>
            <w:tcW w:w="12190" w:type="dxa"/>
            <w:shd w:val="clear" w:color="auto" w:fill="FFFFFF" w:themeFill="background1"/>
            <w:vAlign w:val="center"/>
          </w:tcPr>
          <w:p w:rsidR="00781456" w:rsidRDefault="00781456" w:rsidP="006821FA">
            <w:pPr>
              <w:pStyle w:val="BodyText"/>
              <w:rPr>
                <w:rFonts w:eastAsia="Calibri"/>
                <w:lang w:val="bg-BG"/>
              </w:rPr>
            </w:pPr>
            <w:r w:rsidRPr="00425A8F">
              <w:rPr>
                <w:rFonts w:eastAsia="Calibri"/>
              </w:rPr>
              <w:t xml:space="preserve">Тъй като документът е в режим track-changes и има приложени коментари, документът е прикачен: </w:t>
            </w:r>
          </w:p>
          <w:p w:rsidR="00781456" w:rsidRDefault="00781456" w:rsidP="006821FA">
            <w:pPr>
              <w:pStyle w:val="BodyText"/>
              <w:rPr>
                <w:rFonts w:eastAsia="Calibri"/>
                <w:lang w:val="bg-BG"/>
              </w:rPr>
            </w:pPr>
            <w:r>
              <w:rPr>
                <w:rFonts w:eastAsia="Calibri"/>
                <w:lang w:val="bg-BG"/>
              </w:rPr>
              <w:object w:dxaOrig="1551" w:dyaOrig="991">
                <v:shape id="_x0000_i1025" type="#_x0000_t75" style="width:78pt;height:49.5pt" o:ole="">
                  <v:imagedata r:id="rId9" o:title=""/>
                </v:shape>
                <o:OLEObject Type="Embed" ProgID="Word.Document.12" ShapeID="_x0000_i1025" DrawAspect="Icon" ObjectID="_1669463271" r:id="rId10">
                  <o:FieldCodes>\s</o:FieldCodes>
                </o:OLEObject>
              </w:object>
            </w:r>
          </w:p>
          <w:p w:rsidR="00781456" w:rsidRDefault="00781456" w:rsidP="006821FA">
            <w:pPr>
              <w:pStyle w:val="BodyText"/>
              <w:rPr>
                <w:rFonts w:eastAsia="Calibri"/>
                <w:lang w:val="bg-BG"/>
              </w:rPr>
            </w:pPr>
          </w:p>
          <w:p w:rsidR="00781456" w:rsidRDefault="00781456" w:rsidP="006821FA">
            <w:pPr>
              <w:pStyle w:val="BodyText"/>
              <w:rPr>
                <w:rFonts w:eastAsia="Calibri"/>
                <w:lang w:val="bg-BG"/>
              </w:rPr>
            </w:pPr>
          </w:p>
          <w:p w:rsidR="00781456" w:rsidRPr="31439A07" w:rsidRDefault="00781456" w:rsidP="001E7468">
            <w:pPr>
              <w:jc w:val="center"/>
              <w:rPr>
                <w:rFonts w:ascii="Times New Roman" w:hAnsi="Times New Roman" w:cs="Times New Roman"/>
                <w:b/>
                <w:bCs/>
                <w:sz w:val="18"/>
                <w:szCs w:val="18"/>
              </w:rPr>
            </w:pP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lastRenderedPageBreak/>
              <w:t>12</w:t>
            </w:r>
          </w:p>
        </w:tc>
        <w:tc>
          <w:tcPr>
            <w:tcW w:w="1714" w:type="dxa"/>
            <w:shd w:val="clear" w:color="auto" w:fill="FFFFFF" w:themeFill="background1"/>
            <w:vAlign w:val="center"/>
          </w:tcPr>
          <w:p w:rsidR="00781456" w:rsidRPr="00A277B3" w:rsidRDefault="00781456" w:rsidP="00EA242F">
            <w:pPr>
              <w:jc w:val="center"/>
              <w:rPr>
                <w:rFonts w:ascii="Times New Roman" w:hAnsi="Times New Roman" w:cs="Times New Roman"/>
                <w:b/>
                <w:sz w:val="20"/>
                <w:szCs w:val="20"/>
                <w:lang w:val="en-US"/>
              </w:rPr>
            </w:pPr>
            <w:r>
              <w:rPr>
                <w:rFonts w:ascii="Times New Roman" w:hAnsi="Times New Roman" w:cs="Times New Roman"/>
                <w:b/>
                <w:sz w:val="20"/>
                <w:szCs w:val="20"/>
              </w:rPr>
              <w:t>Б</w:t>
            </w:r>
            <w:r>
              <w:rPr>
                <w:rFonts w:ascii="Times New Roman" w:hAnsi="Times New Roman" w:cs="Times New Roman"/>
                <w:b/>
                <w:sz w:val="20"/>
                <w:szCs w:val="20"/>
                <w:lang w:val="en-US"/>
              </w:rPr>
              <w:t>ългарска асоциация на производителите на оранжерийна продукция</w:t>
            </w:r>
          </w:p>
        </w:tc>
        <w:tc>
          <w:tcPr>
            <w:tcW w:w="12190" w:type="dxa"/>
            <w:shd w:val="clear" w:color="auto" w:fill="FFFFFF" w:themeFill="background1"/>
            <w:vAlign w:val="center"/>
          </w:tcPr>
          <w:p w:rsidR="00781456" w:rsidRDefault="00781456" w:rsidP="006821FA">
            <w:pPr>
              <w:pStyle w:val="BodyText"/>
              <w:rPr>
                <w:rFonts w:eastAsia="Calibri"/>
                <w:lang w:val="bg-BG"/>
              </w:rPr>
            </w:pPr>
          </w:p>
          <w:p w:rsidR="00781456" w:rsidRDefault="00781456" w:rsidP="006821FA">
            <w:pPr>
              <w:pStyle w:val="BodyText"/>
              <w:rPr>
                <w:rFonts w:eastAsia="Calibri"/>
                <w:lang w:val="bg-BG"/>
              </w:rPr>
            </w:pPr>
          </w:p>
          <w:p w:rsidR="00781456" w:rsidRDefault="00781456" w:rsidP="00425A8F">
            <w:pPr>
              <w:pStyle w:val="BodyText"/>
              <w:rPr>
                <w:rFonts w:eastAsia="Calibri"/>
                <w:lang w:val="bg-BG"/>
              </w:rPr>
            </w:pPr>
            <w:r w:rsidRPr="00425A8F">
              <w:rPr>
                <w:rFonts w:eastAsia="Calibri"/>
              </w:rPr>
              <w:t xml:space="preserve">Тъй като документът е в режим track-changes и има приложени коментари, документът е прикачен: </w:t>
            </w:r>
          </w:p>
          <w:p w:rsidR="00781456" w:rsidRDefault="00781456" w:rsidP="00515A18">
            <w:pPr>
              <w:pStyle w:val="BodyText"/>
              <w:rPr>
                <w:rFonts w:eastAsia="Calibri"/>
                <w:lang w:val="bg-BG"/>
              </w:rPr>
            </w:pPr>
          </w:p>
          <w:p w:rsidR="00781456" w:rsidRDefault="00781456" w:rsidP="00515A18">
            <w:pPr>
              <w:pStyle w:val="BodyText"/>
              <w:rPr>
                <w:rFonts w:eastAsia="Calibri"/>
                <w:lang w:val="bg-BG"/>
              </w:rPr>
            </w:pPr>
            <w:r>
              <w:rPr>
                <w:rFonts w:eastAsia="Calibri"/>
                <w:lang w:val="bg-BG"/>
              </w:rPr>
              <w:object w:dxaOrig="1551" w:dyaOrig="991">
                <v:shape id="_x0000_i1026" type="#_x0000_t75" style="width:78pt;height:49.5pt" o:ole="">
                  <v:imagedata r:id="rId11" o:title=""/>
                </v:shape>
                <o:OLEObject Type="Embed" ProgID="Word.Document.12" ShapeID="_x0000_i1026" DrawAspect="Icon" ObjectID="_1669463272" r:id="rId12">
                  <o:FieldCodes>\s</o:FieldCodes>
                </o:OLEObject>
              </w:object>
            </w:r>
          </w:p>
          <w:p w:rsidR="00781456" w:rsidRPr="31439A07" w:rsidRDefault="00781456" w:rsidP="001E7468">
            <w:pPr>
              <w:jc w:val="center"/>
              <w:rPr>
                <w:rFonts w:ascii="Times New Roman" w:hAnsi="Times New Roman" w:cs="Times New Roman"/>
                <w:b/>
                <w:bCs/>
                <w:sz w:val="18"/>
                <w:szCs w:val="18"/>
              </w:rPr>
            </w:pPr>
          </w:p>
        </w:tc>
      </w:tr>
      <w:tr w:rsidR="006821FA" w:rsidRPr="002954C9" w:rsidTr="00781456">
        <w:tc>
          <w:tcPr>
            <w:tcW w:w="14353" w:type="dxa"/>
            <w:gridSpan w:val="3"/>
            <w:shd w:val="clear" w:color="auto" w:fill="C6D9F1" w:themeFill="text2" w:themeFillTint="33"/>
            <w:vAlign w:val="center"/>
          </w:tcPr>
          <w:p w:rsidR="006821FA" w:rsidRPr="006821FA" w:rsidRDefault="006821FA" w:rsidP="001E7468">
            <w:pPr>
              <w:jc w:val="center"/>
              <w:rPr>
                <w:rFonts w:ascii="Times New Roman" w:hAnsi="Times New Roman" w:cs="Times New Roman"/>
                <w:b/>
                <w:bCs/>
                <w:sz w:val="18"/>
                <w:szCs w:val="18"/>
              </w:rPr>
            </w:pPr>
            <w:r w:rsidRPr="00425A8F">
              <w:rPr>
                <w:rFonts w:ascii="Times New Roman" w:hAnsi="Times New Roman" w:cs="Times New Roman"/>
                <w:b/>
                <w:sz w:val="20"/>
                <w:szCs w:val="20"/>
              </w:rPr>
              <w:t>ОБЩИ КОМЕНТАРИ</w:t>
            </w: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13</w:t>
            </w:r>
          </w:p>
        </w:tc>
        <w:tc>
          <w:tcPr>
            <w:tcW w:w="1714" w:type="dxa"/>
            <w:shd w:val="clear" w:color="auto" w:fill="FFFFFF" w:themeFill="background1"/>
            <w:vAlign w:val="center"/>
          </w:tcPr>
          <w:p w:rsidR="00781456" w:rsidRPr="00E7517B" w:rsidRDefault="00781456" w:rsidP="001E7468">
            <w:pPr>
              <w:jc w:val="center"/>
              <w:rPr>
                <w:rFonts w:ascii="Times New Roman" w:hAnsi="Times New Roman" w:cs="Times New Roman"/>
                <w:b/>
                <w:sz w:val="20"/>
                <w:szCs w:val="20"/>
              </w:rPr>
            </w:pPr>
            <w:r w:rsidRPr="00370379">
              <w:rPr>
                <w:rFonts w:ascii="Times New Roman" w:hAnsi="Times New Roman" w:cs="Times New Roman"/>
                <w:b/>
                <w:sz w:val="20"/>
                <w:szCs w:val="20"/>
              </w:rPr>
              <w:t>Получен от имейл: rosi_bb@abv.bg</w:t>
            </w:r>
          </w:p>
        </w:tc>
        <w:tc>
          <w:tcPr>
            <w:tcW w:w="12190" w:type="dxa"/>
            <w:shd w:val="clear" w:color="auto" w:fill="FFFFFF" w:themeFill="background1"/>
            <w:vAlign w:val="center"/>
          </w:tcPr>
          <w:p w:rsidR="00781456" w:rsidRPr="00E7517B" w:rsidRDefault="00781456" w:rsidP="00260713">
            <w:pPr>
              <w:pStyle w:val="BodyText"/>
              <w:rPr>
                <w:rFonts w:eastAsia="Calibri"/>
              </w:rPr>
            </w:pPr>
            <w:r w:rsidRPr="00E7517B">
              <w:rPr>
                <w:rFonts w:eastAsia="Calibri"/>
              </w:rPr>
              <w:t>1.</w:t>
            </w:r>
            <w:r w:rsidRPr="00E7517B">
              <w:rPr>
                <w:rFonts w:eastAsia="Calibri"/>
              </w:rPr>
              <w:tab/>
              <w:t>Подпомагане на доходите ни чрез основните и допълнителни плащания, които да доведат до изпълнение на индикаторите:</w:t>
            </w:r>
          </w:p>
          <w:p w:rsidR="00781456" w:rsidRPr="00E7517B" w:rsidRDefault="00781456" w:rsidP="00260713">
            <w:pPr>
              <w:pStyle w:val="BodyText"/>
              <w:rPr>
                <w:rFonts w:eastAsia="Calibri"/>
              </w:rPr>
            </w:pPr>
            <w:r w:rsidRPr="00E7517B">
              <w:rPr>
                <w:rFonts w:eastAsia="Calibri"/>
              </w:rPr>
              <w:t xml:space="preserve">А) R 4. Обвързване на подпомагането на доходите с изпълнението на стандартите и добрите практики, използвани от </w:t>
            </w:r>
            <w:proofErr w:type="gramStart"/>
            <w:r w:rsidRPr="00E7517B">
              <w:rPr>
                <w:rFonts w:eastAsia="Calibri"/>
              </w:rPr>
              <w:t>,,истински</w:t>
            </w:r>
            <w:proofErr w:type="gramEnd"/>
            <w:r w:rsidRPr="00E7517B">
              <w:rPr>
                <w:rFonts w:eastAsia="Calibri"/>
              </w:rPr>
              <w:t xml:space="preserve"> земеделски стопани”.</w:t>
            </w:r>
          </w:p>
          <w:p w:rsidR="00781456" w:rsidRPr="00E7517B" w:rsidRDefault="00781456" w:rsidP="00260713">
            <w:pPr>
              <w:pStyle w:val="BodyText"/>
              <w:rPr>
                <w:rFonts w:eastAsia="Calibri"/>
              </w:rPr>
            </w:pPr>
            <w:r w:rsidRPr="00E7517B">
              <w:rPr>
                <w:rFonts w:eastAsia="Calibri"/>
              </w:rPr>
              <w:t xml:space="preserve">- Защо няма дефиниция на </w:t>
            </w:r>
            <w:proofErr w:type="gramStart"/>
            <w:r w:rsidRPr="00E7517B">
              <w:rPr>
                <w:rFonts w:eastAsia="Calibri"/>
              </w:rPr>
              <w:t>,,истински</w:t>
            </w:r>
            <w:proofErr w:type="gramEnd"/>
            <w:r w:rsidRPr="00E7517B">
              <w:rPr>
                <w:rFonts w:eastAsia="Calibri"/>
              </w:rPr>
              <w:t xml:space="preserve"> земеделски стопани”? Кога ще се даде?</w:t>
            </w:r>
          </w:p>
          <w:p w:rsidR="00781456" w:rsidRPr="00E7517B" w:rsidRDefault="00781456" w:rsidP="00260713">
            <w:pPr>
              <w:pStyle w:val="BodyText"/>
              <w:rPr>
                <w:rFonts w:eastAsia="Calibri"/>
              </w:rPr>
            </w:pPr>
            <w:r w:rsidRPr="00E7517B">
              <w:rPr>
                <w:rFonts w:eastAsia="Calibri"/>
              </w:rPr>
              <w:t>Б)  R 30. Обновяване на поколенията чрез привличане на нови, млади земеделски стопани.</w:t>
            </w:r>
          </w:p>
          <w:p w:rsidR="00781456" w:rsidRPr="00E7517B" w:rsidRDefault="00781456" w:rsidP="00260713">
            <w:pPr>
              <w:pStyle w:val="BodyText"/>
              <w:rPr>
                <w:rFonts w:eastAsia="Calibri"/>
              </w:rPr>
            </w:pPr>
            <w:r w:rsidRPr="00E7517B">
              <w:rPr>
                <w:rFonts w:eastAsia="Calibri"/>
              </w:rPr>
              <w:t>- Да те трябва да получат допълнително подпомагане на площите до 30 ха и тази ставка всяка година да се увеличава, но при спазване на определени изисквания, а не просто да има регистрация и получаване на средства от нови стопани и служители без познания и интерес. Реално целта: източване на средства чрез предвиждащите се, новосформиращи се мобилни общински центрове за обучения и консултации.</w:t>
            </w:r>
          </w:p>
          <w:p w:rsidR="00781456" w:rsidRPr="00E7517B" w:rsidRDefault="00781456" w:rsidP="00260713">
            <w:pPr>
              <w:pStyle w:val="BodyText"/>
              <w:rPr>
                <w:rFonts w:eastAsia="Calibri"/>
              </w:rPr>
            </w:pPr>
            <w:r w:rsidRPr="00E7517B">
              <w:rPr>
                <w:rFonts w:eastAsia="Calibri"/>
              </w:rPr>
              <w:t>В)   R 6. Преразпределяне на подпомагането към по-малките и средни земеделски стопанства до 30 ха и максимум до 500 ха.</w:t>
            </w:r>
          </w:p>
          <w:p w:rsidR="00781456" w:rsidRPr="00E7517B" w:rsidRDefault="00781456" w:rsidP="00260713">
            <w:pPr>
              <w:pStyle w:val="BodyText"/>
              <w:rPr>
                <w:rFonts w:eastAsia="Calibri"/>
              </w:rPr>
            </w:pPr>
            <w:r w:rsidRPr="00E7517B">
              <w:rPr>
                <w:rFonts w:eastAsia="Calibri"/>
              </w:rPr>
              <w:t>- Това допълнително преразпределително подпомагане на доходите трябва да гарантира устойчивост, надеждни доходи и подобряване на продоволствената сигурност. Очакваме отговор на:</w:t>
            </w:r>
          </w:p>
          <w:p w:rsidR="00781456" w:rsidRPr="00E7517B" w:rsidRDefault="00781456" w:rsidP="00260713">
            <w:pPr>
              <w:pStyle w:val="BodyText"/>
              <w:rPr>
                <w:rFonts w:eastAsia="Calibri"/>
              </w:rPr>
            </w:pPr>
            <w:r w:rsidRPr="00E7517B">
              <w:rPr>
                <w:rFonts w:eastAsia="Calibri"/>
              </w:rPr>
              <w:t xml:space="preserve">- Защо няма определение на понятията: малко и средно земеделско стопанство? Много е голям диапазона от 30 ха до 500 ха, който квалифицира вида на стопанството. Пример: Стопанство с 5 000 дка и с 200 лв. </w:t>
            </w:r>
            <w:proofErr w:type="gramStart"/>
            <w:r w:rsidRPr="00E7517B">
              <w:rPr>
                <w:rFonts w:eastAsia="Calibri"/>
              </w:rPr>
              <w:t>приход</w:t>
            </w:r>
            <w:proofErr w:type="gramEnd"/>
            <w:r w:rsidRPr="00E7517B">
              <w:rPr>
                <w:rFonts w:eastAsia="Calibri"/>
              </w:rPr>
              <w:t xml:space="preserve"> на декар има оборот минимум 1 00 000 лв – малко, средно или голямо е това стопанство? Еднакво допълнително </w:t>
            </w:r>
            <w:proofErr w:type="gramStart"/>
            <w:r w:rsidRPr="00E7517B">
              <w:rPr>
                <w:rFonts w:eastAsia="Calibri"/>
              </w:rPr>
              <w:t>подпомагане  ли</w:t>
            </w:r>
            <w:proofErr w:type="gramEnd"/>
            <w:r w:rsidRPr="00E7517B">
              <w:rPr>
                <w:rFonts w:eastAsia="Calibri"/>
              </w:rPr>
              <w:t xml:space="preserve"> ще получава това стопанство каквото и стопанството с до 30 ха? /300 дка Х 200 лв = 60 000 лв</w:t>
            </w:r>
            <w:proofErr w:type="gramStart"/>
            <w:r w:rsidRPr="00E7517B">
              <w:rPr>
                <w:rFonts w:eastAsia="Calibri"/>
              </w:rPr>
              <w:t>./</w:t>
            </w:r>
            <w:proofErr w:type="gramEnd"/>
            <w:r w:rsidRPr="00E7517B">
              <w:rPr>
                <w:rFonts w:eastAsia="Calibri"/>
              </w:rPr>
              <w:t xml:space="preserve">   В Европейските страни стопанствата са под 500 ха и те от какъв вид са?</w:t>
            </w:r>
          </w:p>
          <w:p w:rsidR="00781456" w:rsidRPr="00E7517B" w:rsidRDefault="00781456" w:rsidP="00260713">
            <w:pPr>
              <w:pStyle w:val="BodyText"/>
              <w:rPr>
                <w:rFonts w:eastAsia="Calibri"/>
              </w:rPr>
            </w:pPr>
            <w:r w:rsidRPr="00E7517B">
              <w:rPr>
                <w:rFonts w:eastAsia="Calibri"/>
              </w:rPr>
              <w:t xml:space="preserve">- Предлагаме това допълнително преразпределително подпомагане да </w:t>
            </w:r>
            <w:proofErr w:type="gramStart"/>
            <w:r w:rsidRPr="00E7517B">
              <w:rPr>
                <w:rFonts w:eastAsia="Calibri"/>
              </w:rPr>
              <w:t>бъде  максимум</w:t>
            </w:r>
            <w:proofErr w:type="gramEnd"/>
            <w:r w:rsidRPr="00E7517B">
              <w:rPr>
                <w:rFonts w:eastAsia="Calibri"/>
              </w:rPr>
              <w:t xml:space="preserve"> до 200 ха. </w:t>
            </w:r>
          </w:p>
          <w:p w:rsidR="00781456" w:rsidRPr="31439A07" w:rsidRDefault="00781456" w:rsidP="001E7468">
            <w:pPr>
              <w:jc w:val="center"/>
              <w:rPr>
                <w:rFonts w:ascii="Times New Roman" w:hAnsi="Times New Roman" w:cs="Times New Roman"/>
                <w:b/>
                <w:bCs/>
                <w:sz w:val="18"/>
                <w:szCs w:val="18"/>
              </w:rPr>
            </w:pPr>
            <w:r w:rsidRPr="00E7517B">
              <w:rPr>
                <w:rFonts w:eastAsia="Calibri"/>
              </w:rPr>
              <w:t>- Прилага ли се тук стойността от 20 000 евро по СПО за малък стопанин?</w:t>
            </w:r>
          </w:p>
        </w:tc>
      </w:tr>
      <w:tr w:rsidR="00781456" w:rsidRPr="002954C9" w:rsidTr="00781456">
        <w:tc>
          <w:tcPr>
            <w:tcW w:w="449" w:type="dxa"/>
            <w:vAlign w:val="center"/>
          </w:tcPr>
          <w:p w:rsidR="00781456" w:rsidRPr="002954C9" w:rsidRDefault="00781456" w:rsidP="001E7468">
            <w:pPr>
              <w:jc w:val="center"/>
              <w:rPr>
                <w:rFonts w:ascii="Times New Roman" w:hAnsi="Times New Roman" w:cs="Times New Roman"/>
                <w:b/>
                <w:sz w:val="18"/>
                <w:szCs w:val="18"/>
              </w:rPr>
            </w:pPr>
            <w:r>
              <w:rPr>
                <w:rFonts w:ascii="Times New Roman" w:hAnsi="Times New Roman" w:cs="Times New Roman"/>
                <w:b/>
                <w:sz w:val="18"/>
                <w:szCs w:val="18"/>
              </w:rPr>
              <w:t>14</w:t>
            </w:r>
          </w:p>
        </w:tc>
        <w:tc>
          <w:tcPr>
            <w:tcW w:w="1714" w:type="dxa"/>
            <w:shd w:val="clear" w:color="auto" w:fill="FFFFFF" w:themeFill="background1"/>
            <w:vAlign w:val="center"/>
          </w:tcPr>
          <w:p w:rsidR="00781456" w:rsidRPr="00425A8F" w:rsidRDefault="00781456" w:rsidP="001E7468">
            <w:pPr>
              <w:jc w:val="center"/>
              <w:rPr>
                <w:rFonts w:ascii="Times New Roman" w:hAnsi="Times New Roman" w:cs="Times New Roman"/>
                <w:b/>
                <w:sz w:val="20"/>
                <w:szCs w:val="20"/>
                <w:lang w:val="en-US"/>
              </w:rPr>
            </w:pPr>
            <w:r>
              <w:rPr>
                <w:rFonts w:ascii="Times New Roman" w:hAnsi="Times New Roman" w:cs="Times New Roman"/>
                <w:b/>
                <w:sz w:val="20"/>
                <w:szCs w:val="20"/>
              </w:rPr>
              <w:t>А</w:t>
            </w:r>
            <w:r>
              <w:rPr>
                <w:rFonts w:ascii="Times New Roman" w:hAnsi="Times New Roman" w:cs="Times New Roman"/>
                <w:b/>
                <w:sz w:val="20"/>
                <w:szCs w:val="20"/>
                <w:lang w:val="en-US"/>
              </w:rPr>
              <w:t xml:space="preserve">социация на земеделските производители </w:t>
            </w:r>
            <w:r>
              <w:rPr>
                <w:rFonts w:ascii="Times New Roman" w:hAnsi="Times New Roman" w:cs="Times New Roman"/>
                <w:b/>
                <w:sz w:val="20"/>
                <w:szCs w:val="20"/>
                <w:lang w:val="en-US"/>
              </w:rPr>
              <w:lastRenderedPageBreak/>
              <w:t>в България</w:t>
            </w:r>
          </w:p>
        </w:tc>
        <w:tc>
          <w:tcPr>
            <w:tcW w:w="12190" w:type="dxa"/>
            <w:shd w:val="clear" w:color="auto" w:fill="FFFFFF" w:themeFill="background1"/>
            <w:vAlign w:val="center"/>
          </w:tcPr>
          <w:p w:rsidR="00781456" w:rsidRDefault="00781456" w:rsidP="00515A18">
            <w:pPr>
              <w:pStyle w:val="BodyText"/>
            </w:pPr>
            <w:r>
              <w:lastRenderedPageBreak/>
              <w:t xml:space="preserve">Относно предоставените за 5-то заседание на ТРГ проекти на интервенции по ЕФГЗ, бихме искали да споделим, че имаме множеството въпроси, чиито отговори обаче не очакваме да получим от Вас, тъй като ще станат ясни от резултата на текущите триалози в ЕС. </w:t>
            </w:r>
          </w:p>
          <w:p w:rsidR="00781456" w:rsidRPr="31439A07" w:rsidRDefault="00781456" w:rsidP="001E7468">
            <w:pPr>
              <w:jc w:val="center"/>
              <w:rPr>
                <w:rFonts w:ascii="Times New Roman" w:hAnsi="Times New Roman" w:cs="Times New Roman"/>
                <w:b/>
                <w:bCs/>
                <w:sz w:val="18"/>
                <w:szCs w:val="18"/>
              </w:rPr>
            </w:pPr>
          </w:p>
        </w:tc>
      </w:tr>
    </w:tbl>
    <w:p w:rsidR="00BC54C6" w:rsidRPr="00234BBE" w:rsidRDefault="00BC54C6">
      <w:pPr>
        <w:rPr>
          <w:lang w:val="ru-RU"/>
        </w:rPr>
      </w:pPr>
    </w:p>
    <w:sectPr w:rsidR="00BC54C6" w:rsidRPr="00234BBE" w:rsidSect="00F719C3">
      <w:footerReference w:type="default" r:id="rId13"/>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100" w:rsidRDefault="00373100" w:rsidP="00B23128">
      <w:pPr>
        <w:spacing w:after="0" w:line="240" w:lineRule="auto"/>
      </w:pPr>
      <w:r>
        <w:separator/>
      </w:r>
    </w:p>
  </w:endnote>
  <w:endnote w:type="continuationSeparator" w:id="0">
    <w:p w:rsidR="00373100" w:rsidRDefault="00373100" w:rsidP="00B23128">
      <w:pPr>
        <w:spacing w:after="0" w:line="240" w:lineRule="auto"/>
      </w:pPr>
      <w:r>
        <w:continuationSeparator/>
      </w:r>
    </w:p>
  </w:endnote>
  <w:endnote w:type="continuationNotice" w:id="1">
    <w:p w:rsidR="00373100" w:rsidRDefault="00373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C3267A">
          <w:rPr>
            <w:noProof/>
          </w:rPr>
          <w:t>9</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100" w:rsidRDefault="00373100" w:rsidP="00B23128">
      <w:pPr>
        <w:spacing w:after="0" w:line="240" w:lineRule="auto"/>
      </w:pPr>
      <w:r>
        <w:separator/>
      </w:r>
    </w:p>
  </w:footnote>
  <w:footnote w:type="continuationSeparator" w:id="0">
    <w:p w:rsidR="00373100" w:rsidRDefault="00373100" w:rsidP="00B23128">
      <w:pPr>
        <w:spacing w:after="0" w:line="240" w:lineRule="auto"/>
      </w:pPr>
      <w:r>
        <w:continuationSeparator/>
      </w:r>
    </w:p>
  </w:footnote>
  <w:footnote w:type="continuationNotice" w:id="1">
    <w:p w:rsidR="00373100" w:rsidRDefault="0037310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1">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2">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4">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6">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7">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9">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0">
    <w:nsid w:val="358566AF"/>
    <w:multiLevelType w:val="hybridMultilevel"/>
    <w:tmpl w:val="C36446DC"/>
    <w:lvl w:ilvl="0" w:tplc="1B10872A">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2">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3">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nsid w:val="5418526A"/>
    <w:multiLevelType w:val="hybridMultilevel"/>
    <w:tmpl w:val="1854B634"/>
    <w:lvl w:ilvl="0" w:tplc="020036F8">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19">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0">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2">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23">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24">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9"/>
  </w:num>
  <w:num w:numId="4">
    <w:abstractNumId w:val="18"/>
  </w:num>
  <w:num w:numId="5">
    <w:abstractNumId w:val="23"/>
  </w:num>
  <w:num w:numId="6">
    <w:abstractNumId w:val="5"/>
  </w:num>
  <w:num w:numId="7">
    <w:abstractNumId w:val="8"/>
  </w:num>
  <w:num w:numId="8">
    <w:abstractNumId w:val="1"/>
  </w:num>
  <w:num w:numId="9">
    <w:abstractNumId w:val="22"/>
  </w:num>
  <w:num w:numId="10">
    <w:abstractNumId w:val="21"/>
  </w:num>
  <w:num w:numId="11">
    <w:abstractNumId w:val="12"/>
  </w:num>
  <w:num w:numId="12">
    <w:abstractNumId w:val="15"/>
  </w:num>
  <w:num w:numId="13">
    <w:abstractNumId w:val="4"/>
  </w:num>
  <w:num w:numId="14">
    <w:abstractNumId w:val="27"/>
  </w:num>
  <w:num w:numId="15">
    <w:abstractNumId w:val="13"/>
  </w:num>
  <w:num w:numId="16">
    <w:abstractNumId w:val="25"/>
  </w:num>
  <w:num w:numId="17">
    <w:abstractNumId w:val="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6"/>
  </w:num>
  <w:num w:numId="21">
    <w:abstractNumId w:val="19"/>
  </w:num>
  <w:num w:numId="22">
    <w:abstractNumId w:val="0"/>
  </w:num>
  <w:num w:numId="23">
    <w:abstractNumId w:val="2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1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317E9"/>
    <w:rsid w:val="000417DF"/>
    <w:rsid w:val="00047A0B"/>
    <w:rsid w:val="00052361"/>
    <w:rsid w:val="00053D2B"/>
    <w:rsid w:val="00057AA3"/>
    <w:rsid w:val="000636A7"/>
    <w:rsid w:val="00083782"/>
    <w:rsid w:val="00093FEA"/>
    <w:rsid w:val="000A1910"/>
    <w:rsid w:val="000B0613"/>
    <w:rsid w:val="000B07B7"/>
    <w:rsid w:val="000B7918"/>
    <w:rsid w:val="000C0BB6"/>
    <w:rsid w:val="000E6455"/>
    <w:rsid w:val="000F3934"/>
    <w:rsid w:val="000F643D"/>
    <w:rsid w:val="001103AA"/>
    <w:rsid w:val="00117F2F"/>
    <w:rsid w:val="001414FF"/>
    <w:rsid w:val="00143D55"/>
    <w:rsid w:val="00143F0E"/>
    <w:rsid w:val="0015120D"/>
    <w:rsid w:val="00165485"/>
    <w:rsid w:val="001664A0"/>
    <w:rsid w:val="001673E1"/>
    <w:rsid w:val="00183233"/>
    <w:rsid w:val="00186BDC"/>
    <w:rsid w:val="00194321"/>
    <w:rsid w:val="00194E16"/>
    <w:rsid w:val="001953E5"/>
    <w:rsid w:val="001A08BE"/>
    <w:rsid w:val="001B400B"/>
    <w:rsid w:val="001E7312"/>
    <w:rsid w:val="001E7468"/>
    <w:rsid w:val="00203906"/>
    <w:rsid w:val="00215306"/>
    <w:rsid w:val="00216A64"/>
    <w:rsid w:val="002306FE"/>
    <w:rsid w:val="00234BBE"/>
    <w:rsid w:val="0023676D"/>
    <w:rsid w:val="00260327"/>
    <w:rsid w:val="00260713"/>
    <w:rsid w:val="00274E44"/>
    <w:rsid w:val="002807EB"/>
    <w:rsid w:val="002954C9"/>
    <w:rsid w:val="002A24B2"/>
    <w:rsid w:val="002A2723"/>
    <w:rsid w:val="002B327D"/>
    <w:rsid w:val="002B54CE"/>
    <w:rsid w:val="002C0214"/>
    <w:rsid w:val="002D47D8"/>
    <w:rsid w:val="002E09D7"/>
    <w:rsid w:val="002E3F9B"/>
    <w:rsid w:val="002F5C49"/>
    <w:rsid w:val="00306DC4"/>
    <w:rsid w:val="00324228"/>
    <w:rsid w:val="00344D43"/>
    <w:rsid w:val="003612A3"/>
    <w:rsid w:val="00365E3F"/>
    <w:rsid w:val="00370379"/>
    <w:rsid w:val="00373100"/>
    <w:rsid w:val="00374C53"/>
    <w:rsid w:val="00375340"/>
    <w:rsid w:val="003872F0"/>
    <w:rsid w:val="003B3C87"/>
    <w:rsid w:val="003B4BA2"/>
    <w:rsid w:val="003B7872"/>
    <w:rsid w:val="003C142D"/>
    <w:rsid w:val="003D2DCE"/>
    <w:rsid w:val="003E4263"/>
    <w:rsid w:val="003F2985"/>
    <w:rsid w:val="003F3E38"/>
    <w:rsid w:val="003F65CD"/>
    <w:rsid w:val="00403F6D"/>
    <w:rsid w:val="004251EF"/>
    <w:rsid w:val="00425A8F"/>
    <w:rsid w:val="00431C31"/>
    <w:rsid w:val="00436178"/>
    <w:rsid w:val="0043799E"/>
    <w:rsid w:val="004462AB"/>
    <w:rsid w:val="004545F9"/>
    <w:rsid w:val="00465EC5"/>
    <w:rsid w:val="00467870"/>
    <w:rsid w:val="00477B75"/>
    <w:rsid w:val="00477C0F"/>
    <w:rsid w:val="004A7D7E"/>
    <w:rsid w:val="004B42C7"/>
    <w:rsid w:val="004C3E42"/>
    <w:rsid w:val="004D60E9"/>
    <w:rsid w:val="00515A18"/>
    <w:rsid w:val="00520FC5"/>
    <w:rsid w:val="0052154C"/>
    <w:rsid w:val="00524576"/>
    <w:rsid w:val="00526DB8"/>
    <w:rsid w:val="00537605"/>
    <w:rsid w:val="00537F5E"/>
    <w:rsid w:val="00540021"/>
    <w:rsid w:val="00560406"/>
    <w:rsid w:val="005714D2"/>
    <w:rsid w:val="0058058B"/>
    <w:rsid w:val="00580984"/>
    <w:rsid w:val="005A1258"/>
    <w:rsid w:val="005A12B1"/>
    <w:rsid w:val="005A42BF"/>
    <w:rsid w:val="005C57BA"/>
    <w:rsid w:val="005D41C6"/>
    <w:rsid w:val="005D647F"/>
    <w:rsid w:val="005E2E88"/>
    <w:rsid w:val="005E529F"/>
    <w:rsid w:val="005E5BD3"/>
    <w:rsid w:val="005F61DB"/>
    <w:rsid w:val="00605CAA"/>
    <w:rsid w:val="006303C5"/>
    <w:rsid w:val="00632B40"/>
    <w:rsid w:val="006409F3"/>
    <w:rsid w:val="006411EC"/>
    <w:rsid w:val="00653E81"/>
    <w:rsid w:val="0065709F"/>
    <w:rsid w:val="0066371B"/>
    <w:rsid w:val="006741F2"/>
    <w:rsid w:val="00675278"/>
    <w:rsid w:val="00675ADB"/>
    <w:rsid w:val="006821FA"/>
    <w:rsid w:val="00684FDA"/>
    <w:rsid w:val="006A1A8E"/>
    <w:rsid w:val="006A5788"/>
    <w:rsid w:val="006B0F53"/>
    <w:rsid w:val="006C766B"/>
    <w:rsid w:val="006D068D"/>
    <w:rsid w:val="006D3A5F"/>
    <w:rsid w:val="006D4EB6"/>
    <w:rsid w:val="006D550B"/>
    <w:rsid w:val="006E1115"/>
    <w:rsid w:val="006F0498"/>
    <w:rsid w:val="00701976"/>
    <w:rsid w:val="00702255"/>
    <w:rsid w:val="00703152"/>
    <w:rsid w:val="007039E7"/>
    <w:rsid w:val="00704FE9"/>
    <w:rsid w:val="0071224D"/>
    <w:rsid w:val="0073413B"/>
    <w:rsid w:val="007359E5"/>
    <w:rsid w:val="007367BE"/>
    <w:rsid w:val="007419C7"/>
    <w:rsid w:val="00741D66"/>
    <w:rsid w:val="00765F35"/>
    <w:rsid w:val="00781456"/>
    <w:rsid w:val="00782420"/>
    <w:rsid w:val="00783063"/>
    <w:rsid w:val="0079115A"/>
    <w:rsid w:val="007B5166"/>
    <w:rsid w:val="007B7654"/>
    <w:rsid w:val="007C3801"/>
    <w:rsid w:val="007C74C0"/>
    <w:rsid w:val="007D1AF1"/>
    <w:rsid w:val="007D249F"/>
    <w:rsid w:val="007E0404"/>
    <w:rsid w:val="007E22C3"/>
    <w:rsid w:val="007E3F2C"/>
    <w:rsid w:val="00810B78"/>
    <w:rsid w:val="00816741"/>
    <w:rsid w:val="00816A53"/>
    <w:rsid w:val="00822609"/>
    <w:rsid w:val="00826BF4"/>
    <w:rsid w:val="00832E31"/>
    <w:rsid w:val="00836ACC"/>
    <w:rsid w:val="00837A43"/>
    <w:rsid w:val="00844392"/>
    <w:rsid w:val="008445E1"/>
    <w:rsid w:val="008455D8"/>
    <w:rsid w:val="0085398C"/>
    <w:rsid w:val="00855717"/>
    <w:rsid w:val="00873170"/>
    <w:rsid w:val="00886805"/>
    <w:rsid w:val="00891A84"/>
    <w:rsid w:val="00892B41"/>
    <w:rsid w:val="008A19BB"/>
    <w:rsid w:val="008B2A57"/>
    <w:rsid w:val="008B7797"/>
    <w:rsid w:val="008C32A6"/>
    <w:rsid w:val="008E2052"/>
    <w:rsid w:val="00900BCC"/>
    <w:rsid w:val="0091143E"/>
    <w:rsid w:val="00914EB1"/>
    <w:rsid w:val="009217FB"/>
    <w:rsid w:val="009314A1"/>
    <w:rsid w:val="00941BAF"/>
    <w:rsid w:val="00951A5C"/>
    <w:rsid w:val="00962691"/>
    <w:rsid w:val="00966DF2"/>
    <w:rsid w:val="0097717B"/>
    <w:rsid w:val="009A0521"/>
    <w:rsid w:val="009A32E1"/>
    <w:rsid w:val="009A5F10"/>
    <w:rsid w:val="009C7986"/>
    <w:rsid w:val="009D029E"/>
    <w:rsid w:val="009D1290"/>
    <w:rsid w:val="009D1BE1"/>
    <w:rsid w:val="009E4150"/>
    <w:rsid w:val="009F63A5"/>
    <w:rsid w:val="00A079DF"/>
    <w:rsid w:val="00A15913"/>
    <w:rsid w:val="00A215DC"/>
    <w:rsid w:val="00A25B7A"/>
    <w:rsid w:val="00A277B3"/>
    <w:rsid w:val="00A32AD0"/>
    <w:rsid w:val="00A33CB0"/>
    <w:rsid w:val="00A44AC6"/>
    <w:rsid w:val="00A46B64"/>
    <w:rsid w:val="00A82E87"/>
    <w:rsid w:val="00A91861"/>
    <w:rsid w:val="00AA0A64"/>
    <w:rsid w:val="00AA3A63"/>
    <w:rsid w:val="00AB1551"/>
    <w:rsid w:val="00AB4297"/>
    <w:rsid w:val="00AB6AAD"/>
    <w:rsid w:val="00AC236A"/>
    <w:rsid w:val="00AD1FDD"/>
    <w:rsid w:val="00AE0310"/>
    <w:rsid w:val="00AE06C4"/>
    <w:rsid w:val="00AE1CF5"/>
    <w:rsid w:val="00AE5FE5"/>
    <w:rsid w:val="00AF0676"/>
    <w:rsid w:val="00AF226D"/>
    <w:rsid w:val="00B14838"/>
    <w:rsid w:val="00B23128"/>
    <w:rsid w:val="00B34DBE"/>
    <w:rsid w:val="00B44AAB"/>
    <w:rsid w:val="00B53CF5"/>
    <w:rsid w:val="00B616BB"/>
    <w:rsid w:val="00B6344A"/>
    <w:rsid w:val="00B707BA"/>
    <w:rsid w:val="00B7488A"/>
    <w:rsid w:val="00B74A15"/>
    <w:rsid w:val="00B773FF"/>
    <w:rsid w:val="00B90F56"/>
    <w:rsid w:val="00B94A85"/>
    <w:rsid w:val="00B956E2"/>
    <w:rsid w:val="00B963E6"/>
    <w:rsid w:val="00B97B3C"/>
    <w:rsid w:val="00BA4FBD"/>
    <w:rsid w:val="00BA725C"/>
    <w:rsid w:val="00BBD1EB"/>
    <w:rsid w:val="00BC54C6"/>
    <w:rsid w:val="00BC6DCB"/>
    <w:rsid w:val="00BF41B1"/>
    <w:rsid w:val="00C017E5"/>
    <w:rsid w:val="00C04DEC"/>
    <w:rsid w:val="00C05CE5"/>
    <w:rsid w:val="00C120BF"/>
    <w:rsid w:val="00C135C2"/>
    <w:rsid w:val="00C2442D"/>
    <w:rsid w:val="00C30944"/>
    <w:rsid w:val="00C3267A"/>
    <w:rsid w:val="00C359E7"/>
    <w:rsid w:val="00C4025C"/>
    <w:rsid w:val="00C42CFA"/>
    <w:rsid w:val="00C42D20"/>
    <w:rsid w:val="00C43939"/>
    <w:rsid w:val="00C5419C"/>
    <w:rsid w:val="00C642D5"/>
    <w:rsid w:val="00C71F06"/>
    <w:rsid w:val="00C75039"/>
    <w:rsid w:val="00C800EA"/>
    <w:rsid w:val="00C812E7"/>
    <w:rsid w:val="00C85697"/>
    <w:rsid w:val="00C877FC"/>
    <w:rsid w:val="00C90DB5"/>
    <w:rsid w:val="00C92BA5"/>
    <w:rsid w:val="00C9466D"/>
    <w:rsid w:val="00C954D5"/>
    <w:rsid w:val="00CA6221"/>
    <w:rsid w:val="00CB4DC8"/>
    <w:rsid w:val="00CC3531"/>
    <w:rsid w:val="00CC4713"/>
    <w:rsid w:val="00CC5141"/>
    <w:rsid w:val="00CC65F7"/>
    <w:rsid w:val="00CE3828"/>
    <w:rsid w:val="00D03CE7"/>
    <w:rsid w:val="00D0470E"/>
    <w:rsid w:val="00D07090"/>
    <w:rsid w:val="00D11298"/>
    <w:rsid w:val="00D13D0A"/>
    <w:rsid w:val="00D15877"/>
    <w:rsid w:val="00D21B7C"/>
    <w:rsid w:val="00D24ACD"/>
    <w:rsid w:val="00D336CD"/>
    <w:rsid w:val="00D34329"/>
    <w:rsid w:val="00D36456"/>
    <w:rsid w:val="00D7105F"/>
    <w:rsid w:val="00D740A2"/>
    <w:rsid w:val="00D76BA2"/>
    <w:rsid w:val="00D8073C"/>
    <w:rsid w:val="00D80A7A"/>
    <w:rsid w:val="00D8166C"/>
    <w:rsid w:val="00D876DC"/>
    <w:rsid w:val="00D9270C"/>
    <w:rsid w:val="00D9655D"/>
    <w:rsid w:val="00DA1919"/>
    <w:rsid w:val="00E03A5A"/>
    <w:rsid w:val="00E1483D"/>
    <w:rsid w:val="00E45FDE"/>
    <w:rsid w:val="00E4664F"/>
    <w:rsid w:val="00E6578A"/>
    <w:rsid w:val="00E7517B"/>
    <w:rsid w:val="00E75535"/>
    <w:rsid w:val="00E82134"/>
    <w:rsid w:val="00E86655"/>
    <w:rsid w:val="00EA184E"/>
    <w:rsid w:val="00EB069E"/>
    <w:rsid w:val="00EB0CB0"/>
    <w:rsid w:val="00EB2127"/>
    <w:rsid w:val="00EF2A27"/>
    <w:rsid w:val="00EF33D7"/>
    <w:rsid w:val="00F00636"/>
    <w:rsid w:val="00F017D6"/>
    <w:rsid w:val="00F01C8A"/>
    <w:rsid w:val="00F0290E"/>
    <w:rsid w:val="00F263A3"/>
    <w:rsid w:val="00F3017F"/>
    <w:rsid w:val="00F33401"/>
    <w:rsid w:val="00F502D5"/>
    <w:rsid w:val="00F50EBA"/>
    <w:rsid w:val="00F52262"/>
    <w:rsid w:val="00F52AB7"/>
    <w:rsid w:val="00F62175"/>
    <w:rsid w:val="00F6448E"/>
    <w:rsid w:val="00F719C3"/>
    <w:rsid w:val="00F80DCE"/>
    <w:rsid w:val="00FA26DB"/>
    <w:rsid w:val="00FC4E7E"/>
    <w:rsid w:val="00FD2D0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F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479151070">
      <w:bodyDiv w:val="1"/>
      <w:marLeft w:val="0"/>
      <w:marRight w:val="0"/>
      <w:marTop w:val="0"/>
      <w:marBottom w:val="0"/>
      <w:divBdr>
        <w:top w:val="none" w:sz="0" w:space="0" w:color="auto"/>
        <w:left w:val="none" w:sz="0" w:space="0" w:color="auto"/>
        <w:bottom w:val="none" w:sz="0" w:space="0" w:color="auto"/>
        <w:right w:val="none" w:sz="0" w:space="0" w:color="auto"/>
      </w:divBdr>
    </w:div>
    <w:div w:id="553932315">
      <w:bodyDiv w:val="1"/>
      <w:marLeft w:val="0"/>
      <w:marRight w:val="0"/>
      <w:marTop w:val="0"/>
      <w:marBottom w:val="0"/>
      <w:divBdr>
        <w:top w:val="none" w:sz="0" w:space="0" w:color="auto"/>
        <w:left w:val="none" w:sz="0" w:space="0" w:color="auto"/>
        <w:bottom w:val="none" w:sz="0" w:space="0" w:color="auto"/>
        <w:right w:val="none" w:sz="0" w:space="0" w:color="auto"/>
      </w:divBdr>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922107878">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2.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3eb3374acef94f7c" Type="http://schemas.microsoft.com/office/2016/09/relationships/commentsIds" Target="commentsId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5F7FF-1D74-441A-831E-8258DE36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3654</Words>
  <Characters>20829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Marinova</dc:creator>
  <cp:lastModifiedBy>Sevgin Ahmed</cp:lastModifiedBy>
  <cp:revision>5</cp:revision>
  <dcterms:created xsi:type="dcterms:W3CDTF">2020-12-14T12:55:00Z</dcterms:created>
  <dcterms:modified xsi:type="dcterms:W3CDTF">2020-12-14T13:01:00Z</dcterms:modified>
</cp:coreProperties>
</file>