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E8DE4E" w14:textId="77777777" w:rsidR="002E576B" w:rsidRDefault="002E576B" w:rsidP="002E576B">
      <w:pPr>
        <w:jc w:val="center"/>
        <w:rPr>
          <w:lang w:val="bg-BG"/>
        </w:rPr>
      </w:pPr>
      <w:r>
        <w:rPr>
          <w:lang w:val="bg-BG"/>
        </w:rPr>
        <w:t>Име на интервенцията: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E576B" w:rsidRPr="00B6431F" w14:paraId="4FE000DD" w14:textId="77777777" w:rsidTr="007F6563">
        <w:trPr>
          <w:trHeight w:val="622"/>
        </w:trPr>
        <w:tc>
          <w:tcPr>
            <w:tcW w:w="9242" w:type="dxa"/>
            <w:shd w:val="clear" w:color="auto" w:fill="B8CCE4" w:themeFill="accent1" w:themeFillTint="66"/>
          </w:tcPr>
          <w:p w14:paraId="50A513A0" w14:textId="77777777" w:rsidR="007F6563" w:rsidRPr="00711FD7" w:rsidRDefault="007F6563" w:rsidP="002E576B">
            <w:pPr>
              <w:spacing w:after="200" w:line="276" w:lineRule="auto"/>
              <w:jc w:val="center"/>
              <w:rPr>
                <w:b/>
                <w:lang w:val="bg-BG"/>
              </w:rPr>
            </w:pPr>
          </w:p>
          <w:p w14:paraId="67EED14A" w14:textId="77777777" w:rsidR="002E576B" w:rsidRPr="002E576B" w:rsidRDefault="008A16A9" w:rsidP="008A16A9">
            <w:pPr>
              <w:spacing w:after="200"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Член</w:t>
            </w:r>
            <w:r w:rsidR="00301DA1">
              <w:rPr>
                <w:b/>
                <w:lang w:val="bg-BG"/>
              </w:rPr>
              <w:t xml:space="preserve"> 39, б. </w:t>
            </w:r>
            <w:r w:rsidR="00584D6F">
              <w:rPr>
                <w:b/>
                <w:lang w:val="bg-BG"/>
              </w:rPr>
              <w:t>„е“</w:t>
            </w:r>
            <w:r>
              <w:rPr>
                <w:b/>
                <w:lang w:val="bg-BG"/>
              </w:rPr>
              <w:t xml:space="preserve"> </w:t>
            </w:r>
            <w:r w:rsidR="00301DA1">
              <w:rPr>
                <w:b/>
                <w:lang w:val="bg-BG"/>
              </w:rPr>
              <w:t xml:space="preserve">- </w:t>
            </w:r>
            <w:r w:rsidR="00880F14">
              <w:rPr>
                <w:b/>
                <w:lang w:val="bg-BG"/>
              </w:rPr>
              <w:t xml:space="preserve">Оперативни програми в </w:t>
            </w:r>
            <w:r w:rsidR="00301DA1">
              <w:rPr>
                <w:b/>
                <w:lang w:val="bg-BG"/>
              </w:rPr>
              <w:t>други сектори</w:t>
            </w:r>
          </w:p>
        </w:tc>
      </w:tr>
    </w:tbl>
    <w:p w14:paraId="5F8DF739" w14:textId="77777777" w:rsidR="002E576B" w:rsidRDefault="002E576B" w:rsidP="002E576B">
      <w:pPr>
        <w:jc w:val="center"/>
        <w:rPr>
          <w:lang w:val="bg-BG"/>
        </w:rPr>
      </w:pP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2E576B" w:rsidRPr="00B6431F" w14:paraId="789851CA" w14:textId="77777777" w:rsidTr="00252CFE">
        <w:tc>
          <w:tcPr>
            <w:tcW w:w="2943" w:type="dxa"/>
            <w:shd w:val="clear" w:color="auto" w:fill="B8CCE4" w:themeFill="accent1" w:themeFillTint="66"/>
          </w:tcPr>
          <w:p w14:paraId="645236D9" w14:textId="77777777" w:rsidR="002E576B" w:rsidRPr="002E576B" w:rsidRDefault="002E576B" w:rsidP="002E576B">
            <w:pPr>
              <w:ind w:right="1711"/>
              <w:rPr>
                <w:b/>
                <w:lang w:val="bg-BG"/>
              </w:rPr>
            </w:pPr>
            <w:r w:rsidRPr="002E576B">
              <w:rPr>
                <w:b/>
                <w:lang w:val="bg-BG"/>
              </w:rPr>
              <w:t>Фонд</w:t>
            </w:r>
          </w:p>
        </w:tc>
        <w:tc>
          <w:tcPr>
            <w:tcW w:w="6379" w:type="dxa"/>
          </w:tcPr>
          <w:p w14:paraId="410F0750" w14:textId="74684CE1" w:rsidR="002E576B" w:rsidRPr="00F32269" w:rsidRDefault="00C9187B" w:rsidP="00C9187B">
            <w:pPr>
              <w:jc w:val="center"/>
              <w:rPr>
                <w:rFonts w:cstheme="minorHAnsi"/>
                <w:sz w:val="24"/>
                <w:szCs w:val="24"/>
                <w:lang w:val="bg-BG"/>
              </w:rPr>
            </w:pPr>
            <w:r w:rsidRPr="00F32269">
              <w:rPr>
                <w:rFonts w:cstheme="minorHAnsi"/>
                <w:sz w:val="24"/>
                <w:szCs w:val="24"/>
                <w:lang w:val="bg-BG"/>
              </w:rPr>
              <w:t>Европейски фонд за гарантиране на земеделието (ЕФГЗ)</w:t>
            </w:r>
          </w:p>
        </w:tc>
      </w:tr>
      <w:tr w:rsidR="002E576B" w14:paraId="19B1B6FF" w14:textId="77777777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14:paraId="0686A866" w14:textId="77777777" w:rsidR="002E576B" w:rsidRPr="00BC2D56" w:rsidRDefault="002E576B" w:rsidP="00291103">
            <w:pPr>
              <w:rPr>
                <w:b/>
              </w:rPr>
            </w:pPr>
            <w:r w:rsidRPr="002E576B">
              <w:rPr>
                <w:b/>
                <w:lang w:val="bg-BG"/>
              </w:rPr>
              <w:t>Тип на интервенцията</w:t>
            </w:r>
          </w:p>
        </w:tc>
        <w:tc>
          <w:tcPr>
            <w:tcW w:w="6379" w:type="dxa"/>
            <w:vAlign w:val="center"/>
          </w:tcPr>
          <w:p w14:paraId="76F707D3" w14:textId="77777777" w:rsidR="002E576B" w:rsidRPr="00F32269" w:rsidRDefault="002E576B" w:rsidP="005B029C">
            <w:pPr>
              <w:jc w:val="center"/>
              <w:rPr>
                <w:sz w:val="24"/>
                <w:szCs w:val="24"/>
                <w:lang w:val="bg-BG"/>
              </w:rPr>
            </w:pPr>
          </w:p>
          <w:p w14:paraId="7DF42162" w14:textId="0CEF9E57" w:rsidR="002E576B" w:rsidRPr="00F32269" w:rsidRDefault="00291103" w:rsidP="008D57CD">
            <w:pPr>
              <w:jc w:val="center"/>
              <w:rPr>
                <w:sz w:val="24"/>
                <w:szCs w:val="24"/>
                <w:lang w:val="bg-BG"/>
              </w:rPr>
            </w:pPr>
            <w:r w:rsidRPr="00F32269">
              <w:rPr>
                <w:sz w:val="24"/>
                <w:szCs w:val="24"/>
                <w:lang w:val="bg-BG"/>
              </w:rPr>
              <w:t xml:space="preserve">Оперативни програми, изпълнявани </w:t>
            </w:r>
            <w:r w:rsidR="00D00DDB" w:rsidRPr="00F32269">
              <w:rPr>
                <w:sz w:val="24"/>
                <w:szCs w:val="24"/>
                <w:lang w:val="bg-BG"/>
              </w:rPr>
              <w:t xml:space="preserve">чрез различни </w:t>
            </w:r>
            <w:r w:rsidR="004A5DC9">
              <w:rPr>
                <w:sz w:val="24"/>
                <w:szCs w:val="24"/>
                <w:lang w:val="bg-BG"/>
              </w:rPr>
              <w:t>интервенции</w:t>
            </w:r>
            <w:r w:rsidR="00D00DDB" w:rsidRPr="00F32269">
              <w:rPr>
                <w:sz w:val="24"/>
                <w:szCs w:val="24"/>
                <w:lang w:val="bg-BG"/>
              </w:rPr>
              <w:t xml:space="preserve"> от </w:t>
            </w:r>
            <w:r w:rsidR="005B029C" w:rsidRPr="00F32269">
              <w:rPr>
                <w:sz w:val="24"/>
                <w:szCs w:val="24"/>
                <w:lang w:val="bg-BG"/>
              </w:rPr>
              <w:t xml:space="preserve">признати </w:t>
            </w:r>
            <w:r w:rsidRPr="00F32269">
              <w:rPr>
                <w:sz w:val="24"/>
                <w:szCs w:val="24"/>
                <w:lang w:val="bg-BG"/>
              </w:rPr>
              <w:t>организации на производители</w:t>
            </w:r>
            <w:r w:rsidR="00EA3134" w:rsidRPr="00F32269">
              <w:rPr>
                <w:sz w:val="24"/>
                <w:szCs w:val="24"/>
                <w:lang w:val="bg-BG"/>
              </w:rPr>
              <w:t>, групи производители,</w:t>
            </w:r>
            <w:r w:rsidR="00196A35" w:rsidRPr="00F32269">
              <w:rPr>
                <w:sz w:val="24"/>
                <w:szCs w:val="24"/>
                <w:lang w:val="bg-BG"/>
              </w:rPr>
              <w:t xml:space="preserve"> асоциации на организации на производители </w:t>
            </w:r>
            <w:r w:rsidR="00F25A69" w:rsidRPr="00F32269">
              <w:rPr>
                <w:sz w:val="24"/>
                <w:szCs w:val="24"/>
                <w:lang w:val="bg-BG"/>
              </w:rPr>
              <w:t xml:space="preserve">в </w:t>
            </w:r>
            <w:r w:rsidR="00F25A69" w:rsidRPr="00C301B2">
              <w:rPr>
                <w:sz w:val="24"/>
                <w:szCs w:val="24"/>
                <w:lang w:val="bg-BG"/>
              </w:rPr>
              <w:t>секторите</w:t>
            </w:r>
            <w:r w:rsidR="004A5DC9" w:rsidRPr="00C301B2">
              <w:rPr>
                <w:sz w:val="24"/>
                <w:szCs w:val="24"/>
                <w:lang w:val="bg-BG"/>
              </w:rPr>
              <w:t xml:space="preserve"> „Мляко и млечни продукти“,</w:t>
            </w:r>
            <w:r w:rsidR="005B029C" w:rsidRPr="00C301B2">
              <w:rPr>
                <w:sz w:val="24"/>
                <w:szCs w:val="24"/>
                <w:lang w:val="bg-BG"/>
              </w:rPr>
              <w:t xml:space="preserve"> „Месо“</w:t>
            </w:r>
            <w:r w:rsidR="004A5DC9" w:rsidRPr="00C301B2">
              <w:rPr>
                <w:sz w:val="24"/>
                <w:szCs w:val="24"/>
                <w:lang w:val="bg-BG"/>
              </w:rPr>
              <w:t xml:space="preserve"> и </w:t>
            </w:r>
            <w:r w:rsidR="008D57CD" w:rsidRPr="00C301B2">
              <w:rPr>
                <w:sz w:val="24"/>
                <w:szCs w:val="24"/>
                <w:lang w:val="bg-BG"/>
              </w:rPr>
              <w:t>„Зърнени</w:t>
            </w:r>
            <w:r w:rsidR="004A5DC9" w:rsidRPr="00C301B2">
              <w:rPr>
                <w:sz w:val="24"/>
                <w:szCs w:val="24"/>
                <w:lang w:val="bg-BG"/>
              </w:rPr>
              <w:t xml:space="preserve"> култури“</w:t>
            </w:r>
          </w:p>
        </w:tc>
      </w:tr>
      <w:tr w:rsidR="002E576B" w14:paraId="6A419117" w14:textId="77777777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14:paraId="51C61AFE" w14:textId="77777777" w:rsidR="002E576B" w:rsidRPr="00BC2D56" w:rsidRDefault="002E576B" w:rsidP="00291103">
            <w:pPr>
              <w:rPr>
                <w:b/>
              </w:rPr>
            </w:pPr>
            <w:r w:rsidRPr="002E576B">
              <w:rPr>
                <w:b/>
                <w:lang w:val="bg-BG"/>
              </w:rPr>
              <w:t>Териториален обхват</w:t>
            </w:r>
            <w:r w:rsidR="004D47EE">
              <w:rPr>
                <w:b/>
              </w:rPr>
              <w:t xml:space="preserve"> </w:t>
            </w:r>
          </w:p>
        </w:tc>
        <w:tc>
          <w:tcPr>
            <w:tcW w:w="6379" w:type="dxa"/>
            <w:vAlign w:val="center"/>
          </w:tcPr>
          <w:p w14:paraId="3806719E" w14:textId="0C1A95FA" w:rsidR="002E576B" w:rsidRPr="00C9187B" w:rsidRDefault="00C9187B" w:rsidP="00C9187B">
            <w:pPr>
              <w:jc w:val="center"/>
              <w:rPr>
                <w:sz w:val="24"/>
                <w:szCs w:val="24"/>
                <w:lang w:val="bg-BG"/>
              </w:rPr>
            </w:pPr>
            <w:r w:rsidRPr="00C9187B">
              <w:rPr>
                <w:sz w:val="24"/>
                <w:szCs w:val="24"/>
                <w:lang w:val="bg-BG"/>
              </w:rPr>
              <w:t>Дейностите по оперативните програми се осъществя</w:t>
            </w:r>
            <w:r w:rsidR="008A2B95">
              <w:rPr>
                <w:sz w:val="24"/>
                <w:szCs w:val="24"/>
                <w:lang w:val="bg-BG"/>
              </w:rPr>
              <w:t>ва</w:t>
            </w:r>
            <w:r w:rsidRPr="00C9187B">
              <w:rPr>
                <w:sz w:val="24"/>
                <w:szCs w:val="24"/>
                <w:lang w:val="bg-BG"/>
              </w:rPr>
              <w:t>т на територията на Република България.</w:t>
            </w:r>
          </w:p>
        </w:tc>
      </w:tr>
      <w:tr w:rsidR="002E576B" w:rsidRPr="00B6431F" w14:paraId="2506A05A" w14:textId="77777777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14:paraId="7067FF43" w14:textId="77777777" w:rsidR="002E576B" w:rsidRPr="002E576B" w:rsidRDefault="002E576B" w:rsidP="00291103">
            <w:pPr>
              <w:rPr>
                <w:b/>
                <w:lang w:val="bg-BG"/>
              </w:rPr>
            </w:pPr>
            <w:r w:rsidRPr="00027128">
              <w:rPr>
                <w:b/>
                <w:lang w:val="bg-BG"/>
              </w:rPr>
              <w:t>Свързани специфични цели и където е релевантно, секторни приоритети</w:t>
            </w:r>
          </w:p>
        </w:tc>
        <w:tc>
          <w:tcPr>
            <w:tcW w:w="6379" w:type="dxa"/>
            <w:vAlign w:val="center"/>
          </w:tcPr>
          <w:p w14:paraId="60B89A5C" w14:textId="77777777" w:rsidR="002E576B" w:rsidRPr="00F32269" w:rsidRDefault="00F32269" w:rsidP="00584D6F">
            <w:pPr>
              <w:jc w:val="center"/>
              <w:rPr>
                <w:sz w:val="24"/>
                <w:szCs w:val="24"/>
                <w:lang w:val="bg-BG"/>
              </w:rPr>
            </w:pPr>
            <w:r w:rsidRPr="00F32269">
              <w:rPr>
                <w:b/>
                <w:sz w:val="24"/>
                <w:szCs w:val="24"/>
                <w:lang w:val="bg-BG"/>
              </w:rPr>
              <w:t>Специфична цел 3</w:t>
            </w:r>
            <w:r w:rsidRPr="00F32269">
              <w:rPr>
                <w:sz w:val="24"/>
                <w:szCs w:val="24"/>
                <w:lang w:val="bg-BG"/>
              </w:rPr>
              <w:t xml:space="preserve"> „Подобряване на позицията на земеделските стопани във веригата на стойността“. </w:t>
            </w:r>
            <w:r w:rsidRPr="00F32269">
              <w:rPr>
                <w:b/>
                <w:sz w:val="24"/>
                <w:szCs w:val="24"/>
                <w:lang w:val="bg-BG"/>
              </w:rPr>
              <w:t>Потребност 1.</w:t>
            </w:r>
            <w:r w:rsidRPr="00F32269">
              <w:rPr>
                <w:sz w:val="24"/>
                <w:szCs w:val="24"/>
                <w:lang w:val="bg-BG"/>
              </w:rPr>
              <w:t xml:space="preserve"> Повишаване нивото на организираност на земеделските производители; </w:t>
            </w:r>
            <w:r w:rsidRPr="00F32269">
              <w:rPr>
                <w:b/>
                <w:sz w:val="24"/>
                <w:szCs w:val="24"/>
                <w:lang w:val="bg-BG"/>
              </w:rPr>
              <w:t>Потребност 2.</w:t>
            </w:r>
            <w:r w:rsidRPr="00F32269">
              <w:rPr>
                <w:sz w:val="24"/>
                <w:szCs w:val="24"/>
                <w:lang w:val="bg-BG"/>
              </w:rPr>
              <w:t xml:space="preserve"> Подобряване пазарния достъп на малките земеделски стопанства</w:t>
            </w:r>
          </w:p>
        </w:tc>
      </w:tr>
      <w:tr w:rsidR="002E576B" w:rsidRPr="00B6431F" w14:paraId="679EA202" w14:textId="77777777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14:paraId="0A4269E0" w14:textId="77777777" w:rsidR="002E576B" w:rsidRPr="002E576B" w:rsidRDefault="002E576B" w:rsidP="00291103">
            <w:pPr>
              <w:rPr>
                <w:b/>
                <w:lang w:val="bg-BG"/>
              </w:rPr>
            </w:pPr>
            <w:r w:rsidRPr="002E576B">
              <w:rPr>
                <w:b/>
                <w:lang w:val="bg-BG"/>
              </w:rPr>
              <w:t>Индикатори за резултат</w:t>
            </w:r>
            <w:r w:rsidR="00F22043">
              <w:rPr>
                <w:b/>
                <w:lang w:val="bg-BG"/>
              </w:rPr>
              <w:t xml:space="preserve"> </w:t>
            </w:r>
            <w:r w:rsidR="00F22043" w:rsidRPr="00F22043">
              <w:rPr>
                <w:b/>
                <w:sz w:val="20"/>
                <w:szCs w:val="20"/>
                <w:lang w:val="bg-BG"/>
              </w:rPr>
              <w:t>(</w:t>
            </w:r>
            <w:r w:rsidR="00F22043" w:rsidRPr="00F22043">
              <w:rPr>
                <w:b/>
                <w:i/>
                <w:sz w:val="20"/>
                <w:szCs w:val="20"/>
                <w:lang w:val="bg-BG"/>
              </w:rPr>
              <w:t>най-малко един</w:t>
            </w:r>
            <w:r w:rsidR="00F22043" w:rsidRPr="00F22043">
              <w:rPr>
                <w:b/>
                <w:sz w:val="20"/>
                <w:szCs w:val="20"/>
                <w:lang w:val="bg-BG"/>
              </w:rPr>
              <w:t>)</w:t>
            </w:r>
          </w:p>
        </w:tc>
        <w:tc>
          <w:tcPr>
            <w:tcW w:w="6379" w:type="dxa"/>
            <w:vAlign w:val="center"/>
          </w:tcPr>
          <w:p w14:paraId="30E46D4C" w14:textId="77777777" w:rsidR="00D00DDB" w:rsidRPr="00711FD7" w:rsidRDefault="00E244A0" w:rsidP="00C9187B">
            <w:pPr>
              <w:jc w:val="center"/>
              <w:rPr>
                <w:sz w:val="24"/>
                <w:szCs w:val="24"/>
                <w:lang w:val="bg-BG"/>
              </w:rPr>
            </w:pPr>
            <w:r w:rsidRPr="00C9187B">
              <w:rPr>
                <w:b/>
                <w:bCs/>
                <w:sz w:val="24"/>
                <w:szCs w:val="24"/>
              </w:rPr>
              <w:t>R</w:t>
            </w:r>
            <w:r w:rsidRPr="00711FD7">
              <w:rPr>
                <w:b/>
                <w:bCs/>
                <w:sz w:val="24"/>
                <w:szCs w:val="24"/>
                <w:lang w:val="bg-BG"/>
              </w:rPr>
              <w:t>.10</w:t>
            </w:r>
            <w:r w:rsidRPr="00C9187B">
              <w:rPr>
                <w:b/>
                <w:bCs/>
                <w:sz w:val="24"/>
                <w:szCs w:val="24"/>
                <w:u w:val="single"/>
                <w:vertAlign w:val="superscript"/>
              </w:rPr>
              <w:t>PR</w:t>
            </w:r>
            <w:r w:rsidRPr="00711FD7">
              <w:rPr>
                <w:b/>
                <w:bCs/>
                <w:sz w:val="24"/>
                <w:szCs w:val="24"/>
                <w:lang w:val="bg-BG"/>
              </w:rPr>
              <w:t xml:space="preserve"> </w:t>
            </w:r>
            <w:r w:rsidR="00D00DDB" w:rsidRPr="00711FD7">
              <w:rPr>
                <w:sz w:val="24"/>
                <w:szCs w:val="24"/>
                <w:lang w:val="bg-BG"/>
              </w:rPr>
              <w:t>Подобряване на организацията на веригата на доставки: дя</w:t>
            </w:r>
            <w:r w:rsidR="00EE0F0F" w:rsidRPr="00711FD7">
              <w:rPr>
                <w:sz w:val="24"/>
                <w:szCs w:val="24"/>
                <w:lang w:val="bg-BG"/>
              </w:rPr>
              <w:t>л на земеделските стопанства</w:t>
            </w:r>
            <w:r w:rsidR="00D00DDB" w:rsidRPr="00711FD7">
              <w:rPr>
                <w:sz w:val="24"/>
                <w:szCs w:val="24"/>
                <w:lang w:val="bg-BG"/>
              </w:rPr>
              <w:t>, участващи в подпомагани групи на производители, организации на произво</w:t>
            </w:r>
            <w:r w:rsidR="00EE0F0F" w:rsidRPr="00711FD7">
              <w:rPr>
                <w:sz w:val="24"/>
                <w:szCs w:val="24"/>
                <w:lang w:val="bg-BG"/>
              </w:rPr>
              <w:t>дители</w:t>
            </w:r>
            <w:r w:rsidR="00D00DDB" w:rsidRPr="00711FD7">
              <w:rPr>
                <w:sz w:val="24"/>
                <w:szCs w:val="24"/>
                <w:lang w:val="bg-BG"/>
              </w:rPr>
              <w:t xml:space="preserve"> и схеми за качество, подпомагани по линия на ОСП</w:t>
            </w:r>
          </w:p>
          <w:p w14:paraId="4641DBEB" w14:textId="77777777" w:rsidR="002E576B" w:rsidRPr="00291103" w:rsidRDefault="002E576B" w:rsidP="00291103">
            <w:pPr>
              <w:rPr>
                <w:lang w:val="bg-BG"/>
              </w:rPr>
            </w:pPr>
          </w:p>
        </w:tc>
      </w:tr>
      <w:tr w:rsidR="002E576B" w:rsidRPr="00B6431F" w14:paraId="7A7C9139" w14:textId="77777777" w:rsidTr="00252CFE">
        <w:tc>
          <w:tcPr>
            <w:tcW w:w="2943" w:type="dxa"/>
            <w:shd w:val="clear" w:color="auto" w:fill="B8CCE4" w:themeFill="accent1" w:themeFillTint="66"/>
            <w:vAlign w:val="center"/>
          </w:tcPr>
          <w:p w14:paraId="4BBA062F" w14:textId="77777777" w:rsidR="002E576B" w:rsidRPr="002E576B" w:rsidRDefault="002E576B" w:rsidP="00291103">
            <w:pPr>
              <w:rPr>
                <w:b/>
                <w:lang w:val="bg-BG"/>
              </w:rPr>
            </w:pPr>
            <w:r w:rsidRPr="002E576B">
              <w:rPr>
                <w:b/>
                <w:lang w:val="bg-BG"/>
              </w:rPr>
              <w:t>Допустими бенефициенти</w:t>
            </w:r>
          </w:p>
        </w:tc>
        <w:tc>
          <w:tcPr>
            <w:tcW w:w="6379" w:type="dxa"/>
            <w:vAlign w:val="center"/>
          </w:tcPr>
          <w:p w14:paraId="3A8C22A6" w14:textId="77777777" w:rsidR="002E576B" w:rsidRPr="00C301B2" w:rsidRDefault="002E576B" w:rsidP="005B029C">
            <w:pPr>
              <w:jc w:val="center"/>
              <w:rPr>
                <w:sz w:val="24"/>
                <w:szCs w:val="24"/>
                <w:lang w:val="bg-BG"/>
              </w:rPr>
            </w:pPr>
          </w:p>
          <w:p w14:paraId="5546E262" w14:textId="46CAEC90" w:rsidR="002E576B" w:rsidRPr="00C301B2" w:rsidRDefault="00291103" w:rsidP="009C31BB">
            <w:pPr>
              <w:jc w:val="center"/>
              <w:rPr>
                <w:sz w:val="24"/>
                <w:szCs w:val="24"/>
                <w:lang w:val="bg-BG"/>
              </w:rPr>
            </w:pPr>
            <w:r w:rsidRPr="00C301B2">
              <w:rPr>
                <w:sz w:val="24"/>
                <w:szCs w:val="24"/>
                <w:lang w:val="bg-BG"/>
              </w:rPr>
              <w:t>Признати организации на производители</w:t>
            </w:r>
            <w:r w:rsidR="00DA1E1A" w:rsidRPr="00C301B2">
              <w:rPr>
                <w:sz w:val="24"/>
                <w:szCs w:val="24"/>
                <w:lang w:val="bg-BG"/>
              </w:rPr>
              <w:t xml:space="preserve">, </w:t>
            </w:r>
            <w:r w:rsidR="00783ED7" w:rsidRPr="00C301B2">
              <w:rPr>
                <w:sz w:val="24"/>
                <w:szCs w:val="24"/>
                <w:lang w:val="bg-BG"/>
              </w:rPr>
              <w:t xml:space="preserve">групи производители и </w:t>
            </w:r>
            <w:r w:rsidR="00C80ADF" w:rsidRPr="00C301B2">
              <w:rPr>
                <w:sz w:val="24"/>
                <w:szCs w:val="24"/>
                <w:lang w:val="bg-BG"/>
              </w:rPr>
              <w:t>асоциации на организации на производители</w:t>
            </w:r>
            <w:r w:rsidR="00F32269" w:rsidRPr="00C301B2">
              <w:rPr>
                <w:sz w:val="24"/>
                <w:szCs w:val="24"/>
                <w:lang w:val="bg-BG"/>
              </w:rPr>
              <w:t xml:space="preserve"> </w:t>
            </w:r>
            <w:r w:rsidR="00DA1E1A" w:rsidRPr="00C301B2">
              <w:rPr>
                <w:sz w:val="24"/>
                <w:szCs w:val="24"/>
                <w:lang w:val="bg-BG"/>
              </w:rPr>
              <w:t xml:space="preserve"> </w:t>
            </w:r>
            <w:r w:rsidR="00F32269" w:rsidRPr="00C301B2">
              <w:rPr>
                <w:sz w:val="24"/>
                <w:szCs w:val="24"/>
                <w:lang w:val="bg-BG"/>
              </w:rPr>
              <w:t>в сектори</w:t>
            </w:r>
            <w:r w:rsidR="00783ED7" w:rsidRPr="00C301B2">
              <w:rPr>
                <w:sz w:val="24"/>
                <w:szCs w:val="24"/>
                <w:lang w:val="bg-BG"/>
              </w:rPr>
              <w:t xml:space="preserve">те „Мляко и </w:t>
            </w:r>
            <w:r w:rsidR="004A5DC9" w:rsidRPr="00C301B2">
              <w:rPr>
                <w:sz w:val="24"/>
                <w:szCs w:val="24"/>
                <w:lang w:val="bg-BG"/>
              </w:rPr>
              <w:t>млечни продукти“,</w:t>
            </w:r>
            <w:r w:rsidR="00783ED7" w:rsidRPr="00C301B2">
              <w:rPr>
                <w:sz w:val="24"/>
                <w:szCs w:val="24"/>
                <w:lang w:val="bg-BG"/>
              </w:rPr>
              <w:t xml:space="preserve"> „Месо“</w:t>
            </w:r>
            <w:r w:rsidR="009C31BB">
              <w:rPr>
                <w:sz w:val="24"/>
                <w:szCs w:val="24"/>
                <w:lang w:val="bg-BG"/>
              </w:rPr>
              <w:t xml:space="preserve"> - </w:t>
            </w:r>
            <w:r w:rsidR="009C31BB" w:rsidRPr="009C31BB">
              <w:rPr>
                <w:sz w:val="24"/>
                <w:szCs w:val="24"/>
                <w:lang w:val="bg-BG"/>
              </w:rPr>
              <w:t>говеждо и телешко месо</w:t>
            </w:r>
            <w:r w:rsidR="009C31BB">
              <w:rPr>
                <w:sz w:val="24"/>
                <w:szCs w:val="24"/>
                <w:lang w:val="bg-BG"/>
              </w:rPr>
              <w:t xml:space="preserve">, </w:t>
            </w:r>
            <w:r w:rsidR="009C31BB" w:rsidRPr="009C31BB">
              <w:rPr>
                <w:sz w:val="24"/>
                <w:szCs w:val="24"/>
                <w:lang w:val="bg-BG"/>
              </w:rPr>
              <w:t>свинско месо</w:t>
            </w:r>
            <w:r w:rsidR="009C31BB">
              <w:rPr>
                <w:sz w:val="24"/>
                <w:szCs w:val="24"/>
                <w:lang w:val="bg-BG"/>
              </w:rPr>
              <w:t xml:space="preserve">, </w:t>
            </w:r>
            <w:r w:rsidR="009C31BB" w:rsidRPr="009C31BB">
              <w:rPr>
                <w:sz w:val="24"/>
                <w:szCs w:val="24"/>
                <w:lang w:val="bg-BG"/>
              </w:rPr>
              <w:t xml:space="preserve">овче </w:t>
            </w:r>
            <w:r w:rsidR="009C31BB">
              <w:rPr>
                <w:sz w:val="24"/>
                <w:szCs w:val="24"/>
                <w:lang w:val="bg-BG"/>
              </w:rPr>
              <w:t xml:space="preserve">и </w:t>
            </w:r>
            <w:r w:rsidR="009C31BB" w:rsidRPr="009C31BB">
              <w:rPr>
                <w:sz w:val="24"/>
                <w:szCs w:val="24"/>
                <w:lang w:val="bg-BG"/>
              </w:rPr>
              <w:t>козе месо</w:t>
            </w:r>
            <w:r w:rsidR="009C31BB">
              <w:rPr>
                <w:sz w:val="24"/>
                <w:szCs w:val="24"/>
                <w:lang w:val="bg-BG"/>
              </w:rPr>
              <w:t xml:space="preserve">, </w:t>
            </w:r>
            <w:r w:rsidR="009C31BB" w:rsidRPr="009C31BB">
              <w:rPr>
                <w:sz w:val="24"/>
                <w:szCs w:val="24"/>
                <w:lang w:val="bg-BG"/>
              </w:rPr>
              <w:t>птиче месо</w:t>
            </w:r>
            <w:r w:rsidR="004A5DC9" w:rsidRPr="00C301B2">
              <w:rPr>
                <w:sz w:val="24"/>
                <w:szCs w:val="24"/>
                <w:lang w:val="bg-BG"/>
              </w:rPr>
              <w:t xml:space="preserve"> и </w:t>
            </w:r>
            <w:r w:rsidR="009C31BB">
              <w:rPr>
                <w:sz w:val="24"/>
                <w:szCs w:val="24"/>
                <w:lang w:val="bg-BG"/>
              </w:rPr>
              <w:t xml:space="preserve">сектор </w:t>
            </w:r>
            <w:r w:rsidR="008D57CD" w:rsidRPr="00C301B2">
              <w:rPr>
                <w:sz w:val="24"/>
                <w:szCs w:val="24"/>
                <w:lang w:val="bg-BG"/>
              </w:rPr>
              <w:t>„Зърнени</w:t>
            </w:r>
            <w:r w:rsidR="004A5DC9" w:rsidRPr="00C301B2">
              <w:rPr>
                <w:sz w:val="24"/>
                <w:szCs w:val="24"/>
                <w:lang w:val="bg-BG"/>
              </w:rPr>
              <w:t xml:space="preserve"> култури“</w:t>
            </w:r>
          </w:p>
          <w:p w14:paraId="2D2834C1" w14:textId="12EAD054" w:rsidR="00783ED7" w:rsidRPr="00C301B2" w:rsidRDefault="00783ED7" w:rsidP="005B029C">
            <w:pPr>
              <w:jc w:val="center"/>
              <w:rPr>
                <w:sz w:val="24"/>
                <w:szCs w:val="24"/>
                <w:lang w:val="bg-BG"/>
              </w:rPr>
            </w:pPr>
          </w:p>
        </w:tc>
      </w:tr>
    </w:tbl>
    <w:p w14:paraId="17DC31FE" w14:textId="42391F7F" w:rsidR="002E576B" w:rsidRPr="00711FD7" w:rsidRDefault="002E576B" w:rsidP="00291103">
      <w:pPr>
        <w:rPr>
          <w:lang w:val="bg-BG"/>
        </w:rPr>
      </w:pPr>
    </w:p>
    <w:p w14:paraId="7576A188" w14:textId="77777777" w:rsidR="005F556B" w:rsidRPr="0046113A" w:rsidRDefault="004D583C" w:rsidP="0046113A">
      <w:pPr>
        <w:pStyle w:val="a4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>Описание на дизайна на</w:t>
      </w:r>
      <w:r w:rsidR="008A7C31" w:rsidRPr="0046113A">
        <w:rPr>
          <w:b/>
          <w:lang w:val="bg-BG"/>
        </w:rPr>
        <w:t xml:space="preserve"> </w:t>
      </w:r>
      <w:r w:rsidRPr="0046113A">
        <w:rPr>
          <w:b/>
          <w:lang w:val="bg-BG"/>
        </w:rPr>
        <w:t xml:space="preserve">интервенцията;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F556B" w:rsidRPr="00B6431F" w14:paraId="23C4979A" w14:textId="77777777" w:rsidTr="005F556B">
        <w:tc>
          <w:tcPr>
            <w:tcW w:w="9242" w:type="dxa"/>
          </w:tcPr>
          <w:p w14:paraId="631FCA73" w14:textId="60F2FD98" w:rsidR="00C80ADF" w:rsidRPr="00974101" w:rsidRDefault="00C80ADF" w:rsidP="00974101">
            <w:pPr>
              <w:spacing w:line="276" w:lineRule="auto"/>
              <w:ind w:firstLine="426"/>
              <w:jc w:val="both"/>
              <w:rPr>
                <w:rFonts w:cstheme="minorHAnsi"/>
                <w:lang w:val="bg-BG"/>
              </w:rPr>
            </w:pPr>
            <w:r w:rsidRPr="00974101">
              <w:rPr>
                <w:rFonts w:cstheme="minorHAnsi"/>
                <w:lang w:val="bg-BG"/>
              </w:rPr>
              <w:t>Сдружаването на земеделските производители в организации на производители</w:t>
            </w:r>
            <w:r w:rsidR="005B029C" w:rsidRPr="00974101">
              <w:rPr>
                <w:rFonts w:cstheme="minorHAnsi"/>
                <w:lang w:val="bg-BG"/>
              </w:rPr>
              <w:t>, групи производители</w:t>
            </w:r>
            <w:r w:rsidR="006F72AA">
              <w:rPr>
                <w:rFonts w:cstheme="minorHAnsi"/>
                <w:lang w:val="bg-BG"/>
              </w:rPr>
              <w:t xml:space="preserve"> и </w:t>
            </w:r>
            <w:r w:rsidR="00CF72B6" w:rsidRPr="00974101">
              <w:rPr>
                <w:rFonts w:cstheme="minorHAnsi"/>
                <w:lang w:val="bg-BG"/>
              </w:rPr>
              <w:t>асоциации на орг</w:t>
            </w:r>
            <w:r w:rsidR="00EE0B0F">
              <w:rPr>
                <w:rFonts w:cstheme="minorHAnsi"/>
                <w:lang w:val="bg-BG"/>
              </w:rPr>
              <w:t xml:space="preserve">анизации на производители </w:t>
            </w:r>
            <w:r w:rsidRPr="00974101">
              <w:rPr>
                <w:rFonts w:cstheme="minorHAnsi"/>
                <w:lang w:val="bg-BG"/>
              </w:rPr>
              <w:t xml:space="preserve">оказва положително въздействие върху развитието на земеделския сектор, защото засилва позицията на производителите в търговията с аграрни стоки. </w:t>
            </w:r>
            <w:r w:rsidR="007259E0" w:rsidRPr="00974101">
              <w:rPr>
                <w:rFonts w:cstheme="minorHAnsi"/>
                <w:lang w:val="bg-BG"/>
              </w:rPr>
              <w:t>Обединяването на</w:t>
            </w:r>
            <w:r w:rsidRPr="00974101">
              <w:rPr>
                <w:rFonts w:cstheme="minorHAnsi"/>
                <w:lang w:val="bg-BG"/>
              </w:rPr>
              <w:t xml:space="preserve"> земеделските производители в рамките на </w:t>
            </w:r>
            <w:r w:rsidR="007259E0" w:rsidRPr="00974101">
              <w:rPr>
                <w:rFonts w:cstheme="minorHAnsi"/>
                <w:lang w:val="bg-BG"/>
              </w:rPr>
              <w:t>различни форми на сътрудничество</w:t>
            </w:r>
            <w:r w:rsidRPr="00974101">
              <w:rPr>
                <w:rFonts w:cstheme="minorHAnsi"/>
                <w:lang w:val="bg-BG"/>
              </w:rPr>
              <w:t xml:space="preserve"> прави възможни дейности, които са им от полза да генерират по-висока добавена стойност, която те не биха могли да постигнат самостоятелно. </w:t>
            </w:r>
          </w:p>
          <w:p w14:paraId="55A69B48" w14:textId="6F1A00D9" w:rsidR="006443EA" w:rsidRPr="00974101" w:rsidRDefault="00C80ADF" w:rsidP="00974101">
            <w:pPr>
              <w:pStyle w:val="HTML"/>
              <w:spacing w:line="276" w:lineRule="auto"/>
              <w:ind w:firstLine="706"/>
              <w:jc w:val="both"/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</w:pPr>
            <w:r w:rsidRPr="00974101"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  <w:t xml:space="preserve">При  проследяване на промените в позицията на земеделските производители в </w:t>
            </w:r>
            <w:r w:rsidRPr="00C301B2"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  <w:t>секторите</w:t>
            </w:r>
            <w:r w:rsidR="00DB71F2" w:rsidRPr="00C301B2"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  <w:t xml:space="preserve"> „Мляко и млечни продукти“, „Месо“ </w:t>
            </w:r>
            <w:r w:rsidR="00EE0B0F" w:rsidRPr="00C301B2"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  <w:t xml:space="preserve">и </w:t>
            </w:r>
            <w:r w:rsidR="00174819" w:rsidRPr="00C301B2"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  <w:t>„Зърнени</w:t>
            </w:r>
            <w:r w:rsidR="00783ED7" w:rsidRPr="00C301B2"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  <w:t xml:space="preserve"> култури</w:t>
            </w:r>
            <w:r w:rsidR="00EE0B0F" w:rsidRPr="00C301B2"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  <w:t xml:space="preserve">“ </w:t>
            </w:r>
            <w:r w:rsidR="00DB71F2" w:rsidRPr="00C301B2"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  <w:t>за периода 2007-2016</w:t>
            </w:r>
            <w:r w:rsidR="00DB71F2" w:rsidRPr="00974101"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  <w:t xml:space="preserve"> г. </w:t>
            </w:r>
            <w:r w:rsidR="00DB71F2" w:rsidRPr="00974101"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  <w:lastRenderedPageBreak/>
              <w:t>чрез използване на индикатора брутна добавена стойност (БДС) се очертава тенденция на влошаване на тяхната позиция и намаляване на дела на земеделските производители във веригата на стойността.</w:t>
            </w:r>
            <w:r w:rsidR="006443EA" w:rsidRPr="00974101"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  <w:t xml:space="preserve"> </w:t>
            </w:r>
            <w:r w:rsidR="00DB71F2" w:rsidRPr="00974101"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  <w:t xml:space="preserve">В </w:t>
            </w:r>
            <w:r w:rsidR="006443EA" w:rsidRPr="00974101"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  <w:t xml:space="preserve">разпределението на добавената стойност по веригата в сектор </w:t>
            </w:r>
            <w:r w:rsidR="006443EA" w:rsidRPr="00974101">
              <w:rPr>
                <w:rFonts w:asciiTheme="minorHAnsi" w:eastAsiaTheme="minorEastAsia" w:hAnsiTheme="minorHAnsi" w:cstheme="minorHAnsi"/>
                <w:sz w:val="22"/>
                <w:szCs w:val="22"/>
                <w:lang w:eastAsia="en-US"/>
              </w:rPr>
              <w:t>„</w:t>
            </w:r>
            <w:r w:rsidR="006443EA" w:rsidRPr="00974101"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  <w:t>Зърно</w:t>
            </w:r>
            <w:r w:rsidR="00783ED7"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  <w:t xml:space="preserve"> </w:t>
            </w:r>
            <w:r w:rsidR="00D4341D"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  <w:t>–</w:t>
            </w:r>
            <w:r w:rsidR="00783ED7"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  <w:t xml:space="preserve"> </w:t>
            </w:r>
            <w:r w:rsidR="006443EA" w:rsidRPr="00974101">
              <w:rPr>
                <w:rFonts w:asciiTheme="minorHAnsi" w:eastAsiaTheme="minorEastAsia" w:hAnsiTheme="minorHAnsi" w:cstheme="minorHAnsi"/>
                <w:sz w:val="22"/>
                <w:szCs w:val="22"/>
                <w:lang w:val="bg-BG" w:eastAsia="en-US"/>
              </w:rPr>
              <w:t xml:space="preserve">брашно – хляб и хлебни изделия” доминира първичното производствено звено, като през 2008 г. заема 64% от цялата добавена стойност, а през 2016 г. - 50%. За изследвания период брутната добавена стойност в производството намалява с 11%, което се дължи на спад на цените на пшеницата с 15%. </w:t>
            </w:r>
          </w:p>
          <w:p w14:paraId="739FFC82" w14:textId="18D3F300" w:rsidR="00473A27" w:rsidRPr="00974101" w:rsidRDefault="001C1101" w:rsidP="00974101">
            <w:pPr>
              <w:spacing w:line="276" w:lineRule="auto"/>
              <w:ind w:firstLine="706"/>
              <w:jc w:val="both"/>
              <w:rPr>
                <w:rFonts w:cstheme="minorHAnsi"/>
                <w:lang w:val="bg-BG"/>
              </w:rPr>
            </w:pPr>
            <w:r w:rsidRPr="00974101">
              <w:rPr>
                <w:rFonts w:cstheme="minorHAnsi"/>
                <w:lang w:val="bg-BG"/>
              </w:rPr>
              <w:t xml:space="preserve">В сектор </w:t>
            </w:r>
            <w:r w:rsidR="002253D2" w:rsidRPr="00974101">
              <w:rPr>
                <w:rFonts w:cstheme="minorHAnsi"/>
                <w:lang w:val="bg-BG"/>
              </w:rPr>
              <w:t>„Мляко и млечни продукти“</w:t>
            </w:r>
            <w:r w:rsidR="006443EA" w:rsidRPr="00974101">
              <w:rPr>
                <w:rFonts w:cstheme="minorHAnsi"/>
                <w:lang w:val="bg-BG"/>
              </w:rPr>
              <w:t xml:space="preserve"> през анализирания период производството отбелязва </w:t>
            </w:r>
            <w:r w:rsidR="00DB71F2" w:rsidRPr="00974101">
              <w:rPr>
                <w:rFonts w:cstheme="minorHAnsi"/>
                <w:lang w:val="bg-BG"/>
              </w:rPr>
              <w:t>значително намаление на</w:t>
            </w:r>
            <w:r w:rsidR="006443EA" w:rsidRPr="00974101">
              <w:rPr>
                <w:rFonts w:cstheme="minorHAnsi"/>
                <w:lang w:val="bg-BG"/>
              </w:rPr>
              <w:t xml:space="preserve"> добавената стойност (66%). Делът на производството в секторната верига на стойността се свива два пъти. </w:t>
            </w:r>
            <w:r w:rsidR="00A2472C" w:rsidRPr="00974101">
              <w:rPr>
                <w:rFonts w:cstheme="minorHAnsi"/>
                <w:lang w:val="bg-BG"/>
              </w:rPr>
              <w:t>Това е резултат от намаление на млечните стада, слабия прираст в продуктивността на животните и сравнително висок</w:t>
            </w:r>
            <w:r w:rsidR="007259E0" w:rsidRPr="00974101">
              <w:rPr>
                <w:rFonts w:cstheme="minorHAnsi"/>
                <w:lang w:val="bg-BG"/>
              </w:rPr>
              <w:t>ия</w:t>
            </w:r>
            <w:r w:rsidR="00A2472C" w:rsidRPr="00974101">
              <w:rPr>
                <w:rFonts w:cstheme="minorHAnsi"/>
                <w:lang w:val="bg-BG"/>
              </w:rPr>
              <w:t xml:space="preserve"> д</w:t>
            </w:r>
            <w:r w:rsidR="007259E0" w:rsidRPr="00974101">
              <w:rPr>
                <w:rFonts w:cstheme="minorHAnsi"/>
                <w:lang w:val="bg-BG"/>
              </w:rPr>
              <w:t>ял</w:t>
            </w:r>
            <w:r w:rsidR="00A2472C" w:rsidRPr="00974101">
              <w:rPr>
                <w:rFonts w:cstheme="minorHAnsi"/>
                <w:lang w:val="bg-BG"/>
              </w:rPr>
              <w:t xml:space="preserve"> на самозадоволяване в стопанствата.</w:t>
            </w:r>
            <w:r w:rsidR="007259E0" w:rsidRPr="00974101">
              <w:rPr>
                <w:rFonts w:cstheme="minorHAnsi"/>
                <w:lang w:val="bg-BG"/>
              </w:rPr>
              <w:t xml:space="preserve"> Съществена </w:t>
            </w:r>
            <w:r w:rsidR="00473A27" w:rsidRPr="00974101">
              <w:rPr>
                <w:rFonts w:cstheme="minorHAnsi"/>
                <w:lang w:val="bg-BG"/>
              </w:rPr>
              <w:t>причина</w:t>
            </w:r>
            <w:r w:rsidR="006443EA" w:rsidRPr="00974101">
              <w:rPr>
                <w:rFonts w:cstheme="minorHAnsi"/>
                <w:lang w:val="bg-BG"/>
              </w:rPr>
              <w:t xml:space="preserve"> за </w:t>
            </w:r>
            <w:r w:rsidR="00473A27" w:rsidRPr="00974101">
              <w:rPr>
                <w:rFonts w:cstheme="minorHAnsi"/>
                <w:lang w:val="bg-BG"/>
              </w:rPr>
              <w:t>намалена</w:t>
            </w:r>
            <w:r w:rsidR="007259E0" w:rsidRPr="00974101">
              <w:rPr>
                <w:rFonts w:cstheme="minorHAnsi"/>
                <w:lang w:val="bg-BG"/>
              </w:rPr>
              <w:t>та</w:t>
            </w:r>
            <w:r w:rsidR="00473A27" w:rsidRPr="00974101">
              <w:rPr>
                <w:rFonts w:cstheme="minorHAnsi"/>
                <w:lang w:val="bg-BG"/>
              </w:rPr>
              <w:t xml:space="preserve"> възвращаемост </w:t>
            </w:r>
            <w:r w:rsidR="006443EA" w:rsidRPr="00974101">
              <w:rPr>
                <w:rFonts w:cstheme="minorHAnsi"/>
                <w:lang w:val="bg-BG"/>
              </w:rPr>
              <w:t xml:space="preserve">е затрудненият достъп до пазара на голяма част от </w:t>
            </w:r>
            <w:r w:rsidR="007259E0" w:rsidRPr="00974101">
              <w:rPr>
                <w:rFonts w:cstheme="minorHAnsi"/>
                <w:lang w:val="bg-BG"/>
              </w:rPr>
              <w:t>млеко</w:t>
            </w:r>
            <w:r w:rsidR="006443EA" w:rsidRPr="00974101">
              <w:rPr>
                <w:rFonts w:cstheme="minorHAnsi"/>
                <w:lang w:val="bg-BG"/>
              </w:rPr>
              <w:t>производителите –</w:t>
            </w:r>
            <w:r w:rsidR="00DB71F2" w:rsidRPr="00974101">
              <w:rPr>
                <w:rFonts w:cstheme="minorHAnsi"/>
                <w:lang w:val="bg-BG"/>
              </w:rPr>
              <w:t xml:space="preserve"> </w:t>
            </w:r>
            <w:r w:rsidR="006443EA" w:rsidRPr="00974101">
              <w:rPr>
                <w:rFonts w:cstheme="minorHAnsi"/>
                <w:lang w:val="bg-BG"/>
              </w:rPr>
              <w:t>около 30% от продукцията на мляко не се реализира на пазара или е в сивия сектор. Определена роля имат и ниските изкупни цени на млякото за продъ</w:t>
            </w:r>
            <w:r w:rsidR="00C117E8" w:rsidRPr="00974101">
              <w:rPr>
                <w:rFonts w:cstheme="minorHAnsi"/>
                <w:lang w:val="bg-BG"/>
              </w:rPr>
              <w:t xml:space="preserve">лжителни периоди - 2009-2010 г., </w:t>
            </w:r>
            <w:r w:rsidR="006443EA" w:rsidRPr="00974101">
              <w:rPr>
                <w:rFonts w:cstheme="minorHAnsi"/>
                <w:lang w:val="bg-BG"/>
              </w:rPr>
              <w:t xml:space="preserve"> 2015-2016 г. </w:t>
            </w:r>
          </w:p>
          <w:p w14:paraId="5BA701E2" w14:textId="655D2368" w:rsidR="005D7109" w:rsidRPr="00974101" w:rsidRDefault="002253D2" w:rsidP="00974101">
            <w:pPr>
              <w:spacing w:line="276" w:lineRule="auto"/>
              <w:ind w:firstLine="706"/>
              <w:jc w:val="both"/>
              <w:rPr>
                <w:rFonts w:cstheme="minorHAnsi"/>
                <w:lang w:val="bg-BG"/>
              </w:rPr>
            </w:pPr>
            <w:r w:rsidRPr="00974101">
              <w:rPr>
                <w:rFonts w:cstheme="minorHAnsi"/>
                <w:lang w:val="bg-BG"/>
              </w:rPr>
              <w:t>Не по-различна е ситуацията в</w:t>
            </w:r>
            <w:r w:rsidR="005D7109" w:rsidRPr="00974101">
              <w:rPr>
                <w:rFonts w:cstheme="minorHAnsi"/>
                <w:lang w:val="bg-BG"/>
              </w:rPr>
              <w:t xml:space="preserve"> някои направления на</w:t>
            </w:r>
            <w:r w:rsidRPr="00974101">
              <w:rPr>
                <w:rFonts w:cstheme="minorHAnsi"/>
                <w:lang w:val="bg-BG"/>
              </w:rPr>
              <w:t xml:space="preserve"> сектор „Месо“. </w:t>
            </w:r>
            <w:r w:rsidR="007A565F" w:rsidRPr="00974101">
              <w:rPr>
                <w:rFonts w:cstheme="minorHAnsi"/>
                <w:lang w:val="bg-BG"/>
              </w:rPr>
              <w:t xml:space="preserve">Добавената стойност от месо от ЕРД възлиза на 1,3% през 2016 г. </w:t>
            </w:r>
            <w:r w:rsidR="005D7109" w:rsidRPr="00974101">
              <w:rPr>
                <w:rFonts w:cstheme="minorHAnsi"/>
                <w:lang w:val="bg-BG"/>
              </w:rPr>
              <w:t xml:space="preserve">Една от причините за това е и високият дял на консумация в домакинствата, която се отчита в отрасъла, като по-голямата част от производството на телешко и говеждо месо се консумира директно в стопанствата и не достига до преработвателите, което води до пропуснати ползи. </w:t>
            </w:r>
            <w:r w:rsidRPr="00974101">
              <w:rPr>
                <w:rFonts w:cstheme="minorHAnsi"/>
                <w:lang w:val="bg-BG"/>
              </w:rPr>
              <w:t>Икономическият потенциал на специализираните стопанства в месодайното говедовъдство намалява през периода, като икономическият размер на стопанст</w:t>
            </w:r>
            <w:r w:rsidR="004421C3">
              <w:rPr>
                <w:rFonts w:cstheme="minorHAnsi"/>
                <w:lang w:val="bg-BG"/>
              </w:rPr>
              <w:t>в</w:t>
            </w:r>
            <w:r w:rsidRPr="00974101">
              <w:rPr>
                <w:rFonts w:cstheme="minorHAnsi"/>
                <w:lang w:val="bg-BG"/>
              </w:rPr>
              <w:t xml:space="preserve">ата намалява </w:t>
            </w:r>
            <w:r w:rsidR="004421C3" w:rsidRPr="00974101">
              <w:rPr>
                <w:rFonts w:cstheme="minorHAnsi"/>
                <w:lang w:val="bg-BG"/>
              </w:rPr>
              <w:t>шесткратно</w:t>
            </w:r>
            <w:r w:rsidRPr="00974101">
              <w:rPr>
                <w:rFonts w:cstheme="minorHAnsi"/>
                <w:lang w:val="bg-BG"/>
              </w:rPr>
              <w:t xml:space="preserve"> между 2007-2016 г., докато делът на животинските единици от цялото животновъдство се свива 3,5 пъти, свидетелстващо за слабата пазарна ориентация и изоставане в производствена възвращаемост и ефективност. </w:t>
            </w:r>
            <w:r w:rsidR="003264BC" w:rsidRPr="00974101">
              <w:rPr>
                <w:rFonts w:cstheme="minorHAnsi"/>
                <w:lang w:val="bg-BG"/>
              </w:rPr>
              <w:t xml:space="preserve">Брутната продукция от месо от ДРД намалява между 2007-2016 г. с около 19%, а добавената стойност се съкращава с около 44%. </w:t>
            </w:r>
            <w:r w:rsidR="007A565F" w:rsidRPr="00974101">
              <w:rPr>
                <w:rFonts w:cstheme="minorHAnsi"/>
                <w:lang w:val="bg-BG"/>
              </w:rPr>
              <w:t xml:space="preserve">Месото от ДРД е с най-малък принос в общото количество на произведеното месо в страната. </w:t>
            </w:r>
            <w:r w:rsidR="003264BC" w:rsidRPr="00974101">
              <w:rPr>
                <w:rFonts w:cstheme="minorHAnsi"/>
                <w:lang w:val="bg-BG"/>
              </w:rPr>
              <w:t>Стопанската структура в овцевъдството макар да се подобрява от гледна точка на средния брой овце в стопанствата</w:t>
            </w:r>
            <w:r w:rsidR="00783ED7">
              <w:rPr>
                <w:rFonts w:cstheme="minorHAnsi"/>
                <w:lang w:val="bg-BG"/>
              </w:rPr>
              <w:t>,</w:t>
            </w:r>
            <w:r w:rsidR="003264BC" w:rsidRPr="00974101">
              <w:rPr>
                <w:rFonts w:cstheme="minorHAnsi"/>
                <w:lang w:val="bg-BG"/>
              </w:rPr>
              <w:t xml:space="preserve"> се вижда, че преобладаваща част от стопанствата имат ниска пазарна ориентация, с над 50% от продукцията оставаща за собствени нуж</w:t>
            </w:r>
            <w:r w:rsidR="00752D20" w:rsidRPr="00974101">
              <w:rPr>
                <w:rFonts w:cstheme="minorHAnsi"/>
                <w:lang w:val="bg-BG"/>
              </w:rPr>
              <w:t>ди.</w:t>
            </w:r>
            <w:r w:rsidR="005D7109" w:rsidRPr="00974101">
              <w:rPr>
                <w:rFonts w:cstheme="minorHAnsi"/>
                <w:lang w:val="bg-BG"/>
              </w:rPr>
              <w:t xml:space="preserve"> </w:t>
            </w:r>
          </w:p>
          <w:p w14:paraId="31002247" w14:textId="7BDE3B48" w:rsidR="00D01E1C" w:rsidRPr="00974101" w:rsidRDefault="002253D2" w:rsidP="00974101">
            <w:pPr>
              <w:spacing w:line="276" w:lineRule="auto"/>
              <w:ind w:firstLine="706"/>
              <w:jc w:val="both"/>
              <w:rPr>
                <w:rFonts w:cstheme="minorHAnsi"/>
                <w:lang w:val="bg-BG"/>
              </w:rPr>
            </w:pPr>
            <w:r w:rsidRPr="00974101">
              <w:rPr>
                <w:rFonts w:cstheme="minorHAnsi"/>
                <w:lang w:val="bg-BG"/>
              </w:rPr>
              <w:t>Повишаване</w:t>
            </w:r>
            <w:r w:rsidR="005D7109" w:rsidRPr="00974101">
              <w:rPr>
                <w:rFonts w:cstheme="minorHAnsi"/>
                <w:lang w:val="bg-BG"/>
              </w:rPr>
              <w:t>то на</w:t>
            </w:r>
            <w:r w:rsidRPr="00974101">
              <w:rPr>
                <w:rFonts w:cstheme="minorHAnsi"/>
                <w:lang w:val="bg-BG"/>
              </w:rPr>
              <w:t xml:space="preserve"> процента на пазарна реализация в секторите</w:t>
            </w:r>
            <w:r w:rsidR="00EE0B0F" w:rsidRPr="00974101">
              <w:rPr>
                <w:rFonts w:cstheme="minorHAnsi"/>
                <w:lang w:val="bg-BG"/>
              </w:rPr>
              <w:t xml:space="preserve"> </w:t>
            </w:r>
            <w:r w:rsidR="005D7109" w:rsidRPr="00974101">
              <w:rPr>
                <w:rFonts w:cstheme="minorHAnsi"/>
                <w:lang w:val="bg-BG"/>
              </w:rPr>
              <w:t>„Мляко</w:t>
            </w:r>
            <w:r w:rsidR="00EE0B0F">
              <w:rPr>
                <w:rFonts w:cstheme="minorHAnsi"/>
                <w:lang w:val="bg-BG"/>
              </w:rPr>
              <w:t xml:space="preserve"> и млечни продукти“,</w:t>
            </w:r>
            <w:r w:rsidR="005D7109" w:rsidRPr="00974101">
              <w:rPr>
                <w:rFonts w:cstheme="minorHAnsi"/>
                <w:lang w:val="bg-BG"/>
              </w:rPr>
              <w:t xml:space="preserve"> „Месо“</w:t>
            </w:r>
            <w:r w:rsidRPr="00974101">
              <w:rPr>
                <w:rFonts w:cstheme="minorHAnsi"/>
                <w:lang w:val="bg-BG"/>
              </w:rPr>
              <w:t xml:space="preserve"> </w:t>
            </w:r>
            <w:r w:rsidR="00EE0B0F">
              <w:rPr>
                <w:rFonts w:cstheme="minorHAnsi"/>
                <w:lang w:val="bg-BG"/>
              </w:rPr>
              <w:t xml:space="preserve">и </w:t>
            </w:r>
            <w:r w:rsidR="008D57CD">
              <w:rPr>
                <w:rFonts w:cstheme="minorHAnsi"/>
                <w:lang w:val="bg-BG"/>
              </w:rPr>
              <w:t>„Зърнени</w:t>
            </w:r>
            <w:r w:rsidR="00783ED7">
              <w:rPr>
                <w:rFonts w:cstheme="minorHAnsi"/>
                <w:lang w:val="bg-BG"/>
              </w:rPr>
              <w:t xml:space="preserve"> култури</w:t>
            </w:r>
            <w:r w:rsidR="00EE0B0F" w:rsidRPr="00974101">
              <w:rPr>
                <w:rFonts w:cstheme="minorHAnsi"/>
                <w:lang w:val="bg-BG"/>
              </w:rPr>
              <w:t>“</w:t>
            </w:r>
            <w:r w:rsidR="00EE0B0F">
              <w:rPr>
                <w:rFonts w:cstheme="minorHAnsi"/>
                <w:lang w:val="bg-BG"/>
              </w:rPr>
              <w:t xml:space="preserve"> </w:t>
            </w:r>
            <w:r w:rsidRPr="00974101">
              <w:rPr>
                <w:rFonts w:cstheme="minorHAnsi"/>
                <w:lang w:val="bg-BG"/>
              </w:rPr>
              <w:t xml:space="preserve">ще допринесе за намаляване на пропуснатите ползи от гледна точка генериране на добавена стойност </w:t>
            </w:r>
            <w:r w:rsidR="005D7109" w:rsidRPr="00974101">
              <w:rPr>
                <w:rFonts w:cstheme="minorHAnsi"/>
                <w:lang w:val="bg-BG"/>
              </w:rPr>
              <w:t xml:space="preserve">и за намаляване на сивия сектор. </w:t>
            </w:r>
            <w:r w:rsidR="00D01E1C" w:rsidRPr="00974101">
              <w:rPr>
                <w:rFonts w:cstheme="minorHAnsi"/>
                <w:lang w:val="bg-BG"/>
              </w:rPr>
              <w:t>Т</w:t>
            </w:r>
            <w:r w:rsidR="005D7109" w:rsidRPr="00974101">
              <w:rPr>
                <w:rFonts w:cstheme="minorHAnsi"/>
                <w:lang w:val="bg-BG"/>
              </w:rPr>
              <w:t>енденцията на намаляване на добавената стойност</w:t>
            </w:r>
            <w:r w:rsidR="00D01E1C" w:rsidRPr="00974101">
              <w:rPr>
                <w:rFonts w:cstheme="minorHAnsi"/>
                <w:lang w:val="bg-BG"/>
              </w:rPr>
              <w:t xml:space="preserve"> в развитието на </w:t>
            </w:r>
            <w:r w:rsidR="005D7109" w:rsidRPr="00974101">
              <w:rPr>
                <w:rFonts w:cstheme="minorHAnsi"/>
                <w:lang w:val="bg-BG"/>
              </w:rPr>
              <w:t xml:space="preserve">тези </w:t>
            </w:r>
            <w:r w:rsidR="00D01E1C" w:rsidRPr="00974101">
              <w:rPr>
                <w:rFonts w:cstheme="minorHAnsi"/>
                <w:lang w:val="bg-BG"/>
              </w:rPr>
              <w:t>сектори</w:t>
            </w:r>
            <w:r w:rsidR="005D7109" w:rsidRPr="00974101">
              <w:rPr>
                <w:rFonts w:cstheme="minorHAnsi"/>
                <w:lang w:val="bg-BG"/>
              </w:rPr>
              <w:t xml:space="preserve"> </w:t>
            </w:r>
            <w:r w:rsidR="00D01E1C" w:rsidRPr="00974101">
              <w:rPr>
                <w:rFonts w:cstheme="minorHAnsi"/>
                <w:lang w:val="bg-BG"/>
              </w:rPr>
              <w:t xml:space="preserve">обуславя необходимостта от целенасочена подкрепа за преодоляване на основните предизвикателства в тези сектори, което би довело до увеличение на тяхната </w:t>
            </w:r>
            <w:r w:rsidR="005D7109" w:rsidRPr="00974101">
              <w:rPr>
                <w:rFonts w:cstheme="minorHAnsi"/>
                <w:lang w:val="bg-BG"/>
              </w:rPr>
              <w:t>конкурентоспособност и подобряване на пазарните позиции на земеделските производители.</w:t>
            </w:r>
          </w:p>
          <w:p w14:paraId="6D2FDC33" w14:textId="4318E84B" w:rsidR="00466085" w:rsidRPr="00974101" w:rsidRDefault="00533B0D" w:rsidP="00974101">
            <w:pPr>
              <w:spacing w:line="276" w:lineRule="auto"/>
              <w:ind w:firstLine="426"/>
              <w:jc w:val="both"/>
              <w:rPr>
                <w:rFonts w:cstheme="minorHAnsi"/>
                <w:lang w:val="bg-BG"/>
              </w:rPr>
            </w:pPr>
            <w:r>
              <w:rPr>
                <w:rFonts w:cstheme="minorHAnsi"/>
                <w:lang w:val="bg-BG"/>
              </w:rPr>
              <w:t>Е</w:t>
            </w:r>
            <w:r w:rsidR="005D7109" w:rsidRPr="00974101">
              <w:rPr>
                <w:rFonts w:cstheme="minorHAnsi"/>
                <w:lang w:val="bg-BG"/>
              </w:rPr>
              <w:t>дна от ключовите</w:t>
            </w:r>
            <w:r w:rsidR="00C80ADF" w:rsidRPr="00974101">
              <w:rPr>
                <w:rFonts w:cstheme="minorHAnsi"/>
                <w:lang w:val="bg-BG"/>
              </w:rPr>
              <w:t xml:space="preserve"> област</w:t>
            </w:r>
            <w:r w:rsidR="005D7109" w:rsidRPr="00974101">
              <w:rPr>
                <w:rFonts w:cstheme="minorHAnsi"/>
                <w:lang w:val="bg-BG"/>
              </w:rPr>
              <w:t>и</w:t>
            </w:r>
            <w:r w:rsidR="00C80ADF" w:rsidRPr="00974101">
              <w:rPr>
                <w:rFonts w:cstheme="minorHAnsi"/>
                <w:lang w:val="bg-BG"/>
              </w:rPr>
              <w:t xml:space="preserve"> с потенциал, която ще доведе до повишаване на добавената стойност</w:t>
            </w:r>
            <w:r>
              <w:rPr>
                <w:rFonts w:cstheme="minorHAnsi"/>
                <w:lang w:val="bg-BG"/>
              </w:rPr>
              <w:t xml:space="preserve"> е стимулиране</w:t>
            </w:r>
            <w:r w:rsidR="00C80ADF" w:rsidRPr="00533B0D">
              <w:rPr>
                <w:rFonts w:cstheme="minorHAnsi"/>
                <w:lang w:val="bg-BG"/>
              </w:rPr>
              <w:t xml:space="preserve"> нивото на сдружаване</w:t>
            </w:r>
            <w:r w:rsidR="00C80ADF" w:rsidRPr="00974101">
              <w:rPr>
                <w:rFonts w:cstheme="minorHAnsi"/>
                <w:lang w:val="bg-BG"/>
              </w:rPr>
              <w:t xml:space="preserve"> на </w:t>
            </w:r>
            <w:r w:rsidR="00466085" w:rsidRPr="00974101">
              <w:rPr>
                <w:rFonts w:cstheme="minorHAnsi"/>
                <w:lang w:val="bg-BG"/>
              </w:rPr>
              <w:t>земеделските производители в секторите</w:t>
            </w:r>
            <w:r w:rsidR="00EE0B0F" w:rsidRPr="00974101">
              <w:rPr>
                <w:rFonts w:cstheme="minorHAnsi"/>
                <w:lang w:val="bg-BG"/>
              </w:rPr>
              <w:t xml:space="preserve"> </w:t>
            </w:r>
            <w:r w:rsidR="00EE0B0F">
              <w:rPr>
                <w:rFonts w:cstheme="minorHAnsi"/>
                <w:lang w:val="bg-BG"/>
              </w:rPr>
              <w:t xml:space="preserve">„Мляко и млечни продукти“, </w:t>
            </w:r>
            <w:r w:rsidR="00466085" w:rsidRPr="00974101">
              <w:rPr>
                <w:rFonts w:cstheme="minorHAnsi"/>
                <w:lang w:val="bg-BG"/>
              </w:rPr>
              <w:t>„Месо“</w:t>
            </w:r>
            <w:r w:rsidR="00EE0B0F">
              <w:rPr>
                <w:rFonts w:cstheme="minorHAnsi"/>
                <w:lang w:val="bg-BG"/>
              </w:rPr>
              <w:t xml:space="preserve"> и</w:t>
            </w:r>
            <w:r w:rsidR="008D57CD">
              <w:rPr>
                <w:rFonts w:cstheme="minorHAnsi"/>
                <w:lang w:val="bg-BG"/>
              </w:rPr>
              <w:t xml:space="preserve"> „Зърнени</w:t>
            </w:r>
            <w:r w:rsidR="00783ED7">
              <w:rPr>
                <w:rFonts w:cstheme="minorHAnsi"/>
                <w:lang w:val="bg-BG"/>
              </w:rPr>
              <w:t xml:space="preserve"> култури</w:t>
            </w:r>
            <w:r w:rsidR="00EE0B0F" w:rsidRPr="00974101">
              <w:rPr>
                <w:rFonts w:cstheme="minorHAnsi"/>
                <w:lang w:val="bg-BG"/>
              </w:rPr>
              <w:t>“</w:t>
            </w:r>
            <w:r w:rsidR="00C80ADF" w:rsidRPr="00974101">
              <w:rPr>
                <w:rFonts w:cstheme="minorHAnsi"/>
                <w:lang w:val="bg-BG"/>
              </w:rPr>
              <w:t xml:space="preserve"> и произтичащите от това положителни тенденции в редица елементи н</w:t>
            </w:r>
            <w:r w:rsidR="00CC560B" w:rsidRPr="00974101">
              <w:rPr>
                <w:rFonts w:cstheme="minorHAnsi"/>
                <w:lang w:val="bg-BG"/>
              </w:rPr>
              <w:t xml:space="preserve">а производството и пазара, като: </w:t>
            </w:r>
          </w:p>
          <w:p w14:paraId="601F8BA2" w14:textId="77777777" w:rsidR="00CC560B" w:rsidRPr="00974101" w:rsidRDefault="00466085" w:rsidP="00974101">
            <w:pPr>
              <w:pStyle w:val="a4"/>
              <w:numPr>
                <w:ilvl w:val="0"/>
                <w:numId w:val="24"/>
              </w:numPr>
              <w:spacing w:line="276" w:lineRule="auto"/>
              <w:jc w:val="both"/>
              <w:rPr>
                <w:rFonts w:cstheme="minorHAnsi"/>
                <w:lang w:val="bg-BG"/>
              </w:rPr>
            </w:pPr>
            <w:r w:rsidRPr="00974101">
              <w:rPr>
                <w:rFonts w:cstheme="minorHAnsi"/>
                <w:lang w:val="bg-BG"/>
              </w:rPr>
              <w:t>Улесняване на пускането на пазара на продукти за членове, поддържане на пазарния дял и потенциално разработване на нови възможности;</w:t>
            </w:r>
          </w:p>
          <w:p w14:paraId="353CB07A" w14:textId="77777777" w:rsidR="00CC560B" w:rsidRPr="00974101" w:rsidRDefault="00466085" w:rsidP="00974101">
            <w:pPr>
              <w:pStyle w:val="a4"/>
              <w:numPr>
                <w:ilvl w:val="0"/>
                <w:numId w:val="24"/>
              </w:numPr>
              <w:spacing w:line="276" w:lineRule="auto"/>
              <w:jc w:val="both"/>
              <w:rPr>
                <w:rFonts w:cstheme="minorHAnsi"/>
                <w:lang w:val="bg-BG"/>
              </w:rPr>
            </w:pPr>
            <w:r w:rsidRPr="00974101">
              <w:rPr>
                <w:rFonts w:cstheme="minorHAnsi"/>
                <w:lang w:val="bg-BG"/>
              </w:rPr>
              <w:lastRenderedPageBreak/>
              <w:t>Гарантиране, че производството се променя, за да отговори на изискванията за качество, като по този начин се поддържа лоялността на клиентите;</w:t>
            </w:r>
          </w:p>
          <w:p w14:paraId="744AFE00" w14:textId="77777777" w:rsidR="00CC560B" w:rsidRPr="00974101" w:rsidRDefault="00466085" w:rsidP="00974101">
            <w:pPr>
              <w:pStyle w:val="a4"/>
              <w:numPr>
                <w:ilvl w:val="0"/>
                <w:numId w:val="24"/>
              </w:numPr>
              <w:spacing w:line="276" w:lineRule="auto"/>
              <w:jc w:val="both"/>
              <w:rPr>
                <w:rFonts w:cstheme="minorHAnsi"/>
                <w:lang w:val="bg-BG"/>
              </w:rPr>
            </w:pPr>
            <w:r w:rsidRPr="00974101">
              <w:rPr>
                <w:rFonts w:cstheme="minorHAnsi"/>
                <w:lang w:val="bg-BG"/>
              </w:rPr>
              <w:t>Нарастване на тър</w:t>
            </w:r>
            <w:r w:rsidR="00CC560B" w:rsidRPr="00974101">
              <w:rPr>
                <w:rFonts w:cstheme="minorHAnsi"/>
                <w:lang w:val="bg-BG"/>
              </w:rPr>
              <w:t>говската стойност на продуктите;</w:t>
            </w:r>
          </w:p>
          <w:p w14:paraId="7BFF435A" w14:textId="77777777" w:rsidR="00CC560B" w:rsidRPr="00974101" w:rsidRDefault="00466085" w:rsidP="00974101">
            <w:pPr>
              <w:pStyle w:val="a4"/>
              <w:numPr>
                <w:ilvl w:val="0"/>
                <w:numId w:val="24"/>
              </w:numPr>
              <w:spacing w:line="276" w:lineRule="auto"/>
              <w:jc w:val="both"/>
              <w:rPr>
                <w:rFonts w:cstheme="minorHAnsi"/>
                <w:lang w:val="bg-BG"/>
              </w:rPr>
            </w:pPr>
            <w:r w:rsidRPr="00974101">
              <w:rPr>
                <w:rFonts w:cstheme="minorHAnsi"/>
                <w:lang w:val="bg-BG"/>
              </w:rPr>
              <w:t>Намаляване на нестандартни продукти и свързаните с намаляване на отказите на клиентите;</w:t>
            </w:r>
          </w:p>
          <w:p w14:paraId="0AC7CF8E" w14:textId="77777777" w:rsidR="00CC560B" w:rsidRPr="00974101" w:rsidRDefault="00466085" w:rsidP="00974101">
            <w:pPr>
              <w:pStyle w:val="a4"/>
              <w:numPr>
                <w:ilvl w:val="0"/>
                <w:numId w:val="24"/>
              </w:numPr>
              <w:spacing w:line="276" w:lineRule="auto"/>
              <w:jc w:val="both"/>
              <w:rPr>
                <w:rFonts w:cstheme="minorHAnsi"/>
                <w:lang w:val="bg-BG"/>
              </w:rPr>
            </w:pPr>
            <w:r w:rsidRPr="00974101">
              <w:rPr>
                <w:rFonts w:cstheme="minorHAnsi"/>
                <w:lang w:val="bg-BG"/>
              </w:rPr>
              <w:t>Оптимизира</w:t>
            </w:r>
            <w:r w:rsidR="00CC560B" w:rsidRPr="00974101">
              <w:rPr>
                <w:rFonts w:cstheme="minorHAnsi"/>
                <w:lang w:val="bg-BG"/>
              </w:rPr>
              <w:t>не</w:t>
            </w:r>
            <w:r w:rsidR="00CC560B" w:rsidRPr="00974101">
              <w:rPr>
                <w:rFonts w:cstheme="minorHAnsi"/>
                <w:lang w:val="bg-BG"/>
              </w:rPr>
              <w:tab/>
              <w:t>на</w:t>
            </w:r>
            <w:r w:rsidR="00CC560B" w:rsidRPr="00974101">
              <w:rPr>
                <w:rFonts w:cstheme="minorHAnsi"/>
                <w:lang w:val="bg-BG"/>
              </w:rPr>
              <w:tab/>
              <w:t>производствените</w:t>
            </w:r>
            <w:r w:rsidR="00CC560B" w:rsidRPr="00974101">
              <w:rPr>
                <w:rFonts w:cstheme="minorHAnsi"/>
                <w:lang w:val="bg-BG"/>
              </w:rPr>
              <w:tab/>
              <w:t xml:space="preserve">разходи, </w:t>
            </w:r>
            <w:r w:rsidRPr="00974101">
              <w:rPr>
                <w:rFonts w:cstheme="minorHAnsi"/>
                <w:lang w:val="bg-BG"/>
              </w:rPr>
              <w:t>които</w:t>
            </w:r>
            <w:r w:rsidRPr="00974101">
              <w:rPr>
                <w:rFonts w:cstheme="minorHAnsi"/>
                <w:lang w:val="bg-BG"/>
              </w:rPr>
              <w:tab/>
              <w:t>допринасят</w:t>
            </w:r>
            <w:r w:rsidR="00CC560B" w:rsidRPr="00974101">
              <w:rPr>
                <w:rFonts w:cstheme="minorHAnsi"/>
                <w:lang w:val="bg-BG"/>
              </w:rPr>
              <w:t xml:space="preserve"> </w:t>
            </w:r>
            <w:r w:rsidRPr="00974101">
              <w:rPr>
                <w:rFonts w:cstheme="minorHAnsi"/>
                <w:lang w:val="bg-BG"/>
              </w:rPr>
              <w:t>за поддържането и потенциално повишаване на възвръщаем</w:t>
            </w:r>
            <w:r w:rsidR="00CC560B" w:rsidRPr="00974101">
              <w:rPr>
                <w:rFonts w:cstheme="minorHAnsi"/>
                <w:lang w:val="bg-BG"/>
              </w:rPr>
              <w:t>остта;</w:t>
            </w:r>
          </w:p>
          <w:p w14:paraId="2E7237CE" w14:textId="77777777" w:rsidR="00CC560B" w:rsidRPr="00974101" w:rsidRDefault="00466085" w:rsidP="00974101">
            <w:pPr>
              <w:pStyle w:val="a4"/>
              <w:numPr>
                <w:ilvl w:val="0"/>
                <w:numId w:val="24"/>
              </w:numPr>
              <w:spacing w:line="276" w:lineRule="auto"/>
              <w:jc w:val="both"/>
              <w:rPr>
                <w:rFonts w:cstheme="minorHAnsi"/>
                <w:lang w:val="bg-BG"/>
              </w:rPr>
            </w:pPr>
            <w:r w:rsidRPr="00974101">
              <w:rPr>
                <w:rFonts w:cstheme="minorHAnsi"/>
                <w:lang w:val="bg-BG"/>
              </w:rPr>
              <w:t>Подобряване на удовлетвореността на клиентите</w:t>
            </w:r>
            <w:r w:rsidR="00CC560B" w:rsidRPr="00974101">
              <w:rPr>
                <w:rFonts w:cstheme="minorHAnsi"/>
                <w:lang w:val="bg-BG"/>
              </w:rPr>
              <w:t>;</w:t>
            </w:r>
          </w:p>
          <w:p w14:paraId="6ED39CAB" w14:textId="77777777" w:rsidR="00CC560B" w:rsidRPr="00974101" w:rsidRDefault="00466085" w:rsidP="00974101">
            <w:pPr>
              <w:pStyle w:val="a4"/>
              <w:numPr>
                <w:ilvl w:val="0"/>
                <w:numId w:val="24"/>
              </w:numPr>
              <w:spacing w:line="276" w:lineRule="auto"/>
              <w:jc w:val="both"/>
              <w:rPr>
                <w:rFonts w:cstheme="minorHAnsi"/>
                <w:lang w:val="bg-BG"/>
              </w:rPr>
            </w:pPr>
            <w:r w:rsidRPr="00974101">
              <w:rPr>
                <w:rFonts w:cstheme="minorHAnsi"/>
                <w:lang w:val="bg-BG"/>
              </w:rPr>
              <w:t>Намаляване на откази от страна на купувачите;</w:t>
            </w:r>
          </w:p>
          <w:p w14:paraId="472E4D39" w14:textId="77777777" w:rsidR="00466085" w:rsidRPr="00974101" w:rsidRDefault="00466085" w:rsidP="00974101">
            <w:pPr>
              <w:pStyle w:val="a4"/>
              <w:numPr>
                <w:ilvl w:val="0"/>
                <w:numId w:val="24"/>
              </w:numPr>
              <w:spacing w:line="276" w:lineRule="auto"/>
              <w:jc w:val="both"/>
              <w:rPr>
                <w:rFonts w:cstheme="minorHAnsi"/>
                <w:lang w:val="bg-BG"/>
              </w:rPr>
            </w:pPr>
            <w:r w:rsidRPr="00974101">
              <w:rPr>
                <w:rFonts w:cstheme="minorHAnsi"/>
                <w:lang w:val="bg-BG"/>
              </w:rPr>
              <w:t>Намаляване на разходите за обработка.</w:t>
            </w:r>
          </w:p>
          <w:p w14:paraId="56555C59" w14:textId="73178FA1" w:rsidR="005F556B" w:rsidRPr="00974101" w:rsidRDefault="00CF72B6" w:rsidP="008D57CD">
            <w:pPr>
              <w:spacing w:before="1" w:line="276" w:lineRule="auto"/>
              <w:ind w:left="138" w:right="129" w:firstLine="566"/>
              <w:jc w:val="both"/>
              <w:rPr>
                <w:rFonts w:cstheme="minorHAnsi"/>
                <w:lang w:val="bg-BG"/>
              </w:rPr>
            </w:pPr>
            <w:r w:rsidRPr="00974101">
              <w:rPr>
                <w:rFonts w:cstheme="minorHAnsi"/>
                <w:lang w:val="bg-BG"/>
              </w:rPr>
              <w:t>Една от о</w:t>
            </w:r>
            <w:r w:rsidR="00470678" w:rsidRPr="00974101">
              <w:rPr>
                <w:rFonts w:cstheme="minorHAnsi"/>
                <w:lang w:val="bg-BG"/>
              </w:rPr>
              <w:t>сновн</w:t>
            </w:r>
            <w:r w:rsidR="00783ED7">
              <w:rPr>
                <w:rFonts w:cstheme="minorHAnsi"/>
                <w:lang w:val="bg-BG"/>
              </w:rPr>
              <w:t>ите</w:t>
            </w:r>
            <w:r w:rsidR="00470678" w:rsidRPr="00974101">
              <w:rPr>
                <w:rFonts w:cstheme="minorHAnsi"/>
                <w:lang w:val="bg-BG"/>
              </w:rPr>
              <w:t xml:space="preserve"> задач</w:t>
            </w:r>
            <w:r w:rsidR="00783ED7">
              <w:rPr>
                <w:rFonts w:cstheme="minorHAnsi"/>
                <w:lang w:val="bg-BG"/>
              </w:rPr>
              <w:t>и</w:t>
            </w:r>
            <w:r w:rsidR="00470678" w:rsidRPr="00974101">
              <w:rPr>
                <w:rFonts w:cstheme="minorHAnsi"/>
                <w:lang w:val="bg-BG"/>
              </w:rPr>
              <w:t xml:space="preserve"> на разработ</w:t>
            </w:r>
            <w:r w:rsidRPr="00974101">
              <w:rPr>
                <w:rFonts w:cstheme="minorHAnsi"/>
                <w:lang w:val="bg-BG"/>
              </w:rPr>
              <w:t>ваната интервенция е да подкрепи</w:t>
            </w:r>
            <w:r w:rsidR="00470678" w:rsidRPr="00974101">
              <w:rPr>
                <w:rFonts w:cstheme="minorHAnsi"/>
                <w:lang w:val="bg-BG"/>
              </w:rPr>
              <w:t xml:space="preserve"> и</w:t>
            </w:r>
            <w:r w:rsidR="001C676B" w:rsidRPr="00711FD7">
              <w:rPr>
                <w:rFonts w:cstheme="minorHAnsi"/>
                <w:lang w:val="bg-BG"/>
              </w:rPr>
              <w:t xml:space="preserve">зползването на съществуващите потенциали за развитие на </w:t>
            </w:r>
            <w:r w:rsidR="004421C3">
              <w:rPr>
                <w:rFonts w:cstheme="minorHAnsi"/>
                <w:lang w:val="bg-BG"/>
              </w:rPr>
              <w:t>групите</w:t>
            </w:r>
            <w:r w:rsidR="001C676B" w:rsidRPr="00711FD7">
              <w:rPr>
                <w:rFonts w:cstheme="minorHAnsi"/>
                <w:lang w:val="bg-BG"/>
              </w:rPr>
              <w:t xml:space="preserve"> </w:t>
            </w:r>
            <w:r w:rsidR="00BF4EE0">
              <w:rPr>
                <w:rFonts w:cstheme="minorHAnsi"/>
                <w:lang w:val="bg-BG"/>
              </w:rPr>
              <w:t>и организации</w:t>
            </w:r>
            <w:r w:rsidR="00783ED7">
              <w:rPr>
                <w:rFonts w:cstheme="minorHAnsi"/>
                <w:lang w:val="bg-BG"/>
              </w:rPr>
              <w:t>те</w:t>
            </w:r>
            <w:r w:rsidR="00BF4EE0">
              <w:rPr>
                <w:rFonts w:cstheme="minorHAnsi"/>
                <w:lang w:val="bg-BG"/>
              </w:rPr>
              <w:t xml:space="preserve"> </w:t>
            </w:r>
            <w:r w:rsidR="00BF4EE0" w:rsidRPr="00711FD7">
              <w:rPr>
                <w:rFonts w:cstheme="minorHAnsi"/>
                <w:lang w:val="bg-BG"/>
              </w:rPr>
              <w:t>на производители</w:t>
            </w:r>
            <w:r w:rsidR="004421C3">
              <w:rPr>
                <w:rFonts w:cstheme="minorHAnsi"/>
                <w:lang w:val="bg-BG"/>
              </w:rPr>
              <w:t xml:space="preserve"> в сектор</w:t>
            </w:r>
            <w:r w:rsidR="00EE0B0F">
              <w:rPr>
                <w:rFonts w:cstheme="minorHAnsi"/>
                <w:lang w:val="bg-BG"/>
              </w:rPr>
              <w:t xml:space="preserve">ите „Мляко и млечни продукти“, </w:t>
            </w:r>
            <w:r w:rsidR="004421C3">
              <w:rPr>
                <w:rFonts w:cstheme="minorHAnsi"/>
                <w:lang w:val="bg-BG"/>
              </w:rPr>
              <w:t>„Месо“</w:t>
            </w:r>
            <w:r w:rsidR="00EE0B0F">
              <w:rPr>
                <w:rFonts w:cstheme="minorHAnsi"/>
                <w:lang w:val="bg-BG"/>
              </w:rPr>
              <w:t xml:space="preserve"> и </w:t>
            </w:r>
            <w:r w:rsidR="008D57CD">
              <w:rPr>
                <w:rFonts w:cstheme="minorHAnsi"/>
                <w:lang w:val="bg-BG"/>
              </w:rPr>
              <w:t>„Зърнени</w:t>
            </w:r>
            <w:r w:rsidR="00783ED7">
              <w:rPr>
                <w:rFonts w:cstheme="minorHAnsi"/>
                <w:lang w:val="bg-BG"/>
              </w:rPr>
              <w:t xml:space="preserve"> култури</w:t>
            </w:r>
            <w:r w:rsidR="00EE0B0F" w:rsidRPr="00974101">
              <w:rPr>
                <w:rFonts w:cstheme="minorHAnsi"/>
                <w:lang w:val="bg-BG"/>
              </w:rPr>
              <w:t>“</w:t>
            </w:r>
            <w:r w:rsidR="001C676B" w:rsidRPr="00711FD7">
              <w:rPr>
                <w:rFonts w:cstheme="minorHAnsi"/>
                <w:lang w:val="bg-BG"/>
              </w:rPr>
              <w:t xml:space="preserve">, съобразявайки се със </w:t>
            </w:r>
            <w:r w:rsidR="001C676B" w:rsidRPr="00533B0D">
              <w:rPr>
                <w:rFonts w:cstheme="minorHAnsi"/>
                <w:lang w:val="bg-BG"/>
              </w:rPr>
              <w:t>високата хетерогенност на структурите както на отделните</w:t>
            </w:r>
            <w:r w:rsidR="001C676B" w:rsidRPr="00711FD7">
              <w:rPr>
                <w:rFonts w:cstheme="minorHAnsi"/>
                <w:lang w:val="bg-BG"/>
              </w:rPr>
              <w:t xml:space="preserve"> стопанства, така и на</w:t>
            </w:r>
            <w:r w:rsidR="00470678" w:rsidRPr="00711FD7">
              <w:rPr>
                <w:rFonts w:cstheme="minorHAnsi"/>
                <w:lang w:val="bg-BG"/>
              </w:rPr>
              <w:t xml:space="preserve"> организациите на производители. В средносрочен план следва да бъде постигнато развитие на структурите за предлагане на продукцията на пазара, което директно да допринесе за</w:t>
            </w:r>
            <w:r w:rsidR="00BF4EE0">
              <w:rPr>
                <w:rFonts w:cstheme="minorHAnsi"/>
                <w:lang w:val="bg-BG"/>
              </w:rPr>
              <w:t xml:space="preserve"> </w:t>
            </w:r>
            <w:r w:rsidR="00974101" w:rsidRPr="00974101">
              <w:rPr>
                <w:rFonts w:cstheme="minorHAnsi"/>
                <w:lang w:val="bg-BG"/>
              </w:rPr>
              <w:t xml:space="preserve">подобряване </w:t>
            </w:r>
            <w:r w:rsidR="00470678" w:rsidRPr="00711FD7">
              <w:rPr>
                <w:rFonts w:cstheme="minorHAnsi"/>
                <w:lang w:val="bg-BG"/>
              </w:rPr>
              <w:t xml:space="preserve">на конкурентоспособността на производителите и </w:t>
            </w:r>
            <w:r w:rsidR="00974101" w:rsidRPr="00711FD7">
              <w:rPr>
                <w:rFonts w:cstheme="minorHAnsi"/>
                <w:lang w:val="bg-BG"/>
              </w:rPr>
              <w:t>повишаване</w:t>
            </w:r>
            <w:r w:rsidR="00974101" w:rsidRPr="00974101">
              <w:rPr>
                <w:rFonts w:cstheme="minorHAnsi"/>
                <w:lang w:val="bg-BG"/>
              </w:rPr>
              <w:t xml:space="preserve"> на</w:t>
            </w:r>
            <w:r w:rsidR="00974101" w:rsidRPr="00711FD7">
              <w:rPr>
                <w:rFonts w:cstheme="minorHAnsi"/>
                <w:lang w:val="bg-BG"/>
              </w:rPr>
              <w:t xml:space="preserve"> привлекателността на членството в групи</w:t>
            </w:r>
            <w:r w:rsidR="00974101" w:rsidRPr="00974101">
              <w:rPr>
                <w:rFonts w:cstheme="minorHAnsi"/>
                <w:lang w:val="bg-BG"/>
              </w:rPr>
              <w:t xml:space="preserve"> и </w:t>
            </w:r>
            <w:r w:rsidR="00EE0B0F" w:rsidRPr="00974101">
              <w:rPr>
                <w:rFonts w:cstheme="minorHAnsi"/>
                <w:lang w:val="bg-BG"/>
              </w:rPr>
              <w:t>организации</w:t>
            </w:r>
            <w:r w:rsidR="00974101" w:rsidRPr="00711FD7">
              <w:rPr>
                <w:rFonts w:cstheme="minorHAnsi"/>
                <w:lang w:val="bg-BG"/>
              </w:rPr>
              <w:t xml:space="preserve"> на производители.</w:t>
            </w:r>
          </w:p>
        </w:tc>
      </w:tr>
    </w:tbl>
    <w:p w14:paraId="47F8BD8C" w14:textId="77777777" w:rsidR="005F556B" w:rsidRDefault="005F556B" w:rsidP="005F556B">
      <w:pPr>
        <w:jc w:val="both"/>
        <w:rPr>
          <w:lang w:val="bg-BG"/>
        </w:rPr>
      </w:pPr>
    </w:p>
    <w:p w14:paraId="2C8C6C17" w14:textId="77777777" w:rsidR="00BC2D56" w:rsidRPr="0046113A" w:rsidRDefault="005F556B" w:rsidP="0046113A">
      <w:pPr>
        <w:pStyle w:val="a4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 xml:space="preserve">Идентифициране на съответните базови елементи (напр. </w:t>
      </w:r>
      <w:r w:rsidR="004D47EE" w:rsidRPr="0046113A">
        <w:rPr>
          <w:b/>
          <w:lang w:val="bg-BG"/>
        </w:rPr>
        <w:t xml:space="preserve">съответните </w:t>
      </w:r>
      <w:r w:rsidRPr="0046113A">
        <w:rPr>
          <w:b/>
          <w:lang w:val="bg-BG"/>
        </w:rPr>
        <w:t>GAEC или нормативно установени изисквания за управление (SMR), където е приложимо, и обяснение за това как ангажиментите надхвърлят задължителните изисквания:</w:t>
      </w:r>
    </w:p>
    <w:p w14:paraId="221B8C18" w14:textId="77777777" w:rsidR="005F556B" w:rsidRPr="00BC2D56" w:rsidRDefault="00BC2D56" w:rsidP="005F556B">
      <w:pPr>
        <w:spacing w:line="240" w:lineRule="auto"/>
        <w:jc w:val="both"/>
        <w:rPr>
          <w:i/>
          <w:lang w:val="bg-BG"/>
        </w:rPr>
      </w:pPr>
      <w:r w:rsidRPr="00BC2D56">
        <w:rPr>
          <w:i/>
          <w:lang w:val="bg-BG"/>
        </w:rPr>
        <w:t>/за интервенции в областта на околната среда и климата, артикулацията с изискванията за условност трябва да показват, че практиките се допълват и не се припокриват/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F556B" w:rsidRPr="00B6431F" w14:paraId="47D43F1F" w14:textId="77777777" w:rsidTr="005F556B">
        <w:tc>
          <w:tcPr>
            <w:tcW w:w="9242" w:type="dxa"/>
          </w:tcPr>
          <w:p w14:paraId="15DA311D" w14:textId="3D9206D3" w:rsidR="007711AB" w:rsidRPr="00711FD7" w:rsidRDefault="00757467" w:rsidP="00757467">
            <w:pPr>
              <w:jc w:val="both"/>
              <w:rPr>
                <w:bCs/>
                <w:lang w:val="bg-BG"/>
              </w:rPr>
            </w:pPr>
            <w:r w:rsidRPr="007C5364">
              <w:rPr>
                <w:lang w:val="bg-BG"/>
              </w:rPr>
              <w:t>Неприложимо за конкретния тип интервенция</w:t>
            </w:r>
            <w:r>
              <w:rPr>
                <w:lang w:val="bg-BG"/>
              </w:rPr>
              <w:t>.</w:t>
            </w:r>
          </w:p>
          <w:p w14:paraId="6E9AE872" w14:textId="77777777" w:rsidR="005F556B" w:rsidRDefault="005F556B" w:rsidP="00757467">
            <w:pPr>
              <w:jc w:val="both"/>
              <w:rPr>
                <w:b/>
                <w:lang w:val="bg-BG"/>
              </w:rPr>
            </w:pPr>
          </w:p>
        </w:tc>
      </w:tr>
    </w:tbl>
    <w:p w14:paraId="34865CB5" w14:textId="77777777" w:rsidR="005F556B" w:rsidRDefault="005F556B" w:rsidP="005F556B">
      <w:pPr>
        <w:spacing w:line="240" w:lineRule="auto"/>
        <w:jc w:val="both"/>
        <w:rPr>
          <w:b/>
          <w:lang w:val="bg-BG"/>
        </w:rPr>
      </w:pPr>
    </w:p>
    <w:p w14:paraId="219F5A6E" w14:textId="77777777" w:rsidR="007E269E" w:rsidRDefault="007E269E" w:rsidP="005F556B">
      <w:pPr>
        <w:spacing w:line="240" w:lineRule="auto"/>
        <w:jc w:val="both"/>
        <w:rPr>
          <w:b/>
          <w:lang w:val="bg-BG"/>
        </w:rPr>
      </w:pPr>
    </w:p>
    <w:p w14:paraId="795CFD28" w14:textId="77777777" w:rsidR="005F556B" w:rsidRPr="00841FE0" w:rsidRDefault="005F556B" w:rsidP="0046113A">
      <w:pPr>
        <w:pStyle w:val="a4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841FE0">
        <w:rPr>
          <w:b/>
          <w:lang w:val="bg-BG"/>
        </w:rPr>
        <w:t>Условия за допустимост: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F556B" w:rsidRPr="00B6431F" w14:paraId="6A708B66" w14:textId="77777777" w:rsidTr="005F556B">
        <w:tc>
          <w:tcPr>
            <w:tcW w:w="9242" w:type="dxa"/>
          </w:tcPr>
          <w:p w14:paraId="7F68E781" w14:textId="32A86C64" w:rsidR="00BC2034" w:rsidRPr="00EB3709" w:rsidRDefault="007C5DAE" w:rsidP="005F556B">
            <w:pPr>
              <w:jc w:val="both"/>
              <w:rPr>
                <w:rFonts w:cstheme="minorHAnsi"/>
                <w:lang w:val="bg-BG"/>
              </w:rPr>
            </w:pPr>
            <w:r w:rsidRPr="00EB3709">
              <w:rPr>
                <w:rFonts w:cstheme="minorHAnsi"/>
                <w:lang w:val="bg-BG"/>
              </w:rPr>
              <w:t>Тази интервен</w:t>
            </w:r>
            <w:r w:rsidR="00632A8B" w:rsidRPr="00EB3709">
              <w:rPr>
                <w:rFonts w:cstheme="minorHAnsi"/>
                <w:lang w:val="bg-BG"/>
              </w:rPr>
              <w:t>ция е свързана с изготвяне на</w:t>
            </w:r>
            <w:r w:rsidR="0066697E" w:rsidRPr="00EB3709">
              <w:rPr>
                <w:rFonts w:cstheme="minorHAnsi"/>
                <w:lang w:val="bg-BG"/>
              </w:rPr>
              <w:t xml:space="preserve"> оперативна програма,</w:t>
            </w:r>
            <w:r w:rsidRPr="00711FD7">
              <w:rPr>
                <w:rFonts w:cstheme="minorHAnsi"/>
                <w:lang w:val="bg-BG"/>
              </w:rPr>
              <w:t xml:space="preserve"> </w:t>
            </w:r>
            <w:r w:rsidR="009A0B23" w:rsidRPr="00EB3709">
              <w:rPr>
                <w:rFonts w:cstheme="minorHAnsi"/>
                <w:lang w:val="bg-BG"/>
              </w:rPr>
              <w:t xml:space="preserve">чрез </w:t>
            </w:r>
            <w:r w:rsidR="000E1A5B" w:rsidRPr="00EB3709">
              <w:rPr>
                <w:rFonts w:cstheme="minorHAnsi"/>
                <w:lang w:val="bg-BG"/>
              </w:rPr>
              <w:t>която</w:t>
            </w:r>
            <w:r w:rsidR="000E1A5B" w:rsidRPr="00711FD7">
              <w:rPr>
                <w:rFonts w:cstheme="minorHAnsi"/>
                <w:lang w:val="bg-BG"/>
              </w:rPr>
              <w:t xml:space="preserve"> </w:t>
            </w:r>
            <w:r w:rsidR="003A1E3F">
              <w:rPr>
                <w:rFonts w:cstheme="minorHAnsi"/>
                <w:lang w:val="bg-BG"/>
              </w:rPr>
              <w:t>групи/ организации/</w:t>
            </w:r>
            <w:r w:rsidR="005A7784">
              <w:rPr>
                <w:rFonts w:cstheme="minorHAnsi"/>
                <w:lang w:val="bg-BG"/>
              </w:rPr>
              <w:t>асоциации на организации на производители</w:t>
            </w:r>
            <w:r w:rsidR="000E1A5B" w:rsidRPr="00EB3709">
              <w:rPr>
                <w:rFonts w:cstheme="minorHAnsi"/>
                <w:lang w:val="bg-BG"/>
              </w:rPr>
              <w:t xml:space="preserve"> </w:t>
            </w:r>
            <w:r w:rsidR="009A0B23" w:rsidRPr="00EB3709">
              <w:rPr>
                <w:rFonts w:cstheme="minorHAnsi"/>
                <w:lang w:val="bg-BG"/>
              </w:rPr>
              <w:t xml:space="preserve">следва да постигнат </w:t>
            </w:r>
            <w:r w:rsidR="00B04EEC" w:rsidRPr="00B04EEC">
              <w:rPr>
                <w:rFonts w:cstheme="minorHAnsi"/>
                <w:lang w:val="bg-BG"/>
              </w:rPr>
              <w:t>една или повече от целите</w:t>
            </w:r>
            <w:r w:rsidR="00B04EEC">
              <w:rPr>
                <w:rFonts w:cstheme="minorHAnsi"/>
                <w:lang w:val="bg-BG"/>
              </w:rPr>
              <w:t>,</w:t>
            </w:r>
            <w:r w:rsidR="00B04EEC" w:rsidRPr="00B04EEC">
              <w:rPr>
                <w:rFonts w:cstheme="minorHAnsi"/>
                <w:lang w:val="bg-BG"/>
              </w:rPr>
              <w:t xml:space="preserve"> </w:t>
            </w:r>
            <w:r w:rsidR="000E1A5B" w:rsidRPr="00711FD7">
              <w:rPr>
                <w:rFonts w:cstheme="minorHAnsi"/>
                <w:lang w:val="bg-BG"/>
              </w:rPr>
              <w:t>предвидени в чл. 41а</w:t>
            </w:r>
            <w:r w:rsidR="00B04EEC">
              <w:rPr>
                <w:rFonts w:cstheme="minorHAnsi"/>
                <w:lang w:val="bg-BG"/>
              </w:rPr>
              <w:t>,</w:t>
            </w:r>
            <w:r w:rsidR="000E1A5B" w:rsidRPr="00711FD7">
              <w:rPr>
                <w:rFonts w:cstheme="minorHAnsi"/>
                <w:lang w:val="bg-BG"/>
              </w:rPr>
              <w:t xml:space="preserve"> </w:t>
            </w:r>
            <w:r w:rsidR="00B04EEC" w:rsidRPr="00711FD7">
              <w:rPr>
                <w:rFonts w:cstheme="minorHAnsi"/>
                <w:lang w:val="bg-BG"/>
              </w:rPr>
              <w:t>букви а)—з) и й)</w:t>
            </w:r>
            <w:r w:rsidR="00B04EEC">
              <w:rPr>
                <w:rFonts w:cstheme="minorHAnsi"/>
                <w:lang w:val="bg-BG"/>
              </w:rPr>
              <w:t xml:space="preserve"> </w:t>
            </w:r>
            <w:r w:rsidR="000E1A5B" w:rsidRPr="00711FD7">
              <w:rPr>
                <w:rFonts w:cstheme="minorHAnsi"/>
                <w:lang w:val="bg-BG"/>
              </w:rPr>
              <w:t>от Регламент ХХХХ/20ХХ</w:t>
            </w:r>
            <w:r w:rsidR="00B04EEC">
              <w:rPr>
                <w:rFonts w:cstheme="minorHAnsi"/>
                <w:lang w:val="bg-BG"/>
              </w:rPr>
              <w:t xml:space="preserve">, </w:t>
            </w:r>
            <w:r w:rsidR="000E1A5B" w:rsidRPr="00711FD7">
              <w:rPr>
                <w:rFonts w:cstheme="minorHAnsi"/>
                <w:lang w:val="bg-BG"/>
              </w:rPr>
              <w:t xml:space="preserve">според </w:t>
            </w:r>
            <w:r w:rsidR="00EE0B0F">
              <w:rPr>
                <w:rFonts w:cstheme="minorHAnsi"/>
                <w:lang w:val="bg-BG"/>
              </w:rPr>
              <w:t>потребностите</w:t>
            </w:r>
            <w:r w:rsidR="000E1A5B" w:rsidRPr="00711FD7">
              <w:rPr>
                <w:rFonts w:cstheme="minorHAnsi"/>
                <w:lang w:val="bg-BG"/>
              </w:rPr>
              <w:t xml:space="preserve"> на </w:t>
            </w:r>
            <w:r w:rsidR="000E1A5B" w:rsidRPr="00EB3709">
              <w:rPr>
                <w:rFonts w:cstheme="minorHAnsi"/>
                <w:lang w:val="bg-BG"/>
              </w:rPr>
              <w:t xml:space="preserve">техните </w:t>
            </w:r>
            <w:r w:rsidR="00BF4EE0" w:rsidRPr="00711FD7">
              <w:rPr>
                <w:rFonts w:cstheme="minorHAnsi"/>
                <w:lang w:val="bg-BG"/>
              </w:rPr>
              <w:t>членове</w:t>
            </w:r>
            <w:r w:rsidR="00B04EEC">
              <w:rPr>
                <w:rFonts w:cstheme="minorHAnsi"/>
                <w:lang w:val="bg-BG"/>
              </w:rPr>
              <w:t xml:space="preserve"> и на </w:t>
            </w:r>
            <w:r w:rsidR="003A1E3F">
              <w:rPr>
                <w:rFonts w:cstheme="minorHAnsi"/>
                <w:lang w:val="bg-BG"/>
              </w:rPr>
              <w:t>самите групи/организации/</w:t>
            </w:r>
            <w:r w:rsidR="005A7784">
              <w:rPr>
                <w:rFonts w:cstheme="minorHAnsi"/>
                <w:lang w:val="bg-BG"/>
              </w:rPr>
              <w:t>асоциации на организации на производители</w:t>
            </w:r>
            <w:r w:rsidR="000E1A5B" w:rsidRPr="00EB3709">
              <w:rPr>
                <w:rFonts w:cstheme="minorHAnsi"/>
                <w:lang w:val="bg-BG"/>
              </w:rPr>
              <w:t xml:space="preserve">. </w:t>
            </w:r>
          </w:p>
          <w:p w14:paraId="7686495B" w14:textId="77777777" w:rsidR="009A0B23" w:rsidRPr="00711FD7" w:rsidRDefault="00BC2034" w:rsidP="005F556B">
            <w:pPr>
              <w:jc w:val="both"/>
              <w:rPr>
                <w:rFonts w:cstheme="minorHAnsi"/>
                <w:lang w:val="bg-BG"/>
              </w:rPr>
            </w:pPr>
            <w:r w:rsidRPr="00EB3709">
              <w:rPr>
                <w:rFonts w:cstheme="minorHAnsi"/>
                <w:lang w:val="bg-BG"/>
              </w:rPr>
              <w:t>Опер</w:t>
            </w:r>
            <w:r w:rsidR="00BF4EE0">
              <w:rPr>
                <w:rFonts w:cstheme="minorHAnsi"/>
                <w:lang w:val="bg-BG"/>
              </w:rPr>
              <w:t>а</w:t>
            </w:r>
            <w:r w:rsidRPr="00EB3709">
              <w:rPr>
                <w:rFonts w:cstheme="minorHAnsi"/>
                <w:lang w:val="bg-BG"/>
              </w:rPr>
              <w:t>тивните  програми</w:t>
            </w:r>
            <w:r w:rsidR="009A0B23" w:rsidRPr="00EB3709">
              <w:rPr>
                <w:rFonts w:cstheme="minorHAnsi"/>
                <w:lang w:val="bg-BG"/>
              </w:rPr>
              <w:t xml:space="preserve"> </w:t>
            </w:r>
            <w:r w:rsidRPr="00BF4EE0">
              <w:rPr>
                <w:rFonts w:cstheme="minorHAnsi"/>
                <w:lang w:val="bg-BG"/>
              </w:rPr>
              <w:t>се</w:t>
            </w:r>
            <w:r w:rsidRPr="00711FD7">
              <w:rPr>
                <w:rFonts w:cstheme="minorHAnsi"/>
                <w:lang w:val="bg-BG"/>
              </w:rPr>
              <w:t xml:space="preserve"> представят </w:t>
            </w:r>
            <w:r w:rsidR="009A0B23" w:rsidRPr="00711FD7">
              <w:rPr>
                <w:rFonts w:cstheme="minorHAnsi"/>
                <w:lang w:val="bg-BG"/>
              </w:rPr>
              <w:t xml:space="preserve">за одобрение </w:t>
            </w:r>
            <w:r w:rsidR="00BF4EE0">
              <w:rPr>
                <w:rFonts w:cstheme="minorHAnsi"/>
                <w:lang w:val="bg-BG"/>
              </w:rPr>
              <w:t xml:space="preserve">в ДФ „Земеделие“ </w:t>
            </w:r>
            <w:r w:rsidRPr="00711FD7">
              <w:rPr>
                <w:rFonts w:cstheme="minorHAnsi"/>
                <w:lang w:val="bg-BG"/>
              </w:rPr>
              <w:t xml:space="preserve">и </w:t>
            </w:r>
            <w:r w:rsidR="009A0B23" w:rsidRPr="00711FD7">
              <w:rPr>
                <w:rFonts w:cstheme="minorHAnsi"/>
                <w:lang w:val="bg-BG"/>
              </w:rPr>
              <w:t>се изпълняват</w:t>
            </w:r>
            <w:r w:rsidR="009A0B23" w:rsidRPr="00BF4EE0">
              <w:rPr>
                <w:rFonts w:cstheme="minorHAnsi"/>
                <w:lang w:val="bg-BG"/>
              </w:rPr>
              <w:t>,</w:t>
            </w:r>
            <w:r w:rsidR="009A0B23" w:rsidRPr="00711FD7">
              <w:rPr>
                <w:rFonts w:cstheme="minorHAnsi"/>
                <w:lang w:val="bg-BG"/>
              </w:rPr>
              <w:t xml:space="preserve"> ако бъдат одобрени</w:t>
            </w:r>
            <w:r w:rsidRPr="00711FD7">
              <w:rPr>
                <w:rFonts w:cstheme="minorHAnsi"/>
                <w:lang w:val="bg-BG"/>
              </w:rPr>
              <w:t>.</w:t>
            </w:r>
            <w:r w:rsidR="009A0B23" w:rsidRPr="00711FD7">
              <w:rPr>
                <w:rFonts w:cstheme="minorHAnsi"/>
                <w:lang w:val="bg-BG"/>
              </w:rPr>
              <w:t xml:space="preserve"> </w:t>
            </w:r>
          </w:p>
          <w:p w14:paraId="18B90DE4" w14:textId="33C80DD8" w:rsidR="009A0B23" w:rsidRPr="00EB3709" w:rsidRDefault="00EE0F0F" w:rsidP="005F556B">
            <w:pPr>
              <w:jc w:val="both"/>
              <w:rPr>
                <w:rFonts w:cstheme="minorHAnsi"/>
                <w:lang w:val="bg-BG"/>
              </w:rPr>
            </w:pPr>
            <w:r w:rsidRPr="00EB3709">
              <w:rPr>
                <w:rFonts w:cstheme="minorHAnsi"/>
                <w:lang w:val="bg-BG"/>
              </w:rPr>
              <w:t xml:space="preserve">За да </w:t>
            </w:r>
            <w:r w:rsidR="00D8581D">
              <w:rPr>
                <w:rFonts w:cstheme="minorHAnsi"/>
                <w:lang w:val="bg-BG"/>
              </w:rPr>
              <w:t>бъд</w:t>
            </w:r>
            <w:r w:rsidRPr="00EB3709">
              <w:rPr>
                <w:rFonts w:cstheme="minorHAnsi"/>
                <w:lang w:val="bg-BG"/>
              </w:rPr>
              <w:t>е одобрена о</w:t>
            </w:r>
            <w:r w:rsidR="009A0B23" w:rsidRPr="00EB3709">
              <w:rPr>
                <w:rFonts w:cstheme="minorHAnsi"/>
                <w:lang w:val="bg-BG"/>
              </w:rPr>
              <w:t xml:space="preserve">перативната програма </w:t>
            </w:r>
            <w:r w:rsidRPr="00EB3709">
              <w:rPr>
                <w:rFonts w:cstheme="minorHAnsi"/>
                <w:lang w:val="bg-BG"/>
              </w:rPr>
              <w:t xml:space="preserve">следва: </w:t>
            </w:r>
          </w:p>
          <w:p w14:paraId="0E56919D" w14:textId="2E38CE81" w:rsidR="00BC2034" w:rsidRPr="00EB3709" w:rsidRDefault="00EE0F0F" w:rsidP="005F556B">
            <w:pPr>
              <w:jc w:val="both"/>
              <w:rPr>
                <w:rFonts w:cstheme="minorHAnsi"/>
                <w:lang w:val="bg-BG"/>
              </w:rPr>
            </w:pPr>
            <w:r w:rsidRPr="00EB3709">
              <w:rPr>
                <w:rFonts w:cstheme="minorHAnsi"/>
                <w:lang w:val="bg-BG"/>
              </w:rPr>
              <w:t xml:space="preserve">а) </w:t>
            </w:r>
            <w:r w:rsidR="00EF10CD" w:rsidRPr="00EB3709">
              <w:rPr>
                <w:rFonts w:cstheme="minorHAnsi"/>
                <w:lang w:val="bg-BG"/>
              </w:rPr>
              <w:t xml:space="preserve">да </w:t>
            </w:r>
            <w:r w:rsidR="009A0B23" w:rsidRPr="00711FD7">
              <w:rPr>
                <w:rFonts w:cstheme="minorHAnsi"/>
                <w:lang w:val="bg-BG"/>
              </w:rPr>
              <w:t>има</w:t>
            </w:r>
            <w:r w:rsidRPr="00711FD7">
              <w:rPr>
                <w:rFonts w:cstheme="minorHAnsi"/>
                <w:lang w:val="bg-BG"/>
              </w:rPr>
              <w:t xml:space="preserve"> продължи</w:t>
            </w:r>
            <w:r w:rsidR="009A0B23" w:rsidRPr="00711FD7">
              <w:rPr>
                <w:rFonts w:cstheme="minorHAnsi"/>
                <w:lang w:val="bg-BG"/>
              </w:rPr>
              <w:t xml:space="preserve">телност най-малко три години и най-много </w:t>
            </w:r>
            <w:r w:rsidR="003F1F3A">
              <w:rPr>
                <w:rFonts w:cstheme="minorHAnsi"/>
                <w:lang w:val="bg-BG"/>
              </w:rPr>
              <w:t>пет</w:t>
            </w:r>
            <w:r w:rsidR="009A0B23" w:rsidRPr="00711FD7">
              <w:rPr>
                <w:rFonts w:cstheme="minorHAnsi"/>
                <w:lang w:val="bg-BG"/>
              </w:rPr>
              <w:t xml:space="preserve"> години</w:t>
            </w:r>
            <w:r w:rsidR="00A31DF4" w:rsidRPr="00EB3709">
              <w:rPr>
                <w:rFonts w:cstheme="minorHAnsi"/>
                <w:lang w:val="bg-BG"/>
              </w:rPr>
              <w:t>.</w:t>
            </w:r>
          </w:p>
          <w:p w14:paraId="2A1CE6D7" w14:textId="16AE283C" w:rsidR="007C5AA7" w:rsidRDefault="007C5AA7" w:rsidP="007C5AA7">
            <w:pPr>
              <w:jc w:val="both"/>
              <w:rPr>
                <w:rFonts w:cstheme="minorHAnsi"/>
                <w:lang w:val="bg-BG"/>
              </w:rPr>
            </w:pPr>
            <w:r>
              <w:rPr>
                <w:rFonts w:cstheme="minorHAnsi"/>
                <w:lang w:val="bg-BG"/>
              </w:rPr>
              <w:t>б</w:t>
            </w:r>
            <w:r w:rsidRPr="00997357">
              <w:rPr>
                <w:rFonts w:cstheme="minorHAnsi"/>
                <w:lang w:val="bg-BG"/>
              </w:rPr>
              <w:t xml:space="preserve">) за всяка избрана цел </w:t>
            </w:r>
            <w:r>
              <w:rPr>
                <w:rFonts w:cstheme="minorHAnsi"/>
                <w:lang w:val="bg-BG"/>
              </w:rPr>
              <w:t xml:space="preserve">следва </w:t>
            </w:r>
            <w:r w:rsidRPr="00997357">
              <w:rPr>
                <w:rFonts w:cstheme="minorHAnsi"/>
                <w:lang w:val="bg-BG"/>
              </w:rPr>
              <w:t>да са описани интервенциите, с които ще бъде постигната</w:t>
            </w:r>
            <w:r>
              <w:rPr>
                <w:rFonts w:cstheme="minorHAnsi"/>
                <w:lang w:val="bg-BG"/>
              </w:rPr>
              <w:t xml:space="preserve">, съгласно </w:t>
            </w:r>
            <w:r w:rsidRPr="00EB3709">
              <w:rPr>
                <w:rFonts w:cstheme="minorHAnsi"/>
                <w:lang w:val="bg-BG"/>
              </w:rPr>
              <w:t>допустими</w:t>
            </w:r>
            <w:r>
              <w:rPr>
                <w:rFonts w:cstheme="minorHAnsi"/>
                <w:lang w:val="bg-BG"/>
              </w:rPr>
              <w:t>те</w:t>
            </w:r>
            <w:r w:rsidRPr="00EB3709">
              <w:rPr>
                <w:rFonts w:cstheme="minorHAnsi"/>
                <w:lang w:val="bg-BG"/>
              </w:rPr>
              <w:t xml:space="preserve"> за подпомагане</w:t>
            </w:r>
            <w:r w:rsidRPr="00EB3709">
              <w:rPr>
                <w:rFonts w:cstheme="minorHAnsi"/>
                <w:b/>
                <w:lang w:val="bg-BG"/>
              </w:rPr>
              <w:t xml:space="preserve"> </w:t>
            </w:r>
            <w:r w:rsidRPr="00EB3709">
              <w:rPr>
                <w:rFonts w:cstheme="minorHAnsi"/>
                <w:lang w:val="bg-BG"/>
              </w:rPr>
              <w:t>интервенции в съответствие с чл. 41б от Регламент ХХХХ/20ХХ</w:t>
            </w:r>
            <w:r w:rsidR="00F30F51">
              <w:rPr>
                <w:rFonts w:cstheme="minorHAnsi"/>
                <w:lang w:val="bg-BG"/>
              </w:rPr>
              <w:t>.</w:t>
            </w:r>
          </w:p>
          <w:p w14:paraId="324A3980" w14:textId="30165635" w:rsidR="00F30F51" w:rsidRPr="00F30F51" w:rsidRDefault="00F30F51" w:rsidP="007C5AA7">
            <w:pPr>
              <w:jc w:val="both"/>
              <w:rPr>
                <w:rFonts w:cstheme="minorHAnsi"/>
                <w:b/>
                <w:lang w:val="bg-BG"/>
              </w:rPr>
            </w:pPr>
            <w:r w:rsidRPr="00F30F51">
              <w:rPr>
                <w:rFonts w:cstheme="minorHAnsi"/>
                <w:b/>
                <w:lang w:val="bg-BG"/>
              </w:rPr>
              <w:t>Допустими цели и интервенции в сектор „Мляко и млечни продукти“ и  „Месо“:</w:t>
            </w:r>
          </w:p>
          <w:p w14:paraId="23E3286F" w14:textId="77777777" w:rsidR="00463BF0" w:rsidRDefault="00463BF0" w:rsidP="00463BF0">
            <w:pPr>
              <w:pStyle w:val="a4"/>
              <w:numPr>
                <w:ilvl w:val="0"/>
                <w:numId w:val="11"/>
              </w:numPr>
              <w:spacing w:line="276" w:lineRule="auto"/>
              <w:jc w:val="both"/>
              <w:rPr>
                <w:rFonts w:cstheme="minorHAnsi"/>
                <w:bCs/>
                <w:lang w:val="bg-BG"/>
              </w:rPr>
            </w:pPr>
            <w:r w:rsidRPr="00AB2F49">
              <w:rPr>
                <w:rFonts w:cstheme="minorHAnsi"/>
                <w:bCs/>
                <w:lang w:val="bg-BG"/>
              </w:rPr>
              <w:lastRenderedPageBreak/>
              <w:t>Планиране и организация на производството, адаптиране на производството към търсенето, по-специално по отношение на качеството и количеството, оптимизиране на производствените разходи и на възвръщаемостта на инвестициите, стабилизиране на цените на производителите и договаряне на договорите за доставката на селскостопански продукти;</w:t>
            </w:r>
            <w:r>
              <w:rPr>
                <w:rFonts w:cstheme="minorHAnsi"/>
                <w:bCs/>
                <w:lang w:val="bg-BG"/>
              </w:rPr>
              <w:t xml:space="preserve"> </w:t>
            </w:r>
          </w:p>
          <w:p w14:paraId="5C93030A" w14:textId="77777777" w:rsidR="00463BF0" w:rsidRPr="00AB2F49" w:rsidRDefault="00463BF0" w:rsidP="00463BF0">
            <w:pPr>
              <w:jc w:val="both"/>
              <w:rPr>
                <w:rFonts w:cstheme="minorHAnsi"/>
                <w:bCs/>
                <w:lang w:val="bg-BG"/>
              </w:rPr>
            </w:pPr>
            <w:r w:rsidRPr="00AB2F49">
              <w:rPr>
                <w:rFonts w:cstheme="minorHAnsi"/>
                <w:bCs/>
                <w:lang w:val="bg-BG"/>
              </w:rPr>
              <w:t>•</w:t>
            </w:r>
            <w:r w:rsidRPr="00AB2F49">
              <w:rPr>
                <w:rFonts w:cstheme="minorHAnsi"/>
                <w:bCs/>
                <w:lang w:val="bg-BG"/>
              </w:rPr>
              <w:tab/>
              <w:t>Инвестиции в материални и нематериални активи;</w:t>
            </w:r>
          </w:p>
          <w:p w14:paraId="068B9F7F" w14:textId="77777777" w:rsidR="00463BF0" w:rsidRDefault="00463BF0" w:rsidP="00463BF0">
            <w:pPr>
              <w:pStyle w:val="a4"/>
              <w:numPr>
                <w:ilvl w:val="0"/>
                <w:numId w:val="11"/>
              </w:numPr>
              <w:jc w:val="both"/>
              <w:rPr>
                <w:rFonts w:cstheme="minorHAnsi"/>
                <w:bCs/>
                <w:lang w:val="bg-BG"/>
              </w:rPr>
            </w:pPr>
            <w:r w:rsidRPr="00AB2F49">
              <w:rPr>
                <w:rFonts w:cstheme="minorHAnsi"/>
                <w:bCs/>
                <w:lang w:val="bg-BG"/>
              </w:rPr>
              <w:t>Концентрация на предлагането и пускането на пазара на съответните продукти, включително чрез директен маркетинг;</w:t>
            </w:r>
          </w:p>
          <w:p w14:paraId="35726D61" w14:textId="77777777" w:rsidR="00463BF0" w:rsidRPr="00AB2F49" w:rsidRDefault="00463BF0" w:rsidP="00463BF0">
            <w:pPr>
              <w:jc w:val="both"/>
              <w:rPr>
                <w:rFonts w:cstheme="minorHAnsi"/>
                <w:bCs/>
                <w:lang w:val="bg-BG"/>
              </w:rPr>
            </w:pPr>
            <w:r w:rsidRPr="00AB2F49">
              <w:rPr>
                <w:rFonts w:cstheme="minorHAnsi"/>
                <w:bCs/>
                <w:lang w:val="bg-BG"/>
              </w:rPr>
              <w:t>•</w:t>
            </w:r>
            <w:r w:rsidRPr="00AB2F49">
              <w:rPr>
                <w:rFonts w:cstheme="minorHAnsi"/>
                <w:bCs/>
                <w:lang w:val="bg-BG"/>
              </w:rPr>
              <w:tab/>
              <w:t>Инвестиции в материални и нематериални активи;</w:t>
            </w:r>
          </w:p>
          <w:p w14:paraId="01DAFC75" w14:textId="065E6BBD" w:rsidR="00463BF0" w:rsidRDefault="00463BF0" w:rsidP="00463BF0">
            <w:pPr>
              <w:jc w:val="both"/>
              <w:rPr>
                <w:rFonts w:cstheme="minorHAnsi"/>
                <w:bCs/>
                <w:lang w:val="bg-BG"/>
              </w:rPr>
            </w:pPr>
            <w:r w:rsidRPr="00AB2F49">
              <w:rPr>
                <w:rFonts w:cstheme="minorHAnsi"/>
                <w:bCs/>
                <w:lang w:val="bg-BG"/>
              </w:rPr>
              <w:t>•</w:t>
            </w:r>
            <w:r w:rsidRPr="00AB2F49">
              <w:rPr>
                <w:rFonts w:cstheme="minorHAnsi"/>
                <w:bCs/>
                <w:lang w:val="bg-BG"/>
              </w:rPr>
              <w:tab/>
              <w:t xml:space="preserve">Действия за повишаване на устойчивостта и ефикасността на транспорта </w:t>
            </w:r>
            <w:r w:rsidR="00B509AB">
              <w:rPr>
                <w:rFonts w:cstheme="minorHAnsi"/>
                <w:bCs/>
                <w:lang w:val="bg-BG"/>
              </w:rPr>
              <w:t>и на складирането на продуктите;</w:t>
            </w:r>
          </w:p>
          <w:p w14:paraId="4913BC4A" w14:textId="77777777" w:rsidR="00463BF0" w:rsidRDefault="00463BF0" w:rsidP="00463BF0">
            <w:pPr>
              <w:pStyle w:val="a4"/>
              <w:numPr>
                <w:ilvl w:val="0"/>
                <w:numId w:val="11"/>
              </w:numPr>
              <w:jc w:val="both"/>
              <w:rPr>
                <w:rFonts w:cstheme="minorHAnsi"/>
                <w:bCs/>
                <w:lang w:val="bg-BG"/>
              </w:rPr>
            </w:pPr>
            <w:r w:rsidRPr="00AB2F49">
              <w:rPr>
                <w:rFonts w:cstheme="minorHAnsi"/>
                <w:bCs/>
                <w:lang w:val="bg-BG"/>
              </w:rPr>
              <w:t>Подобряване на средносрочната и дългосрочната конкурентоспособност, по-специално посредством модернизиране;</w:t>
            </w:r>
          </w:p>
          <w:p w14:paraId="152B4E09" w14:textId="77777777" w:rsidR="00463BF0" w:rsidRPr="00057E49" w:rsidRDefault="00463BF0" w:rsidP="00463BF0">
            <w:pPr>
              <w:jc w:val="both"/>
              <w:rPr>
                <w:rFonts w:cstheme="minorHAnsi"/>
                <w:bCs/>
                <w:lang w:val="bg-BG"/>
              </w:rPr>
            </w:pPr>
            <w:r w:rsidRPr="00057E49">
              <w:rPr>
                <w:rFonts w:cstheme="minorHAnsi"/>
                <w:bCs/>
                <w:lang w:val="bg-BG"/>
              </w:rPr>
              <w:t>•</w:t>
            </w:r>
            <w:r w:rsidRPr="00057E49">
              <w:rPr>
                <w:rFonts w:cstheme="minorHAnsi"/>
                <w:bCs/>
                <w:lang w:val="bg-BG"/>
              </w:rPr>
              <w:tab/>
              <w:t>Инвестиции в материални и нематериални активи;</w:t>
            </w:r>
          </w:p>
          <w:p w14:paraId="395D7002" w14:textId="6F76AA80" w:rsidR="00463BF0" w:rsidRDefault="00463BF0" w:rsidP="00463BF0">
            <w:pPr>
              <w:pStyle w:val="a4"/>
              <w:numPr>
                <w:ilvl w:val="0"/>
                <w:numId w:val="11"/>
              </w:numPr>
              <w:jc w:val="both"/>
              <w:rPr>
                <w:rFonts w:cstheme="minorHAnsi"/>
                <w:bCs/>
                <w:lang w:val="bg-BG"/>
              </w:rPr>
            </w:pPr>
            <w:r w:rsidRPr="00057E49">
              <w:rPr>
                <w:rFonts w:cstheme="minorHAnsi"/>
                <w:bCs/>
                <w:lang w:val="bg-BG"/>
              </w:rPr>
              <w:t>Научноизследователска и развойна дейност в областта на уст</w:t>
            </w:r>
            <w:r w:rsidR="0081200B">
              <w:rPr>
                <w:rFonts w:cstheme="minorHAnsi"/>
                <w:bCs/>
                <w:lang w:val="bg-BG"/>
              </w:rPr>
              <w:t>ойчивите производствени методи,</w:t>
            </w:r>
            <w:r w:rsidRPr="00057E49">
              <w:rPr>
                <w:rFonts w:cstheme="minorHAnsi"/>
                <w:bCs/>
                <w:lang w:val="bg-BG"/>
              </w:rPr>
              <w:t xml:space="preserve"> иновативни практики и производствени техники, насърчаващи икономическата конкурентоспособност и укрепващи развитието на пазара;</w:t>
            </w:r>
          </w:p>
          <w:p w14:paraId="509ED42B" w14:textId="77777777" w:rsidR="00463BF0" w:rsidRPr="00057E49" w:rsidRDefault="00463BF0" w:rsidP="00463BF0">
            <w:pPr>
              <w:jc w:val="both"/>
              <w:rPr>
                <w:rFonts w:cstheme="minorHAnsi"/>
                <w:bCs/>
                <w:lang w:val="bg-BG"/>
              </w:rPr>
            </w:pPr>
            <w:r w:rsidRPr="00057E49">
              <w:rPr>
                <w:rFonts w:cstheme="minorHAnsi"/>
                <w:bCs/>
                <w:lang w:val="bg-BG"/>
              </w:rPr>
              <w:t>•</w:t>
            </w:r>
            <w:r w:rsidRPr="00057E49">
              <w:rPr>
                <w:rFonts w:cstheme="minorHAnsi"/>
                <w:bCs/>
                <w:lang w:val="bg-BG"/>
              </w:rPr>
              <w:tab/>
              <w:t>Инвестиции в материални и нематериални активи;</w:t>
            </w:r>
          </w:p>
          <w:p w14:paraId="783E4E7C" w14:textId="56051950" w:rsidR="00463BF0" w:rsidRPr="00057E49" w:rsidRDefault="00463BF0" w:rsidP="00463BF0">
            <w:pPr>
              <w:jc w:val="both"/>
              <w:rPr>
                <w:rFonts w:cstheme="minorHAnsi"/>
                <w:bCs/>
                <w:lang w:val="bg-BG"/>
              </w:rPr>
            </w:pPr>
            <w:r w:rsidRPr="00057E49">
              <w:rPr>
                <w:rFonts w:cstheme="minorHAnsi"/>
                <w:bCs/>
                <w:lang w:val="bg-BG"/>
              </w:rPr>
              <w:t>•</w:t>
            </w:r>
            <w:r w:rsidRPr="00057E49">
              <w:rPr>
                <w:rFonts w:cstheme="minorHAnsi"/>
                <w:bCs/>
                <w:lang w:val="bg-BG"/>
              </w:rPr>
              <w:tab/>
              <w:t>Инвестиции в научни изследвания</w:t>
            </w:r>
            <w:r w:rsidR="00B509AB">
              <w:rPr>
                <w:rFonts w:cstheme="minorHAnsi"/>
                <w:bCs/>
                <w:lang w:val="bg-BG"/>
              </w:rPr>
              <w:t xml:space="preserve"> и експериментално производство;</w:t>
            </w:r>
          </w:p>
          <w:p w14:paraId="0955D539" w14:textId="77777777" w:rsidR="00463BF0" w:rsidRPr="00057E49" w:rsidRDefault="00463BF0" w:rsidP="00463BF0">
            <w:pPr>
              <w:pStyle w:val="a4"/>
              <w:numPr>
                <w:ilvl w:val="0"/>
                <w:numId w:val="11"/>
              </w:numPr>
              <w:jc w:val="both"/>
              <w:rPr>
                <w:rFonts w:cstheme="minorHAnsi"/>
                <w:bCs/>
                <w:lang w:val="bg-BG"/>
              </w:rPr>
            </w:pPr>
            <w:r>
              <w:rPr>
                <w:rFonts w:cstheme="minorHAnsi"/>
                <w:bCs/>
                <w:lang w:val="bg-BG"/>
              </w:rPr>
              <w:t>Н</w:t>
            </w:r>
            <w:r w:rsidRPr="00057E49">
              <w:rPr>
                <w:rFonts w:cstheme="minorHAnsi"/>
                <w:bCs/>
                <w:lang w:val="bg-BG"/>
              </w:rPr>
              <w:t>асърчаване, развиване и прилагане на:</w:t>
            </w:r>
          </w:p>
          <w:p w14:paraId="3CE1AE05" w14:textId="3CCE6A21" w:rsidR="00463BF0" w:rsidRDefault="006F72AA" w:rsidP="00D24FA5">
            <w:pPr>
              <w:pStyle w:val="a4"/>
              <w:ind w:left="390"/>
              <w:jc w:val="both"/>
              <w:rPr>
                <w:rFonts w:cstheme="minorHAnsi"/>
                <w:bCs/>
                <w:lang w:val="bg-BG"/>
              </w:rPr>
            </w:pPr>
            <w:r>
              <w:rPr>
                <w:rFonts w:cstheme="minorHAnsi"/>
                <w:bCs/>
                <w:lang w:val="bg-BG"/>
              </w:rPr>
              <w:t xml:space="preserve">5.1. </w:t>
            </w:r>
            <w:r w:rsidR="00463BF0" w:rsidRPr="00057E49">
              <w:rPr>
                <w:rFonts w:cstheme="minorHAnsi"/>
                <w:bCs/>
                <w:lang w:val="bg-BG"/>
              </w:rPr>
              <w:t>методи и техники за производство, които зачитат околната среда;</w:t>
            </w:r>
          </w:p>
          <w:p w14:paraId="38DDC624" w14:textId="77777777" w:rsidR="00463BF0" w:rsidRPr="00057E49" w:rsidRDefault="00463BF0" w:rsidP="00463BF0">
            <w:pPr>
              <w:jc w:val="both"/>
              <w:rPr>
                <w:rFonts w:cstheme="minorHAnsi"/>
                <w:bCs/>
                <w:lang w:val="bg-BG"/>
              </w:rPr>
            </w:pPr>
            <w:r w:rsidRPr="00057E49">
              <w:rPr>
                <w:rFonts w:cstheme="minorHAnsi"/>
                <w:bCs/>
                <w:lang w:val="bg-BG"/>
              </w:rPr>
              <w:t>•</w:t>
            </w:r>
            <w:r w:rsidRPr="00057E49">
              <w:rPr>
                <w:rFonts w:cstheme="minorHAnsi"/>
                <w:bCs/>
                <w:lang w:val="bg-BG"/>
              </w:rPr>
              <w:tab/>
              <w:t>екологосъобразни опаковки само в областта на научните изследвания и експерименталното производство;</w:t>
            </w:r>
          </w:p>
          <w:p w14:paraId="2F072221" w14:textId="77777777" w:rsidR="00463BF0" w:rsidRDefault="00463BF0" w:rsidP="00463BF0">
            <w:pPr>
              <w:jc w:val="both"/>
              <w:rPr>
                <w:rFonts w:cstheme="minorHAnsi"/>
                <w:bCs/>
                <w:lang w:val="bg-BG"/>
              </w:rPr>
            </w:pPr>
            <w:r w:rsidRPr="00057E49">
              <w:rPr>
                <w:rFonts w:cstheme="minorHAnsi"/>
                <w:bCs/>
                <w:lang w:val="bg-BG"/>
              </w:rPr>
              <w:t>•</w:t>
            </w:r>
            <w:r w:rsidRPr="00057E49">
              <w:rPr>
                <w:rFonts w:cstheme="minorHAnsi"/>
                <w:bCs/>
                <w:lang w:val="bg-BG"/>
              </w:rPr>
              <w:tab/>
              <w:t>повишаване на икономиите на енергия, енергийната ефективност и използването на енергия от възобновяеми източници.</w:t>
            </w:r>
          </w:p>
          <w:p w14:paraId="0B2C96FF" w14:textId="4BA65C81" w:rsidR="00463BF0" w:rsidRPr="00057E49" w:rsidRDefault="00463BF0" w:rsidP="00463BF0">
            <w:pPr>
              <w:jc w:val="both"/>
              <w:rPr>
                <w:rFonts w:cstheme="minorHAnsi"/>
                <w:bCs/>
                <w:lang w:val="bg-BG"/>
              </w:rPr>
            </w:pPr>
            <w:r w:rsidRPr="00057E49">
              <w:rPr>
                <w:rFonts w:cstheme="minorHAnsi"/>
                <w:bCs/>
                <w:lang w:val="bg-BG"/>
              </w:rPr>
              <w:t>•</w:t>
            </w:r>
            <w:r w:rsidRPr="00057E49">
              <w:rPr>
                <w:rFonts w:cstheme="minorHAnsi"/>
                <w:bCs/>
                <w:lang w:val="bg-BG"/>
              </w:rPr>
              <w:tab/>
              <w:t>намаляване на използването на ветеринарни лекарства, включително антибиотици;</w:t>
            </w:r>
          </w:p>
          <w:p w14:paraId="48A9626B" w14:textId="18E3354E" w:rsidR="00463BF0" w:rsidRPr="00057E49" w:rsidRDefault="00463BF0" w:rsidP="00463BF0">
            <w:pPr>
              <w:jc w:val="both"/>
              <w:rPr>
                <w:rFonts w:cstheme="minorHAnsi"/>
                <w:bCs/>
                <w:lang w:val="bg-BG"/>
              </w:rPr>
            </w:pPr>
            <w:r w:rsidRPr="00057E49">
              <w:rPr>
                <w:rFonts w:cstheme="minorHAnsi"/>
                <w:bCs/>
                <w:lang w:val="bg-BG"/>
              </w:rPr>
              <w:t>•</w:t>
            </w:r>
            <w:r w:rsidRPr="00057E49">
              <w:rPr>
                <w:rFonts w:cstheme="minorHAnsi"/>
                <w:bCs/>
                <w:lang w:val="bg-BG"/>
              </w:rPr>
              <w:tab/>
              <w:t>консултантски услуги и техническа помощ, по-специално по отношение на техниките за устойчив контрол на болестите, устойчива употреба на продукти за здраве на животните и смекчаване на последиците от изменението на климата и адаптация към</w:t>
            </w:r>
            <w:r>
              <w:rPr>
                <w:rFonts w:cstheme="minorHAnsi"/>
                <w:bCs/>
                <w:lang w:val="bg-BG"/>
              </w:rPr>
              <w:t xml:space="preserve"> него.</w:t>
            </w:r>
          </w:p>
          <w:p w14:paraId="25317C0A" w14:textId="4BD5AF1F" w:rsidR="00463BF0" w:rsidRDefault="006F72AA" w:rsidP="00D24FA5">
            <w:pPr>
              <w:pStyle w:val="a4"/>
              <w:ind w:left="390"/>
              <w:jc w:val="both"/>
              <w:rPr>
                <w:rFonts w:cstheme="minorHAnsi"/>
                <w:bCs/>
                <w:lang w:val="bg-BG"/>
              </w:rPr>
            </w:pPr>
            <w:r>
              <w:rPr>
                <w:rFonts w:cstheme="minorHAnsi"/>
                <w:bCs/>
                <w:lang w:val="bg-BG"/>
              </w:rPr>
              <w:t xml:space="preserve">5.2. </w:t>
            </w:r>
            <w:r w:rsidR="00463BF0" w:rsidRPr="00057E49">
              <w:rPr>
                <w:rFonts w:cstheme="minorHAnsi"/>
                <w:bCs/>
                <w:lang w:val="bg-BG"/>
              </w:rPr>
              <w:t>стандарти за здраве на животните и хуманно отношение към животните, надхвърлящи минималните изисквания, установени в правото на Съюза и в националното право;</w:t>
            </w:r>
          </w:p>
          <w:p w14:paraId="767044F3" w14:textId="77777777" w:rsidR="00463BF0" w:rsidRPr="00057E49" w:rsidRDefault="00463BF0" w:rsidP="00463BF0">
            <w:pPr>
              <w:jc w:val="both"/>
              <w:rPr>
                <w:rFonts w:cstheme="minorHAnsi"/>
                <w:bCs/>
                <w:lang w:val="bg-BG"/>
              </w:rPr>
            </w:pPr>
            <w:r w:rsidRPr="00057E49">
              <w:rPr>
                <w:rFonts w:cstheme="minorHAnsi"/>
                <w:bCs/>
                <w:lang w:val="bg-BG"/>
              </w:rPr>
              <w:t>•</w:t>
            </w:r>
            <w:r w:rsidRPr="00057E49">
              <w:rPr>
                <w:rFonts w:cstheme="minorHAnsi"/>
                <w:bCs/>
                <w:lang w:val="bg-BG"/>
              </w:rPr>
              <w:tab/>
              <w:t>биологична сигурност, здраве на животните и хуманно отношение към животните;</w:t>
            </w:r>
          </w:p>
          <w:p w14:paraId="4C121CC2" w14:textId="26B376FE" w:rsidR="00463BF0" w:rsidRDefault="006F72AA" w:rsidP="00D24FA5">
            <w:pPr>
              <w:pStyle w:val="a4"/>
              <w:ind w:left="390"/>
              <w:jc w:val="both"/>
              <w:rPr>
                <w:rFonts w:cstheme="minorHAnsi"/>
                <w:bCs/>
                <w:lang w:val="bg-BG"/>
              </w:rPr>
            </w:pPr>
            <w:r>
              <w:rPr>
                <w:rFonts w:cstheme="minorHAnsi"/>
                <w:bCs/>
                <w:lang w:val="bg-BG"/>
              </w:rPr>
              <w:t xml:space="preserve">5.3. </w:t>
            </w:r>
            <w:r w:rsidR="00463BF0" w:rsidRPr="00057E49">
              <w:rPr>
                <w:rFonts w:cstheme="minorHAnsi"/>
                <w:bCs/>
                <w:lang w:val="bg-BG"/>
              </w:rPr>
              <w:t>екологосъобразно използване и управление на странични продукти и отпадъци, включително повторното им използване и оползотворяване;</w:t>
            </w:r>
          </w:p>
          <w:p w14:paraId="6DE60954" w14:textId="77777777" w:rsidR="00463BF0" w:rsidRPr="00057E49" w:rsidRDefault="00463BF0" w:rsidP="00463BF0">
            <w:pPr>
              <w:jc w:val="both"/>
              <w:rPr>
                <w:rFonts w:cstheme="minorHAnsi"/>
                <w:bCs/>
                <w:lang w:val="bg-BG"/>
              </w:rPr>
            </w:pPr>
            <w:r w:rsidRPr="00057E49">
              <w:rPr>
                <w:rFonts w:cstheme="minorHAnsi"/>
                <w:bCs/>
                <w:lang w:val="bg-BG"/>
              </w:rPr>
              <w:t>•</w:t>
            </w:r>
            <w:r w:rsidRPr="00057E49">
              <w:rPr>
                <w:rFonts w:cstheme="minorHAnsi"/>
                <w:bCs/>
                <w:lang w:val="bg-BG"/>
              </w:rPr>
              <w:tab/>
              <w:t>намаляване на емисиите и отпадъците и подобряване на използването и управлението на странични продукти и отпадъци, включително повторното им използване и оползотворяване.</w:t>
            </w:r>
          </w:p>
          <w:p w14:paraId="23FE4F1D" w14:textId="77777777" w:rsidR="00463BF0" w:rsidRPr="00057E49" w:rsidRDefault="00463BF0" w:rsidP="00463BF0">
            <w:pPr>
              <w:pStyle w:val="a4"/>
              <w:numPr>
                <w:ilvl w:val="0"/>
                <w:numId w:val="11"/>
              </w:numPr>
              <w:jc w:val="both"/>
              <w:rPr>
                <w:rFonts w:cstheme="minorHAnsi"/>
                <w:bCs/>
                <w:lang w:val="bg-BG"/>
              </w:rPr>
            </w:pPr>
            <w:r w:rsidRPr="00057E49">
              <w:rPr>
                <w:rFonts w:cstheme="minorHAnsi"/>
                <w:bCs/>
                <w:lang w:val="bg-BG"/>
              </w:rPr>
              <w:t>Допринасяне</w:t>
            </w:r>
            <w:r w:rsidRPr="00B35962">
              <w:rPr>
                <w:b/>
                <w:bCs/>
                <w:sz w:val="20"/>
                <w:szCs w:val="20"/>
                <w:lang w:val="bg-BG"/>
              </w:rPr>
              <w:t xml:space="preserve"> </w:t>
            </w:r>
            <w:r w:rsidRPr="00057E49">
              <w:rPr>
                <w:rFonts w:cstheme="minorHAnsi"/>
                <w:bCs/>
                <w:lang w:val="bg-BG"/>
              </w:rPr>
              <w:t>за смекчаване на последиците от изменението на климата и за адаптиране към него;</w:t>
            </w:r>
          </w:p>
          <w:p w14:paraId="6E2DDF01" w14:textId="77777777" w:rsidR="00463BF0" w:rsidRPr="00057E49" w:rsidRDefault="00463BF0" w:rsidP="00463BF0">
            <w:pPr>
              <w:jc w:val="both"/>
              <w:rPr>
                <w:rFonts w:cstheme="minorHAnsi"/>
                <w:bCs/>
                <w:lang w:val="bg-BG"/>
              </w:rPr>
            </w:pPr>
            <w:r w:rsidRPr="00057E49">
              <w:rPr>
                <w:rFonts w:cstheme="minorHAnsi"/>
                <w:bCs/>
                <w:lang w:val="bg-BG"/>
              </w:rPr>
              <w:t>•</w:t>
            </w:r>
            <w:r w:rsidRPr="00057E49">
              <w:rPr>
                <w:rFonts w:cstheme="minorHAnsi"/>
                <w:bCs/>
                <w:lang w:val="bg-BG"/>
              </w:rPr>
              <w:tab/>
              <w:t>действия за смекчаване на последиците от изменението на климата и за адаптиране към него;</w:t>
            </w:r>
          </w:p>
          <w:p w14:paraId="70D11089" w14:textId="77777777" w:rsidR="00463BF0" w:rsidRPr="00057E49" w:rsidRDefault="00463BF0" w:rsidP="00463BF0">
            <w:pPr>
              <w:jc w:val="both"/>
              <w:rPr>
                <w:rFonts w:cstheme="minorHAnsi"/>
                <w:bCs/>
                <w:lang w:val="bg-BG"/>
              </w:rPr>
            </w:pPr>
            <w:r w:rsidRPr="00057E49">
              <w:rPr>
                <w:rFonts w:cstheme="minorHAnsi"/>
                <w:bCs/>
                <w:lang w:val="bg-BG"/>
              </w:rPr>
              <w:t>•</w:t>
            </w:r>
            <w:r w:rsidRPr="00057E49">
              <w:rPr>
                <w:rFonts w:cstheme="minorHAnsi"/>
                <w:bCs/>
                <w:lang w:val="bg-BG"/>
              </w:rPr>
              <w:tab/>
              <w:t>повишаване на икономиите на енергия, енергийната ефективност и използването на енергия от възобновяеми източници;</w:t>
            </w:r>
          </w:p>
          <w:p w14:paraId="1F745C9F" w14:textId="4746151D" w:rsidR="00463BF0" w:rsidRPr="00057E49" w:rsidRDefault="00463BF0" w:rsidP="00463BF0">
            <w:pPr>
              <w:jc w:val="both"/>
              <w:rPr>
                <w:rFonts w:cstheme="minorHAnsi"/>
                <w:bCs/>
                <w:lang w:val="bg-BG"/>
              </w:rPr>
            </w:pPr>
            <w:r w:rsidRPr="00057E49">
              <w:rPr>
                <w:rFonts w:cstheme="minorHAnsi"/>
                <w:bCs/>
                <w:lang w:val="bg-BG"/>
              </w:rPr>
              <w:t>•</w:t>
            </w:r>
            <w:r w:rsidRPr="00057E49">
              <w:rPr>
                <w:rFonts w:cstheme="minorHAnsi"/>
                <w:bCs/>
                <w:lang w:val="bg-BG"/>
              </w:rPr>
              <w:tab/>
              <w:t xml:space="preserve">предотвратяване на щети, причинени от неблагоприятни климатични явления, и популяризиране на разработването и използването </w:t>
            </w:r>
            <w:r w:rsidR="00C761B8">
              <w:rPr>
                <w:rFonts w:cstheme="minorHAnsi"/>
                <w:bCs/>
                <w:lang w:val="bg-BG"/>
              </w:rPr>
              <w:t xml:space="preserve">на </w:t>
            </w:r>
            <w:r w:rsidRPr="00057E49">
              <w:rPr>
                <w:rFonts w:cstheme="minorHAnsi"/>
                <w:bCs/>
                <w:lang w:val="bg-BG"/>
              </w:rPr>
              <w:t>породи и управленски практики, адаптирани към променящите се климатични условия;</w:t>
            </w:r>
          </w:p>
          <w:p w14:paraId="4E11F52F" w14:textId="2A07551B" w:rsidR="00463BF0" w:rsidRDefault="00463BF0" w:rsidP="00463BF0">
            <w:pPr>
              <w:jc w:val="both"/>
              <w:rPr>
                <w:rFonts w:cstheme="minorHAnsi"/>
                <w:bCs/>
                <w:lang w:val="bg-BG"/>
              </w:rPr>
            </w:pPr>
            <w:r w:rsidRPr="00057E49">
              <w:rPr>
                <w:rFonts w:cstheme="minorHAnsi"/>
                <w:bCs/>
                <w:lang w:val="bg-BG"/>
              </w:rPr>
              <w:t>•</w:t>
            </w:r>
            <w:r w:rsidRPr="00057E49">
              <w:rPr>
                <w:rFonts w:cstheme="minorHAnsi"/>
                <w:bCs/>
                <w:lang w:val="bg-BG"/>
              </w:rPr>
              <w:tab/>
            </w:r>
            <w:r w:rsidR="00C761B8" w:rsidRPr="00057E49">
              <w:rPr>
                <w:rFonts w:cstheme="minorHAnsi"/>
                <w:bCs/>
                <w:lang w:val="bg-BG"/>
              </w:rPr>
              <w:t>консултантски услуги и техническа помощ, по-специално по отношение на техниките за устойчив контрол на болестите, устойчива употреба на продукти за здраве на животните и смекчаване на последиците от изменението на климата и адаптация към</w:t>
            </w:r>
            <w:r w:rsidR="00C761B8">
              <w:rPr>
                <w:rFonts w:cstheme="minorHAnsi"/>
                <w:bCs/>
                <w:lang w:val="bg-BG"/>
              </w:rPr>
              <w:t xml:space="preserve"> него</w:t>
            </w:r>
            <w:r w:rsidRPr="00057E49">
              <w:rPr>
                <w:rFonts w:cstheme="minorHAnsi"/>
                <w:bCs/>
                <w:lang w:val="bg-BG"/>
              </w:rPr>
              <w:t>.</w:t>
            </w:r>
          </w:p>
          <w:p w14:paraId="21F7F979" w14:textId="77777777" w:rsidR="00463BF0" w:rsidRPr="00057E49" w:rsidRDefault="00463BF0" w:rsidP="00463BF0">
            <w:pPr>
              <w:pStyle w:val="a4"/>
              <w:numPr>
                <w:ilvl w:val="0"/>
                <w:numId w:val="11"/>
              </w:numPr>
              <w:jc w:val="both"/>
              <w:rPr>
                <w:rFonts w:cstheme="minorHAnsi"/>
                <w:bCs/>
                <w:lang w:val="bg-BG"/>
              </w:rPr>
            </w:pPr>
            <w:r w:rsidRPr="00057E49">
              <w:rPr>
                <w:rFonts w:cstheme="minorHAnsi"/>
                <w:bCs/>
                <w:lang w:val="bg-BG"/>
              </w:rPr>
              <w:lastRenderedPageBreak/>
              <w:t>Увеличаване на търговската стойност и качеството на продуктите, включително подобряване на качеството и разработването на продукти със защитено наименование за произход или защитено географско указание или на продукти, обхванати от публични или сертифицирани частни схеми за качество по избор на държавите членки;</w:t>
            </w:r>
          </w:p>
          <w:p w14:paraId="412A51ED" w14:textId="77777777" w:rsidR="00463BF0" w:rsidRPr="00057E49" w:rsidRDefault="00463BF0" w:rsidP="00463BF0">
            <w:pPr>
              <w:jc w:val="both"/>
              <w:rPr>
                <w:rFonts w:cstheme="minorHAnsi"/>
                <w:bCs/>
                <w:lang w:val="bg-BG"/>
              </w:rPr>
            </w:pPr>
            <w:r w:rsidRPr="00057E49">
              <w:rPr>
                <w:rFonts w:cstheme="minorHAnsi"/>
                <w:bCs/>
                <w:lang w:val="bg-BG"/>
              </w:rPr>
              <w:t>•</w:t>
            </w:r>
            <w:r w:rsidRPr="00057E49">
              <w:rPr>
                <w:rFonts w:cstheme="minorHAnsi"/>
                <w:bCs/>
                <w:lang w:val="bg-BG"/>
              </w:rPr>
              <w:tab/>
              <w:t>прилагане на европейските и националните схеми за качество;</w:t>
            </w:r>
          </w:p>
          <w:p w14:paraId="0F95C911" w14:textId="77777777" w:rsidR="00463BF0" w:rsidRDefault="00463BF0" w:rsidP="00463BF0">
            <w:pPr>
              <w:jc w:val="both"/>
              <w:rPr>
                <w:rFonts w:cstheme="minorHAnsi"/>
                <w:bCs/>
                <w:lang w:val="bg-BG"/>
              </w:rPr>
            </w:pPr>
            <w:r w:rsidRPr="00057E49">
              <w:rPr>
                <w:rFonts w:cstheme="minorHAnsi"/>
                <w:bCs/>
                <w:lang w:val="bg-BG"/>
              </w:rPr>
              <w:t>•</w:t>
            </w:r>
            <w:r w:rsidRPr="00057E49">
              <w:rPr>
                <w:rFonts w:cstheme="minorHAnsi"/>
                <w:bCs/>
                <w:lang w:val="bg-BG"/>
              </w:rPr>
              <w:tab/>
              <w:t>прилагане на системи за проследяване и сертифициране, по-специално наблюдение на качеството на продуктите, продавани на крайните потребители.</w:t>
            </w:r>
          </w:p>
          <w:p w14:paraId="004F4E19" w14:textId="77777777" w:rsidR="00463BF0" w:rsidRDefault="00463BF0" w:rsidP="00463BF0">
            <w:pPr>
              <w:pStyle w:val="a4"/>
              <w:numPr>
                <w:ilvl w:val="0"/>
                <w:numId w:val="11"/>
              </w:numPr>
              <w:jc w:val="both"/>
              <w:rPr>
                <w:rFonts w:cstheme="minorHAnsi"/>
                <w:bCs/>
                <w:lang w:val="bg-BG"/>
              </w:rPr>
            </w:pPr>
            <w:r w:rsidRPr="00057E49">
              <w:rPr>
                <w:rFonts w:cstheme="minorHAnsi"/>
                <w:bCs/>
                <w:lang w:val="bg-BG"/>
              </w:rPr>
              <w:t>Популяризиране и маркетинг на продуктите;</w:t>
            </w:r>
          </w:p>
          <w:p w14:paraId="7D73BC0B" w14:textId="77777777" w:rsidR="00463BF0" w:rsidRPr="00057E49" w:rsidRDefault="00463BF0" w:rsidP="00463BF0">
            <w:pPr>
              <w:jc w:val="both"/>
              <w:rPr>
                <w:rFonts w:cstheme="minorHAnsi"/>
                <w:bCs/>
                <w:lang w:val="bg-BG"/>
              </w:rPr>
            </w:pPr>
            <w:r w:rsidRPr="00057E49">
              <w:rPr>
                <w:rFonts w:cstheme="minorHAnsi"/>
                <w:bCs/>
                <w:lang w:val="bg-BG"/>
              </w:rPr>
              <w:t>•</w:t>
            </w:r>
            <w:r w:rsidRPr="00057E49">
              <w:rPr>
                <w:rFonts w:cstheme="minorHAnsi"/>
                <w:bCs/>
                <w:lang w:val="bg-BG"/>
              </w:rPr>
              <w:tab/>
              <w:t>популяризиране, комуникация и маркетинг, включително действия и дейности, насочени по-специално към повишаване на осведомеността на потребителите за схемите на Съюза за качество и за значението на здравословното хранене, както и към диверсифициране на пазарите;</w:t>
            </w:r>
          </w:p>
          <w:p w14:paraId="5C01DD38" w14:textId="77777777" w:rsidR="00463BF0" w:rsidRPr="00057E49" w:rsidRDefault="00463BF0" w:rsidP="00463BF0">
            <w:pPr>
              <w:jc w:val="both"/>
              <w:rPr>
                <w:rFonts w:cstheme="minorHAnsi"/>
                <w:bCs/>
                <w:lang w:val="bg-BG"/>
              </w:rPr>
            </w:pPr>
            <w:r w:rsidRPr="00057E49">
              <w:rPr>
                <w:rFonts w:cstheme="minorHAnsi"/>
                <w:bCs/>
                <w:lang w:val="bg-BG"/>
              </w:rPr>
              <w:t>•</w:t>
            </w:r>
            <w:r w:rsidRPr="00057E49">
              <w:rPr>
                <w:rFonts w:cstheme="minorHAnsi"/>
                <w:bCs/>
                <w:lang w:val="bg-BG"/>
              </w:rPr>
              <w:tab/>
              <w:t>обучение, включително индивидуално обучение и обмен на най-добри практики.</w:t>
            </w:r>
          </w:p>
          <w:p w14:paraId="5A19D2A2" w14:textId="53519418" w:rsidR="00463BF0" w:rsidRPr="00C761B8" w:rsidRDefault="00463BF0" w:rsidP="00463BF0">
            <w:pPr>
              <w:pStyle w:val="a4"/>
              <w:numPr>
                <w:ilvl w:val="0"/>
                <w:numId w:val="11"/>
              </w:numPr>
              <w:jc w:val="both"/>
              <w:rPr>
                <w:rFonts w:cstheme="minorHAnsi"/>
                <w:bCs/>
                <w:lang w:val="bg-BG"/>
              </w:rPr>
            </w:pPr>
            <w:r w:rsidRPr="00057E49">
              <w:rPr>
                <w:rFonts w:cstheme="minorHAnsi"/>
                <w:bCs/>
                <w:lang w:val="bg-BG"/>
              </w:rPr>
              <w:t>Превенция на кризи и управление на риска, насочени към предотвратяване и справяне с кризи на пазарите в съответния сектор;</w:t>
            </w:r>
          </w:p>
          <w:p w14:paraId="2BB264FF" w14:textId="77777777" w:rsidR="00463BF0" w:rsidRPr="00057E49" w:rsidRDefault="00463BF0" w:rsidP="00463BF0">
            <w:pPr>
              <w:jc w:val="both"/>
              <w:rPr>
                <w:rFonts w:cstheme="minorHAnsi"/>
                <w:bCs/>
                <w:lang w:val="bg-BG"/>
              </w:rPr>
            </w:pPr>
            <w:r w:rsidRPr="00057E49">
              <w:rPr>
                <w:rFonts w:cstheme="minorHAnsi"/>
                <w:bCs/>
                <w:lang w:val="bg-BG"/>
              </w:rPr>
              <w:t>•</w:t>
            </w:r>
            <w:r w:rsidRPr="00057E49">
              <w:rPr>
                <w:rFonts w:cstheme="minorHAnsi"/>
                <w:bCs/>
                <w:lang w:val="bg-BG"/>
              </w:rPr>
              <w:tab/>
              <w:t>инвестиции в материални и нематериални активи за по-ефективно управление на количествата, пуснати на пазара;</w:t>
            </w:r>
          </w:p>
          <w:p w14:paraId="2FD68F28" w14:textId="280D630C" w:rsidR="00463BF0" w:rsidRPr="00057E49" w:rsidRDefault="00463BF0" w:rsidP="00463BF0">
            <w:pPr>
              <w:jc w:val="both"/>
              <w:rPr>
                <w:rFonts w:cstheme="minorHAnsi"/>
                <w:bCs/>
                <w:lang w:val="bg-BG"/>
              </w:rPr>
            </w:pPr>
            <w:r w:rsidRPr="00057E49">
              <w:rPr>
                <w:rFonts w:cstheme="minorHAnsi"/>
                <w:bCs/>
                <w:lang w:val="bg-BG"/>
              </w:rPr>
              <w:t>•</w:t>
            </w:r>
            <w:r w:rsidRPr="00057E49">
              <w:rPr>
                <w:rFonts w:cstheme="minorHAnsi"/>
                <w:bCs/>
                <w:lang w:val="bg-BG"/>
              </w:rPr>
              <w:tab/>
              <w:t>колективно складиране на продукти, произведени от организацията на производителите или от членове на организацията на производителите, включително, когато е необходимо, колективно обработване, за да се улесни складирането;</w:t>
            </w:r>
          </w:p>
          <w:p w14:paraId="553EC9B9" w14:textId="47C0B980" w:rsidR="00463BF0" w:rsidRPr="00057E49" w:rsidRDefault="00463BF0" w:rsidP="00463BF0">
            <w:pPr>
              <w:jc w:val="both"/>
              <w:rPr>
                <w:rFonts w:cstheme="minorHAnsi"/>
                <w:bCs/>
                <w:lang w:val="bg-BG"/>
              </w:rPr>
            </w:pPr>
            <w:r w:rsidRPr="00057E49">
              <w:rPr>
                <w:rFonts w:cstheme="minorHAnsi"/>
                <w:bCs/>
                <w:lang w:val="bg-BG"/>
              </w:rPr>
              <w:t>•</w:t>
            </w:r>
            <w:r w:rsidRPr="00057E49">
              <w:rPr>
                <w:rFonts w:cstheme="minorHAnsi"/>
                <w:bCs/>
                <w:lang w:val="bg-BG"/>
              </w:rPr>
              <w:tab/>
              <w:t>застраховане на продукцията, което допринася за запазване на доходите на производителите, когато има загуби вследствие на природни бедствия, неблагоприятни климатични явления, болести, и в същото време гарантира, че бенефициерите предприемат необходимите превантивни мерки спрямо рисковете;</w:t>
            </w:r>
          </w:p>
          <w:p w14:paraId="64CD9007" w14:textId="77777777" w:rsidR="00463BF0" w:rsidRPr="00057E49" w:rsidRDefault="00463BF0" w:rsidP="00463BF0">
            <w:pPr>
              <w:jc w:val="both"/>
              <w:rPr>
                <w:rFonts w:cstheme="minorHAnsi"/>
                <w:bCs/>
                <w:lang w:val="bg-BG"/>
              </w:rPr>
            </w:pPr>
            <w:r w:rsidRPr="00C301B2">
              <w:rPr>
                <w:rFonts w:cstheme="minorHAnsi"/>
                <w:bCs/>
                <w:lang w:val="bg-BG"/>
              </w:rPr>
              <w:t>•</w:t>
            </w:r>
            <w:r w:rsidRPr="00C301B2">
              <w:rPr>
                <w:rFonts w:cstheme="minorHAnsi"/>
                <w:bCs/>
                <w:lang w:val="bg-BG"/>
              </w:rPr>
              <w:tab/>
              <w:t>индивидуално обучение за други организации на производители и асоциации на организации на производители, признати съгласно Регламент (ЕС) № 1308/2013, или за отделни производители;</w:t>
            </w:r>
          </w:p>
          <w:p w14:paraId="3D1B43DF" w14:textId="6207630E" w:rsidR="00463BF0" w:rsidRDefault="00463BF0" w:rsidP="00463BF0">
            <w:pPr>
              <w:jc w:val="both"/>
              <w:rPr>
                <w:rFonts w:cstheme="minorHAnsi"/>
                <w:bCs/>
                <w:lang w:val="bg-BG"/>
              </w:rPr>
            </w:pPr>
            <w:r w:rsidRPr="00057E49">
              <w:rPr>
                <w:rFonts w:cstheme="minorHAnsi"/>
                <w:bCs/>
                <w:lang w:val="bg-BG"/>
              </w:rPr>
              <w:t>•</w:t>
            </w:r>
            <w:r w:rsidRPr="00057E49">
              <w:rPr>
                <w:rFonts w:cstheme="minorHAnsi"/>
                <w:bCs/>
                <w:lang w:val="bg-BG"/>
              </w:rPr>
              <w:tab/>
              <w:t>изпълне</w:t>
            </w:r>
            <w:r w:rsidR="004B6EAA">
              <w:rPr>
                <w:rFonts w:cstheme="minorHAnsi"/>
                <w:bCs/>
                <w:lang w:val="bg-BG"/>
              </w:rPr>
              <w:t xml:space="preserve">ние и управление на санитарните </w:t>
            </w:r>
            <w:r w:rsidRPr="00057E49">
              <w:rPr>
                <w:rFonts w:cstheme="minorHAnsi"/>
                <w:bCs/>
                <w:lang w:val="bg-BG"/>
              </w:rPr>
              <w:t>изисквания на трета държава на територията на Съюза, така че да се улесни достъпът до пазарите на трети държави;</w:t>
            </w:r>
          </w:p>
          <w:p w14:paraId="6DF90E23" w14:textId="506FEDD2" w:rsidR="00463BF0" w:rsidRDefault="00463BF0" w:rsidP="004B6EAA">
            <w:pPr>
              <w:jc w:val="both"/>
              <w:rPr>
                <w:rFonts w:cstheme="minorHAnsi"/>
                <w:bCs/>
                <w:lang w:val="bg-BG"/>
              </w:rPr>
            </w:pPr>
            <w:r w:rsidRPr="00057E49">
              <w:rPr>
                <w:rFonts w:cstheme="minorHAnsi"/>
                <w:bCs/>
                <w:lang w:val="bg-BG"/>
              </w:rPr>
              <w:t>•</w:t>
            </w:r>
            <w:r w:rsidRPr="00057E49">
              <w:rPr>
                <w:rFonts w:cstheme="minorHAnsi"/>
                <w:bCs/>
                <w:lang w:val="bg-BG"/>
              </w:rPr>
              <w:tab/>
            </w:r>
            <w:r w:rsidRPr="00972D42">
              <w:rPr>
                <w:rFonts w:cstheme="minorHAnsi"/>
                <w:bCs/>
                <w:lang w:val="bg-BG"/>
              </w:rPr>
              <w:t>комуникационни дейности, насочени към повишаване на осведомеността и информиране на потребителите;</w:t>
            </w:r>
          </w:p>
          <w:p w14:paraId="17A66D7A" w14:textId="77777777" w:rsidR="00F30F51" w:rsidRDefault="00F30F51" w:rsidP="00F30F51">
            <w:pPr>
              <w:jc w:val="both"/>
              <w:rPr>
                <w:rFonts w:cstheme="minorHAnsi"/>
                <w:b/>
                <w:lang w:val="bg-BG"/>
              </w:rPr>
            </w:pPr>
          </w:p>
          <w:p w14:paraId="116E449E" w14:textId="4EEFECD2" w:rsidR="00F30F51" w:rsidRPr="00F30F51" w:rsidRDefault="00F30F51" w:rsidP="00F30F51">
            <w:pPr>
              <w:jc w:val="both"/>
              <w:rPr>
                <w:rFonts w:cstheme="minorHAnsi"/>
                <w:b/>
                <w:lang w:val="bg-BG"/>
              </w:rPr>
            </w:pPr>
            <w:r w:rsidRPr="00F30F51">
              <w:rPr>
                <w:rFonts w:cstheme="minorHAnsi"/>
                <w:b/>
                <w:lang w:val="bg-BG"/>
              </w:rPr>
              <w:t xml:space="preserve">Допустими цели и интервенции в сектор </w:t>
            </w:r>
            <w:r w:rsidR="005B4C94">
              <w:rPr>
                <w:rFonts w:cstheme="minorHAnsi"/>
                <w:b/>
                <w:lang w:val="bg-BG"/>
              </w:rPr>
              <w:t>„Зърнени</w:t>
            </w:r>
            <w:r>
              <w:rPr>
                <w:rFonts w:cstheme="minorHAnsi"/>
                <w:b/>
                <w:lang w:val="bg-BG"/>
              </w:rPr>
              <w:t xml:space="preserve"> култури</w:t>
            </w:r>
            <w:r w:rsidR="005B4C94">
              <w:rPr>
                <w:rFonts w:cstheme="minorHAnsi"/>
                <w:b/>
                <w:lang w:val="bg-BG"/>
              </w:rPr>
              <w:t>“</w:t>
            </w:r>
            <w:r w:rsidRPr="00F30F51">
              <w:rPr>
                <w:rFonts w:cstheme="minorHAnsi"/>
                <w:b/>
                <w:lang w:val="bg-BG"/>
              </w:rPr>
              <w:t>:</w:t>
            </w:r>
          </w:p>
          <w:p w14:paraId="0CD26232" w14:textId="77777777" w:rsidR="00F30F51" w:rsidRDefault="00F30F51" w:rsidP="0072380D">
            <w:pPr>
              <w:pStyle w:val="a4"/>
              <w:numPr>
                <w:ilvl w:val="0"/>
                <w:numId w:val="26"/>
              </w:numPr>
              <w:spacing w:line="276" w:lineRule="auto"/>
              <w:jc w:val="both"/>
              <w:rPr>
                <w:rFonts w:cstheme="minorHAnsi"/>
                <w:bCs/>
                <w:lang w:val="bg-BG"/>
              </w:rPr>
            </w:pPr>
            <w:r w:rsidRPr="00AB2F49">
              <w:rPr>
                <w:rFonts w:cstheme="minorHAnsi"/>
                <w:bCs/>
                <w:lang w:val="bg-BG"/>
              </w:rPr>
              <w:t>Планиране и организация на производството, адаптиране на производството към търсенето, по-специално по отношение на качеството и количеството, оптимизиране на производствените разходи и на възвръщаемостта на инвестициите, стабилизиране на цените на производителите и договаряне на договорите за доставката на селскостопански продукти;</w:t>
            </w:r>
            <w:r>
              <w:rPr>
                <w:rFonts w:cstheme="minorHAnsi"/>
                <w:bCs/>
                <w:lang w:val="bg-BG"/>
              </w:rPr>
              <w:t xml:space="preserve"> </w:t>
            </w:r>
          </w:p>
          <w:p w14:paraId="7E0DDED1" w14:textId="77777777" w:rsidR="00F30F51" w:rsidRPr="00AB2F49" w:rsidRDefault="00F30F51" w:rsidP="00F30F51">
            <w:pPr>
              <w:jc w:val="both"/>
              <w:rPr>
                <w:rFonts w:cstheme="minorHAnsi"/>
                <w:bCs/>
                <w:lang w:val="bg-BG"/>
              </w:rPr>
            </w:pPr>
            <w:r w:rsidRPr="00AB2F49">
              <w:rPr>
                <w:rFonts w:cstheme="minorHAnsi"/>
                <w:bCs/>
                <w:lang w:val="bg-BG"/>
              </w:rPr>
              <w:t>•</w:t>
            </w:r>
            <w:r w:rsidRPr="00AB2F49">
              <w:rPr>
                <w:rFonts w:cstheme="minorHAnsi"/>
                <w:bCs/>
                <w:lang w:val="bg-BG"/>
              </w:rPr>
              <w:tab/>
              <w:t>Инвестиции в материални и нематериални активи;</w:t>
            </w:r>
          </w:p>
          <w:p w14:paraId="752A0324" w14:textId="77777777" w:rsidR="00F30F51" w:rsidRDefault="00F30F51" w:rsidP="00F30F51">
            <w:pPr>
              <w:jc w:val="both"/>
              <w:rPr>
                <w:rFonts w:cstheme="minorHAnsi"/>
                <w:bCs/>
                <w:lang w:val="bg-BG"/>
              </w:rPr>
            </w:pPr>
            <w:r w:rsidRPr="00AB2F49">
              <w:rPr>
                <w:rFonts w:cstheme="minorHAnsi"/>
                <w:bCs/>
                <w:lang w:val="bg-BG"/>
              </w:rPr>
              <w:t>•</w:t>
            </w:r>
            <w:r w:rsidRPr="00AB2F49">
              <w:rPr>
                <w:rFonts w:cstheme="minorHAnsi"/>
                <w:bCs/>
                <w:lang w:val="bg-BG"/>
              </w:rPr>
              <w:tab/>
              <w:t>Биологич</w:t>
            </w:r>
            <w:r>
              <w:rPr>
                <w:rFonts w:cstheme="minorHAnsi"/>
                <w:bCs/>
                <w:lang w:val="bg-BG"/>
              </w:rPr>
              <w:t>но или интегрирано производство;</w:t>
            </w:r>
          </w:p>
          <w:p w14:paraId="67C768CC" w14:textId="77777777" w:rsidR="00F30F51" w:rsidRDefault="00F30F51" w:rsidP="0072380D">
            <w:pPr>
              <w:pStyle w:val="a4"/>
              <w:numPr>
                <w:ilvl w:val="0"/>
                <w:numId w:val="26"/>
              </w:numPr>
              <w:jc w:val="both"/>
              <w:rPr>
                <w:rFonts w:cstheme="minorHAnsi"/>
                <w:bCs/>
                <w:lang w:val="bg-BG"/>
              </w:rPr>
            </w:pPr>
            <w:r w:rsidRPr="00AB2F49">
              <w:rPr>
                <w:rFonts w:cstheme="minorHAnsi"/>
                <w:bCs/>
                <w:lang w:val="bg-BG"/>
              </w:rPr>
              <w:t>Концентрация на предлагането и пускането на пазара на съответните продукти, включително чрез директен маркетинг;</w:t>
            </w:r>
          </w:p>
          <w:p w14:paraId="680C4987" w14:textId="77777777" w:rsidR="00F30F51" w:rsidRPr="00AB2F49" w:rsidRDefault="00F30F51" w:rsidP="00F30F51">
            <w:pPr>
              <w:jc w:val="both"/>
              <w:rPr>
                <w:rFonts w:cstheme="minorHAnsi"/>
                <w:bCs/>
                <w:lang w:val="bg-BG"/>
              </w:rPr>
            </w:pPr>
            <w:r w:rsidRPr="00AB2F49">
              <w:rPr>
                <w:rFonts w:cstheme="minorHAnsi"/>
                <w:bCs/>
                <w:lang w:val="bg-BG"/>
              </w:rPr>
              <w:t>•</w:t>
            </w:r>
            <w:r w:rsidRPr="00AB2F49">
              <w:rPr>
                <w:rFonts w:cstheme="minorHAnsi"/>
                <w:bCs/>
                <w:lang w:val="bg-BG"/>
              </w:rPr>
              <w:tab/>
              <w:t>Инвестиции в материални и нематериални активи;</w:t>
            </w:r>
          </w:p>
          <w:p w14:paraId="3A6D9DB4" w14:textId="77777777" w:rsidR="00F30F51" w:rsidRDefault="00F30F51" w:rsidP="00F30F51">
            <w:pPr>
              <w:jc w:val="both"/>
              <w:rPr>
                <w:rFonts w:cstheme="minorHAnsi"/>
                <w:bCs/>
                <w:lang w:val="bg-BG"/>
              </w:rPr>
            </w:pPr>
            <w:r w:rsidRPr="00AB2F49">
              <w:rPr>
                <w:rFonts w:cstheme="minorHAnsi"/>
                <w:bCs/>
                <w:lang w:val="bg-BG"/>
              </w:rPr>
              <w:t>•</w:t>
            </w:r>
            <w:r w:rsidRPr="00AB2F49">
              <w:rPr>
                <w:rFonts w:cstheme="minorHAnsi"/>
                <w:bCs/>
                <w:lang w:val="bg-BG"/>
              </w:rPr>
              <w:tab/>
              <w:t xml:space="preserve">Действия за повишаване на устойчивостта и ефикасността на транспорта </w:t>
            </w:r>
            <w:r>
              <w:rPr>
                <w:rFonts w:cstheme="minorHAnsi"/>
                <w:bCs/>
                <w:lang w:val="bg-BG"/>
              </w:rPr>
              <w:t>и на складирането на продуктите;</w:t>
            </w:r>
          </w:p>
          <w:p w14:paraId="1A47DE2E" w14:textId="77777777" w:rsidR="00F30F51" w:rsidRDefault="00F30F51" w:rsidP="0072380D">
            <w:pPr>
              <w:pStyle w:val="a4"/>
              <w:numPr>
                <w:ilvl w:val="0"/>
                <w:numId w:val="26"/>
              </w:numPr>
              <w:jc w:val="both"/>
              <w:rPr>
                <w:rFonts w:cstheme="minorHAnsi"/>
                <w:bCs/>
                <w:lang w:val="bg-BG"/>
              </w:rPr>
            </w:pPr>
            <w:r w:rsidRPr="00AB2F49">
              <w:rPr>
                <w:rFonts w:cstheme="minorHAnsi"/>
                <w:bCs/>
                <w:lang w:val="bg-BG"/>
              </w:rPr>
              <w:t>Подобряване на средносрочната и дългосрочната конкурентоспособност, по-специално посредством модернизиране;</w:t>
            </w:r>
          </w:p>
          <w:p w14:paraId="522351BE" w14:textId="77777777" w:rsidR="00F30F51" w:rsidRPr="00057E49" w:rsidRDefault="00F30F51" w:rsidP="00F30F51">
            <w:pPr>
              <w:jc w:val="both"/>
              <w:rPr>
                <w:rFonts w:cstheme="minorHAnsi"/>
                <w:bCs/>
                <w:lang w:val="bg-BG"/>
              </w:rPr>
            </w:pPr>
            <w:r w:rsidRPr="00057E49">
              <w:rPr>
                <w:rFonts w:cstheme="minorHAnsi"/>
                <w:bCs/>
                <w:lang w:val="bg-BG"/>
              </w:rPr>
              <w:t>•</w:t>
            </w:r>
            <w:r w:rsidRPr="00057E49">
              <w:rPr>
                <w:rFonts w:cstheme="minorHAnsi"/>
                <w:bCs/>
                <w:lang w:val="bg-BG"/>
              </w:rPr>
              <w:tab/>
              <w:t>Инвестиции в материални и нематериални активи;</w:t>
            </w:r>
          </w:p>
          <w:p w14:paraId="3003C75B" w14:textId="77777777" w:rsidR="00F30F51" w:rsidRDefault="00F30F51" w:rsidP="0072380D">
            <w:pPr>
              <w:pStyle w:val="a4"/>
              <w:numPr>
                <w:ilvl w:val="0"/>
                <w:numId w:val="26"/>
              </w:numPr>
              <w:jc w:val="both"/>
              <w:rPr>
                <w:rFonts w:cstheme="minorHAnsi"/>
                <w:bCs/>
                <w:lang w:val="bg-BG"/>
              </w:rPr>
            </w:pPr>
            <w:r w:rsidRPr="00057E49">
              <w:rPr>
                <w:rFonts w:cstheme="minorHAnsi"/>
                <w:bCs/>
                <w:lang w:val="bg-BG"/>
              </w:rPr>
              <w:t xml:space="preserve">Научноизследователска и развойна дейност в областта на устойчивите производствени методи, включително устойчивост на вредители, иновативни практики и производствени </w:t>
            </w:r>
            <w:r w:rsidRPr="00057E49">
              <w:rPr>
                <w:rFonts w:cstheme="minorHAnsi"/>
                <w:bCs/>
                <w:lang w:val="bg-BG"/>
              </w:rPr>
              <w:lastRenderedPageBreak/>
              <w:t>техники, насърчаващи икономическата конкурентоспособност и укрепващи развитието на пазара;</w:t>
            </w:r>
          </w:p>
          <w:p w14:paraId="1C03C607" w14:textId="77777777" w:rsidR="00F30F51" w:rsidRPr="00057E49" w:rsidRDefault="00F30F51" w:rsidP="00F30F51">
            <w:pPr>
              <w:jc w:val="both"/>
              <w:rPr>
                <w:rFonts w:cstheme="minorHAnsi"/>
                <w:bCs/>
                <w:lang w:val="bg-BG"/>
              </w:rPr>
            </w:pPr>
            <w:r w:rsidRPr="00057E49">
              <w:rPr>
                <w:rFonts w:cstheme="minorHAnsi"/>
                <w:bCs/>
                <w:lang w:val="bg-BG"/>
              </w:rPr>
              <w:t>•</w:t>
            </w:r>
            <w:r w:rsidRPr="00057E49">
              <w:rPr>
                <w:rFonts w:cstheme="minorHAnsi"/>
                <w:bCs/>
                <w:lang w:val="bg-BG"/>
              </w:rPr>
              <w:tab/>
              <w:t>Инвестиции в материални и нематериални активи;</w:t>
            </w:r>
          </w:p>
          <w:p w14:paraId="57D0B775" w14:textId="77777777" w:rsidR="00F30F51" w:rsidRPr="00057E49" w:rsidRDefault="00F30F51" w:rsidP="00F30F51">
            <w:pPr>
              <w:jc w:val="both"/>
              <w:rPr>
                <w:rFonts w:cstheme="minorHAnsi"/>
                <w:bCs/>
                <w:lang w:val="bg-BG"/>
              </w:rPr>
            </w:pPr>
            <w:r w:rsidRPr="00057E49">
              <w:rPr>
                <w:rFonts w:cstheme="minorHAnsi"/>
                <w:bCs/>
                <w:lang w:val="bg-BG"/>
              </w:rPr>
              <w:t>•</w:t>
            </w:r>
            <w:r w:rsidRPr="00057E49">
              <w:rPr>
                <w:rFonts w:cstheme="minorHAnsi"/>
                <w:bCs/>
                <w:lang w:val="bg-BG"/>
              </w:rPr>
              <w:tab/>
              <w:t>Инвестиции в научни изследвания</w:t>
            </w:r>
            <w:r>
              <w:rPr>
                <w:rFonts w:cstheme="minorHAnsi"/>
                <w:bCs/>
                <w:lang w:val="bg-BG"/>
              </w:rPr>
              <w:t xml:space="preserve"> и експериментално производство;</w:t>
            </w:r>
          </w:p>
          <w:p w14:paraId="7D1AF731" w14:textId="77777777" w:rsidR="00F30F51" w:rsidRPr="00057E49" w:rsidRDefault="00F30F51" w:rsidP="0072380D">
            <w:pPr>
              <w:pStyle w:val="a4"/>
              <w:numPr>
                <w:ilvl w:val="0"/>
                <w:numId w:val="26"/>
              </w:numPr>
              <w:jc w:val="both"/>
              <w:rPr>
                <w:rFonts w:cstheme="minorHAnsi"/>
                <w:bCs/>
                <w:lang w:val="bg-BG"/>
              </w:rPr>
            </w:pPr>
            <w:r>
              <w:rPr>
                <w:rFonts w:cstheme="minorHAnsi"/>
                <w:bCs/>
                <w:lang w:val="bg-BG"/>
              </w:rPr>
              <w:t>Н</w:t>
            </w:r>
            <w:r w:rsidRPr="00057E49">
              <w:rPr>
                <w:rFonts w:cstheme="minorHAnsi"/>
                <w:bCs/>
                <w:lang w:val="bg-BG"/>
              </w:rPr>
              <w:t>асърчаване, развиване и прилагане на:</w:t>
            </w:r>
          </w:p>
          <w:p w14:paraId="0E89FE07" w14:textId="2A207152" w:rsidR="00F30F51" w:rsidRPr="006F72AA" w:rsidRDefault="00BE25BF" w:rsidP="00BE25BF">
            <w:pPr>
              <w:jc w:val="both"/>
              <w:rPr>
                <w:rFonts w:cstheme="minorHAnsi"/>
                <w:bCs/>
                <w:lang w:val="bg-BG"/>
              </w:rPr>
            </w:pPr>
            <w:r>
              <w:rPr>
                <w:rFonts w:cstheme="minorHAnsi"/>
                <w:bCs/>
                <w:lang w:val="bg-BG"/>
              </w:rPr>
              <w:t xml:space="preserve">       </w:t>
            </w:r>
            <w:r w:rsidR="006F72AA">
              <w:rPr>
                <w:rFonts w:cstheme="minorHAnsi"/>
                <w:bCs/>
                <w:lang w:val="bg-BG"/>
              </w:rPr>
              <w:t xml:space="preserve">5.1. </w:t>
            </w:r>
            <w:r w:rsidR="00F30F51" w:rsidRPr="006F72AA">
              <w:rPr>
                <w:rFonts w:cstheme="minorHAnsi"/>
                <w:bCs/>
                <w:lang w:val="bg-BG"/>
              </w:rPr>
              <w:t>методи и техники за производство, които зачитат околната среда;</w:t>
            </w:r>
          </w:p>
          <w:p w14:paraId="5EE30352" w14:textId="77777777" w:rsidR="00F30F51" w:rsidRPr="00057E49" w:rsidRDefault="00F30F51" w:rsidP="00F30F51">
            <w:pPr>
              <w:jc w:val="both"/>
              <w:rPr>
                <w:rFonts w:cstheme="minorHAnsi"/>
                <w:bCs/>
                <w:lang w:val="bg-BG"/>
              </w:rPr>
            </w:pPr>
            <w:r w:rsidRPr="00057E49">
              <w:rPr>
                <w:rFonts w:cstheme="minorHAnsi"/>
                <w:bCs/>
                <w:lang w:val="bg-BG"/>
              </w:rPr>
              <w:t>•</w:t>
            </w:r>
            <w:r w:rsidRPr="00057E49">
              <w:rPr>
                <w:rFonts w:cstheme="minorHAnsi"/>
                <w:bCs/>
                <w:lang w:val="bg-BG"/>
              </w:rPr>
              <w:tab/>
              <w:t>екологосъобразни опаковки само в областта на научните изследвания и експерименталното производство;</w:t>
            </w:r>
          </w:p>
          <w:p w14:paraId="46034425" w14:textId="77777777" w:rsidR="00F30F51" w:rsidRDefault="00F30F51" w:rsidP="00F30F51">
            <w:pPr>
              <w:jc w:val="both"/>
              <w:rPr>
                <w:rFonts w:cstheme="minorHAnsi"/>
                <w:bCs/>
                <w:lang w:val="bg-BG"/>
              </w:rPr>
            </w:pPr>
            <w:r w:rsidRPr="00057E49">
              <w:rPr>
                <w:rFonts w:cstheme="minorHAnsi"/>
                <w:bCs/>
                <w:lang w:val="bg-BG"/>
              </w:rPr>
              <w:t>•</w:t>
            </w:r>
            <w:r w:rsidRPr="00057E49">
              <w:rPr>
                <w:rFonts w:cstheme="minorHAnsi"/>
                <w:bCs/>
                <w:lang w:val="bg-BG"/>
              </w:rPr>
              <w:tab/>
              <w:t>повишаване на икономиите на енергия, енергийната ефективност и използването на енергия от възобновяеми източници.</w:t>
            </w:r>
          </w:p>
          <w:p w14:paraId="065A13BD" w14:textId="21E2C293" w:rsidR="00F30F51" w:rsidRDefault="006F72AA" w:rsidP="00D24FA5">
            <w:pPr>
              <w:pStyle w:val="a4"/>
              <w:ind w:left="390"/>
              <w:jc w:val="both"/>
              <w:rPr>
                <w:rFonts w:cstheme="minorHAnsi"/>
                <w:bCs/>
                <w:lang w:val="bg-BG"/>
              </w:rPr>
            </w:pPr>
            <w:r>
              <w:rPr>
                <w:rFonts w:cstheme="minorHAnsi"/>
                <w:bCs/>
                <w:lang w:val="bg-BG"/>
              </w:rPr>
              <w:t xml:space="preserve">5.2. </w:t>
            </w:r>
            <w:r w:rsidR="00F30F51" w:rsidRPr="00057E49">
              <w:rPr>
                <w:rFonts w:cstheme="minorHAnsi"/>
                <w:bCs/>
                <w:lang w:val="bg-BG"/>
              </w:rPr>
              <w:t>устойчиви на вредители и екологосъобразни практики на култивиране;</w:t>
            </w:r>
          </w:p>
          <w:p w14:paraId="48B3FA66" w14:textId="77777777" w:rsidR="00F30F51" w:rsidRPr="00057E49" w:rsidRDefault="00F30F51" w:rsidP="00F30F51">
            <w:pPr>
              <w:jc w:val="both"/>
              <w:rPr>
                <w:rFonts w:cstheme="minorHAnsi"/>
                <w:bCs/>
                <w:lang w:val="bg-BG"/>
              </w:rPr>
            </w:pPr>
            <w:r w:rsidRPr="00057E49">
              <w:rPr>
                <w:rFonts w:cstheme="minorHAnsi"/>
                <w:bCs/>
                <w:lang w:val="bg-BG"/>
              </w:rPr>
              <w:t>•</w:t>
            </w:r>
            <w:r w:rsidRPr="00057E49">
              <w:rPr>
                <w:rFonts w:cstheme="minorHAnsi"/>
                <w:bCs/>
                <w:lang w:val="bg-BG"/>
              </w:rPr>
              <w:tab/>
              <w:t>подобряване на устойчивостта на вредители;</w:t>
            </w:r>
          </w:p>
          <w:p w14:paraId="3B99F27F" w14:textId="77777777" w:rsidR="00F30F51" w:rsidRPr="00057E49" w:rsidRDefault="00F30F51" w:rsidP="00F30F51">
            <w:pPr>
              <w:jc w:val="both"/>
              <w:rPr>
                <w:rFonts w:cstheme="minorHAnsi"/>
                <w:bCs/>
                <w:lang w:val="bg-BG"/>
              </w:rPr>
            </w:pPr>
            <w:r w:rsidRPr="00057E49">
              <w:rPr>
                <w:rFonts w:cstheme="minorHAnsi"/>
                <w:bCs/>
                <w:lang w:val="bg-BG"/>
              </w:rPr>
              <w:t>•</w:t>
            </w:r>
            <w:r w:rsidRPr="00057E49">
              <w:rPr>
                <w:rFonts w:cstheme="minorHAnsi"/>
                <w:bCs/>
                <w:lang w:val="bg-BG"/>
              </w:rPr>
              <w:tab/>
              <w:t>намаляване на рисковете и въздействието от употребата на пестициди или намаляване на използването на ветеринарни лекарства, включително антибиотици;</w:t>
            </w:r>
          </w:p>
          <w:p w14:paraId="1BF8CB01" w14:textId="77777777" w:rsidR="00F30F51" w:rsidRPr="00057E49" w:rsidRDefault="00F30F51" w:rsidP="00F30F51">
            <w:pPr>
              <w:jc w:val="both"/>
              <w:rPr>
                <w:rFonts w:cstheme="minorHAnsi"/>
                <w:bCs/>
                <w:lang w:val="bg-BG"/>
              </w:rPr>
            </w:pPr>
            <w:r w:rsidRPr="00057E49">
              <w:rPr>
                <w:rFonts w:cstheme="minorHAnsi"/>
                <w:bCs/>
                <w:lang w:val="bg-BG"/>
              </w:rPr>
              <w:t>•</w:t>
            </w:r>
            <w:r w:rsidRPr="00057E49">
              <w:rPr>
                <w:rFonts w:cstheme="minorHAnsi"/>
                <w:bCs/>
                <w:lang w:val="bg-BG"/>
              </w:rPr>
              <w:tab/>
              <w:t>консултантски услуги и техническа помощ, по-специално по отношение на техниките за устойчив контрол на вредителите и болестите, устойчива употреба на продукти за растителна защита и здраве на животните и смекчаване на последиците от изменението на климата и адаптация към</w:t>
            </w:r>
            <w:r>
              <w:rPr>
                <w:rFonts w:cstheme="minorHAnsi"/>
                <w:bCs/>
                <w:lang w:val="bg-BG"/>
              </w:rPr>
              <w:t xml:space="preserve"> него.</w:t>
            </w:r>
          </w:p>
          <w:p w14:paraId="3290A92D" w14:textId="6B75D4C4" w:rsidR="00F30F51" w:rsidRDefault="006F72AA" w:rsidP="00BE25BF">
            <w:pPr>
              <w:pStyle w:val="a4"/>
              <w:ind w:left="34" w:firstLine="425"/>
              <w:jc w:val="both"/>
              <w:rPr>
                <w:rFonts w:cstheme="minorHAnsi"/>
                <w:bCs/>
                <w:lang w:val="bg-BG"/>
              </w:rPr>
            </w:pPr>
            <w:r>
              <w:rPr>
                <w:rFonts w:cstheme="minorHAnsi"/>
                <w:bCs/>
                <w:lang w:val="bg-BG"/>
              </w:rPr>
              <w:t xml:space="preserve">5.3. </w:t>
            </w:r>
            <w:r w:rsidR="00F30F51" w:rsidRPr="00057E49">
              <w:rPr>
                <w:rFonts w:cstheme="minorHAnsi"/>
                <w:bCs/>
                <w:lang w:val="bg-BG"/>
              </w:rPr>
              <w:t>стандарти за здраве на животните и хуманно отношение към животните, надхвърлящи минималните изисквания, установени в правото на Съюза и в националното право;</w:t>
            </w:r>
          </w:p>
          <w:p w14:paraId="72B6E595" w14:textId="77777777" w:rsidR="00F30F51" w:rsidRPr="00057E49" w:rsidRDefault="00F30F51" w:rsidP="00F30F51">
            <w:pPr>
              <w:jc w:val="both"/>
              <w:rPr>
                <w:rFonts w:cstheme="minorHAnsi"/>
                <w:bCs/>
                <w:lang w:val="bg-BG"/>
              </w:rPr>
            </w:pPr>
            <w:r w:rsidRPr="00057E49">
              <w:rPr>
                <w:rFonts w:cstheme="minorHAnsi"/>
                <w:bCs/>
                <w:lang w:val="bg-BG"/>
              </w:rPr>
              <w:t>•</w:t>
            </w:r>
            <w:r w:rsidRPr="00057E49">
              <w:rPr>
                <w:rFonts w:cstheme="minorHAnsi"/>
                <w:bCs/>
                <w:lang w:val="bg-BG"/>
              </w:rPr>
              <w:tab/>
              <w:t>биологична сигурност, здраве на животните и хуманно отношение към животните;</w:t>
            </w:r>
          </w:p>
          <w:p w14:paraId="6D9274D8" w14:textId="01B4DFA0" w:rsidR="00F30F51" w:rsidRDefault="006F72AA" w:rsidP="00D24FA5">
            <w:pPr>
              <w:pStyle w:val="a4"/>
              <w:ind w:left="390"/>
              <w:jc w:val="both"/>
              <w:rPr>
                <w:rFonts w:cstheme="minorHAnsi"/>
                <w:bCs/>
                <w:lang w:val="bg-BG"/>
              </w:rPr>
            </w:pPr>
            <w:r>
              <w:rPr>
                <w:rFonts w:cstheme="minorHAnsi"/>
                <w:bCs/>
                <w:lang w:val="bg-BG"/>
              </w:rPr>
              <w:t xml:space="preserve">5.4. </w:t>
            </w:r>
            <w:r w:rsidR="00F30F51" w:rsidRPr="00057E49">
              <w:rPr>
                <w:rFonts w:cstheme="minorHAnsi"/>
                <w:bCs/>
                <w:lang w:val="bg-BG"/>
              </w:rPr>
              <w:t>екологосъобразно използване и управление на странични продукти и отпадъци, включително повторното им използване и оползотворяване;</w:t>
            </w:r>
          </w:p>
          <w:p w14:paraId="26997C14" w14:textId="77777777" w:rsidR="00F30F51" w:rsidRPr="00057E49" w:rsidRDefault="00F30F51" w:rsidP="00F30F51">
            <w:pPr>
              <w:jc w:val="both"/>
              <w:rPr>
                <w:rFonts w:cstheme="minorHAnsi"/>
                <w:bCs/>
                <w:lang w:val="bg-BG"/>
              </w:rPr>
            </w:pPr>
            <w:r w:rsidRPr="00057E49">
              <w:rPr>
                <w:rFonts w:cstheme="minorHAnsi"/>
                <w:bCs/>
                <w:lang w:val="bg-BG"/>
              </w:rPr>
              <w:t>•</w:t>
            </w:r>
            <w:r w:rsidRPr="00057E49">
              <w:rPr>
                <w:rFonts w:cstheme="minorHAnsi"/>
                <w:bCs/>
                <w:lang w:val="bg-BG"/>
              </w:rPr>
              <w:tab/>
              <w:t>намаляване на емисиите и отпадъците и подобряване на използването и управлението на странични продукти и отпадъци, включително повторното им използване и оползотворяване.</w:t>
            </w:r>
          </w:p>
          <w:p w14:paraId="6939DD9C" w14:textId="43A4F80B" w:rsidR="00F30F51" w:rsidRDefault="006F72AA" w:rsidP="00BE25BF">
            <w:pPr>
              <w:pStyle w:val="a4"/>
              <w:ind w:left="0" w:firstLine="390"/>
              <w:jc w:val="both"/>
              <w:rPr>
                <w:rFonts w:cstheme="minorHAnsi"/>
                <w:bCs/>
                <w:lang w:val="bg-BG"/>
              </w:rPr>
            </w:pPr>
            <w:r>
              <w:rPr>
                <w:rFonts w:cstheme="minorHAnsi"/>
                <w:bCs/>
                <w:lang w:val="bg-BG"/>
              </w:rPr>
              <w:t xml:space="preserve">5.5. </w:t>
            </w:r>
            <w:r w:rsidR="00F30F51" w:rsidRPr="00057E49">
              <w:rPr>
                <w:rFonts w:cstheme="minorHAnsi"/>
                <w:bCs/>
                <w:lang w:val="bg-BG"/>
              </w:rPr>
              <w:t>устойчиво използване на природните ресурси, по-специално защита на водите, почвата и въздуха, както и действия за защита на биологичното разнообразие.</w:t>
            </w:r>
          </w:p>
          <w:p w14:paraId="6BF79B69" w14:textId="77777777" w:rsidR="00F30F51" w:rsidRPr="00057E49" w:rsidRDefault="00F30F51" w:rsidP="00F30F51">
            <w:pPr>
              <w:jc w:val="both"/>
              <w:rPr>
                <w:rFonts w:cstheme="minorHAnsi"/>
                <w:bCs/>
                <w:lang w:val="bg-BG"/>
              </w:rPr>
            </w:pPr>
            <w:r w:rsidRPr="00057E49">
              <w:rPr>
                <w:rFonts w:cstheme="minorHAnsi"/>
                <w:bCs/>
                <w:lang w:val="bg-BG"/>
              </w:rPr>
              <w:t>•</w:t>
            </w:r>
            <w:r w:rsidRPr="00057E49">
              <w:rPr>
                <w:rFonts w:cstheme="minorHAnsi"/>
                <w:bCs/>
                <w:lang w:val="bg-BG"/>
              </w:rPr>
              <w:tab/>
              <w:t>опазване на почвата, включително подобряване на въглеродното съдържание на почвата;</w:t>
            </w:r>
          </w:p>
          <w:p w14:paraId="15120102" w14:textId="77777777" w:rsidR="00F30F51" w:rsidRPr="00057E49" w:rsidRDefault="00F30F51" w:rsidP="00F30F51">
            <w:pPr>
              <w:jc w:val="both"/>
              <w:rPr>
                <w:rFonts w:cstheme="minorHAnsi"/>
                <w:bCs/>
                <w:lang w:val="bg-BG"/>
              </w:rPr>
            </w:pPr>
            <w:r w:rsidRPr="00057E49">
              <w:rPr>
                <w:rFonts w:cstheme="minorHAnsi"/>
                <w:bCs/>
                <w:lang w:val="bg-BG"/>
              </w:rPr>
              <w:t>•</w:t>
            </w:r>
            <w:r w:rsidRPr="00057E49">
              <w:rPr>
                <w:rFonts w:cstheme="minorHAnsi"/>
                <w:bCs/>
                <w:lang w:val="bg-BG"/>
              </w:rPr>
              <w:tab/>
              <w:t>подобряване на използването и управлението на водите, включително икономии на вода, опазване на водните ресурси и дренаж;</w:t>
            </w:r>
          </w:p>
          <w:p w14:paraId="6EBD78EC" w14:textId="77777777" w:rsidR="00F30F51" w:rsidRDefault="00F30F51" w:rsidP="00F30F51">
            <w:pPr>
              <w:jc w:val="both"/>
              <w:rPr>
                <w:rFonts w:cstheme="minorHAnsi"/>
                <w:bCs/>
                <w:lang w:val="bg-BG"/>
              </w:rPr>
            </w:pPr>
            <w:r w:rsidRPr="00057E49">
              <w:rPr>
                <w:rFonts w:cstheme="minorHAnsi"/>
                <w:bCs/>
                <w:lang w:val="bg-BG"/>
              </w:rPr>
              <w:t>•</w:t>
            </w:r>
            <w:r w:rsidRPr="00057E49">
              <w:rPr>
                <w:rFonts w:cstheme="minorHAnsi"/>
                <w:bCs/>
                <w:lang w:val="bg-BG"/>
              </w:rPr>
              <w:tab/>
              <w:t>създаване и поддържане на местообитания, благоприятстващи биоразнообразието.</w:t>
            </w:r>
          </w:p>
          <w:p w14:paraId="75D4F5B5" w14:textId="77777777" w:rsidR="00F30F51" w:rsidRPr="00057E49" w:rsidRDefault="00F30F51" w:rsidP="0072380D">
            <w:pPr>
              <w:pStyle w:val="a4"/>
              <w:numPr>
                <w:ilvl w:val="0"/>
                <w:numId w:val="26"/>
              </w:numPr>
              <w:jc w:val="both"/>
              <w:rPr>
                <w:rFonts w:cstheme="minorHAnsi"/>
                <w:bCs/>
                <w:lang w:val="bg-BG"/>
              </w:rPr>
            </w:pPr>
            <w:r w:rsidRPr="00057E49">
              <w:rPr>
                <w:rFonts w:cstheme="minorHAnsi"/>
                <w:bCs/>
                <w:lang w:val="bg-BG"/>
              </w:rPr>
              <w:t>Допринасяне</w:t>
            </w:r>
            <w:r w:rsidRPr="00B35962">
              <w:rPr>
                <w:b/>
                <w:bCs/>
                <w:sz w:val="20"/>
                <w:szCs w:val="20"/>
                <w:lang w:val="bg-BG"/>
              </w:rPr>
              <w:t xml:space="preserve"> </w:t>
            </w:r>
            <w:r w:rsidRPr="00057E49">
              <w:rPr>
                <w:rFonts w:cstheme="minorHAnsi"/>
                <w:bCs/>
                <w:lang w:val="bg-BG"/>
              </w:rPr>
              <w:t>за смекчаване на последиците от изменението на климата и за адаптиране към него;</w:t>
            </w:r>
          </w:p>
          <w:p w14:paraId="05E32A40" w14:textId="77777777" w:rsidR="00F30F51" w:rsidRPr="00057E49" w:rsidRDefault="00F30F51" w:rsidP="00F30F51">
            <w:pPr>
              <w:jc w:val="both"/>
              <w:rPr>
                <w:rFonts w:cstheme="minorHAnsi"/>
                <w:bCs/>
                <w:lang w:val="bg-BG"/>
              </w:rPr>
            </w:pPr>
            <w:r w:rsidRPr="00057E49">
              <w:rPr>
                <w:rFonts w:cstheme="minorHAnsi"/>
                <w:bCs/>
                <w:lang w:val="bg-BG"/>
              </w:rPr>
              <w:t>•</w:t>
            </w:r>
            <w:r w:rsidRPr="00057E49">
              <w:rPr>
                <w:rFonts w:cstheme="minorHAnsi"/>
                <w:bCs/>
                <w:lang w:val="bg-BG"/>
              </w:rPr>
              <w:tab/>
              <w:t>действия за смекчаване на последиците от изменението на климата и за адаптиране към него;</w:t>
            </w:r>
          </w:p>
          <w:p w14:paraId="76D898B6" w14:textId="77777777" w:rsidR="00F30F51" w:rsidRPr="00057E49" w:rsidRDefault="00F30F51" w:rsidP="00F30F51">
            <w:pPr>
              <w:jc w:val="both"/>
              <w:rPr>
                <w:rFonts w:cstheme="minorHAnsi"/>
                <w:bCs/>
                <w:lang w:val="bg-BG"/>
              </w:rPr>
            </w:pPr>
            <w:r w:rsidRPr="00057E49">
              <w:rPr>
                <w:rFonts w:cstheme="minorHAnsi"/>
                <w:bCs/>
                <w:lang w:val="bg-BG"/>
              </w:rPr>
              <w:t>•</w:t>
            </w:r>
            <w:r w:rsidRPr="00057E49">
              <w:rPr>
                <w:rFonts w:cstheme="minorHAnsi"/>
                <w:bCs/>
                <w:lang w:val="bg-BG"/>
              </w:rPr>
              <w:tab/>
              <w:t>повишаване на икономиите на енергия, енергийната ефективност и използването на енергия от възобновяеми източници;</w:t>
            </w:r>
          </w:p>
          <w:p w14:paraId="6E67788C" w14:textId="77777777" w:rsidR="00F30F51" w:rsidRPr="00057E49" w:rsidRDefault="00F30F51" w:rsidP="00F30F51">
            <w:pPr>
              <w:jc w:val="both"/>
              <w:rPr>
                <w:rFonts w:cstheme="minorHAnsi"/>
                <w:bCs/>
                <w:lang w:val="bg-BG"/>
              </w:rPr>
            </w:pPr>
            <w:r w:rsidRPr="00057E49">
              <w:rPr>
                <w:rFonts w:cstheme="minorHAnsi"/>
                <w:bCs/>
                <w:lang w:val="bg-BG"/>
              </w:rPr>
              <w:t>•</w:t>
            </w:r>
            <w:r w:rsidRPr="00057E49">
              <w:rPr>
                <w:rFonts w:cstheme="minorHAnsi"/>
                <w:bCs/>
                <w:lang w:val="bg-BG"/>
              </w:rPr>
              <w:tab/>
              <w:t>предотвратяване на щети, причинени от неблагоприятни климатични явления, и популяризиране на разработването и използването на сортове, породи и управленски практики, адаптирани към променящите се климатични условия;</w:t>
            </w:r>
          </w:p>
          <w:p w14:paraId="12888B92" w14:textId="77777777" w:rsidR="00F30F51" w:rsidRDefault="00F30F51" w:rsidP="00F30F51">
            <w:pPr>
              <w:jc w:val="both"/>
              <w:rPr>
                <w:rFonts w:cstheme="minorHAnsi"/>
                <w:bCs/>
                <w:lang w:val="bg-BG"/>
              </w:rPr>
            </w:pPr>
            <w:r w:rsidRPr="00057E49">
              <w:rPr>
                <w:rFonts w:cstheme="minorHAnsi"/>
                <w:bCs/>
                <w:lang w:val="bg-BG"/>
              </w:rPr>
              <w:t>•</w:t>
            </w:r>
            <w:r w:rsidRPr="00057E49">
              <w:rPr>
                <w:rFonts w:cstheme="minorHAnsi"/>
                <w:bCs/>
                <w:lang w:val="bg-BG"/>
              </w:rPr>
              <w:tab/>
              <w:t>консултантски услуги и техническа помощ, по-специално по отношение на техниките за устойчив контрол на вредителите и болестите, устойчива употреба на продукти за растителна защита и здраве на животните и смекчаване на последиците от изменението на климата и адаптация към него.</w:t>
            </w:r>
          </w:p>
          <w:p w14:paraId="1B5F2B7F" w14:textId="77777777" w:rsidR="00F30F51" w:rsidRPr="00057E49" w:rsidRDefault="00F30F51" w:rsidP="0072380D">
            <w:pPr>
              <w:pStyle w:val="a4"/>
              <w:numPr>
                <w:ilvl w:val="0"/>
                <w:numId w:val="26"/>
              </w:numPr>
              <w:jc w:val="both"/>
              <w:rPr>
                <w:rFonts w:cstheme="minorHAnsi"/>
                <w:bCs/>
                <w:lang w:val="bg-BG"/>
              </w:rPr>
            </w:pPr>
            <w:r w:rsidRPr="00057E49">
              <w:rPr>
                <w:rFonts w:cstheme="minorHAnsi"/>
                <w:bCs/>
                <w:lang w:val="bg-BG"/>
              </w:rPr>
              <w:t>Увеличаване на търговската стойност и качеството на продуктите, включително подобряване на качеството и разработването на продукти със защитено наименование за произход или защитено географско указание или на продукти, обхванати от публични или сертифицирани частни схеми за качество по избор на държавите членки;</w:t>
            </w:r>
          </w:p>
          <w:p w14:paraId="2D14573E" w14:textId="77777777" w:rsidR="00F30F51" w:rsidRPr="00057E49" w:rsidRDefault="00F30F51" w:rsidP="00F30F51">
            <w:pPr>
              <w:jc w:val="both"/>
              <w:rPr>
                <w:rFonts w:cstheme="minorHAnsi"/>
                <w:bCs/>
                <w:lang w:val="bg-BG"/>
              </w:rPr>
            </w:pPr>
            <w:r w:rsidRPr="00057E49">
              <w:rPr>
                <w:rFonts w:cstheme="minorHAnsi"/>
                <w:bCs/>
                <w:lang w:val="bg-BG"/>
              </w:rPr>
              <w:lastRenderedPageBreak/>
              <w:t>•</w:t>
            </w:r>
            <w:r w:rsidRPr="00057E49">
              <w:rPr>
                <w:rFonts w:cstheme="minorHAnsi"/>
                <w:bCs/>
                <w:lang w:val="bg-BG"/>
              </w:rPr>
              <w:tab/>
              <w:t>прилагане на европейските и националните схеми за качество;</w:t>
            </w:r>
          </w:p>
          <w:p w14:paraId="0063B088" w14:textId="77777777" w:rsidR="00F30F51" w:rsidRDefault="00F30F51" w:rsidP="00F30F51">
            <w:pPr>
              <w:jc w:val="both"/>
              <w:rPr>
                <w:rFonts w:cstheme="minorHAnsi"/>
                <w:bCs/>
                <w:lang w:val="bg-BG"/>
              </w:rPr>
            </w:pPr>
            <w:r w:rsidRPr="00057E49">
              <w:rPr>
                <w:rFonts w:cstheme="minorHAnsi"/>
                <w:bCs/>
                <w:lang w:val="bg-BG"/>
              </w:rPr>
              <w:t>•</w:t>
            </w:r>
            <w:r w:rsidRPr="00057E49">
              <w:rPr>
                <w:rFonts w:cstheme="minorHAnsi"/>
                <w:bCs/>
                <w:lang w:val="bg-BG"/>
              </w:rPr>
              <w:tab/>
              <w:t>прилагане на системи за проследяване и сертифициране, по-специално наблюдение на качеството на продуктите, продавани на крайните потребители.</w:t>
            </w:r>
          </w:p>
          <w:p w14:paraId="0B77FE11" w14:textId="77777777" w:rsidR="00F30F51" w:rsidRDefault="00F30F51" w:rsidP="0072380D">
            <w:pPr>
              <w:pStyle w:val="a4"/>
              <w:numPr>
                <w:ilvl w:val="0"/>
                <w:numId w:val="26"/>
              </w:numPr>
              <w:jc w:val="both"/>
              <w:rPr>
                <w:rFonts w:cstheme="minorHAnsi"/>
                <w:bCs/>
                <w:lang w:val="bg-BG"/>
              </w:rPr>
            </w:pPr>
            <w:r w:rsidRPr="00057E49">
              <w:rPr>
                <w:rFonts w:cstheme="minorHAnsi"/>
                <w:bCs/>
                <w:lang w:val="bg-BG"/>
              </w:rPr>
              <w:t>Популяризиране и маркетинг на продуктите;</w:t>
            </w:r>
          </w:p>
          <w:p w14:paraId="155A8F8C" w14:textId="77777777" w:rsidR="00F30F51" w:rsidRPr="00057E49" w:rsidRDefault="00F30F51" w:rsidP="00F30F51">
            <w:pPr>
              <w:jc w:val="both"/>
              <w:rPr>
                <w:rFonts w:cstheme="minorHAnsi"/>
                <w:bCs/>
                <w:lang w:val="bg-BG"/>
              </w:rPr>
            </w:pPr>
            <w:r w:rsidRPr="00057E49">
              <w:rPr>
                <w:rFonts w:cstheme="minorHAnsi"/>
                <w:bCs/>
                <w:lang w:val="bg-BG"/>
              </w:rPr>
              <w:t>•</w:t>
            </w:r>
            <w:r w:rsidRPr="00057E49">
              <w:rPr>
                <w:rFonts w:cstheme="minorHAnsi"/>
                <w:bCs/>
                <w:lang w:val="bg-BG"/>
              </w:rPr>
              <w:tab/>
              <w:t>популяризиране, комуникация и маркетинг, включително действия и дейности, насочени по-специално към повишаване на осведомеността на потребителите за схемите на Съюза за качество и за значението на здравословното хранене, както и към диверсифициране на пазарите;</w:t>
            </w:r>
          </w:p>
          <w:p w14:paraId="4E41A6A5" w14:textId="77777777" w:rsidR="00F30F51" w:rsidRPr="00057E49" w:rsidRDefault="00F30F51" w:rsidP="00F30F51">
            <w:pPr>
              <w:jc w:val="both"/>
              <w:rPr>
                <w:rFonts w:cstheme="minorHAnsi"/>
                <w:bCs/>
                <w:lang w:val="bg-BG"/>
              </w:rPr>
            </w:pPr>
            <w:r w:rsidRPr="00057E49">
              <w:rPr>
                <w:rFonts w:cstheme="minorHAnsi"/>
                <w:bCs/>
                <w:lang w:val="bg-BG"/>
              </w:rPr>
              <w:t>•</w:t>
            </w:r>
            <w:r w:rsidRPr="00057E49">
              <w:rPr>
                <w:rFonts w:cstheme="minorHAnsi"/>
                <w:bCs/>
                <w:lang w:val="bg-BG"/>
              </w:rPr>
              <w:tab/>
              <w:t>обучение, включително индивидуално обучение и обмен на най-добри практики.</w:t>
            </w:r>
          </w:p>
          <w:p w14:paraId="5061A458" w14:textId="4C7803DD" w:rsidR="00F30F51" w:rsidRPr="008D57CD" w:rsidRDefault="00F30F51" w:rsidP="00F30F51">
            <w:pPr>
              <w:pStyle w:val="a4"/>
              <w:numPr>
                <w:ilvl w:val="0"/>
                <w:numId w:val="26"/>
              </w:numPr>
              <w:jc w:val="both"/>
              <w:rPr>
                <w:rFonts w:cstheme="minorHAnsi"/>
                <w:bCs/>
                <w:lang w:val="bg-BG"/>
              </w:rPr>
            </w:pPr>
            <w:r w:rsidRPr="00057E49">
              <w:rPr>
                <w:rFonts w:cstheme="minorHAnsi"/>
                <w:bCs/>
                <w:lang w:val="bg-BG"/>
              </w:rPr>
              <w:t>Превенция на кризи и управление на риска, насочени към предотвратяване и справяне с кризи на пазарите в съответния сектор;</w:t>
            </w:r>
          </w:p>
          <w:p w14:paraId="4CEAA3F4" w14:textId="77777777" w:rsidR="00F30F51" w:rsidRPr="00057E49" w:rsidRDefault="00F30F51" w:rsidP="00F30F51">
            <w:pPr>
              <w:jc w:val="both"/>
              <w:rPr>
                <w:rFonts w:cstheme="minorHAnsi"/>
                <w:bCs/>
                <w:lang w:val="bg-BG"/>
              </w:rPr>
            </w:pPr>
            <w:r w:rsidRPr="00057E49">
              <w:rPr>
                <w:rFonts w:cstheme="minorHAnsi"/>
                <w:bCs/>
                <w:lang w:val="bg-BG"/>
              </w:rPr>
              <w:t>•</w:t>
            </w:r>
            <w:r w:rsidRPr="00057E49">
              <w:rPr>
                <w:rFonts w:cstheme="minorHAnsi"/>
                <w:bCs/>
                <w:lang w:val="bg-BG"/>
              </w:rPr>
              <w:tab/>
              <w:t>инвестиции в материални и нематериални активи за по-ефективно управление на количествата, пуснати на пазара;</w:t>
            </w:r>
          </w:p>
          <w:p w14:paraId="60A09544" w14:textId="77777777" w:rsidR="00F30F51" w:rsidRPr="00057E49" w:rsidRDefault="00F30F51" w:rsidP="00F30F51">
            <w:pPr>
              <w:jc w:val="both"/>
              <w:rPr>
                <w:rFonts w:cstheme="minorHAnsi"/>
                <w:bCs/>
                <w:lang w:val="bg-BG"/>
              </w:rPr>
            </w:pPr>
            <w:r w:rsidRPr="00057E49">
              <w:rPr>
                <w:rFonts w:cstheme="minorHAnsi"/>
                <w:bCs/>
                <w:lang w:val="bg-BG"/>
              </w:rPr>
              <w:t>•</w:t>
            </w:r>
            <w:r w:rsidRPr="00057E49">
              <w:rPr>
                <w:rFonts w:cstheme="minorHAnsi"/>
                <w:bCs/>
                <w:lang w:val="bg-BG"/>
              </w:rPr>
              <w:tab/>
              <w:t>колективно складиране на продукти, произведени от организацията на производителите или от членове на организацията на производителите, включително, когато е необходимо, колективно обработване, за да се улесни складирането;</w:t>
            </w:r>
          </w:p>
          <w:p w14:paraId="0B8B3270" w14:textId="77777777" w:rsidR="00F30F51" w:rsidRPr="00057E49" w:rsidRDefault="00F30F51" w:rsidP="00F30F51">
            <w:pPr>
              <w:jc w:val="both"/>
              <w:rPr>
                <w:rFonts w:cstheme="minorHAnsi"/>
                <w:bCs/>
                <w:lang w:val="bg-BG"/>
              </w:rPr>
            </w:pPr>
            <w:r w:rsidRPr="00057E49">
              <w:rPr>
                <w:rFonts w:cstheme="minorHAnsi"/>
                <w:bCs/>
                <w:lang w:val="bg-BG"/>
              </w:rPr>
              <w:t>•</w:t>
            </w:r>
            <w:r w:rsidRPr="00057E49">
              <w:rPr>
                <w:rFonts w:cstheme="minorHAnsi"/>
                <w:bCs/>
                <w:lang w:val="bg-BG"/>
              </w:rPr>
              <w:tab/>
            </w:r>
            <w:r w:rsidRPr="008D57CD">
              <w:rPr>
                <w:rFonts w:cstheme="minorHAnsi"/>
                <w:bCs/>
                <w:lang w:val="bg-BG"/>
              </w:rPr>
              <w:t>неприбиране на реколтата, състоящо се в прекратяване на текущия цикъл на производство от съответната площ, когато продуктът е добре развит и има добро, солидно и подходящо за продажба качество, с изключение на унищожаването на продуктите поради климатични събития или болест;</w:t>
            </w:r>
          </w:p>
          <w:p w14:paraId="761AB944" w14:textId="77777777" w:rsidR="00F30F51" w:rsidRPr="00057E49" w:rsidRDefault="00F30F51" w:rsidP="00F30F51">
            <w:pPr>
              <w:jc w:val="both"/>
              <w:rPr>
                <w:rFonts w:cstheme="minorHAnsi"/>
                <w:bCs/>
                <w:lang w:val="bg-BG"/>
              </w:rPr>
            </w:pPr>
            <w:r w:rsidRPr="00057E49">
              <w:rPr>
                <w:rFonts w:cstheme="minorHAnsi"/>
                <w:bCs/>
                <w:lang w:val="bg-BG"/>
              </w:rPr>
              <w:t>•</w:t>
            </w:r>
            <w:r w:rsidRPr="00057E49">
              <w:rPr>
                <w:rFonts w:cstheme="minorHAnsi"/>
                <w:bCs/>
                <w:lang w:val="bg-BG"/>
              </w:rPr>
              <w:tab/>
              <w:t>застраховане на реколтата и на продукцията, което допринася за запазване на доходите на производителите, когато има загуби вследствие на природни бедствия, неблагоприятни климатични явления, болести или нашествия от вредители, и в същото време гарантира, че бенефициерите предприемат необходимите превантивни мерки спрямо рисковете;</w:t>
            </w:r>
          </w:p>
          <w:p w14:paraId="7A4269F3" w14:textId="77777777" w:rsidR="00F30F51" w:rsidRPr="00057E49" w:rsidRDefault="00F30F51" w:rsidP="00F30F51">
            <w:pPr>
              <w:jc w:val="both"/>
              <w:rPr>
                <w:rFonts w:cstheme="minorHAnsi"/>
                <w:bCs/>
                <w:lang w:val="bg-BG"/>
              </w:rPr>
            </w:pPr>
            <w:r w:rsidRPr="00057E49">
              <w:rPr>
                <w:rFonts w:cstheme="minorHAnsi"/>
                <w:bCs/>
                <w:lang w:val="bg-BG"/>
              </w:rPr>
              <w:t>•</w:t>
            </w:r>
            <w:r w:rsidRPr="00057E49">
              <w:rPr>
                <w:rFonts w:cstheme="minorHAnsi"/>
                <w:bCs/>
                <w:lang w:val="bg-BG"/>
              </w:rPr>
              <w:tab/>
              <w:t>индивидуално обучение за други организации на производители и асоциации на организации на производители, признати съгласно Регламент (ЕС) № 1308/2013, или за отделни производители;</w:t>
            </w:r>
          </w:p>
          <w:p w14:paraId="2C280E13" w14:textId="447FF8FA" w:rsidR="00F30F51" w:rsidRDefault="00F30F51" w:rsidP="00F30F51">
            <w:pPr>
              <w:jc w:val="both"/>
              <w:rPr>
                <w:rFonts w:cstheme="minorHAnsi"/>
                <w:bCs/>
                <w:lang w:val="bg-BG"/>
              </w:rPr>
            </w:pPr>
            <w:r w:rsidRPr="00057E49">
              <w:rPr>
                <w:rFonts w:cstheme="minorHAnsi"/>
                <w:bCs/>
                <w:lang w:val="bg-BG"/>
              </w:rPr>
              <w:t>•</w:t>
            </w:r>
            <w:r w:rsidRPr="00057E49">
              <w:rPr>
                <w:rFonts w:cstheme="minorHAnsi"/>
                <w:bCs/>
                <w:lang w:val="bg-BG"/>
              </w:rPr>
              <w:tab/>
              <w:t>изпълнение и управление на санитарните и фитосанитарните изисквания на трета държава на територията на Съюза, така че да се улесни достъпът до пазарите на трети държави;</w:t>
            </w:r>
          </w:p>
          <w:p w14:paraId="17B0ADD8" w14:textId="1417401A" w:rsidR="00F30F51" w:rsidRDefault="00F30F51" w:rsidP="00F30F51">
            <w:pPr>
              <w:pStyle w:val="a4"/>
              <w:numPr>
                <w:ilvl w:val="0"/>
                <w:numId w:val="25"/>
              </w:numPr>
              <w:ind w:left="0" w:firstLine="35"/>
              <w:jc w:val="both"/>
              <w:rPr>
                <w:rFonts w:cstheme="minorHAnsi"/>
                <w:bCs/>
                <w:lang w:val="bg-BG"/>
              </w:rPr>
            </w:pPr>
            <w:r w:rsidRPr="00972D42">
              <w:rPr>
                <w:rFonts w:cstheme="minorHAnsi"/>
                <w:bCs/>
                <w:lang w:val="bg-BG"/>
              </w:rPr>
              <w:t>комуникационни дейности, насочени към повишаване на осведомеността</w:t>
            </w:r>
            <w:r w:rsidR="0020394A">
              <w:rPr>
                <w:rFonts w:cstheme="minorHAnsi"/>
                <w:bCs/>
                <w:lang w:val="bg-BG"/>
              </w:rPr>
              <w:t xml:space="preserve"> и информиране на потребителите.</w:t>
            </w:r>
          </w:p>
          <w:p w14:paraId="7EF829F3" w14:textId="77777777" w:rsidR="00F30F51" w:rsidRPr="00972D42" w:rsidRDefault="00F30F51" w:rsidP="00F30F51">
            <w:pPr>
              <w:pStyle w:val="a4"/>
              <w:ind w:left="35"/>
              <w:jc w:val="both"/>
              <w:rPr>
                <w:rFonts w:cstheme="minorHAnsi"/>
                <w:bCs/>
                <w:lang w:val="bg-BG"/>
              </w:rPr>
            </w:pPr>
          </w:p>
          <w:p w14:paraId="7DB3CA6C" w14:textId="1C88D066" w:rsidR="005F556B" w:rsidRPr="00EB3709" w:rsidRDefault="00A31DF4" w:rsidP="00695400">
            <w:pPr>
              <w:ind w:firstLine="454"/>
              <w:jc w:val="both"/>
              <w:rPr>
                <w:rFonts w:cstheme="minorHAnsi"/>
                <w:lang w:val="bg-BG"/>
              </w:rPr>
            </w:pPr>
            <w:r w:rsidRPr="00EB3709">
              <w:rPr>
                <w:rFonts w:cstheme="minorHAnsi"/>
                <w:lang w:val="bg-BG"/>
              </w:rPr>
              <w:t>Асоциациите на организациите на производителите следва да представят цялостна или частична оперативна програма, състояща се от интервенции, които не са реализирани от членуващите в тях организации в рамките на техните оперативни програми. За оперативните</w:t>
            </w:r>
            <w:r w:rsidR="00094E54" w:rsidRPr="00EB3709">
              <w:rPr>
                <w:rFonts w:cstheme="minorHAnsi"/>
                <w:lang w:val="bg-BG"/>
              </w:rPr>
              <w:t xml:space="preserve"> програми на асоциациите на ор</w:t>
            </w:r>
            <w:r w:rsidRPr="00EB3709">
              <w:rPr>
                <w:rFonts w:cstheme="minorHAnsi"/>
                <w:lang w:val="bg-BG"/>
              </w:rPr>
              <w:t>ганизациите на производителите важат същите правила, както за оперативните</w:t>
            </w:r>
            <w:r w:rsidR="005A7784">
              <w:rPr>
                <w:rFonts w:cstheme="minorHAnsi"/>
                <w:lang w:val="bg-BG"/>
              </w:rPr>
              <w:t xml:space="preserve"> програми на организациите на производители</w:t>
            </w:r>
            <w:r w:rsidR="00B40105" w:rsidRPr="00EB3709">
              <w:rPr>
                <w:rFonts w:cstheme="minorHAnsi"/>
                <w:lang w:val="bg-BG"/>
              </w:rPr>
              <w:t xml:space="preserve"> </w:t>
            </w:r>
            <w:r w:rsidR="00DF402C" w:rsidRPr="00711FD7">
              <w:rPr>
                <w:rFonts w:cstheme="minorHAnsi"/>
                <w:lang w:val="bg-BG"/>
              </w:rPr>
              <w:t>и те се разглеждат с оперативните програми на членуващите в асоциацията организации</w:t>
            </w:r>
            <w:r w:rsidR="00B40105" w:rsidRPr="00EB3709">
              <w:rPr>
                <w:rFonts w:cstheme="minorHAnsi"/>
                <w:lang w:val="bg-BG"/>
              </w:rPr>
              <w:t xml:space="preserve">. </w:t>
            </w:r>
          </w:p>
          <w:p w14:paraId="75699927" w14:textId="28A1194D" w:rsidR="00C55B55" w:rsidRPr="0078389B" w:rsidRDefault="005A7784" w:rsidP="0078389B">
            <w:pPr>
              <w:ind w:firstLine="454"/>
              <w:jc w:val="both"/>
              <w:rPr>
                <w:rFonts w:cstheme="minorHAnsi"/>
                <w:lang w:val="bg-BG"/>
              </w:rPr>
            </w:pPr>
            <w:r>
              <w:rPr>
                <w:rFonts w:cstheme="minorHAnsi"/>
                <w:lang w:val="bg-BG"/>
              </w:rPr>
              <w:t>Групите на производители,</w:t>
            </w:r>
            <w:r w:rsidR="00C55B55" w:rsidRPr="0078389B">
              <w:rPr>
                <w:rFonts w:cstheme="minorHAnsi"/>
                <w:lang w:val="bg-BG"/>
              </w:rPr>
              <w:t xml:space="preserve"> </w:t>
            </w:r>
            <w:r w:rsidR="00B719F8" w:rsidRPr="0078389B">
              <w:rPr>
                <w:rFonts w:cstheme="minorHAnsi"/>
                <w:lang w:val="bg-BG"/>
              </w:rPr>
              <w:t>допустими за подпомагане</w:t>
            </w:r>
            <w:r>
              <w:rPr>
                <w:rFonts w:cstheme="minorHAnsi"/>
                <w:lang w:val="bg-BG"/>
              </w:rPr>
              <w:t>,</w:t>
            </w:r>
            <w:r w:rsidR="00B719F8" w:rsidRPr="0078389B">
              <w:rPr>
                <w:rFonts w:cstheme="minorHAnsi"/>
                <w:lang w:val="bg-BG"/>
              </w:rPr>
              <w:t xml:space="preserve"> </w:t>
            </w:r>
            <w:r w:rsidR="00C55B55" w:rsidRPr="0078389B">
              <w:rPr>
                <w:rFonts w:cstheme="minorHAnsi"/>
                <w:lang w:val="bg-BG"/>
              </w:rPr>
              <w:t xml:space="preserve">следва да бъдат признати за </w:t>
            </w:r>
            <w:r w:rsidR="00B719F8" w:rsidRPr="0078389B">
              <w:rPr>
                <w:rFonts w:cstheme="minorHAnsi"/>
                <w:lang w:val="bg-BG"/>
              </w:rPr>
              <w:t xml:space="preserve">организации на производители в рамките на </w:t>
            </w:r>
            <w:r w:rsidR="00C55B55" w:rsidRPr="0078389B">
              <w:rPr>
                <w:rFonts w:cstheme="minorHAnsi"/>
                <w:lang w:val="bg-BG"/>
              </w:rPr>
              <w:t>преходен период до четири години от началото на одобрена</w:t>
            </w:r>
            <w:r w:rsidR="00B719F8" w:rsidRPr="0078389B">
              <w:rPr>
                <w:rFonts w:cstheme="minorHAnsi"/>
                <w:lang w:val="bg-BG"/>
              </w:rPr>
              <w:t>та им</w:t>
            </w:r>
            <w:r w:rsidR="00C55B55" w:rsidRPr="0078389B">
              <w:rPr>
                <w:rFonts w:cstheme="minorHAnsi"/>
                <w:lang w:val="bg-BG"/>
              </w:rPr>
              <w:t xml:space="preserve"> оперативна програма и най-късно </w:t>
            </w:r>
            <w:r w:rsidR="00B719F8" w:rsidRPr="0078389B">
              <w:rPr>
                <w:rFonts w:cstheme="minorHAnsi"/>
                <w:lang w:val="bg-BG"/>
              </w:rPr>
              <w:t>до</w:t>
            </w:r>
            <w:r w:rsidR="00C55B55" w:rsidRPr="0078389B">
              <w:rPr>
                <w:rFonts w:cstheme="minorHAnsi"/>
                <w:lang w:val="bg-BG"/>
              </w:rPr>
              <w:t xml:space="preserve"> 31 декември 2027 г.</w:t>
            </w:r>
            <w:r w:rsidR="00B719F8" w:rsidRPr="0078389B">
              <w:rPr>
                <w:rFonts w:cstheme="minorHAnsi"/>
                <w:lang w:val="bg-BG"/>
              </w:rPr>
              <w:t xml:space="preserve"> За целта към предложението за оперативна програма групите производители изготвят и представят план за приз</w:t>
            </w:r>
            <w:r w:rsidR="007A1B28">
              <w:rPr>
                <w:rFonts w:cstheme="minorHAnsi"/>
                <w:lang w:val="bg-BG"/>
              </w:rPr>
              <w:t>наване. В плановете</w:t>
            </w:r>
            <w:r w:rsidR="0078389B" w:rsidRPr="0078389B">
              <w:rPr>
                <w:rFonts w:cstheme="minorHAnsi"/>
                <w:lang w:val="bg-BG"/>
              </w:rPr>
              <w:t xml:space="preserve"> за признаване се определят дейности и цели, чрез изпълнението на които </w:t>
            </w:r>
            <w:r>
              <w:rPr>
                <w:rFonts w:cstheme="minorHAnsi"/>
                <w:lang w:val="bg-BG"/>
              </w:rPr>
              <w:t xml:space="preserve">групите </w:t>
            </w:r>
            <w:r w:rsidR="007A1B28">
              <w:rPr>
                <w:rFonts w:cstheme="minorHAnsi"/>
                <w:lang w:val="bg-BG"/>
              </w:rPr>
              <w:t xml:space="preserve">ще </w:t>
            </w:r>
            <w:r w:rsidR="0078389B" w:rsidRPr="0078389B">
              <w:rPr>
                <w:rFonts w:cstheme="minorHAnsi"/>
                <w:lang w:val="bg-BG"/>
              </w:rPr>
              <w:t xml:space="preserve"> отговорят на</w:t>
            </w:r>
            <w:r w:rsidR="00B719F8" w:rsidRPr="0078389B">
              <w:rPr>
                <w:rFonts w:cstheme="minorHAnsi"/>
                <w:lang w:val="bg-BG"/>
              </w:rPr>
              <w:t xml:space="preserve"> изискван</w:t>
            </w:r>
            <w:r w:rsidR="0078389B" w:rsidRPr="0078389B">
              <w:rPr>
                <w:rFonts w:cstheme="minorHAnsi"/>
                <w:lang w:val="bg-BG"/>
              </w:rPr>
              <w:t xml:space="preserve">ията </w:t>
            </w:r>
            <w:r w:rsidR="00B719F8" w:rsidRPr="0078389B">
              <w:rPr>
                <w:rFonts w:cstheme="minorHAnsi"/>
                <w:lang w:val="bg-BG"/>
              </w:rPr>
              <w:t>за признаване</w:t>
            </w:r>
            <w:r w:rsidR="0078389B" w:rsidRPr="0078389B">
              <w:rPr>
                <w:rFonts w:cstheme="minorHAnsi"/>
                <w:lang w:val="bg-BG"/>
              </w:rPr>
              <w:t>то им</w:t>
            </w:r>
            <w:r w:rsidR="00B719F8" w:rsidRPr="0078389B">
              <w:rPr>
                <w:rFonts w:cstheme="minorHAnsi"/>
                <w:lang w:val="bg-BG"/>
              </w:rPr>
              <w:t xml:space="preserve"> </w:t>
            </w:r>
            <w:r>
              <w:rPr>
                <w:rFonts w:cstheme="minorHAnsi"/>
                <w:lang w:val="bg-BG"/>
              </w:rPr>
              <w:t>за</w:t>
            </w:r>
            <w:r w:rsidR="00B719F8" w:rsidRPr="0078389B">
              <w:rPr>
                <w:rFonts w:cstheme="minorHAnsi"/>
                <w:lang w:val="bg-BG"/>
              </w:rPr>
              <w:t xml:space="preserve"> организации на производители, определени в членове 152—154 или 16</w:t>
            </w:r>
            <w:r w:rsidR="0078389B" w:rsidRPr="0078389B">
              <w:rPr>
                <w:rFonts w:cstheme="minorHAnsi"/>
                <w:lang w:val="bg-BG"/>
              </w:rPr>
              <w:t xml:space="preserve">1 от Регламент (ЕС) № 1308/2013. В случай че групата производители до края на четиригодишния преходен период не е призната за организация на производители, </w:t>
            </w:r>
            <w:r>
              <w:rPr>
                <w:rFonts w:cstheme="minorHAnsi"/>
                <w:lang w:val="bg-BG"/>
              </w:rPr>
              <w:t xml:space="preserve">тя </w:t>
            </w:r>
            <w:r w:rsidR="007319AB" w:rsidRPr="0078389B">
              <w:rPr>
                <w:rFonts w:cstheme="minorHAnsi"/>
                <w:lang w:val="bg-BG"/>
              </w:rPr>
              <w:t>следва</w:t>
            </w:r>
            <w:r w:rsidR="0078389B" w:rsidRPr="0078389B">
              <w:rPr>
                <w:rFonts w:cstheme="minorHAnsi"/>
                <w:lang w:val="bg-BG"/>
              </w:rPr>
              <w:t xml:space="preserve"> да възстанови получената финансова помощ. </w:t>
            </w:r>
          </w:p>
          <w:p w14:paraId="0701C85F" w14:textId="77777777" w:rsidR="00E745FE" w:rsidRPr="00EB3709" w:rsidRDefault="00E745FE" w:rsidP="007A1B28">
            <w:pPr>
              <w:jc w:val="both"/>
              <w:rPr>
                <w:rFonts w:cstheme="minorHAnsi"/>
                <w:lang w:val="bg-BG"/>
              </w:rPr>
            </w:pPr>
          </w:p>
        </w:tc>
      </w:tr>
    </w:tbl>
    <w:p w14:paraId="7AA0AC4E" w14:textId="77777777" w:rsidR="00B92EB3" w:rsidRPr="00711FD7" w:rsidRDefault="00B92EB3" w:rsidP="005F556B">
      <w:pPr>
        <w:spacing w:line="240" w:lineRule="auto"/>
        <w:jc w:val="both"/>
        <w:rPr>
          <w:b/>
          <w:lang w:val="bg-BG"/>
        </w:rPr>
      </w:pPr>
    </w:p>
    <w:p w14:paraId="00FF2DE4" w14:textId="77777777" w:rsidR="00B92EB3" w:rsidRPr="0046113A" w:rsidRDefault="00B92EB3" w:rsidP="0046113A">
      <w:pPr>
        <w:pStyle w:val="a4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lastRenderedPageBreak/>
        <w:t>Съвместимост на интервенцията със споразумението на СТО за селското стопанство:</w:t>
      </w:r>
    </w:p>
    <w:p w14:paraId="5890398D" w14:textId="77777777" w:rsidR="00B92EB3" w:rsidRDefault="00B92EB3" w:rsidP="005F556B">
      <w:pPr>
        <w:spacing w:line="240" w:lineRule="auto"/>
        <w:jc w:val="both"/>
        <w:rPr>
          <w:i/>
          <w:lang w:val="bg-BG"/>
        </w:rPr>
      </w:pPr>
      <w:r>
        <w:rPr>
          <w:i/>
          <w:lang w:val="bg-BG"/>
        </w:rPr>
        <w:t>/</w:t>
      </w:r>
      <w:r w:rsidRPr="00B92EB3">
        <w:rPr>
          <w:i/>
          <w:lang w:val="bg-BG"/>
        </w:rPr>
        <w:t xml:space="preserve">За всяка интервенция, която </w:t>
      </w:r>
      <w:r w:rsidRPr="00B92EB3">
        <w:rPr>
          <w:i/>
          <w:u w:val="single"/>
          <w:lang w:val="bg-BG"/>
        </w:rPr>
        <w:t>се</w:t>
      </w:r>
      <w:r w:rsidRPr="00B92EB3">
        <w:rPr>
          <w:i/>
          <w:lang w:val="bg-BG"/>
        </w:rPr>
        <w:t xml:space="preserve"> основава на видовете интервенции, изброени в приложение II към регламент</w:t>
      </w:r>
      <w:r>
        <w:rPr>
          <w:i/>
          <w:lang w:val="bg-BG"/>
        </w:rPr>
        <w:t>а за Стратегическите планове по ОСП</w:t>
      </w:r>
      <w:r w:rsidRPr="00B92EB3">
        <w:rPr>
          <w:i/>
          <w:lang w:val="bg-BG"/>
        </w:rPr>
        <w:t xml:space="preserve">, </w:t>
      </w:r>
      <w:r>
        <w:rPr>
          <w:i/>
          <w:lang w:val="bg-BG"/>
        </w:rPr>
        <w:t xml:space="preserve">следва да се опише </w:t>
      </w:r>
      <w:r w:rsidRPr="00B92EB3">
        <w:rPr>
          <w:i/>
          <w:lang w:val="bg-BG"/>
        </w:rPr>
        <w:t>как тя спазва съответните разпоредби на приложение 2 към Споразумението на СТО за селското</w:t>
      </w:r>
      <w:r>
        <w:rPr>
          <w:i/>
          <w:lang w:val="bg-BG"/>
        </w:rPr>
        <w:t xml:space="preserve"> стопанство (както е посочено в член 10</w:t>
      </w:r>
      <w:r w:rsidRPr="00B92EB3">
        <w:rPr>
          <w:i/>
          <w:lang w:val="bg-BG"/>
        </w:rPr>
        <w:t xml:space="preserve"> и в приложение II към </w:t>
      </w:r>
      <w:r>
        <w:rPr>
          <w:i/>
          <w:lang w:val="bg-BG"/>
        </w:rPr>
        <w:t>същия</w:t>
      </w:r>
      <w:r w:rsidRPr="00B92EB3">
        <w:rPr>
          <w:i/>
          <w:lang w:val="bg-BG"/>
        </w:rPr>
        <w:t xml:space="preserve"> регламент</w:t>
      </w:r>
      <w:r>
        <w:rPr>
          <w:i/>
          <w:lang w:val="bg-BG"/>
        </w:rPr>
        <w:t>).</w:t>
      </w:r>
      <w:r w:rsidRPr="00B92EB3">
        <w:rPr>
          <w:i/>
          <w:lang w:val="bg-BG"/>
        </w:rPr>
        <w:t xml:space="preserve"> За всяка интервенция, която </w:t>
      </w:r>
      <w:r w:rsidRPr="00B92EB3">
        <w:rPr>
          <w:i/>
          <w:u w:val="single"/>
          <w:lang w:val="bg-BG"/>
        </w:rPr>
        <w:t>не се</w:t>
      </w:r>
      <w:r w:rsidRPr="00B92EB3">
        <w:rPr>
          <w:i/>
          <w:lang w:val="bg-BG"/>
        </w:rPr>
        <w:t xml:space="preserve"> основава на видовете интервенции, изброени в приложение II към настоящия регламент, как спазва съответните разпоредби на член 6.5 или приложение 2 към Споразумението на СТО за селското стопанство</w:t>
      </w:r>
      <w:r>
        <w:rPr>
          <w:i/>
          <w:lang w:val="bg-BG"/>
        </w:rPr>
        <w:t>/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16"/>
      </w:tblGrid>
      <w:tr w:rsidR="00695400" w:rsidRPr="00B6431F" w14:paraId="0D57034E" w14:textId="77777777" w:rsidTr="00695400">
        <w:tc>
          <w:tcPr>
            <w:tcW w:w="9016" w:type="dxa"/>
          </w:tcPr>
          <w:p w14:paraId="2FFCB921" w14:textId="6CE13F89" w:rsidR="00695400" w:rsidRDefault="00695400" w:rsidP="005A7784">
            <w:pPr>
              <w:spacing w:after="200" w:line="276" w:lineRule="auto"/>
              <w:jc w:val="both"/>
              <w:rPr>
                <w:b/>
                <w:lang w:val="bg-BG"/>
              </w:rPr>
            </w:pPr>
            <w:r w:rsidRPr="00695400">
              <w:rPr>
                <w:lang w:val="bg-BG"/>
              </w:rPr>
              <w:t xml:space="preserve">Видовете интервенции допустими за изпълнение в рамките на оперативната програма отговарят на критериите на Приложение </w:t>
            </w:r>
            <w:r w:rsidRPr="00695400">
              <w:rPr>
                <w:lang w:val="en-US"/>
              </w:rPr>
              <w:t>II</w:t>
            </w:r>
            <w:r w:rsidR="00E3683A">
              <w:rPr>
                <w:lang w:val="bg-BG"/>
              </w:rPr>
              <w:t xml:space="preserve"> на Регламент ХХХХ/202Х и</w:t>
            </w:r>
            <w:r w:rsidRPr="00695400">
              <w:rPr>
                <w:lang w:val="bg-BG"/>
              </w:rPr>
              <w:t xml:space="preserve"> са в съответствие с приложение 2 към Споразумението на СТО за селското стопанство </w:t>
            </w:r>
            <w:r w:rsidRPr="00711FD7">
              <w:rPr>
                <w:lang w:val="bg-BG"/>
              </w:rPr>
              <w:t>(</w:t>
            </w:r>
            <w:r w:rsidRPr="00695400">
              <w:rPr>
                <w:lang w:val="bg-BG"/>
              </w:rPr>
              <w:t>параграф 2, 8, 11 и 12</w:t>
            </w:r>
            <w:r w:rsidRPr="00711FD7">
              <w:rPr>
                <w:lang w:val="bg-BG"/>
              </w:rPr>
              <w:t>)</w:t>
            </w:r>
            <w:r w:rsidRPr="00695400">
              <w:rPr>
                <w:lang w:val="bg-BG"/>
              </w:rPr>
              <w:t>.</w:t>
            </w:r>
          </w:p>
        </w:tc>
      </w:tr>
    </w:tbl>
    <w:p w14:paraId="5E26726B" w14:textId="77777777" w:rsidR="00695400" w:rsidRDefault="00695400" w:rsidP="005F556B">
      <w:pPr>
        <w:spacing w:line="240" w:lineRule="auto"/>
        <w:jc w:val="both"/>
        <w:rPr>
          <w:i/>
          <w:lang w:val="bg-BG"/>
        </w:rPr>
      </w:pPr>
    </w:p>
    <w:p w14:paraId="04005DB9" w14:textId="77777777" w:rsidR="005F556B" w:rsidRPr="0046113A" w:rsidRDefault="005F556B" w:rsidP="0046113A">
      <w:pPr>
        <w:pStyle w:val="a4"/>
        <w:numPr>
          <w:ilvl w:val="0"/>
          <w:numId w:val="2"/>
        </w:numPr>
        <w:spacing w:line="240" w:lineRule="auto"/>
        <w:jc w:val="both"/>
        <w:rPr>
          <w:b/>
          <w:lang w:val="bg-BG"/>
        </w:rPr>
      </w:pPr>
      <w:r w:rsidRPr="0046113A">
        <w:rPr>
          <w:b/>
          <w:lang w:val="bg-BG"/>
        </w:rPr>
        <w:t xml:space="preserve">Нива на подпомагане / премии / методи за изчисляване (включително диференциации за групи от територии, където е приложимо) и, когато е приложимо, кратко обяснение защо посочените са подходящи за постигане на целите, </w:t>
      </w:r>
      <w:r w:rsidR="00950149" w:rsidRPr="0046113A">
        <w:rPr>
          <w:b/>
          <w:lang w:val="bg-BG"/>
        </w:rPr>
        <w:t>(</w:t>
      </w:r>
      <w:r w:rsidRPr="0046113A">
        <w:rPr>
          <w:b/>
          <w:lang w:val="bg-BG"/>
        </w:rPr>
        <w:t>също и по отношение на базовите изисквания</w:t>
      </w:r>
      <w:r w:rsidR="00950149" w:rsidRPr="0046113A">
        <w:rPr>
          <w:b/>
          <w:lang w:val="bg-BG"/>
        </w:rPr>
        <w:t>)</w:t>
      </w:r>
      <w:r w:rsidRPr="0046113A">
        <w:rPr>
          <w:b/>
          <w:lang w:val="bg-BG"/>
        </w:rPr>
        <w:t>:</w:t>
      </w:r>
    </w:p>
    <w:p w14:paraId="1D18366F" w14:textId="77777777" w:rsidR="00BC2D56" w:rsidRPr="00BC2D56" w:rsidRDefault="00BC2D56" w:rsidP="00BC2D56">
      <w:pPr>
        <w:spacing w:after="0" w:line="240" w:lineRule="auto"/>
        <w:jc w:val="both"/>
        <w:rPr>
          <w:i/>
          <w:lang w:val="bg-BG"/>
        </w:rPr>
      </w:pPr>
      <w:r w:rsidRPr="00BC2D56">
        <w:rPr>
          <w:i/>
          <w:lang w:val="bg-BG"/>
        </w:rPr>
        <w:t>/</w:t>
      </w:r>
      <w:r w:rsidRPr="00BC2D56">
        <w:rPr>
          <w:b/>
          <w:i/>
          <w:lang w:val="bg-BG"/>
        </w:rPr>
        <w:t>информацията следва да включва:</w:t>
      </w:r>
      <w:r w:rsidRPr="00BC2D56">
        <w:rPr>
          <w:i/>
          <w:lang w:val="bg-BG"/>
        </w:rPr>
        <w:t xml:space="preserve"> формата и степента на подкрепа; методът за изчисляване на единичните суми на подпомагане и неговото сертифициране в съответствие с член 76; различните единни или средни единични суми на помощта</w:t>
      </w:r>
      <w:r w:rsidR="00950149">
        <w:rPr>
          <w:i/>
          <w:lang w:val="bg-BG"/>
        </w:rPr>
        <w:t xml:space="preserve"> в рамките на тази интервенция. /</w:t>
      </w:r>
    </w:p>
    <w:p w14:paraId="44ED0AF4" w14:textId="77777777" w:rsidR="00BC2D56" w:rsidRDefault="00BC2D56" w:rsidP="005F556B">
      <w:pPr>
        <w:spacing w:line="240" w:lineRule="auto"/>
        <w:jc w:val="both"/>
        <w:rPr>
          <w:b/>
          <w:lang w:val="bg-BG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F556B" w:rsidRPr="00B6431F" w14:paraId="5588F7E1" w14:textId="77777777" w:rsidTr="005F556B">
        <w:tc>
          <w:tcPr>
            <w:tcW w:w="9242" w:type="dxa"/>
          </w:tcPr>
          <w:p w14:paraId="54CA092F" w14:textId="45044ECA" w:rsidR="00D93C3B" w:rsidRDefault="007C5AA7" w:rsidP="00D93C3B">
            <w:pPr>
              <w:ind w:firstLine="454"/>
              <w:jc w:val="both"/>
              <w:rPr>
                <w:rFonts w:cstheme="minorHAnsi"/>
                <w:lang w:val="bg-BG"/>
              </w:rPr>
            </w:pPr>
            <w:r w:rsidRPr="00EB3709">
              <w:rPr>
                <w:rFonts w:cstheme="minorHAnsi"/>
                <w:lang w:val="bg-BG"/>
              </w:rPr>
              <w:t xml:space="preserve">Признатите </w:t>
            </w:r>
            <w:r w:rsidR="003A1E3F">
              <w:rPr>
                <w:rFonts w:cstheme="minorHAnsi"/>
                <w:lang w:val="bg-BG"/>
              </w:rPr>
              <w:t>групи/организации/</w:t>
            </w:r>
            <w:r w:rsidR="005A7784">
              <w:rPr>
                <w:rFonts w:cstheme="minorHAnsi"/>
                <w:lang w:val="bg-BG"/>
              </w:rPr>
              <w:t>асоциации на организации на производители</w:t>
            </w:r>
            <w:r w:rsidR="005A7784" w:rsidRPr="00EB3709">
              <w:rPr>
                <w:rFonts w:cstheme="minorHAnsi"/>
                <w:lang w:val="bg-BG"/>
              </w:rPr>
              <w:t xml:space="preserve"> </w:t>
            </w:r>
            <w:r w:rsidRPr="00EB3709">
              <w:rPr>
                <w:rFonts w:cstheme="minorHAnsi"/>
                <w:lang w:val="bg-BG"/>
              </w:rPr>
              <w:t>могат да кандидатстват за финансово подпомагане, като създадат оперативен фонд.</w:t>
            </w:r>
            <w:r w:rsidRPr="008A49BF">
              <w:rPr>
                <w:rFonts w:cstheme="minorHAnsi"/>
                <w:lang w:val="bg-BG"/>
              </w:rPr>
              <w:t xml:space="preserve"> Оперативните програми трябва да бъдат финансирани от един оперативен фонд</w:t>
            </w:r>
            <w:r w:rsidRPr="00EB3709">
              <w:rPr>
                <w:rFonts w:cstheme="minorHAnsi"/>
                <w:lang w:val="bg-BG"/>
              </w:rPr>
              <w:t>.</w:t>
            </w:r>
            <w:r>
              <w:rPr>
                <w:rFonts w:cstheme="minorHAnsi"/>
                <w:lang w:val="bg-BG"/>
              </w:rPr>
              <w:t xml:space="preserve"> </w:t>
            </w:r>
            <w:r w:rsidRPr="00EB3709">
              <w:rPr>
                <w:rFonts w:cstheme="minorHAnsi"/>
                <w:lang w:val="bg-BG"/>
              </w:rPr>
              <w:t xml:space="preserve">Финансирането на оперативния фонд </w:t>
            </w:r>
            <w:r>
              <w:rPr>
                <w:rFonts w:cstheme="minorHAnsi"/>
                <w:lang w:val="bg-BG"/>
              </w:rPr>
              <w:t xml:space="preserve">се извършва </w:t>
            </w:r>
            <w:r w:rsidRPr="008A49BF">
              <w:rPr>
                <w:rFonts w:cstheme="minorHAnsi"/>
                <w:lang w:val="bg-BG"/>
              </w:rPr>
              <w:t xml:space="preserve">чрез финансови вноски от членовете на </w:t>
            </w:r>
            <w:r w:rsidR="003A1E3F">
              <w:rPr>
                <w:rFonts w:cstheme="minorHAnsi"/>
                <w:lang w:val="bg-BG"/>
              </w:rPr>
              <w:t>групите/ организациите/</w:t>
            </w:r>
            <w:r w:rsidR="005A7784">
              <w:rPr>
                <w:rFonts w:cstheme="minorHAnsi"/>
                <w:lang w:val="bg-BG"/>
              </w:rPr>
              <w:t>асоциациите на организации на производители</w:t>
            </w:r>
            <w:r w:rsidR="005A7784" w:rsidRPr="008A49BF">
              <w:rPr>
                <w:rFonts w:cstheme="minorHAnsi"/>
                <w:lang w:val="bg-BG"/>
              </w:rPr>
              <w:t xml:space="preserve"> </w:t>
            </w:r>
            <w:r w:rsidRPr="008A49BF">
              <w:rPr>
                <w:rFonts w:cstheme="minorHAnsi"/>
                <w:lang w:val="bg-BG"/>
              </w:rPr>
              <w:t>или от сам</w:t>
            </w:r>
            <w:r w:rsidR="003A1E3F">
              <w:rPr>
                <w:rFonts w:cstheme="minorHAnsi"/>
                <w:lang w:val="bg-BG"/>
              </w:rPr>
              <w:t>ите групи/ организации/</w:t>
            </w:r>
            <w:r w:rsidR="005A7784">
              <w:rPr>
                <w:rFonts w:cstheme="minorHAnsi"/>
                <w:lang w:val="bg-BG"/>
              </w:rPr>
              <w:t>асоциации на организации на производители</w:t>
            </w:r>
            <w:r w:rsidRPr="008A49BF">
              <w:rPr>
                <w:rFonts w:cstheme="minorHAnsi"/>
                <w:lang w:val="bg-BG"/>
              </w:rPr>
              <w:t xml:space="preserve"> и от финансовата помощ от </w:t>
            </w:r>
            <w:r w:rsidR="005A7784">
              <w:rPr>
                <w:rFonts w:cstheme="minorHAnsi"/>
                <w:lang w:val="bg-BG"/>
              </w:rPr>
              <w:t>ЕС,</w:t>
            </w:r>
            <w:r w:rsidRPr="008A49BF">
              <w:rPr>
                <w:rFonts w:cstheme="minorHAnsi"/>
                <w:lang w:val="bg-BG"/>
              </w:rPr>
              <w:t xml:space="preserve"> която </w:t>
            </w:r>
            <w:r>
              <w:rPr>
                <w:rFonts w:cstheme="minorHAnsi"/>
                <w:lang w:val="bg-BG"/>
              </w:rPr>
              <w:t xml:space="preserve">следва да </w:t>
            </w:r>
            <w:r w:rsidRPr="008A49BF">
              <w:rPr>
                <w:rFonts w:cstheme="minorHAnsi"/>
                <w:lang w:val="bg-BG"/>
              </w:rPr>
              <w:t>получат</w:t>
            </w:r>
            <w:r>
              <w:rPr>
                <w:rFonts w:cstheme="minorHAnsi"/>
                <w:lang w:val="bg-BG"/>
              </w:rPr>
              <w:t xml:space="preserve"> след представяне на оперативната програма</w:t>
            </w:r>
            <w:r w:rsidRPr="008A49BF">
              <w:rPr>
                <w:rFonts w:cstheme="minorHAnsi"/>
                <w:lang w:val="bg-BG"/>
              </w:rPr>
              <w:t>.</w:t>
            </w:r>
            <w:r>
              <w:rPr>
                <w:rFonts w:cstheme="minorHAnsi"/>
                <w:lang w:val="bg-BG"/>
              </w:rPr>
              <w:t xml:space="preserve"> </w:t>
            </w:r>
            <w:r w:rsidRPr="006C25D6">
              <w:rPr>
                <w:rFonts w:cstheme="minorHAnsi"/>
                <w:lang w:val="bg-BG"/>
              </w:rPr>
              <w:t>Опер</w:t>
            </w:r>
            <w:r>
              <w:rPr>
                <w:rFonts w:cstheme="minorHAnsi"/>
                <w:lang w:val="bg-BG"/>
              </w:rPr>
              <w:t>а</w:t>
            </w:r>
            <w:r w:rsidRPr="006C25D6">
              <w:rPr>
                <w:rFonts w:cstheme="minorHAnsi"/>
                <w:lang w:val="bg-BG"/>
              </w:rPr>
              <w:t>тивния</w:t>
            </w:r>
            <w:r w:rsidR="002F5821">
              <w:rPr>
                <w:rFonts w:cstheme="minorHAnsi"/>
                <w:lang w:val="bg-BG"/>
              </w:rPr>
              <w:t>т</w:t>
            </w:r>
            <w:r w:rsidRPr="006C25D6">
              <w:rPr>
                <w:rFonts w:cstheme="minorHAnsi"/>
                <w:lang w:val="bg-BG"/>
              </w:rPr>
              <w:t xml:space="preserve"> фонд трябва да се използва единствено за финансиране и администриране на одобрената оперативна програма. Фондът не трябва да се използва за други цели или финансови транзакции.</w:t>
            </w:r>
            <w:r w:rsidRPr="00711FD7">
              <w:rPr>
                <w:lang w:val="bg-BG"/>
              </w:rPr>
              <w:t xml:space="preserve"> </w:t>
            </w:r>
          </w:p>
          <w:p w14:paraId="65CF220B" w14:textId="48D0A68E" w:rsidR="0061484C" w:rsidRPr="00D93C3B" w:rsidRDefault="0061484C" w:rsidP="00D93C3B">
            <w:pPr>
              <w:ind w:firstLine="454"/>
              <w:jc w:val="both"/>
              <w:rPr>
                <w:rFonts w:cstheme="minorHAnsi"/>
                <w:lang w:val="bg-BG"/>
              </w:rPr>
            </w:pPr>
            <w:r w:rsidRPr="005D25FB">
              <w:rPr>
                <w:lang w:val="bg-BG"/>
              </w:rPr>
              <w:t>Финансовото подпомагане се предоставя под формата на възстановяване на действително направени</w:t>
            </w:r>
            <w:r w:rsidR="00DC3780" w:rsidRPr="005D25FB">
              <w:rPr>
                <w:lang w:val="bg-BG"/>
              </w:rPr>
              <w:t>те</w:t>
            </w:r>
            <w:r w:rsidRPr="005D25FB">
              <w:rPr>
                <w:lang w:val="bg-BG"/>
              </w:rPr>
              <w:t xml:space="preserve"> </w:t>
            </w:r>
            <w:r w:rsidR="00DC3780" w:rsidRPr="005D25FB">
              <w:rPr>
                <w:lang w:val="bg-BG"/>
              </w:rPr>
              <w:t xml:space="preserve">от </w:t>
            </w:r>
            <w:r w:rsidR="003A1E3F">
              <w:rPr>
                <w:rFonts w:cstheme="minorHAnsi"/>
                <w:lang w:val="bg-BG"/>
              </w:rPr>
              <w:t>групите/организациите/</w:t>
            </w:r>
            <w:r w:rsidR="005A7784">
              <w:rPr>
                <w:rFonts w:cstheme="minorHAnsi"/>
                <w:lang w:val="bg-BG"/>
              </w:rPr>
              <w:t>асоциациите на организации на производители</w:t>
            </w:r>
            <w:r w:rsidR="005A7784" w:rsidRPr="005D25FB">
              <w:rPr>
                <w:lang w:val="bg-BG"/>
              </w:rPr>
              <w:t xml:space="preserve"> </w:t>
            </w:r>
            <w:r w:rsidR="00DC3780" w:rsidRPr="005D25FB">
              <w:rPr>
                <w:lang w:val="bg-BG"/>
              </w:rPr>
              <w:t xml:space="preserve">и платени от оперативния фонд </w:t>
            </w:r>
            <w:r w:rsidRPr="005D25FB">
              <w:rPr>
                <w:lang w:val="bg-BG"/>
              </w:rPr>
              <w:t>допустими разходи.</w:t>
            </w:r>
          </w:p>
          <w:p w14:paraId="593DDA06" w14:textId="77B42353" w:rsidR="005F556B" w:rsidRDefault="006C25D6" w:rsidP="00A445E8">
            <w:pPr>
              <w:ind w:firstLine="454"/>
              <w:jc w:val="both"/>
              <w:rPr>
                <w:lang w:val="bg-BG"/>
              </w:rPr>
            </w:pPr>
            <w:r w:rsidRPr="005D25FB">
              <w:rPr>
                <w:lang w:val="bg-BG"/>
              </w:rPr>
              <w:t>Финансовата помощ от Съюза е ограничена</w:t>
            </w:r>
            <w:r w:rsidR="00FE2240" w:rsidRPr="005D25FB">
              <w:rPr>
                <w:lang w:val="bg-BG"/>
              </w:rPr>
              <w:t xml:space="preserve"> </w:t>
            </w:r>
            <w:r w:rsidR="00343F04" w:rsidRPr="00711FD7">
              <w:rPr>
                <w:lang w:val="bg-BG"/>
              </w:rPr>
              <w:t>до 50</w:t>
            </w:r>
            <w:r w:rsidR="00343F04" w:rsidRPr="005D25FB">
              <w:t> </w:t>
            </w:r>
            <w:r w:rsidR="00343F04" w:rsidRPr="00711FD7">
              <w:rPr>
                <w:lang w:val="bg-BG"/>
              </w:rPr>
              <w:t>% от реално извършените разходи</w:t>
            </w:r>
            <w:r w:rsidRPr="005D25FB">
              <w:rPr>
                <w:lang w:val="bg-BG"/>
              </w:rPr>
              <w:t xml:space="preserve"> или до </w:t>
            </w:r>
            <w:r w:rsidR="00D93C3B">
              <w:rPr>
                <w:lang w:val="bg-BG"/>
              </w:rPr>
              <w:t>10</w:t>
            </w:r>
            <w:r w:rsidR="00FE2240" w:rsidRPr="005D25FB">
              <w:rPr>
                <w:lang w:val="bg-BG"/>
              </w:rPr>
              <w:t xml:space="preserve"> % от стойността на предлаганата на пазара продукция на вся</w:t>
            </w:r>
            <w:r w:rsidR="00D93C3B">
              <w:rPr>
                <w:lang w:val="bg-BG"/>
              </w:rPr>
              <w:t xml:space="preserve">ка </w:t>
            </w:r>
            <w:r w:rsidR="003A1E3F">
              <w:rPr>
                <w:rFonts w:cstheme="minorHAnsi"/>
                <w:lang w:val="bg-BG"/>
              </w:rPr>
              <w:t>група/организация/</w:t>
            </w:r>
            <w:bookmarkStart w:id="0" w:name="_GoBack"/>
            <w:bookmarkEnd w:id="0"/>
            <w:r w:rsidR="005A7784">
              <w:rPr>
                <w:rFonts w:cstheme="minorHAnsi"/>
                <w:lang w:val="bg-BG"/>
              </w:rPr>
              <w:t>асоциация на организации на производители</w:t>
            </w:r>
            <w:r w:rsidR="00D93C3B">
              <w:rPr>
                <w:lang w:val="bg-BG"/>
              </w:rPr>
              <w:t xml:space="preserve">. Ограничението от 50% </w:t>
            </w:r>
            <w:r w:rsidR="00D93C3B" w:rsidRPr="00D93C3B">
              <w:rPr>
                <w:lang w:val="bg-BG"/>
              </w:rPr>
              <w:t>се увеличава на 60% за организации на производители или асоциации на организации на производители, признати съгласно Регламент (ЕС) № 1308/2013, за първите пет години след годината на признаване.</w:t>
            </w:r>
          </w:p>
          <w:p w14:paraId="34E1F072" w14:textId="77777777" w:rsidR="00C301B2" w:rsidRPr="005D25FB" w:rsidRDefault="00C301B2" w:rsidP="00C301B2">
            <w:pPr>
              <w:ind w:firstLine="612"/>
              <w:jc w:val="both"/>
              <w:rPr>
                <w:lang w:val="bg-BG"/>
              </w:rPr>
            </w:pPr>
            <w:r>
              <w:rPr>
                <w:lang w:val="bg-BG"/>
              </w:rPr>
              <w:t>Максималният размер на допустимите разходи за една оперативна програма е до 2 300 000 евро.</w:t>
            </w:r>
          </w:p>
          <w:p w14:paraId="5422C914" w14:textId="4EC79221" w:rsidR="00C301B2" w:rsidRPr="005D25FB" w:rsidRDefault="00C301B2" w:rsidP="00A445E8">
            <w:pPr>
              <w:ind w:firstLine="454"/>
              <w:jc w:val="both"/>
              <w:rPr>
                <w:lang w:val="bg-BG"/>
              </w:rPr>
            </w:pPr>
          </w:p>
        </w:tc>
      </w:tr>
    </w:tbl>
    <w:p w14:paraId="029A56FF" w14:textId="77777777" w:rsidR="005F556B" w:rsidRDefault="005F556B" w:rsidP="005F556B">
      <w:pPr>
        <w:spacing w:line="240" w:lineRule="auto"/>
        <w:jc w:val="both"/>
        <w:rPr>
          <w:b/>
          <w:lang w:val="bg-BG"/>
        </w:rPr>
      </w:pPr>
    </w:p>
    <w:sectPr w:rsidR="005F55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3025B6" w14:textId="77777777" w:rsidR="002B46FB" w:rsidRDefault="002B46FB" w:rsidP="00E244A0">
      <w:pPr>
        <w:spacing w:after="0" w:line="240" w:lineRule="auto"/>
      </w:pPr>
      <w:r>
        <w:separator/>
      </w:r>
    </w:p>
  </w:endnote>
  <w:endnote w:type="continuationSeparator" w:id="0">
    <w:p w14:paraId="32A33C0E" w14:textId="77777777" w:rsidR="002B46FB" w:rsidRDefault="002B46FB" w:rsidP="00E24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7AED4A" w14:textId="77777777" w:rsidR="002B46FB" w:rsidRDefault="002B46FB" w:rsidP="00E244A0">
      <w:pPr>
        <w:spacing w:after="0" w:line="240" w:lineRule="auto"/>
      </w:pPr>
      <w:r>
        <w:separator/>
      </w:r>
    </w:p>
  </w:footnote>
  <w:footnote w:type="continuationSeparator" w:id="0">
    <w:p w14:paraId="4698461B" w14:textId="77777777" w:rsidR="002B46FB" w:rsidRDefault="002B46FB" w:rsidP="00E244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F5A70"/>
    <w:multiLevelType w:val="hybridMultilevel"/>
    <w:tmpl w:val="8A5C826E"/>
    <w:lvl w:ilvl="0" w:tplc="2348CA6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EC28E2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28B80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A0E7F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82A87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30438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389CF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48D67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1CEFD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2B6593"/>
    <w:multiLevelType w:val="hybridMultilevel"/>
    <w:tmpl w:val="1CCE68FE"/>
    <w:lvl w:ilvl="0" w:tplc="81D41D86">
      <w:numFmt w:val="bullet"/>
      <w:lvlText w:val="•"/>
      <w:lvlJc w:val="left"/>
      <w:pPr>
        <w:ind w:left="1440" w:hanging="360"/>
      </w:pPr>
      <w:rPr>
        <w:rFonts w:hint="default"/>
        <w:lang w:val="bg-BG" w:eastAsia="bg-BG" w:bidi="bg-BG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62C6A68"/>
    <w:multiLevelType w:val="hybridMultilevel"/>
    <w:tmpl w:val="BAC0E9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4539E9"/>
    <w:multiLevelType w:val="hybridMultilevel"/>
    <w:tmpl w:val="E1E6D75E"/>
    <w:lvl w:ilvl="0" w:tplc="E926FD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E46D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C8DE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FE17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AAA9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E0DF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6602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2681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6024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B40093"/>
    <w:multiLevelType w:val="hybridMultilevel"/>
    <w:tmpl w:val="8924D026"/>
    <w:lvl w:ilvl="0" w:tplc="81D41D86">
      <w:numFmt w:val="bullet"/>
      <w:lvlText w:val="•"/>
      <w:lvlJc w:val="left"/>
      <w:pPr>
        <w:ind w:left="1440" w:hanging="360"/>
      </w:pPr>
      <w:rPr>
        <w:rFonts w:hint="default"/>
        <w:lang w:val="bg-BG" w:eastAsia="bg-BG" w:bidi="bg-BG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44A2084"/>
    <w:multiLevelType w:val="hybridMultilevel"/>
    <w:tmpl w:val="53F2D718"/>
    <w:lvl w:ilvl="0" w:tplc="A59E3770">
      <w:start w:val="1"/>
      <w:numFmt w:val="lowerRoman"/>
      <w:lvlText w:val="%1)"/>
      <w:lvlJc w:val="left"/>
      <w:pPr>
        <w:ind w:left="75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6">
    <w:nsid w:val="20CF562C"/>
    <w:multiLevelType w:val="hybridMultilevel"/>
    <w:tmpl w:val="3FD07952"/>
    <w:lvl w:ilvl="0" w:tplc="0409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4C13E49"/>
    <w:multiLevelType w:val="hybridMultilevel"/>
    <w:tmpl w:val="2DEC0428"/>
    <w:lvl w:ilvl="0" w:tplc="5386A652">
      <w:start w:val="1"/>
      <w:numFmt w:val="lowerLetter"/>
      <w:lvlText w:val="%1)"/>
      <w:lvlJc w:val="left"/>
      <w:pPr>
        <w:ind w:left="1131" w:hanging="56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BE50F81"/>
    <w:multiLevelType w:val="hybridMultilevel"/>
    <w:tmpl w:val="3830DB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F16665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68418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BC25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A8B09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7B80F9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46639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84C8E3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3B6BFC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E2271D9"/>
    <w:multiLevelType w:val="hybridMultilevel"/>
    <w:tmpl w:val="AB103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9D0F0E"/>
    <w:multiLevelType w:val="hybridMultilevel"/>
    <w:tmpl w:val="CC00CC6E"/>
    <w:lvl w:ilvl="0" w:tplc="8A5E9C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45480D51"/>
    <w:multiLevelType w:val="hybridMultilevel"/>
    <w:tmpl w:val="CC00CC6E"/>
    <w:lvl w:ilvl="0" w:tplc="8A5E9C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">
    <w:nsid w:val="457D012E"/>
    <w:multiLevelType w:val="hybridMultilevel"/>
    <w:tmpl w:val="DE18E4F8"/>
    <w:lvl w:ilvl="0" w:tplc="A3E28D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8E4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6F8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3CBE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88A9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BCBE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FC18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9AA5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E7E82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15346D"/>
    <w:multiLevelType w:val="multilevel"/>
    <w:tmpl w:val="4DD44AC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CDC4764"/>
    <w:multiLevelType w:val="hybridMultilevel"/>
    <w:tmpl w:val="1B4CB312"/>
    <w:lvl w:ilvl="0" w:tplc="4CD869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F66C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A2D9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0A32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C441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D903C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B854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D6DC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AC0E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955CB5"/>
    <w:multiLevelType w:val="hybridMultilevel"/>
    <w:tmpl w:val="CA4A2C14"/>
    <w:lvl w:ilvl="0" w:tplc="7F320EE4">
      <w:numFmt w:val="bullet"/>
      <w:lvlText w:val=""/>
      <w:lvlJc w:val="left"/>
      <w:pPr>
        <w:ind w:left="1067" w:hanging="360"/>
      </w:pPr>
      <w:rPr>
        <w:rFonts w:ascii="Symbol" w:eastAsia="Symbol" w:hAnsi="Symbol" w:cs="Symbol" w:hint="default"/>
        <w:w w:val="100"/>
        <w:sz w:val="24"/>
        <w:szCs w:val="24"/>
        <w:lang w:val="bg-BG" w:eastAsia="bg-BG" w:bidi="bg-BG"/>
      </w:rPr>
    </w:lvl>
    <w:lvl w:ilvl="1" w:tplc="803A92AC">
      <w:numFmt w:val="bullet"/>
      <w:lvlText w:val="•"/>
      <w:lvlJc w:val="left"/>
      <w:pPr>
        <w:ind w:left="1888" w:hanging="360"/>
      </w:pPr>
      <w:rPr>
        <w:rFonts w:hint="default"/>
        <w:lang w:val="bg-BG" w:eastAsia="bg-BG" w:bidi="bg-BG"/>
      </w:rPr>
    </w:lvl>
    <w:lvl w:ilvl="2" w:tplc="32B0D56C">
      <w:numFmt w:val="bullet"/>
      <w:lvlText w:val="•"/>
      <w:lvlJc w:val="left"/>
      <w:pPr>
        <w:ind w:left="2717" w:hanging="360"/>
      </w:pPr>
      <w:rPr>
        <w:rFonts w:hint="default"/>
        <w:lang w:val="bg-BG" w:eastAsia="bg-BG" w:bidi="bg-BG"/>
      </w:rPr>
    </w:lvl>
    <w:lvl w:ilvl="3" w:tplc="3A6CAD34">
      <w:numFmt w:val="bullet"/>
      <w:lvlText w:val="•"/>
      <w:lvlJc w:val="left"/>
      <w:pPr>
        <w:ind w:left="3545" w:hanging="360"/>
      </w:pPr>
      <w:rPr>
        <w:rFonts w:hint="default"/>
        <w:lang w:val="bg-BG" w:eastAsia="bg-BG" w:bidi="bg-BG"/>
      </w:rPr>
    </w:lvl>
    <w:lvl w:ilvl="4" w:tplc="36F22DD0">
      <w:numFmt w:val="bullet"/>
      <w:lvlText w:val="•"/>
      <w:lvlJc w:val="left"/>
      <w:pPr>
        <w:ind w:left="4374" w:hanging="360"/>
      </w:pPr>
      <w:rPr>
        <w:rFonts w:hint="default"/>
        <w:lang w:val="bg-BG" w:eastAsia="bg-BG" w:bidi="bg-BG"/>
      </w:rPr>
    </w:lvl>
    <w:lvl w:ilvl="5" w:tplc="D5E8DF90">
      <w:numFmt w:val="bullet"/>
      <w:lvlText w:val="•"/>
      <w:lvlJc w:val="left"/>
      <w:pPr>
        <w:ind w:left="5203" w:hanging="360"/>
      </w:pPr>
      <w:rPr>
        <w:rFonts w:hint="default"/>
        <w:lang w:val="bg-BG" w:eastAsia="bg-BG" w:bidi="bg-BG"/>
      </w:rPr>
    </w:lvl>
    <w:lvl w:ilvl="6" w:tplc="17BAB016">
      <w:numFmt w:val="bullet"/>
      <w:lvlText w:val="•"/>
      <w:lvlJc w:val="left"/>
      <w:pPr>
        <w:ind w:left="6031" w:hanging="360"/>
      </w:pPr>
      <w:rPr>
        <w:rFonts w:hint="default"/>
        <w:lang w:val="bg-BG" w:eastAsia="bg-BG" w:bidi="bg-BG"/>
      </w:rPr>
    </w:lvl>
    <w:lvl w:ilvl="7" w:tplc="C046BC6A">
      <w:numFmt w:val="bullet"/>
      <w:lvlText w:val="•"/>
      <w:lvlJc w:val="left"/>
      <w:pPr>
        <w:ind w:left="6860" w:hanging="360"/>
      </w:pPr>
      <w:rPr>
        <w:rFonts w:hint="default"/>
        <w:lang w:val="bg-BG" w:eastAsia="bg-BG" w:bidi="bg-BG"/>
      </w:rPr>
    </w:lvl>
    <w:lvl w:ilvl="8" w:tplc="DC84785E">
      <w:numFmt w:val="bullet"/>
      <w:lvlText w:val="•"/>
      <w:lvlJc w:val="left"/>
      <w:pPr>
        <w:ind w:left="7689" w:hanging="360"/>
      </w:pPr>
      <w:rPr>
        <w:rFonts w:hint="default"/>
        <w:lang w:val="bg-BG" w:eastAsia="bg-BG" w:bidi="bg-BG"/>
      </w:rPr>
    </w:lvl>
  </w:abstractNum>
  <w:abstractNum w:abstractNumId="16">
    <w:nsid w:val="59FC58B7"/>
    <w:multiLevelType w:val="hybridMultilevel"/>
    <w:tmpl w:val="E5BE2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2E4337"/>
    <w:multiLevelType w:val="multilevel"/>
    <w:tmpl w:val="D488EA0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F9B13B5"/>
    <w:multiLevelType w:val="hybridMultilevel"/>
    <w:tmpl w:val="9B78B782"/>
    <w:lvl w:ilvl="0" w:tplc="7FAC6E9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CFC204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5CCE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9D61A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6A5D1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FE8B7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BE05C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F4C56C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4688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79E5610"/>
    <w:multiLevelType w:val="hybridMultilevel"/>
    <w:tmpl w:val="BF2ED1E2"/>
    <w:lvl w:ilvl="0" w:tplc="4AAE8D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3884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46029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E07D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EE06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C25A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2A9B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9CFB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8E08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A96354"/>
    <w:multiLevelType w:val="hybridMultilevel"/>
    <w:tmpl w:val="A150F320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698A0E6A"/>
    <w:multiLevelType w:val="hybridMultilevel"/>
    <w:tmpl w:val="368CE826"/>
    <w:lvl w:ilvl="0" w:tplc="82CA0CE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0E375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B62E8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BA2F5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84B1E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66DE0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B82B9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EA4CF9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1D8D8B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1F4652F"/>
    <w:multiLevelType w:val="hybridMultilevel"/>
    <w:tmpl w:val="F22401CE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3">
    <w:nsid w:val="75187ACD"/>
    <w:multiLevelType w:val="hybridMultilevel"/>
    <w:tmpl w:val="AF3057D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87D1D22"/>
    <w:multiLevelType w:val="hybridMultilevel"/>
    <w:tmpl w:val="1362EF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324538"/>
    <w:multiLevelType w:val="hybridMultilevel"/>
    <w:tmpl w:val="6DC48F7A"/>
    <w:lvl w:ilvl="0" w:tplc="81D41D86">
      <w:numFmt w:val="bullet"/>
      <w:lvlText w:val="•"/>
      <w:lvlJc w:val="left"/>
      <w:pPr>
        <w:ind w:left="1440" w:hanging="360"/>
      </w:pPr>
      <w:rPr>
        <w:rFonts w:hint="default"/>
        <w:lang w:val="bg-BG" w:eastAsia="bg-BG" w:bidi="bg-BG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8"/>
  </w:num>
  <w:num w:numId="4">
    <w:abstractNumId w:val="21"/>
  </w:num>
  <w:num w:numId="5">
    <w:abstractNumId w:val="18"/>
  </w:num>
  <w:num w:numId="6">
    <w:abstractNumId w:val="0"/>
  </w:num>
  <w:num w:numId="7">
    <w:abstractNumId w:val="22"/>
  </w:num>
  <w:num w:numId="8">
    <w:abstractNumId w:val="5"/>
  </w:num>
  <w:num w:numId="9">
    <w:abstractNumId w:val="6"/>
  </w:num>
  <w:num w:numId="10">
    <w:abstractNumId w:val="7"/>
  </w:num>
  <w:num w:numId="11">
    <w:abstractNumId w:val="11"/>
  </w:num>
  <w:num w:numId="12">
    <w:abstractNumId w:val="12"/>
  </w:num>
  <w:num w:numId="13">
    <w:abstractNumId w:val="19"/>
  </w:num>
  <w:num w:numId="14">
    <w:abstractNumId w:val="14"/>
  </w:num>
  <w:num w:numId="15">
    <w:abstractNumId w:val="3"/>
  </w:num>
  <w:num w:numId="16">
    <w:abstractNumId w:val="25"/>
  </w:num>
  <w:num w:numId="17">
    <w:abstractNumId w:val="1"/>
  </w:num>
  <w:num w:numId="18">
    <w:abstractNumId w:val="4"/>
  </w:num>
  <w:num w:numId="19">
    <w:abstractNumId w:val="23"/>
  </w:num>
  <w:num w:numId="20">
    <w:abstractNumId w:val="15"/>
  </w:num>
  <w:num w:numId="21">
    <w:abstractNumId w:val="9"/>
  </w:num>
  <w:num w:numId="22">
    <w:abstractNumId w:val="17"/>
  </w:num>
  <w:num w:numId="23">
    <w:abstractNumId w:val="13"/>
  </w:num>
  <w:num w:numId="24">
    <w:abstractNumId w:val="20"/>
  </w:num>
  <w:num w:numId="25">
    <w:abstractNumId w:val="16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CE6"/>
    <w:rsid w:val="000006A6"/>
    <w:rsid w:val="00027128"/>
    <w:rsid w:val="00073D87"/>
    <w:rsid w:val="00094E54"/>
    <w:rsid w:val="000A2E65"/>
    <w:rsid w:val="000B0959"/>
    <w:rsid w:val="000B2284"/>
    <w:rsid w:val="000B366C"/>
    <w:rsid w:val="000E1A5B"/>
    <w:rsid w:val="000F46A2"/>
    <w:rsid w:val="00130A1B"/>
    <w:rsid w:val="00143572"/>
    <w:rsid w:val="001503F1"/>
    <w:rsid w:val="00165437"/>
    <w:rsid w:val="00166843"/>
    <w:rsid w:val="00174819"/>
    <w:rsid w:val="001759E6"/>
    <w:rsid w:val="00196A35"/>
    <w:rsid w:val="001C1101"/>
    <w:rsid w:val="001C676B"/>
    <w:rsid w:val="001E1417"/>
    <w:rsid w:val="001E3EFC"/>
    <w:rsid w:val="001F22D8"/>
    <w:rsid w:val="0020394A"/>
    <w:rsid w:val="00214654"/>
    <w:rsid w:val="00215685"/>
    <w:rsid w:val="002253D2"/>
    <w:rsid w:val="00252CFE"/>
    <w:rsid w:val="0028169E"/>
    <w:rsid w:val="00291103"/>
    <w:rsid w:val="00291865"/>
    <w:rsid w:val="002974FE"/>
    <w:rsid w:val="002A7D4E"/>
    <w:rsid w:val="002B3C6E"/>
    <w:rsid w:val="002B4552"/>
    <w:rsid w:val="002B46FB"/>
    <w:rsid w:val="002C7A05"/>
    <w:rsid w:val="002D39EC"/>
    <w:rsid w:val="002E576B"/>
    <w:rsid w:val="002F5821"/>
    <w:rsid w:val="00301DA1"/>
    <w:rsid w:val="003116AE"/>
    <w:rsid w:val="00323C4C"/>
    <w:rsid w:val="003264BC"/>
    <w:rsid w:val="00343F04"/>
    <w:rsid w:val="003A1E3F"/>
    <w:rsid w:val="003A6CE6"/>
    <w:rsid w:val="003B2B39"/>
    <w:rsid w:val="003F1F3A"/>
    <w:rsid w:val="00413957"/>
    <w:rsid w:val="0042399C"/>
    <w:rsid w:val="00440223"/>
    <w:rsid w:val="004421C3"/>
    <w:rsid w:val="004474D9"/>
    <w:rsid w:val="00460522"/>
    <w:rsid w:val="0046113A"/>
    <w:rsid w:val="00463BF0"/>
    <w:rsid w:val="00466085"/>
    <w:rsid w:val="00466C1F"/>
    <w:rsid w:val="00470678"/>
    <w:rsid w:val="00473A27"/>
    <w:rsid w:val="004A5DC9"/>
    <w:rsid w:val="004B6EAA"/>
    <w:rsid w:val="004D47EE"/>
    <w:rsid w:val="004D583C"/>
    <w:rsid w:val="004E5D93"/>
    <w:rsid w:val="004F0D0F"/>
    <w:rsid w:val="0051035B"/>
    <w:rsid w:val="00522C1E"/>
    <w:rsid w:val="00533B0D"/>
    <w:rsid w:val="00537698"/>
    <w:rsid w:val="00572276"/>
    <w:rsid w:val="00576FF5"/>
    <w:rsid w:val="00584D6F"/>
    <w:rsid w:val="005A49F6"/>
    <w:rsid w:val="005A7784"/>
    <w:rsid w:val="005B029C"/>
    <w:rsid w:val="005B4C94"/>
    <w:rsid w:val="005D25FB"/>
    <w:rsid w:val="005D7109"/>
    <w:rsid w:val="005F5324"/>
    <w:rsid w:val="005F556B"/>
    <w:rsid w:val="0060101C"/>
    <w:rsid w:val="0061484C"/>
    <w:rsid w:val="00632A8B"/>
    <w:rsid w:val="00643FFC"/>
    <w:rsid w:val="006443EA"/>
    <w:rsid w:val="006444BD"/>
    <w:rsid w:val="0066697E"/>
    <w:rsid w:val="00695400"/>
    <w:rsid w:val="006956FA"/>
    <w:rsid w:val="006A02EE"/>
    <w:rsid w:val="006A3987"/>
    <w:rsid w:val="006C25D6"/>
    <w:rsid w:val="006F72AA"/>
    <w:rsid w:val="00707EC0"/>
    <w:rsid w:val="00711FD7"/>
    <w:rsid w:val="0072380D"/>
    <w:rsid w:val="007259E0"/>
    <w:rsid w:val="007319AB"/>
    <w:rsid w:val="007421E7"/>
    <w:rsid w:val="00752D20"/>
    <w:rsid w:val="007552CF"/>
    <w:rsid w:val="00757467"/>
    <w:rsid w:val="00770AFD"/>
    <w:rsid w:val="007711AB"/>
    <w:rsid w:val="0078389B"/>
    <w:rsid w:val="00783ED7"/>
    <w:rsid w:val="007A1B28"/>
    <w:rsid w:val="007A565F"/>
    <w:rsid w:val="007B50A6"/>
    <w:rsid w:val="007C5AA7"/>
    <w:rsid w:val="007C5DAE"/>
    <w:rsid w:val="007E269E"/>
    <w:rsid w:val="007F6563"/>
    <w:rsid w:val="0081200B"/>
    <w:rsid w:val="0081358F"/>
    <w:rsid w:val="00822AC9"/>
    <w:rsid w:val="00841FE0"/>
    <w:rsid w:val="00880F14"/>
    <w:rsid w:val="00890974"/>
    <w:rsid w:val="008A0AF5"/>
    <w:rsid w:val="008A16A9"/>
    <w:rsid w:val="008A2B95"/>
    <w:rsid w:val="008A2F3A"/>
    <w:rsid w:val="008A49BF"/>
    <w:rsid w:val="008A5466"/>
    <w:rsid w:val="008A7C31"/>
    <w:rsid w:val="008B04E0"/>
    <w:rsid w:val="008D57CD"/>
    <w:rsid w:val="008F05DA"/>
    <w:rsid w:val="00907026"/>
    <w:rsid w:val="0091452D"/>
    <w:rsid w:val="00950149"/>
    <w:rsid w:val="00950EC5"/>
    <w:rsid w:val="00973C66"/>
    <w:rsid w:val="00974101"/>
    <w:rsid w:val="00974375"/>
    <w:rsid w:val="009834DA"/>
    <w:rsid w:val="009A0B23"/>
    <w:rsid w:val="009A3106"/>
    <w:rsid w:val="009B67C3"/>
    <w:rsid w:val="009C31BB"/>
    <w:rsid w:val="009D6152"/>
    <w:rsid w:val="009F001E"/>
    <w:rsid w:val="00A01710"/>
    <w:rsid w:val="00A20F14"/>
    <w:rsid w:val="00A2472C"/>
    <w:rsid w:val="00A31DF4"/>
    <w:rsid w:val="00A445E8"/>
    <w:rsid w:val="00A501FC"/>
    <w:rsid w:val="00A75BB3"/>
    <w:rsid w:val="00A779FA"/>
    <w:rsid w:val="00A854E4"/>
    <w:rsid w:val="00AC779D"/>
    <w:rsid w:val="00AD4AD2"/>
    <w:rsid w:val="00B04758"/>
    <w:rsid w:val="00B04EEC"/>
    <w:rsid w:val="00B10C9C"/>
    <w:rsid w:val="00B16759"/>
    <w:rsid w:val="00B40105"/>
    <w:rsid w:val="00B4778F"/>
    <w:rsid w:val="00B509AB"/>
    <w:rsid w:val="00B55CAF"/>
    <w:rsid w:val="00B6431F"/>
    <w:rsid w:val="00B719F8"/>
    <w:rsid w:val="00B856FF"/>
    <w:rsid w:val="00B92EB3"/>
    <w:rsid w:val="00BA3BA9"/>
    <w:rsid w:val="00BB4CC6"/>
    <w:rsid w:val="00BC2034"/>
    <w:rsid w:val="00BC2D56"/>
    <w:rsid w:val="00BD6438"/>
    <w:rsid w:val="00BE06E0"/>
    <w:rsid w:val="00BE25BF"/>
    <w:rsid w:val="00BF042E"/>
    <w:rsid w:val="00BF4EE0"/>
    <w:rsid w:val="00C00CCB"/>
    <w:rsid w:val="00C117E8"/>
    <w:rsid w:val="00C25666"/>
    <w:rsid w:val="00C301B2"/>
    <w:rsid w:val="00C32D2B"/>
    <w:rsid w:val="00C54567"/>
    <w:rsid w:val="00C55B55"/>
    <w:rsid w:val="00C72868"/>
    <w:rsid w:val="00C761B8"/>
    <w:rsid w:val="00C80ADF"/>
    <w:rsid w:val="00C9187B"/>
    <w:rsid w:val="00CB0474"/>
    <w:rsid w:val="00CC560B"/>
    <w:rsid w:val="00CF72B6"/>
    <w:rsid w:val="00D00DDB"/>
    <w:rsid w:val="00D01E1C"/>
    <w:rsid w:val="00D24FA5"/>
    <w:rsid w:val="00D4341D"/>
    <w:rsid w:val="00D4714A"/>
    <w:rsid w:val="00D61F52"/>
    <w:rsid w:val="00D63F15"/>
    <w:rsid w:val="00D74FF6"/>
    <w:rsid w:val="00D8581D"/>
    <w:rsid w:val="00D92818"/>
    <w:rsid w:val="00D93C3B"/>
    <w:rsid w:val="00DA1E1A"/>
    <w:rsid w:val="00DB1959"/>
    <w:rsid w:val="00DB42EB"/>
    <w:rsid w:val="00DB71F2"/>
    <w:rsid w:val="00DC3780"/>
    <w:rsid w:val="00DC467A"/>
    <w:rsid w:val="00DE6C8C"/>
    <w:rsid w:val="00DF402C"/>
    <w:rsid w:val="00E244A0"/>
    <w:rsid w:val="00E3683A"/>
    <w:rsid w:val="00E745FE"/>
    <w:rsid w:val="00E76E03"/>
    <w:rsid w:val="00E81E2D"/>
    <w:rsid w:val="00E869B8"/>
    <w:rsid w:val="00EA3134"/>
    <w:rsid w:val="00EA426B"/>
    <w:rsid w:val="00EA652F"/>
    <w:rsid w:val="00EB1FDD"/>
    <w:rsid w:val="00EB3709"/>
    <w:rsid w:val="00EB3A4C"/>
    <w:rsid w:val="00EC2FE2"/>
    <w:rsid w:val="00EC687F"/>
    <w:rsid w:val="00ED4918"/>
    <w:rsid w:val="00EE0B0F"/>
    <w:rsid w:val="00EE0F0F"/>
    <w:rsid w:val="00EF10CD"/>
    <w:rsid w:val="00F16D71"/>
    <w:rsid w:val="00F177F7"/>
    <w:rsid w:val="00F22043"/>
    <w:rsid w:val="00F25A69"/>
    <w:rsid w:val="00F30F51"/>
    <w:rsid w:val="00F32269"/>
    <w:rsid w:val="00F51B2C"/>
    <w:rsid w:val="00F724B8"/>
    <w:rsid w:val="00F97C7E"/>
    <w:rsid w:val="00FA0EBB"/>
    <w:rsid w:val="00FC2660"/>
    <w:rsid w:val="00FD0970"/>
    <w:rsid w:val="00FD26A9"/>
    <w:rsid w:val="00FE2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7791A"/>
  <w15:docId w15:val="{0AA61C0B-7427-4485-BF2F-DB2E48B09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1"/>
    <w:qFormat/>
    <w:rsid w:val="00C80ADF"/>
    <w:pPr>
      <w:widowControl w:val="0"/>
      <w:autoSpaceDE w:val="0"/>
      <w:autoSpaceDN w:val="0"/>
      <w:spacing w:after="0" w:line="240" w:lineRule="auto"/>
      <w:ind w:left="1271" w:hanging="566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bg-BG" w:eastAsia="bg-BG" w:bidi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Lettre d'introduction,List Paragraph1,1st level - Bullet List Paragraph,Table of contents numbered,Bullet Points,Liste Paragraf,Llista Nivell1,Lista de nivel 1,Paragraphe de liste PBLH,En tête 1,List Paragraph in table,Akapit z listą"/>
    <w:basedOn w:val="a"/>
    <w:link w:val="a5"/>
    <w:uiPriority w:val="34"/>
    <w:qFormat/>
    <w:rsid w:val="00BC2D56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02712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027128"/>
    <w:pPr>
      <w:spacing w:line="240" w:lineRule="auto"/>
    </w:pPr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uiPriority w:val="99"/>
    <w:semiHidden/>
    <w:rsid w:val="00027128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27128"/>
    <w:rPr>
      <w:b/>
      <w:bCs/>
    </w:rPr>
  </w:style>
  <w:style w:type="character" w:customStyle="1" w:styleId="aa">
    <w:name w:val="Предмет на коментар Знак"/>
    <w:basedOn w:val="a8"/>
    <w:link w:val="a9"/>
    <w:uiPriority w:val="99"/>
    <w:semiHidden/>
    <w:rsid w:val="00027128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027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rsid w:val="00027128"/>
    <w:rPr>
      <w:rFonts w:ascii="Tahoma" w:hAnsi="Tahoma" w:cs="Tahoma"/>
      <w:sz w:val="16"/>
      <w:szCs w:val="16"/>
    </w:rPr>
  </w:style>
  <w:style w:type="character" w:customStyle="1" w:styleId="tlid-translation">
    <w:name w:val="tlid-translation"/>
    <w:basedOn w:val="a0"/>
    <w:rsid w:val="003B2B39"/>
  </w:style>
  <w:style w:type="paragraph" w:styleId="ad">
    <w:name w:val="footnote text"/>
    <w:basedOn w:val="a"/>
    <w:link w:val="ae"/>
    <w:uiPriority w:val="99"/>
    <w:unhideWhenUsed/>
    <w:rsid w:val="00E244A0"/>
    <w:pPr>
      <w:spacing w:after="0" w:line="240" w:lineRule="auto"/>
      <w:ind w:left="720" w:hanging="720"/>
    </w:pPr>
    <w:rPr>
      <w:rFonts w:ascii="Times New Roman" w:eastAsiaTheme="minorHAnsi" w:hAnsi="Times New Roman" w:cs="Times New Roman"/>
      <w:sz w:val="24"/>
      <w:szCs w:val="20"/>
      <w:lang w:val="bg-BG"/>
    </w:rPr>
  </w:style>
  <w:style w:type="character" w:customStyle="1" w:styleId="ae">
    <w:name w:val="Текст под линия Знак"/>
    <w:basedOn w:val="a0"/>
    <w:link w:val="ad"/>
    <w:uiPriority w:val="99"/>
    <w:rsid w:val="00E244A0"/>
    <w:rPr>
      <w:rFonts w:ascii="Times New Roman" w:eastAsiaTheme="minorHAnsi" w:hAnsi="Times New Roman" w:cs="Times New Roman"/>
      <w:sz w:val="24"/>
      <w:szCs w:val="20"/>
      <w:lang w:val="bg-BG"/>
    </w:rPr>
  </w:style>
  <w:style w:type="character" w:styleId="af">
    <w:name w:val="footnote reference"/>
    <w:basedOn w:val="a0"/>
    <w:uiPriority w:val="99"/>
    <w:unhideWhenUsed/>
    <w:rsid w:val="00E244A0"/>
    <w:rPr>
      <w:b/>
      <w:shd w:val="clear" w:color="auto" w:fill="auto"/>
      <w:vertAlign w:val="superscript"/>
    </w:rPr>
  </w:style>
  <w:style w:type="paragraph" w:styleId="af0">
    <w:name w:val="Normal (Web)"/>
    <w:basedOn w:val="a"/>
    <w:uiPriority w:val="99"/>
    <w:semiHidden/>
    <w:unhideWhenUsed/>
    <w:rsid w:val="000B22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30">
    <w:name w:val="Заглавие 3 Знак"/>
    <w:basedOn w:val="a0"/>
    <w:link w:val="3"/>
    <w:uiPriority w:val="1"/>
    <w:rsid w:val="00C80ADF"/>
    <w:rPr>
      <w:rFonts w:ascii="Times New Roman" w:eastAsia="Times New Roman" w:hAnsi="Times New Roman" w:cs="Times New Roman"/>
      <w:b/>
      <w:bCs/>
      <w:sz w:val="24"/>
      <w:szCs w:val="24"/>
      <w:lang w:val="bg-BG" w:eastAsia="bg-BG" w:bidi="bg-BG"/>
    </w:rPr>
  </w:style>
  <w:style w:type="character" w:customStyle="1" w:styleId="a5">
    <w:name w:val="Списък на абзаци Знак"/>
    <w:aliases w:val="Lettre d'introduction Знак,List Paragraph1 Знак,1st level - Bullet List Paragraph Знак,Table of contents numbered Знак,Bullet Points Знак,Liste Paragraf Знак,Llista Nivell1 Знак,Lista de nivel 1 Знак,Paragraphe de liste PBLH Знак"/>
    <w:link w:val="a4"/>
    <w:uiPriority w:val="34"/>
    <w:locked/>
    <w:rsid w:val="00C80ADF"/>
  </w:style>
  <w:style w:type="paragraph" w:styleId="af1">
    <w:name w:val="Body Text"/>
    <w:basedOn w:val="a"/>
    <w:link w:val="af2"/>
    <w:uiPriority w:val="1"/>
    <w:qFormat/>
    <w:rsid w:val="001C67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 w:bidi="bg-BG"/>
    </w:rPr>
  </w:style>
  <w:style w:type="character" w:customStyle="1" w:styleId="af2">
    <w:name w:val="Основен текст Знак"/>
    <w:basedOn w:val="a0"/>
    <w:link w:val="af1"/>
    <w:uiPriority w:val="1"/>
    <w:rsid w:val="001C676B"/>
    <w:rPr>
      <w:rFonts w:ascii="Times New Roman" w:eastAsia="Times New Roman" w:hAnsi="Times New Roman" w:cs="Times New Roman"/>
      <w:sz w:val="24"/>
      <w:szCs w:val="24"/>
      <w:lang w:val="bg-BG" w:eastAsia="bg-BG" w:bidi="bg-BG"/>
    </w:rPr>
  </w:style>
  <w:style w:type="paragraph" w:styleId="HTML">
    <w:name w:val="HTML Preformatted"/>
    <w:basedOn w:val="a"/>
    <w:link w:val="HTML0"/>
    <w:uiPriority w:val="99"/>
    <w:rsid w:val="006443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bg-BG"/>
    </w:rPr>
  </w:style>
  <w:style w:type="character" w:customStyle="1" w:styleId="HTML0">
    <w:name w:val="HTML стандартен Знак"/>
    <w:basedOn w:val="a0"/>
    <w:link w:val="HTML"/>
    <w:uiPriority w:val="99"/>
    <w:rsid w:val="006443EA"/>
    <w:rPr>
      <w:rFonts w:ascii="Courier New" w:eastAsia="Times New Roman" w:hAnsi="Courier New" w:cs="Times New Roman"/>
      <w:sz w:val="20"/>
      <w:szCs w:val="20"/>
      <w:lang w:val="x-none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894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450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31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81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2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1395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7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3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78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35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13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969838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218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887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1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82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17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8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98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1354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1887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857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1660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423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4319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081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953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606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327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169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5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2474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6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1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3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6607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555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104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847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70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592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88692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99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7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5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68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30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50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926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09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068196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898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876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19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3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96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38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77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33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2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47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4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15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440691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684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777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91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44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1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58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5417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6782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956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936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58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401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6627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274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745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4783B-1895-49FF-86FD-B536ED8F9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3550</Words>
  <Characters>20240</Characters>
  <Application>Microsoft Office Word</Application>
  <DocSecurity>0</DocSecurity>
  <Lines>168</Lines>
  <Paragraphs>47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Svetoslav Tsekov</dc:creator>
  <cp:lastModifiedBy>Акаунт в Microsoft</cp:lastModifiedBy>
  <cp:revision>5</cp:revision>
  <dcterms:created xsi:type="dcterms:W3CDTF">2020-12-07T13:36:00Z</dcterms:created>
  <dcterms:modified xsi:type="dcterms:W3CDTF">2020-12-07T14:00:00Z</dcterms:modified>
</cp:coreProperties>
</file>