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13E37" w14:textId="77777777" w:rsidR="002E576B" w:rsidRDefault="002E576B" w:rsidP="002E576B">
      <w:pPr>
        <w:jc w:val="center"/>
        <w:rPr>
          <w:lang w:val="bg-BG"/>
        </w:rPr>
      </w:pPr>
      <w:r>
        <w:rPr>
          <w:lang w:val="bg-BG"/>
        </w:rPr>
        <w:t>Име на интервенцията:</w:t>
      </w:r>
    </w:p>
    <w:tbl>
      <w:tblPr>
        <w:tblStyle w:val="TableGrid"/>
        <w:tblW w:w="0" w:type="auto"/>
        <w:tblLook w:val="04A0" w:firstRow="1" w:lastRow="0" w:firstColumn="1" w:lastColumn="0" w:noHBand="0" w:noVBand="1"/>
      </w:tblPr>
      <w:tblGrid>
        <w:gridCol w:w="8926"/>
      </w:tblGrid>
      <w:tr w:rsidR="002E576B" w14:paraId="3BA3932A" w14:textId="77777777" w:rsidTr="00343F13">
        <w:trPr>
          <w:trHeight w:val="622"/>
        </w:trPr>
        <w:tc>
          <w:tcPr>
            <w:tcW w:w="8926" w:type="dxa"/>
            <w:shd w:val="clear" w:color="auto" w:fill="B8CCE4" w:themeFill="accent1" w:themeFillTint="66"/>
            <w:vAlign w:val="center"/>
          </w:tcPr>
          <w:p w14:paraId="06EC8B2B" w14:textId="52982FFF" w:rsidR="002E576B" w:rsidRPr="00E53C53" w:rsidRDefault="009B2ED1" w:rsidP="00343F13">
            <w:pPr>
              <w:spacing w:after="200" w:line="276" w:lineRule="auto"/>
              <w:jc w:val="center"/>
              <w:rPr>
                <w:b/>
                <w:sz w:val="24"/>
                <w:szCs w:val="24"/>
                <w:lang w:val="bg-BG"/>
              </w:rPr>
            </w:pPr>
            <w:r w:rsidRPr="00E53C53">
              <w:rPr>
                <w:b/>
                <w:sz w:val="24"/>
                <w:szCs w:val="24"/>
                <w:lang w:val="bg-BG"/>
              </w:rPr>
              <w:t xml:space="preserve">Член </w:t>
            </w:r>
            <w:r w:rsidR="007D1335">
              <w:rPr>
                <w:b/>
                <w:sz w:val="24"/>
                <w:szCs w:val="24"/>
                <w:lang w:val="bg-BG"/>
              </w:rPr>
              <w:t>64, буква</w:t>
            </w:r>
            <w:r w:rsidR="0024588F">
              <w:rPr>
                <w:b/>
                <w:sz w:val="24"/>
                <w:szCs w:val="24"/>
                <w:lang w:val="bg-BG"/>
              </w:rPr>
              <w:t xml:space="preserve"> „</w:t>
            </w:r>
            <w:r w:rsidR="00655E40">
              <w:rPr>
                <w:b/>
                <w:sz w:val="24"/>
                <w:szCs w:val="24"/>
                <w:lang w:val="bg-BG"/>
              </w:rPr>
              <w:t>ж</w:t>
            </w:r>
            <w:r w:rsidR="0024588F">
              <w:rPr>
                <w:b/>
                <w:sz w:val="24"/>
                <w:szCs w:val="24"/>
                <w:lang w:val="bg-BG"/>
              </w:rPr>
              <w:t>“</w:t>
            </w:r>
            <w:r w:rsidRPr="00E53C53">
              <w:rPr>
                <w:b/>
                <w:sz w:val="24"/>
                <w:szCs w:val="24"/>
                <w:lang w:val="bg-BG"/>
              </w:rPr>
              <w:t xml:space="preserve">  </w:t>
            </w:r>
            <w:r w:rsidR="00AD7F18">
              <w:rPr>
                <w:b/>
                <w:sz w:val="24"/>
                <w:szCs w:val="24"/>
                <w:lang w:val="bg-BG"/>
              </w:rPr>
              <w:t xml:space="preserve">– </w:t>
            </w:r>
            <w:r w:rsidR="00655E40">
              <w:rPr>
                <w:b/>
                <w:sz w:val="24"/>
                <w:szCs w:val="24"/>
                <w:lang w:val="bg-BG"/>
              </w:rPr>
              <w:t>Сътрудничество</w:t>
            </w:r>
          </w:p>
        </w:tc>
      </w:tr>
    </w:tbl>
    <w:p w14:paraId="0D5181FC" w14:textId="77777777" w:rsidR="002E576B" w:rsidRDefault="002E576B" w:rsidP="002E576B">
      <w:pPr>
        <w:jc w:val="center"/>
        <w:rPr>
          <w:lang w:val="bg-BG"/>
        </w:rPr>
      </w:pPr>
    </w:p>
    <w:tbl>
      <w:tblPr>
        <w:tblStyle w:val="TableGrid"/>
        <w:tblW w:w="8926" w:type="dxa"/>
        <w:tblLook w:val="04A0" w:firstRow="1" w:lastRow="0" w:firstColumn="1" w:lastColumn="0" w:noHBand="0" w:noVBand="1"/>
      </w:tblPr>
      <w:tblGrid>
        <w:gridCol w:w="2943"/>
        <w:gridCol w:w="5983"/>
      </w:tblGrid>
      <w:tr w:rsidR="002E576B" w14:paraId="359534B7" w14:textId="77777777" w:rsidTr="00A11423">
        <w:tc>
          <w:tcPr>
            <w:tcW w:w="2943" w:type="dxa"/>
            <w:shd w:val="clear" w:color="auto" w:fill="B8CCE4" w:themeFill="accent1" w:themeFillTint="66"/>
            <w:vAlign w:val="center"/>
          </w:tcPr>
          <w:p w14:paraId="0AF45E37" w14:textId="77777777" w:rsidR="002E576B" w:rsidRPr="002E576B" w:rsidRDefault="002E576B" w:rsidP="00A11423">
            <w:pPr>
              <w:ind w:right="1711"/>
              <w:rPr>
                <w:b/>
                <w:lang w:val="bg-BG"/>
              </w:rPr>
            </w:pPr>
            <w:r w:rsidRPr="002E576B">
              <w:rPr>
                <w:b/>
                <w:lang w:val="bg-BG"/>
              </w:rPr>
              <w:t>Фонд</w:t>
            </w:r>
          </w:p>
        </w:tc>
        <w:tc>
          <w:tcPr>
            <w:tcW w:w="5983" w:type="dxa"/>
            <w:vAlign w:val="center"/>
          </w:tcPr>
          <w:p w14:paraId="5BCF2A43" w14:textId="77777777" w:rsidR="002E576B" w:rsidRPr="00C245AA" w:rsidRDefault="009B2ED1" w:rsidP="008526F1">
            <w:pPr>
              <w:jc w:val="center"/>
              <w:rPr>
                <w:lang w:val="bg-BG"/>
              </w:rPr>
            </w:pPr>
            <w:r w:rsidRPr="00C245AA">
              <w:rPr>
                <w:lang w:val="bg-BG"/>
              </w:rPr>
              <w:t>Европейски земеделски фонд за развитие на селските райони (ЕЗФРСР)</w:t>
            </w:r>
          </w:p>
        </w:tc>
      </w:tr>
      <w:tr w:rsidR="002E576B" w14:paraId="07A9B1D7" w14:textId="77777777" w:rsidTr="00A11423">
        <w:tc>
          <w:tcPr>
            <w:tcW w:w="2943" w:type="dxa"/>
            <w:shd w:val="clear" w:color="auto" w:fill="B8CCE4" w:themeFill="accent1" w:themeFillTint="66"/>
            <w:vAlign w:val="center"/>
          </w:tcPr>
          <w:p w14:paraId="38142B4B" w14:textId="77777777" w:rsidR="002E576B" w:rsidRPr="00BC2D56" w:rsidRDefault="002E576B" w:rsidP="00A11423">
            <w:pPr>
              <w:rPr>
                <w:b/>
              </w:rPr>
            </w:pPr>
            <w:r w:rsidRPr="002E576B">
              <w:rPr>
                <w:b/>
                <w:lang w:val="bg-BG"/>
              </w:rPr>
              <w:t>Тип на интервенцията</w:t>
            </w:r>
          </w:p>
        </w:tc>
        <w:tc>
          <w:tcPr>
            <w:tcW w:w="5983" w:type="dxa"/>
            <w:vAlign w:val="center"/>
          </w:tcPr>
          <w:p w14:paraId="78CDBBC7" w14:textId="6FD90353" w:rsidR="002E576B" w:rsidRPr="00C245AA" w:rsidRDefault="00655E40" w:rsidP="00570BEE">
            <w:pPr>
              <w:jc w:val="center"/>
              <w:rPr>
                <w:b/>
                <w:lang w:val="bg-BG"/>
              </w:rPr>
            </w:pPr>
            <w:r w:rsidRPr="00655E40">
              <w:rPr>
                <w:b/>
                <w:lang w:val="bg-BG"/>
              </w:rPr>
              <w:t>Подкрепа за оперативни групи в рамките на Европейското партньорство за иновации</w:t>
            </w:r>
            <w:r w:rsidR="00570BEE">
              <w:rPr>
                <w:b/>
                <w:lang w:val="bg-BG"/>
              </w:rPr>
              <w:t xml:space="preserve"> </w:t>
            </w:r>
            <w:r w:rsidR="00570BEE" w:rsidRPr="00570BEE">
              <w:rPr>
                <w:lang w:val="bg-BG"/>
              </w:rPr>
              <w:t>(</w:t>
            </w:r>
            <w:r w:rsidR="00570BEE" w:rsidRPr="009E19F4">
              <w:rPr>
                <w:lang w:val="bg-BG"/>
              </w:rPr>
              <w:t>Чл. 71, буква „</w:t>
            </w:r>
            <w:r w:rsidR="00570BEE">
              <w:rPr>
                <w:lang w:val="bg-BG"/>
              </w:rPr>
              <w:t>а</w:t>
            </w:r>
            <w:r w:rsidR="00570BEE" w:rsidRPr="009E19F4">
              <w:rPr>
                <w:lang w:val="bg-BG"/>
              </w:rPr>
              <w:t>“)</w:t>
            </w:r>
          </w:p>
        </w:tc>
      </w:tr>
      <w:tr w:rsidR="002E576B" w14:paraId="3695947C" w14:textId="77777777" w:rsidTr="00A11423">
        <w:tc>
          <w:tcPr>
            <w:tcW w:w="2943" w:type="dxa"/>
            <w:shd w:val="clear" w:color="auto" w:fill="B8CCE4" w:themeFill="accent1" w:themeFillTint="66"/>
            <w:vAlign w:val="center"/>
          </w:tcPr>
          <w:p w14:paraId="141831FE" w14:textId="77777777" w:rsidR="002E576B" w:rsidRPr="00BC2D56" w:rsidRDefault="002E576B" w:rsidP="00A11423">
            <w:pPr>
              <w:rPr>
                <w:b/>
              </w:rPr>
            </w:pPr>
            <w:r w:rsidRPr="002E576B">
              <w:rPr>
                <w:b/>
                <w:lang w:val="bg-BG"/>
              </w:rPr>
              <w:t>Териториален обхват</w:t>
            </w:r>
            <w:r w:rsidR="004D47EE">
              <w:rPr>
                <w:b/>
              </w:rPr>
              <w:t xml:space="preserve"> </w:t>
            </w:r>
          </w:p>
        </w:tc>
        <w:tc>
          <w:tcPr>
            <w:tcW w:w="5983" w:type="dxa"/>
            <w:vAlign w:val="center"/>
          </w:tcPr>
          <w:p w14:paraId="7F42892E" w14:textId="58AE74CC" w:rsidR="002E576B" w:rsidRPr="00C245AA" w:rsidRDefault="00A7344D" w:rsidP="008526F1">
            <w:pPr>
              <w:jc w:val="center"/>
              <w:rPr>
                <w:lang w:val="bg-BG"/>
              </w:rPr>
            </w:pPr>
            <w:r w:rsidRPr="00C245AA">
              <w:rPr>
                <w:lang w:val="bg-BG"/>
              </w:rPr>
              <w:t>Дейностите по проектите се осъществят на те</w:t>
            </w:r>
            <w:r w:rsidR="00343F13">
              <w:rPr>
                <w:lang w:val="bg-BG"/>
              </w:rPr>
              <w:t>риторията на Република България</w:t>
            </w:r>
          </w:p>
        </w:tc>
      </w:tr>
      <w:tr w:rsidR="002E576B" w14:paraId="16BB2D13" w14:textId="77777777" w:rsidTr="00A11423">
        <w:tc>
          <w:tcPr>
            <w:tcW w:w="2943" w:type="dxa"/>
            <w:shd w:val="clear" w:color="auto" w:fill="B8CCE4" w:themeFill="accent1" w:themeFillTint="66"/>
            <w:vAlign w:val="center"/>
          </w:tcPr>
          <w:p w14:paraId="236E2CBE" w14:textId="77777777" w:rsidR="002E576B" w:rsidRPr="002E576B" w:rsidRDefault="002E576B" w:rsidP="00A11423">
            <w:pPr>
              <w:rPr>
                <w:b/>
                <w:lang w:val="bg-BG"/>
              </w:rPr>
            </w:pPr>
            <w:r w:rsidRPr="00027128">
              <w:rPr>
                <w:b/>
                <w:lang w:val="bg-BG"/>
              </w:rPr>
              <w:t>Свързани специфични цели и където е релевантно, секторни приоритети</w:t>
            </w:r>
          </w:p>
        </w:tc>
        <w:tc>
          <w:tcPr>
            <w:tcW w:w="5983" w:type="dxa"/>
            <w:vAlign w:val="center"/>
          </w:tcPr>
          <w:p w14:paraId="54B74ABE" w14:textId="67BD892F" w:rsidR="009B2ED1" w:rsidRPr="00C245AA" w:rsidRDefault="009B2ED1" w:rsidP="00343F13">
            <w:pPr>
              <w:jc w:val="center"/>
              <w:rPr>
                <w:lang w:val="bg-BG"/>
              </w:rPr>
            </w:pPr>
            <w:r w:rsidRPr="00C245AA">
              <w:rPr>
                <w:lang w:val="bg-BG"/>
              </w:rPr>
              <w:t>Тип</w:t>
            </w:r>
            <w:r w:rsidR="00343F13">
              <w:rPr>
                <w:lang w:val="bg-BG"/>
              </w:rPr>
              <w:t>ът</w:t>
            </w:r>
            <w:r w:rsidRPr="00C245AA">
              <w:rPr>
                <w:lang w:val="bg-BG"/>
              </w:rPr>
              <w:t xml:space="preserve"> на интервенцията е пряко свързан с</w:t>
            </w:r>
            <w:r w:rsidR="0024588F" w:rsidRPr="00C245AA">
              <w:rPr>
                <w:lang w:val="bg-BG"/>
              </w:rPr>
              <w:t xml:space="preserve"> хо</w:t>
            </w:r>
            <w:bookmarkStart w:id="0" w:name="_GoBack"/>
            <w:bookmarkEnd w:id="0"/>
            <w:r w:rsidR="0024588F" w:rsidRPr="00C245AA">
              <w:rPr>
                <w:lang w:val="bg-BG"/>
              </w:rPr>
              <w:t>ризонтална</w:t>
            </w:r>
            <w:r w:rsidRPr="00C245AA">
              <w:rPr>
                <w:lang w:val="bg-BG"/>
              </w:rPr>
              <w:t xml:space="preserve"> </w:t>
            </w:r>
            <w:r w:rsidR="00516D61" w:rsidRPr="00C245AA">
              <w:rPr>
                <w:lang w:val="bg-BG"/>
              </w:rPr>
              <w:t>с</w:t>
            </w:r>
            <w:r w:rsidR="00567D49" w:rsidRPr="00C245AA">
              <w:rPr>
                <w:lang w:val="bg-BG"/>
              </w:rPr>
              <w:t xml:space="preserve">пецифична цел </w:t>
            </w:r>
            <w:r w:rsidR="00516D61" w:rsidRPr="00C245AA">
              <w:rPr>
                <w:lang w:val="bg-BG"/>
              </w:rPr>
              <w:t>„Модернизиране на сектора чрез стимулиране и споделяне на знанията, иновациите и цифровизацията в селското стопанство и селските райони и насърчаване на използването им в по-голяма степен“</w:t>
            </w:r>
          </w:p>
        </w:tc>
      </w:tr>
      <w:tr w:rsidR="002E576B" w14:paraId="1237E3C0" w14:textId="77777777" w:rsidTr="00A11423">
        <w:tc>
          <w:tcPr>
            <w:tcW w:w="2943" w:type="dxa"/>
            <w:shd w:val="clear" w:color="auto" w:fill="B8CCE4" w:themeFill="accent1" w:themeFillTint="66"/>
            <w:vAlign w:val="center"/>
          </w:tcPr>
          <w:p w14:paraId="25BCE169" w14:textId="77777777" w:rsidR="002E576B" w:rsidRPr="002E576B" w:rsidRDefault="002E576B" w:rsidP="00A11423">
            <w:pPr>
              <w:rPr>
                <w:b/>
                <w:lang w:val="bg-BG"/>
              </w:rPr>
            </w:pPr>
            <w:r w:rsidRPr="002E576B">
              <w:rPr>
                <w:b/>
                <w:lang w:val="bg-BG"/>
              </w:rPr>
              <w:t>Индикатори за резултат</w:t>
            </w:r>
            <w:r w:rsidR="00F22043">
              <w:rPr>
                <w:b/>
                <w:lang w:val="bg-BG"/>
              </w:rPr>
              <w:t xml:space="preserve"> </w:t>
            </w:r>
            <w:r w:rsidR="00F22043" w:rsidRPr="00F22043">
              <w:rPr>
                <w:b/>
                <w:sz w:val="20"/>
                <w:szCs w:val="20"/>
                <w:lang w:val="bg-BG"/>
              </w:rPr>
              <w:t>(</w:t>
            </w:r>
            <w:r w:rsidR="00F22043" w:rsidRPr="00F22043">
              <w:rPr>
                <w:b/>
                <w:i/>
                <w:sz w:val="20"/>
                <w:szCs w:val="20"/>
                <w:lang w:val="bg-BG"/>
              </w:rPr>
              <w:t>най-малко един</w:t>
            </w:r>
            <w:r w:rsidR="00F22043" w:rsidRPr="00F22043">
              <w:rPr>
                <w:b/>
                <w:sz w:val="20"/>
                <w:szCs w:val="20"/>
                <w:lang w:val="bg-BG"/>
              </w:rPr>
              <w:t>)</w:t>
            </w:r>
          </w:p>
        </w:tc>
        <w:tc>
          <w:tcPr>
            <w:tcW w:w="5983" w:type="dxa"/>
            <w:vAlign w:val="center"/>
          </w:tcPr>
          <w:p w14:paraId="673FC93A" w14:textId="77777777" w:rsidR="00655E40" w:rsidRDefault="00655E40" w:rsidP="00655E40">
            <w:pPr>
              <w:jc w:val="center"/>
              <w:rPr>
                <w:lang w:val="bg-BG"/>
              </w:rPr>
            </w:pPr>
            <w:r>
              <w:rPr>
                <w:lang w:val="bg-BG"/>
              </w:rPr>
              <w:t>О.1 Брой на одобрени проекти на оперативни групи (ЕПИ);</w:t>
            </w:r>
          </w:p>
          <w:p w14:paraId="204856D5" w14:textId="45B63B45" w:rsidR="0022571C" w:rsidRPr="0022571C" w:rsidRDefault="00655E40" w:rsidP="00655E40">
            <w:pPr>
              <w:jc w:val="center"/>
              <w:rPr>
                <w:lang w:val="bg-BG"/>
              </w:rPr>
            </w:pPr>
            <w:r>
              <w:rPr>
                <w:lang w:val="bg-BG"/>
              </w:rPr>
              <w:t>R.1 Подобряване на качеството на изпълнението чрез знания и иновации:  Брой на лицата, участващи в оперативни групи (ЕПИ).</w:t>
            </w:r>
          </w:p>
        </w:tc>
      </w:tr>
      <w:tr w:rsidR="002E576B" w14:paraId="6C792070" w14:textId="77777777" w:rsidTr="00A11423">
        <w:tc>
          <w:tcPr>
            <w:tcW w:w="2943" w:type="dxa"/>
            <w:shd w:val="clear" w:color="auto" w:fill="B8CCE4" w:themeFill="accent1" w:themeFillTint="66"/>
            <w:vAlign w:val="center"/>
          </w:tcPr>
          <w:p w14:paraId="05290356" w14:textId="77777777" w:rsidR="002E576B" w:rsidRPr="002E576B" w:rsidRDefault="002E576B" w:rsidP="00A11423">
            <w:pPr>
              <w:rPr>
                <w:b/>
                <w:lang w:val="bg-BG"/>
              </w:rPr>
            </w:pPr>
            <w:r w:rsidRPr="002E576B">
              <w:rPr>
                <w:b/>
                <w:lang w:val="bg-BG"/>
              </w:rPr>
              <w:t>Допустими бенефициенти</w:t>
            </w:r>
          </w:p>
        </w:tc>
        <w:tc>
          <w:tcPr>
            <w:tcW w:w="5983" w:type="dxa"/>
            <w:vAlign w:val="center"/>
          </w:tcPr>
          <w:p w14:paraId="51BD7688" w14:textId="338883AF" w:rsidR="002E576B" w:rsidRPr="0052608F" w:rsidRDefault="00655E40" w:rsidP="00A70C37">
            <w:pPr>
              <w:jc w:val="center"/>
              <w:rPr>
                <w:lang w:val="bg-BG"/>
              </w:rPr>
            </w:pPr>
            <w:r w:rsidRPr="00655E40">
              <w:rPr>
                <w:lang w:val="bg-BG"/>
              </w:rPr>
              <w:t xml:space="preserve">Оперативни групи, създадени по </w:t>
            </w:r>
            <w:r w:rsidR="00FF0894">
              <w:rPr>
                <w:lang w:val="bg-BG"/>
              </w:rPr>
              <w:t xml:space="preserve">реда на </w:t>
            </w:r>
            <w:r w:rsidRPr="00655E40">
              <w:rPr>
                <w:lang w:val="bg-BG"/>
              </w:rPr>
              <w:t>Закона за задълженията и договорите (ЗЗД)</w:t>
            </w:r>
          </w:p>
        </w:tc>
      </w:tr>
    </w:tbl>
    <w:p w14:paraId="7DDE4B24" w14:textId="77777777" w:rsidR="002E576B" w:rsidRDefault="002E576B" w:rsidP="002E576B">
      <w:pPr>
        <w:jc w:val="center"/>
      </w:pPr>
    </w:p>
    <w:p w14:paraId="53F597FE" w14:textId="77777777" w:rsidR="005F556B" w:rsidRPr="0046113A" w:rsidRDefault="004D583C" w:rsidP="0046113A">
      <w:pPr>
        <w:pStyle w:val="ListParagraph"/>
        <w:numPr>
          <w:ilvl w:val="0"/>
          <w:numId w:val="2"/>
        </w:numPr>
        <w:spacing w:line="240" w:lineRule="auto"/>
        <w:jc w:val="both"/>
        <w:rPr>
          <w:b/>
          <w:lang w:val="bg-BG"/>
        </w:rPr>
      </w:pPr>
      <w:r w:rsidRPr="0046113A">
        <w:rPr>
          <w:b/>
          <w:lang w:val="bg-BG"/>
        </w:rPr>
        <w:t>Описание на дизайна на</w:t>
      </w:r>
      <w:r w:rsidR="008A7C31" w:rsidRPr="0046113A">
        <w:rPr>
          <w:b/>
          <w:lang w:val="bg-BG"/>
        </w:rPr>
        <w:t xml:space="preserve"> </w:t>
      </w:r>
      <w:r w:rsidRPr="0046113A">
        <w:rPr>
          <w:b/>
          <w:lang w:val="bg-BG"/>
        </w:rPr>
        <w:t xml:space="preserve">интервенцията; </w:t>
      </w:r>
    </w:p>
    <w:tbl>
      <w:tblPr>
        <w:tblStyle w:val="TableGrid"/>
        <w:tblW w:w="0" w:type="auto"/>
        <w:tblLook w:val="04A0" w:firstRow="1" w:lastRow="0" w:firstColumn="1" w:lastColumn="0" w:noHBand="0" w:noVBand="1"/>
      </w:tblPr>
      <w:tblGrid>
        <w:gridCol w:w="8926"/>
      </w:tblGrid>
      <w:tr w:rsidR="005F556B" w14:paraId="5C5F17CF" w14:textId="77777777" w:rsidTr="00A11423">
        <w:tc>
          <w:tcPr>
            <w:tcW w:w="8926" w:type="dxa"/>
          </w:tcPr>
          <w:p w14:paraId="61307652" w14:textId="77777777" w:rsidR="00655E40" w:rsidRPr="00655E40" w:rsidRDefault="00655E40" w:rsidP="00655E40">
            <w:pPr>
              <w:jc w:val="both"/>
              <w:rPr>
                <w:lang w:val="bg-BG"/>
              </w:rPr>
            </w:pPr>
            <w:r w:rsidRPr="00655E40">
              <w:rPr>
                <w:lang w:val="bg-BG"/>
              </w:rPr>
              <w:t xml:space="preserve">В страната липсва обобщена информация за степента на внедряване на различните типове иновации в селското стопанство, наблюдава се и липса на обмяна на информация към бизнеса за постиженията на научната общност. </w:t>
            </w:r>
          </w:p>
          <w:p w14:paraId="1B381A22" w14:textId="648F17B5" w:rsidR="00655E40" w:rsidRPr="00655E40" w:rsidRDefault="00655E40" w:rsidP="00655E40">
            <w:pPr>
              <w:jc w:val="both"/>
              <w:rPr>
                <w:lang w:val="bg-BG"/>
              </w:rPr>
            </w:pPr>
            <w:r w:rsidRPr="00655E40">
              <w:rPr>
                <w:lang w:val="bg-BG"/>
              </w:rPr>
              <w:t>Във всички отрасли на производство</w:t>
            </w:r>
            <w:r w:rsidR="004A7D85">
              <w:rPr>
                <w:lang w:val="bg-BG"/>
              </w:rPr>
              <w:t>то</w:t>
            </w:r>
            <w:r w:rsidRPr="00655E40">
              <w:rPr>
                <w:lang w:val="bg-BG"/>
              </w:rPr>
              <w:t xml:space="preserve"> има добри примери за внедрени върхови постижения на науката </w:t>
            </w:r>
            <w:r w:rsidR="008F035E">
              <w:rPr>
                <w:lang w:val="bg-BG"/>
              </w:rPr>
              <w:t>и технологиите. Тези иновации се</w:t>
            </w:r>
            <w:r w:rsidRPr="00655E40">
              <w:rPr>
                <w:lang w:val="bg-BG"/>
              </w:rPr>
              <w:t xml:space="preserve"> внедряват от предприемачи-новатори, които успяват да изучат, пренесат и адаптират най-високите постижения в съответната област, като осигурят необходимата организация, финансиране, консултации и ноу-хау по частен път. </w:t>
            </w:r>
          </w:p>
          <w:p w14:paraId="524F44DF" w14:textId="608D6719" w:rsidR="00655E40" w:rsidRPr="00655E40" w:rsidRDefault="00655E40" w:rsidP="00655E40">
            <w:pPr>
              <w:jc w:val="both"/>
              <w:rPr>
                <w:lang w:val="bg-BG"/>
              </w:rPr>
            </w:pPr>
            <w:r w:rsidRPr="00655E40">
              <w:rPr>
                <w:lang w:val="bg-BG"/>
              </w:rPr>
              <w:t xml:space="preserve">Финансираните оперативни групи </w:t>
            </w:r>
            <w:r w:rsidR="004A7D85">
              <w:rPr>
                <w:lang w:val="bg-BG"/>
              </w:rPr>
              <w:t xml:space="preserve">в рамките на </w:t>
            </w:r>
            <w:r>
              <w:rPr>
                <w:lang w:val="bg-BG"/>
              </w:rPr>
              <w:t>Е</w:t>
            </w:r>
            <w:r w:rsidR="004A7D85">
              <w:rPr>
                <w:lang w:val="bg-BG"/>
              </w:rPr>
              <w:t>вропейското партньорство за иновации (ЕПИ)</w:t>
            </w:r>
            <w:r>
              <w:rPr>
                <w:lang w:val="bg-BG"/>
              </w:rPr>
              <w:t xml:space="preserve"> </w:t>
            </w:r>
            <w:r w:rsidRPr="00655E40">
              <w:rPr>
                <w:lang w:val="bg-BG"/>
              </w:rPr>
              <w:t>в периода 2014</w:t>
            </w:r>
            <w:r>
              <w:rPr>
                <w:lang w:val="bg-BG"/>
              </w:rPr>
              <w:t xml:space="preserve">-2020 г. поставиха началото на </w:t>
            </w:r>
            <w:r w:rsidRPr="00655E40">
              <w:rPr>
                <w:lang w:val="bg-BG"/>
              </w:rPr>
              <w:t>една нова форма на сътру</w:t>
            </w:r>
            <w:r w:rsidR="004A7D85">
              <w:rPr>
                <w:lang w:val="bg-BG"/>
              </w:rPr>
              <w:t>д</w:t>
            </w:r>
            <w:r w:rsidRPr="00655E40">
              <w:rPr>
                <w:lang w:val="bg-BG"/>
              </w:rPr>
              <w:t>ничество</w:t>
            </w:r>
            <w:r>
              <w:rPr>
                <w:lang w:val="bg-BG"/>
              </w:rPr>
              <w:t xml:space="preserve"> в </w:t>
            </w:r>
            <w:r w:rsidR="00CC3D84">
              <w:rPr>
                <w:lang w:val="bg-BG"/>
              </w:rPr>
              <w:t>България</w:t>
            </w:r>
            <w:r w:rsidRPr="00655E40">
              <w:rPr>
                <w:lang w:val="bg-BG"/>
              </w:rPr>
              <w:t>, обединяв</w:t>
            </w:r>
            <w:r w:rsidR="008F035E">
              <w:rPr>
                <w:lang w:val="bg-BG"/>
              </w:rPr>
              <w:t>а</w:t>
            </w:r>
            <w:r w:rsidR="00CC3D84">
              <w:rPr>
                <w:lang w:val="bg-BG"/>
              </w:rPr>
              <w:t>йки</w:t>
            </w:r>
            <w:r w:rsidRPr="00655E40">
              <w:rPr>
                <w:lang w:val="bg-BG"/>
              </w:rPr>
              <w:t xml:space="preserve"> значителен брой земеделски стопани, научни работници и представители на неправителствени организации, които чрез съвместни действия и усилия търсят решения на идентифицирани проблеми в родното селскостопанско производство чрез иновативни </w:t>
            </w:r>
            <w:r w:rsidR="004A7D85" w:rsidRPr="00655E40">
              <w:rPr>
                <w:lang w:val="bg-BG"/>
              </w:rPr>
              <w:t xml:space="preserve">методи </w:t>
            </w:r>
            <w:r w:rsidR="004A7D85">
              <w:rPr>
                <w:lang w:val="bg-BG"/>
              </w:rPr>
              <w:t>и подходи</w:t>
            </w:r>
            <w:r w:rsidRPr="00655E40">
              <w:rPr>
                <w:lang w:val="bg-BG"/>
              </w:rPr>
              <w:t xml:space="preserve">. </w:t>
            </w:r>
          </w:p>
          <w:p w14:paraId="66598B8B" w14:textId="3EA1E859" w:rsidR="00655E40" w:rsidRDefault="00655E40" w:rsidP="00655E40">
            <w:pPr>
              <w:jc w:val="both"/>
              <w:rPr>
                <w:lang w:val="bg-BG"/>
              </w:rPr>
            </w:pPr>
            <w:r w:rsidRPr="00655E40">
              <w:rPr>
                <w:lang w:val="bg-BG"/>
              </w:rPr>
              <w:t>Въпреки това, общото равнище на внедряване на иновациите в</w:t>
            </w:r>
            <w:r w:rsidR="004A7D85">
              <w:rPr>
                <w:lang w:val="bg-BG"/>
              </w:rPr>
              <w:t xml:space="preserve"> </w:t>
            </w:r>
            <w:r w:rsidR="00FF0894">
              <w:rPr>
                <w:lang w:val="bg-BG"/>
              </w:rPr>
              <w:t>сектор селско</w:t>
            </w:r>
            <w:r w:rsidR="004A7D85">
              <w:rPr>
                <w:lang w:val="bg-BG"/>
              </w:rPr>
              <w:t xml:space="preserve"> стопанство в</w:t>
            </w:r>
            <w:r w:rsidRPr="00655E40">
              <w:rPr>
                <w:lang w:val="bg-BG"/>
              </w:rPr>
              <w:t xml:space="preserve"> страната е далеч под европейските нива, като се наблюдават съществени различия в технологичното ниво на „водещите“ стопанства и средното ниво в болшинството от фермите. Според проучване в страната най-разпространени са икономическите иновации, следвани от техническите иновации и доста слабо представяне на социалните и организационни иновации. </w:t>
            </w:r>
          </w:p>
          <w:p w14:paraId="39B87E0D" w14:textId="77777777" w:rsidR="00655E40" w:rsidRPr="00655E40" w:rsidRDefault="00655E40" w:rsidP="00655E40">
            <w:pPr>
              <w:jc w:val="both"/>
              <w:rPr>
                <w:lang w:val="bg-BG"/>
              </w:rPr>
            </w:pPr>
            <w:r w:rsidRPr="00655E40">
              <w:rPr>
                <w:lang w:val="bg-BG"/>
              </w:rPr>
              <w:t>Умерени различия по отношение на равнището на активност към иновациите в земеделието се наблюдават и според икономическия тип на стопанствата, като в най-голяма степен необходимост от въвеждането на иновации в производствената дейност е осъзната при малките, едрите ферми и по-младите земеделски стопани. Факторите, които най-силно мотивират фермерите да въведат иновационно решение в своята практика, са получаването на по-високи добиви и реализирането на по-голяма печалба, следвани от по-висока продуктивност и очакваната икономия на време.</w:t>
            </w:r>
          </w:p>
          <w:p w14:paraId="75C883CC" w14:textId="645B72C6" w:rsidR="00655E40" w:rsidRPr="00655E40" w:rsidRDefault="00655E40" w:rsidP="00655E40">
            <w:pPr>
              <w:jc w:val="both"/>
              <w:rPr>
                <w:lang w:val="bg-BG"/>
              </w:rPr>
            </w:pPr>
            <w:r w:rsidRPr="00655E40">
              <w:rPr>
                <w:lang w:val="bg-BG"/>
              </w:rPr>
              <w:lastRenderedPageBreak/>
              <w:t xml:space="preserve">Системата за знания и иновации в селскосто стопанство </w:t>
            </w:r>
            <w:r w:rsidR="00343F13">
              <w:rPr>
                <w:lang w:val="bg-BG"/>
              </w:rPr>
              <w:t>(СЗИСС)</w:t>
            </w:r>
            <w:r w:rsidR="00FF0894">
              <w:rPr>
                <w:lang w:val="bg-BG"/>
              </w:rPr>
              <w:t>,</w:t>
            </w:r>
            <w:r w:rsidR="00343F13">
              <w:rPr>
                <w:lang w:val="bg-BG"/>
              </w:rPr>
              <w:t xml:space="preserve"> </w:t>
            </w:r>
            <w:r w:rsidR="004A7D85">
              <w:rPr>
                <w:lang w:val="bg-BG"/>
              </w:rPr>
              <w:t xml:space="preserve">въз основа на комбинация от различни инструменти и действия, </w:t>
            </w:r>
            <w:r w:rsidRPr="00655E40">
              <w:rPr>
                <w:lang w:val="bg-BG"/>
              </w:rPr>
              <w:t xml:space="preserve">може да предоставя големи възможности за бърз и ефективен трансфер на знания и иновации и реални възможности за реализиране на големия потенциал за повишаване на ефективността в селскостопанския отрасъл. Необходимо е да бъде осигурена подкрепа за осигуряване на качествена информация до участниците в СЗИСС, която от своя страна да генерира повишаване интереса към разработването и въвеждането на иновации. </w:t>
            </w:r>
          </w:p>
          <w:p w14:paraId="28752977" w14:textId="18A698F7" w:rsidR="00655E40" w:rsidRPr="00655E40" w:rsidRDefault="00655E40" w:rsidP="00655E40">
            <w:pPr>
              <w:jc w:val="both"/>
              <w:rPr>
                <w:lang w:val="bg-BG"/>
              </w:rPr>
            </w:pPr>
            <w:r>
              <w:rPr>
                <w:lang w:val="bg-BG"/>
              </w:rPr>
              <w:t>Предприемането на действия</w:t>
            </w:r>
            <w:r w:rsidRPr="00655E40">
              <w:rPr>
                <w:lang w:val="bg-BG"/>
              </w:rPr>
              <w:t xml:space="preserve">, които ще засилят и разширят връзките между образователните, научните звена и бизнеса за разработването на съвместни механизми за практическото реализиране на „триъгълника на знанието" (наука – образование – бизнес), подпомагащи сътрудничеството и създаването на оперативни групи в контекста на ЕПИ, или създаване на платформи, форуми и събития, които да улеснят обмена на опит между заинтересованите страни </w:t>
            </w:r>
            <w:r>
              <w:rPr>
                <w:lang w:val="bg-BG"/>
              </w:rPr>
              <w:t xml:space="preserve">в рамките на СЗИСС, </w:t>
            </w:r>
            <w:r w:rsidRPr="00655E40">
              <w:rPr>
                <w:lang w:val="bg-BG"/>
              </w:rPr>
              <w:t>ще</w:t>
            </w:r>
            <w:r>
              <w:rPr>
                <w:lang w:val="bg-BG"/>
              </w:rPr>
              <w:t xml:space="preserve"> осигурят </w:t>
            </w:r>
            <w:r w:rsidR="00B2102D">
              <w:rPr>
                <w:lang w:val="bg-BG"/>
              </w:rPr>
              <w:t>благоприятна среда и</w:t>
            </w:r>
            <w:r>
              <w:rPr>
                <w:lang w:val="bg-BG"/>
              </w:rPr>
              <w:t xml:space="preserve"> предпоставки за внедряване на </w:t>
            </w:r>
            <w:r w:rsidR="00B2102D">
              <w:rPr>
                <w:lang w:val="bg-BG"/>
              </w:rPr>
              <w:t xml:space="preserve">различни форми на </w:t>
            </w:r>
            <w:r>
              <w:rPr>
                <w:lang w:val="bg-BG"/>
              </w:rPr>
              <w:t xml:space="preserve">иновации в </w:t>
            </w:r>
            <w:r w:rsidR="00B2102D">
              <w:rPr>
                <w:lang w:val="bg-BG"/>
              </w:rPr>
              <w:t>селското стопанство.</w:t>
            </w:r>
          </w:p>
          <w:p w14:paraId="31C4738D" w14:textId="253D40D5" w:rsidR="00655E40" w:rsidRPr="00655E40" w:rsidRDefault="00655E40" w:rsidP="00655E40">
            <w:pPr>
              <w:jc w:val="both"/>
              <w:rPr>
                <w:lang w:val="bg-BG"/>
              </w:rPr>
            </w:pPr>
            <w:r w:rsidRPr="00655E40">
              <w:rPr>
                <w:lang w:val="bg-BG"/>
              </w:rPr>
              <w:t>Чрез финансирането на съвместни начинани</w:t>
            </w:r>
            <w:r w:rsidR="00343F13">
              <w:rPr>
                <w:lang w:val="bg-BG"/>
              </w:rPr>
              <w:t>я между отделните участници в С</w:t>
            </w:r>
            <w:r w:rsidRPr="00655E40">
              <w:rPr>
                <w:lang w:val="bg-BG"/>
              </w:rPr>
              <w:t>ЗИСС ще се осигури възможност за преодоляване на несигурността при въвеждането на иновативни решения в практиката, които насърчават използването на нови технологии, цифрови технологии, технологии оптимизиращи производствения цикъл и управление на стопанството, разработване на нови продукти, практики, дейности свързани с промяна на климата и др. Целенасочена подкрепа трябва да бъде ориентирана и към по-слабо застъпени иновативни решения, насочени към опазване компонентите на околната среда, нетехнологични иновации и социални иновации, иновации, базирани на спецификите на секторните производства и разпространение на резултатите до по-голям брой участници.</w:t>
            </w:r>
          </w:p>
          <w:p w14:paraId="5891C056" w14:textId="77777777" w:rsidR="00655E40" w:rsidRPr="00655E40" w:rsidRDefault="00655E40" w:rsidP="00655E40">
            <w:pPr>
              <w:jc w:val="both"/>
              <w:rPr>
                <w:lang w:val="bg-BG"/>
              </w:rPr>
            </w:pPr>
            <w:r w:rsidRPr="00655E40">
              <w:rPr>
                <w:lang w:val="bg-BG"/>
              </w:rPr>
              <w:t xml:space="preserve">Българското земеделие може да ускори своята конвергенция към ЕС и ръста на добавената стойност като заложи на иновационните решения за осигуряване на качествена и здравословна храна и обръщайки внимание на социалните и екологични аспекти от фермерската дейност. </w:t>
            </w:r>
          </w:p>
          <w:p w14:paraId="6A8C9475" w14:textId="63D53C76" w:rsidR="00655E40" w:rsidRPr="00655E40" w:rsidRDefault="00655E40" w:rsidP="00655E40">
            <w:pPr>
              <w:jc w:val="both"/>
              <w:rPr>
                <w:lang w:val="bg-BG"/>
              </w:rPr>
            </w:pPr>
            <w:r w:rsidRPr="00B2102D">
              <w:rPr>
                <w:lang w:val="bg-BG"/>
              </w:rPr>
              <w:t>Научната и развойна дейност трябва да бъде поощрявана да създава и да внедрява в практиката нови решения и технологии</w:t>
            </w:r>
            <w:r w:rsidR="00FF0894">
              <w:rPr>
                <w:lang w:val="bg-BG"/>
              </w:rPr>
              <w:t>, ориентирани към потребностите на земеделските стопани</w:t>
            </w:r>
            <w:r w:rsidRPr="00B2102D">
              <w:rPr>
                <w:lang w:val="bg-BG"/>
              </w:rPr>
              <w:t xml:space="preserve">. За успешното внедряване на иновации, било то производствени или оптимизиращи работните процеси, трябва да </w:t>
            </w:r>
            <w:r w:rsidR="00006153">
              <w:rPr>
                <w:lang w:val="bg-BG"/>
              </w:rPr>
              <w:t>се създадат предпоставки за по-а</w:t>
            </w:r>
            <w:r w:rsidRPr="00B2102D">
              <w:rPr>
                <w:lang w:val="bg-BG"/>
              </w:rPr>
              <w:t>ктивното и ефективно взаимодействие</w:t>
            </w:r>
            <w:r w:rsidRPr="00655E40">
              <w:rPr>
                <w:lang w:val="bg-BG"/>
              </w:rPr>
              <w:t xml:space="preserve"> между държавата, агробизнеса, академичните центрове и иноваторите. Подобряване на средата за навлизане на повече иновационни решения и проекти може да се пост</w:t>
            </w:r>
            <w:r w:rsidR="00B2102D">
              <w:rPr>
                <w:lang w:val="bg-BG"/>
              </w:rPr>
              <w:t>игне с насърчаване на публично-</w:t>
            </w:r>
            <w:r w:rsidRPr="00655E40">
              <w:rPr>
                <w:lang w:val="bg-BG"/>
              </w:rPr>
              <w:t>частното партньорство и общи колективни действия и инвестиции. По-доброто и пълноценно използване потенциала на българската селскостопанска наука може да допринесе за понижаване цената на иновационните решения и технологични инвестиции, както и да се повиши адаптивността и тяхната приложност в местните условия. Това налага насочване на повече усилия за колективна и браншова организация на иновационната дейност в земеделието, за да се повиши ефективността и целесъобразността от такива вложения.</w:t>
            </w:r>
          </w:p>
          <w:p w14:paraId="1FB7EC06" w14:textId="77777777" w:rsidR="00B2102D" w:rsidRDefault="00655E40" w:rsidP="00655E40">
            <w:pPr>
              <w:jc w:val="both"/>
              <w:rPr>
                <w:lang w:val="bg-BG"/>
              </w:rPr>
            </w:pPr>
            <w:r w:rsidRPr="00655E40">
              <w:rPr>
                <w:lang w:val="bg-BG"/>
              </w:rPr>
              <w:t>Процесът по засилване на връзките в СЗИСС е необходимо да се постигне чрез стимулиране на принципа „от долу на горе” на регионално ниво и участието на обединения на изследователите, университети, институти в ССА, БАН, съветнически организации, организациите на земеделски стопани и други заинтересовани лица и форми на организираност, които са участници и съставляват СЗИСС и имат възможност по най-ефективен начин да отчетат нуждите от трансфер на знания и ползите от внедряване на цифрови техноло</w:t>
            </w:r>
            <w:r w:rsidR="00B2102D">
              <w:rPr>
                <w:lang w:val="bg-BG"/>
              </w:rPr>
              <w:t xml:space="preserve">гии. </w:t>
            </w:r>
          </w:p>
          <w:p w14:paraId="54D73D06" w14:textId="7AF032C2" w:rsidR="006C763D" w:rsidRPr="006C763D" w:rsidRDefault="00D02A22" w:rsidP="006C763D">
            <w:pPr>
              <w:jc w:val="both"/>
              <w:rPr>
                <w:lang w:val="bg-BG"/>
              </w:rPr>
            </w:pPr>
            <w:r>
              <w:rPr>
                <w:lang w:val="bg-BG"/>
              </w:rPr>
              <w:t>При прилагане на принципа „</w:t>
            </w:r>
            <w:r w:rsidR="006C763D" w:rsidRPr="006C763D">
              <w:rPr>
                <w:lang w:val="bg-BG"/>
              </w:rPr>
              <w:t xml:space="preserve">от долу на горе” местните специфики могат да бъдат отчетени в най-голяма степен при трансфера на знания </w:t>
            </w:r>
            <w:r>
              <w:rPr>
                <w:lang w:val="bg-BG"/>
              </w:rPr>
              <w:t xml:space="preserve">и иновации </w:t>
            </w:r>
            <w:r w:rsidR="006C763D" w:rsidRPr="006C763D">
              <w:rPr>
                <w:lang w:val="bg-BG"/>
              </w:rPr>
              <w:t xml:space="preserve">относно: всички изисквания, условия и задължения в областта на управлението, които се прилагат по отношение на земеделските стопани и останалите бенефициери, определени в стратегическия план по ОСП, включително изискванията и стандартите съгласно изискванията за условност в рамките на първи стълб, предварителните условия и условията за схеми за подпомагане, както и информацията относно финансовите инструменти и бизнес плановете, установени в </w:t>
            </w:r>
            <w:r w:rsidR="006C763D" w:rsidRPr="006C763D">
              <w:rPr>
                <w:lang w:val="bg-BG"/>
              </w:rPr>
              <w:lastRenderedPageBreak/>
              <w:t>стратегическия план по ОСП; добрите земеделски практики, щадящи околната среда и ползите на новите технологии, земеделските практики, които възпрепятстват развитието на антимикробна резистентност, както е посочено в Съобщението „Европейски план за действие „Едно здраве“ срещу антимикробната резистентност“; устойчиво въздействие върху природните ресурси - вода, почва, въздух; оползотворяване на отпадни продукти, кръгова икономика и биоикономика, управлението на риска; иновациите и внедрени и функциониращи в стопанствата цифрови технологии в селското стопанство и селските райони. Също така, необходимо е подпомагане за инвестиционни начинания, свързани с използването на цифрови технологии от стопанствата и насърчаване на млади IT специалисти към навлизане в сектора.</w:t>
            </w:r>
          </w:p>
          <w:p w14:paraId="221E6596" w14:textId="5AB3EA86" w:rsidR="008D3A9A" w:rsidRDefault="00655E40" w:rsidP="00655E40">
            <w:pPr>
              <w:jc w:val="both"/>
              <w:rPr>
                <w:lang w:val="bg-BG"/>
              </w:rPr>
            </w:pPr>
            <w:r w:rsidRPr="00655E40">
              <w:rPr>
                <w:lang w:val="bg-BG"/>
              </w:rPr>
              <w:t>Стратегията за цифровизация на земеделието и селските райони описва въвеждането на автоматизация и роботизация на производството с използване на високопроизводителни машини и цифрови технологии като важно условие, за да може един земеделски стопанин да произвежда по-качествена продукция и да организира р</w:t>
            </w:r>
            <w:r w:rsidR="006C763D">
              <w:rPr>
                <w:lang w:val="bg-BG"/>
              </w:rPr>
              <w:t>аботата в своето стопанство по-</w:t>
            </w:r>
            <w:r w:rsidRPr="00655E40">
              <w:rPr>
                <w:lang w:val="bg-BG"/>
              </w:rPr>
              <w:t>ефективно.</w:t>
            </w:r>
          </w:p>
          <w:p w14:paraId="06F8DD00" w14:textId="7A98152C" w:rsidR="00343F13" w:rsidRDefault="002371AC" w:rsidP="00343F13">
            <w:pPr>
              <w:jc w:val="both"/>
              <w:rPr>
                <w:lang w:val="bg-BG"/>
              </w:rPr>
            </w:pPr>
            <w:r>
              <w:rPr>
                <w:lang w:val="bg-BG"/>
              </w:rPr>
              <w:t xml:space="preserve">За да се осигури възможност за реализиране на проекти с потенциал за иновации </w:t>
            </w:r>
            <w:r w:rsidR="003A6EA0">
              <w:rPr>
                <w:lang w:val="bg-BG"/>
              </w:rPr>
              <w:t>в сферата на селското стопанств</w:t>
            </w:r>
            <w:r w:rsidR="00343F13">
              <w:rPr>
                <w:lang w:val="bg-BG"/>
              </w:rPr>
              <w:t xml:space="preserve">о </w:t>
            </w:r>
            <w:r>
              <w:rPr>
                <w:lang w:val="bg-BG"/>
              </w:rPr>
              <w:t>въз основа на подхода „от долу нагоре“</w:t>
            </w:r>
            <w:r w:rsidR="00343F13">
              <w:rPr>
                <w:lang w:val="bg-BG"/>
              </w:rPr>
              <w:t>, адресиращи идентифицираните потребности</w:t>
            </w:r>
            <w:r w:rsidR="003A6EA0">
              <w:rPr>
                <w:lang w:val="en-US"/>
              </w:rPr>
              <w:t xml:space="preserve"> </w:t>
            </w:r>
            <w:r w:rsidR="003A6EA0">
              <w:rPr>
                <w:lang w:val="bg-BG"/>
              </w:rPr>
              <w:t xml:space="preserve">в рамките на </w:t>
            </w:r>
            <w:r w:rsidR="003A6EA0" w:rsidRPr="00C245AA">
              <w:rPr>
                <w:lang w:val="bg-BG"/>
              </w:rPr>
              <w:t>специфична цел „Модернизиране на сектора чрез стимулиране и споделяне на знанията, иновациите и цифровизацията в селското стопанство и селските райони и насърчаване на използването им в по-голяма степен“</w:t>
            </w:r>
            <w:r w:rsidR="00343F13">
              <w:rPr>
                <w:lang w:val="bg-BG"/>
              </w:rPr>
              <w:t>,</w:t>
            </w:r>
            <w:r>
              <w:rPr>
                <w:lang w:val="bg-BG"/>
              </w:rPr>
              <w:t xml:space="preserve"> ще бъде предвидена възможност за изпълнение на проекти, реализирани от оперативни групи в рамките на ЕПИ на два етапа</w:t>
            </w:r>
            <w:r w:rsidR="00343F13">
              <w:rPr>
                <w:lang w:val="bg-BG"/>
              </w:rPr>
              <w:t xml:space="preserve">. </w:t>
            </w:r>
          </w:p>
          <w:p w14:paraId="4485CEE6" w14:textId="523061C3" w:rsidR="00B2102D" w:rsidRPr="00655E40" w:rsidRDefault="00343F13" w:rsidP="003A6EA0">
            <w:pPr>
              <w:jc w:val="both"/>
              <w:rPr>
                <w:lang w:val="bg-BG"/>
              </w:rPr>
            </w:pPr>
            <w:r>
              <w:rPr>
                <w:lang w:val="bg-BG"/>
              </w:rPr>
              <w:t>Първият</w:t>
            </w:r>
            <w:r w:rsidR="002371AC">
              <w:rPr>
                <w:lang w:val="bg-BG"/>
              </w:rPr>
              <w:t xml:space="preserve"> етап ще осигури възможност за предварително проучване на приложимостта на проектн</w:t>
            </w:r>
            <w:r w:rsidR="00D02A22">
              <w:rPr>
                <w:lang w:val="bg-BG"/>
              </w:rPr>
              <w:t>и</w:t>
            </w:r>
            <w:r w:rsidR="002371AC">
              <w:rPr>
                <w:lang w:val="bg-BG"/>
              </w:rPr>
              <w:t>т</w:t>
            </w:r>
            <w:r w:rsidR="00D02A22">
              <w:rPr>
                <w:lang w:val="bg-BG"/>
              </w:rPr>
              <w:t>е</w:t>
            </w:r>
            <w:r w:rsidR="002371AC">
              <w:rPr>
                <w:lang w:val="bg-BG"/>
              </w:rPr>
              <w:t xml:space="preserve"> предложени</w:t>
            </w:r>
            <w:r w:rsidR="00D02A22">
              <w:rPr>
                <w:lang w:val="bg-BG"/>
              </w:rPr>
              <w:t>я</w:t>
            </w:r>
            <w:r w:rsidR="002371AC">
              <w:rPr>
                <w:lang w:val="bg-BG"/>
              </w:rPr>
              <w:t xml:space="preserve"> и </w:t>
            </w:r>
            <w:r w:rsidR="00AE486B">
              <w:rPr>
                <w:lang w:val="bg-BG"/>
              </w:rPr>
              <w:t>ще подпомогне</w:t>
            </w:r>
            <w:r w:rsidR="002371AC">
              <w:rPr>
                <w:lang w:val="bg-BG"/>
              </w:rPr>
              <w:t xml:space="preserve"> процеса по разширяване на оперативните групи, </w:t>
            </w:r>
            <w:r w:rsidR="00AE486B">
              <w:rPr>
                <w:lang w:val="bg-BG"/>
              </w:rPr>
              <w:t xml:space="preserve">чрез обеднинение на </w:t>
            </w:r>
            <w:r w:rsidR="00D02A22">
              <w:rPr>
                <w:lang w:val="bg-BG"/>
              </w:rPr>
              <w:t xml:space="preserve">по-голям брой </w:t>
            </w:r>
            <w:r w:rsidR="00AE486B">
              <w:rPr>
                <w:lang w:val="bg-BG"/>
              </w:rPr>
              <w:t xml:space="preserve">участници, търсещи решение на един и същи проблем, </w:t>
            </w:r>
            <w:r w:rsidR="003A6EA0">
              <w:rPr>
                <w:lang w:val="bg-BG"/>
              </w:rPr>
              <w:t>в контекста на СЗИСС</w:t>
            </w:r>
            <w:r>
              <w:rPr>
                <w:lang w:val="bg-BG"/>
              </w:rPr>
              <w:t xml:space="preserve">, а втория етап ще предостави възможност за подпомагане реализирането на същинската част </w:t>
            </w:r>
            <w:r w:rsidR="003A6EA0">
              <w:rPr>
                <w:lang w:val="bg-BG"/>
              </w:rPr>
              <w:t xml:space="preserve">на </w:t>
            </w:r>
            <w:r>
              <w:rPr>
                <w:lang w:val="bg-BG"/>
              </w:rPr>
              <w:t>проектните предложения</w:t>
            </w:r>
            <w:r w:rsidR="00455910">
              <w:rPr>
                <w:lang w:val="bg-BG"/>
              </w:rPr>
              <w:t>, притежаващи</w:t>
            </w:r>
            <w:r>
              <w:rPr>
                <w:lang w:val="bg-BG"/>
              </w:rPr>
              <w:t xml:space="preserve"> потенциал за </w:t>
            </w:r>
            <w:r w:rsidR="003A6EA0">
              <w:rPr>
                <w:lang w:val="bg-BG"/>
              </w:rPr>
              <w:t xml:space="preserve">успешно </w:t>
            </w:r>
            <w:r w:rsidR="00455910">
              <w:rPr>
                <w:lang w:val="bg-BG"/>
              </w:rPr>
              <w:t>внедряване на иновативни идеи в практиката.</w:t>
            </w:r>
            <w:r>
              <w:rPr>
                <w:lang w:val="bg-BG"/>
              </w:rPr>
              <w:t xml:space="preserve"> </w:t>
            </w:r>
          </w:p>
        </w:tc>
      </w:tr>
    </w:tbl>
    <w:p w14:paraId="47213A43" w14:textId="77777777" w:rsidR="005F556B" w:rsidRDefault="005F556B" w:rsidP="005F556B">
      <w:pPr>
        <w:jc w:val="both"/>
        <w:rPr>
          <w:lang w:val="bg-BG"/>
        </w:rPr>
      </w:pPr>
    </w:p>
    <w:p w14:paraId="60C502EA" w14:textId="77777777" w:rsidR="00BC2D56" w:rsidRPr="0046113A" w:rsidRDefault="005F556B" w:rsidP="0046113A">
      <w:pPr>
        <w:pStyle w:val="ListParagraph"/>
        <w:numPr>
          <w:ilvl w:val="0"/>
          <w:numId w:val="2"/>
        </w:numPr>
        <w:spacing w:line="240" w:lineRule="auto"/>
        <w:jc w:val="both"/>
        <w:rPr>
          <w:b/>
          <w:lang w:val="bg-BG"/>
        </w:rPr>
      </w:pPr>
      <w:r w:rsidRPr="0046113A">
        <w:rPr>
          <w:b/>
          <w:lang w:val="bg-BG"/>
        </w:rPr>
        <w:t xml:space="preserve">Идентифициране на съответните базови елементи (напр. </w:t>
      </w:r>
      <w:r w:rsidR="004D47EE" w:rsidRPr="0046113A">
        <w:rPr>
          <w:b/>
          <w:lang w:val="bg-BG"/>
        </w:rPr>
        <w:t xml:space="preserve">съответните </w:t>
      </w:r>
      <w:r w:rsidRPr="0046113A">
        <w:rPr>
          <w:b/>
          <w:lang w:val="bg-BG"/>
        </w:rPr>
        <w:t>GAEC или нормативно установени изисквания за управление (SMR), където е приложимо, и обяснение за това как ангажиментите надхвърлят задължителните изисквания:</w:t>
      </w:r>
    </w:p>
    <w:p w14:paraId="010DBE67" w14:textId="77777777" w:rsidR="005F556B" w:rsidRPr="00BC2D56" w:rsidRDefault="00BC2D56" w:rsidP="005F556B">
      <w:pPr>
        <w:spacing w:line="240" w:lineRule="auto"/>
        <w:jc w:val="both"/>
        <w:rPr>
          <w:i/>
          <w:lang w:val="bg-BG"/>
        </w:rPr>
      </w:pPr>
      <w:r w:rsidRPr="00BC2D56">
        <w:rPr>
          <w:i/>
          <w:lang w:val="bg-BG"/>
        </w:rPr>
        <w:t>/за интервенции в областта на околната среда и климата, артикулацията с изискванията за условност трябва да показват, че практиките се допълват и не се припокриват/</w:t>
      </w:r>
    </w:p>
    <w:tbl>
      <w:tblPr>
        <w:tblStyle w:val="TableGrid"/>
        <w:tblW w:w="0" w:type="auto"/>
        <w:tblLook w:val="04A0" w:firstRow="1" w:lastRow="0" w:firstColumn="1" w:lastColumn="0" w:noHBand="0" w:noVBand="1"/>
      </w:tblPr>
      <w:tblGrid>
        <w:gridCol w:w="9016"/>
      </w:tblGrid>
      <w:tr w:rsidR="005F556B" w:rsidRPr="00027128" w14:paraId="5AF13CF8" w14:textId="77777777" w:rsidTr="005F556B">
        <w:tc>
          <w:tcPr>
            <w:tcW w:w="9242" w:type="dxa"/>
          </w:tcPr>
          <w:p w14:paraId="074E1E68" w14:textId="7DE2802B" w:rsidR="00F35ECB" w:rsidRPr="00AA069F" w:rsidRDefault="007D1335" w:rsidP="005F556B">
            <w:pPr>
              <w:jc w:val="both"/>
              <w:rPr>
                <w:lang w:val="bg-BG"/>
              </w:rPr>
            </w:pPr>
            <w:r>
              <w:rPr>
                <w:lang w:val="bg-BG"/>
              </w:rPr>
              <w:t>Не</w:t>
            </w:r>
            <w:r w:rsidR="005E111D">
              <w:rPr>
                <w:lang w:val="bg-BG"/>
              </w:rPr>
              <w:t>приложимо за конкретния тип интервенция</w:t>
            </w:r>
            <w:r w:rsidR="004B5C67" w:rsidRPr="00AA069F">
              <w:rPr>
                <w:lang w:val="bg-BG"/>
              </w:rPr>
              <w:t xml:space="preserve"> </w:t>
            </w:r>
          </w:p>
        </w:tc>
      </w:tr>
    </w:tbl>
    <w:p w14:paraId="73BCDC7B" w14:textId="77777777" w:rsidR="005F556B" w:rsidRDefault="005F556B" w:rsidP="005F556B">
      <w:pPr>
        <w:spacing w:line="240" w:lineRule="auto"/>
        <w:jc w:val="both"/>
        <w:rPr>
          <w:b/>
          <w:lang w:val="bg-BG"/>
        </w:rPr>
      </w:pPr>
    </w:p>
    <w:p w14:paraId="2F634FDF" w14:textId="77777777" w:rsidR="005F556B" w:rsidRPr="0046113A" w:rsidRDefault="005F556B" w:rsidP="0046113A">
      <w:pPr>
        <w:pStyle w:val="ListParagraph"/>
        <w:numPr>
          <w:ilvl w:val="0"/>
          <w:numId w:val="2"/>
        </w:numPr>
        <w:spacing w:line="240" w:lineRule="auto"/>
        <w:jc w:val="both"/>
        <w:rPr>
          <w:b/>
          <w:lang w:val="bg-BG"/>
        </w:rPr>
      </w:pPr>
      <w:r w:rsidRPr="0046113A">
        <w:rPr>
          <w:b/>
          <w:lang w:val="bg-BG"/>
        </w:rPr>
        <w:t>Условия за допустимост:</w:t>
      </w:r>
    </w:p>
    <w:tbl>
      <w:tblPr>
        <w:tblStyle w:val="TableGrid"/>
        <w:tblW w:w="0" w:type="auto"/>
        <w:tblLook w:val="04A0" w:firstRow="1" w:lastRow="0" w:firstColumn="1" w:lastColumn="0" w:noHBand="0" w:noVBand="1"/>
      </w:tblPr>
      <w:tblGrid>
        <w:gridCol w:w="9016"/>
      </w:tblGrid>
      <w:tr w:rsidR="005F556B" w14:paraId="6F77C4F4" w14:textId="77777777" w:rsidTr="005F556B">
        <w:tc>
          <w:tcPr>
            <w:tcW w:w="9242" w:type="dxa"/>
          </w:tcPr>
          <w:p w14:paraId="498352AD" w14:textId="5D630ECB" w:rsidR="00D02A22" w:rsidRDefault="00D02A22" w:rsidP="00D02A22">
            <w:pPr>
              <w:jc w:val="both"/>
              <w:rPr>
                <w:lang w:val="bg-BG"/>
              </w:rPr>
            </w:pPr>
          </w:p>
          <w:p w14:paraId="204E5AF8" w14:textId="583A42E8" w:rsidR="007164EF" w:rsidRDefault="00D02A22" w:rsidP="00D02A22">
            <w:pPr>
              <w:jc w:val="both"/>
              <w:rPr>
                <w:lang w:val="bg-BG"/>
              </w:rPr>
            </w:pPr>
            <w:r w:rsidRPr="00AE486B">
              <w:rPr>
                <w:lang w:val="bg-BG"/>
              </w:rPr>
              <w:t xml:space="preserve">Подкрепата се предоставя за сформиране и функциониране на оперативни групи за постигането на целите на </w:t>
            </w:r>
            <w:r w:rsidR="007164EF" w:rsidRPr="007164EF">
              <w:rPr>
                <w:bCs/>
                <w:lang w:val="bg-BG"/>
              </w:rPr>
              <w:t xml:space="preserve">Европейското партньорство за иновации </w:t>
            </w:r>
            <w:r w:rsidR="007164EF">
              <w:rPr>
                <w:bCs/>
                <w:lang w:val="bg-BG"/>
              </w:rPr>
              <w:t>(</w:t>
            </w:r>
            <w:r w:rsidRPr="00AE486B">
              <w:rPr>
                <w:lang w:val="bg-BG"/>
              </w:rPr>
              <w:t>ЕПИ</w:t>
            </w:r>
            <w:r w:rsidR="007164EF">
              <w:rPr>
                <w:lang w:val="bg-BG"/>
              </w:rPr>
              <w:t>)</w:t>
            </w:r>
            <w:r w:rsidRPr="00AE486B">
              <w:rPr>
                <w:lang w:val="bg-BG"/>
              </w:rPr>
              <w:t xml:space="preserve"> за селскостопанска производителност и устойчивост, посочени в член 114 на Регламент ХХХХ/202Х.</w:t>
            </w:r>
          </w:p>
          <w:p w14:paraId="755AF9E7" w14:textId="21BB7A8F" w:rsidR="00D02A22" w:rsidRPr="00AE486B" w:rsidRDefault="00D02A22" w:rsidP="007164EF">
            <w:pPr>
              <w:jc w:val="both"/>
              <w:rPr>
                <w:lang w:val="bg-BG"/>
              </w:rPr>
            </w:pPr>
            <w:r w:rsidRPr="00AE486B">
              <w:rPr>
                <w:lang w:val="bg-BG"/>
              </w:rPr>
              <w:t xml:space="preserve"> </w:t>
            </w:r>
          </w:p>
          <w:p w14:paraId="07AEA07E" w14:textId="23820DDD" w:rsidR="00D02A22" w:rsidRDefault="00D02A22" w:rsidP="00AE486B">
            <w:pPr>
              <w:jc w:val="both"/>
              <w:rPr>
                <w:bCs/>
                <w:lang w:val="bg-BG"/>
              </w:rPr>
            </w:pPr>
            <w:r w:rsidRPr="00D02A22">
              <w:rPr>
                <w:lang w:val="bg-BG"/>
              </w:rPr>
              <w:t xml:space="preserve">Очакваният ефект </w:t>
            </w:r>
            <w:r w:rsidR="007164EF">
              <w:rPr>
                <w:lang w:val="bg-BG"/>
              </w:rPr>
              <w:t xml:space="preserve">от прилагане на интервенцията </w:t>
            </w:r>
            <w:r w:rsidRPr="00D02A22">
              <w:rPr>
                <w:lang w:val="bg-BG"/>
              </w:rPr>
              <w:t xml:space="preserve">е да се допринесе в най-голяма степен за засилване и укрепване на връзките между земеделското производство и изследователската дейност чрез </w:t>
            </w:r>
            <w:r w:rsidRPr="00D02A22">
              <w:rPr>
                <w:bCs/>
                <w:lang w:val="bg-BG"/>
              </w:rPr>
              <w:t xml:space="preserve">прилагането на </w:t>
            </w:r>
            <w:r>
              <w:rPr>
                <w:bCs/>
                <w:lang w:val="bg-BG"/>
              </w:rPr>
              <w:t xml:space="preserve">проекти с потенциал за иновации, базирани на </w:t>
            </w:r>
            <w:r w:rsidRPr="00D02A22">
              <w:rPr>
                <w:bCs/>
                <w:lang w:val="bg-BG"/>
              </w:rPr>
              <w:t>интерактивни иновационни модели.</w:t>
            </w:r>
          </w:p>
          <w:p w14:paraId="0880C986" w14:textId="77777777" w:rsidR="007164EF" w:rsidRDefault="007164EF" w:rsidP="00AE486B">
            <w:pPr>
              <w:jc w:val="both"/>
              <w:rPr>
                <w:bCs/>
                <w:lang w:val="bg-BG"/>
              </w:rPr>
            </w:pPr>
          </w:p>
          <w:p w14:paraId="2A649B4B" w14:textId="70A665DC" w:rsidR="00FF0894" w:rsidRDefault="007164EF" w:rsidP="00AE486B">
            <w:pPr>
              <w:jc w:val="both"/>
              <w:rPr>
                <w:bCs/>
                <w:lang w:val="bg-BG"/>
              </w:rPr>
            </w:pPr>
            <w:r>
              <w:rPr>
                <w:bCs/>
                <w:lang w:val="bg-BG"/>
              </w:rPr>
              <w:t xml:space="preserve">Европейското партньорство за иновации (ЕПИ) </w:t>
            </w:r>
            <w:r w:rsidR="004A7D85">
              <w:rPr>
                <w:bCs/>
                <w:lang w:val="bg-BG"/>
              </w:rPr>
              <w:t xml:space="preserve">по-конкретно </w:t>
            </w:r>
            <w:r>
              <w:rPr>
                <w:bCs/>
                <w:lang w:val="bg-BG"/>
              </w:rPr>
              <w:t>има за цел да:</w:t>
            </w:r>
          </w:p>
          <w:p w14:paraId="6A6E8DE8" w14:textId="647F5AC8" w:rsidR="007164EF" w:rsidRPr="007164EF" w:rsidRDefault="007164EF" w:rsidP="007164EF">
            <w:pPr>
              <w:numPr>
                <w:ilvl w:val="0"/>
                <w:numId w:val="23"/>
              </w:numPr>
              <w:jc w:val="both"/>
              <w:rPr>
                <w:bCs/>
                <w:lang w:val="bg-BG"/>
              </w:rPr>
            </w:pPr>
            <w:r w:rsidRPr="007164EF">
              <w:rPr>
                <w:bCs/>
                <w:lang w:val="bg-BG"/>
              </w:rPr>
              <w:lastRenderedPageBreak/>
              <w:t xml:space="preserve">създава добавена стойност чрез по-добро свързване на научноизследователската дейност и селскостопанската практика и </w:t>
            </w:r>
            <w:r>
              <w:rPr>
                <w:bCs/>
                <w:lang w:val="bg-BG"/>
              </w:rPr>
              <w:t>да</w:t>
            </w:r>
            <w:r w:rsidRPr="007164EF">
              <w:rPr>
                <w:bCs/>
                <w:lang w:val="bg-BG"/>
              </w:rPr>
              <w:t xml:space="preserve"> насърчава по-широкото използване на наличните иновационни мерки;</w:t>
            </w:r>
          </w:p>
          <w:p w14:paraId="2E46F5B1" w14:textId="0339BAF6" w:rsidR="007164EF" w:rsidRPr="007164EF" w:rsidRDefault="007164EF" w:rsidP="007164EF">
            <w:pPr>
              <w:numPr>
                <w:ilvl w:val="0"/>
                <w:numId w:val="23"/>
              </w:numPr>
              <w:jc w:val="both"/>
              <w:rPr>
                <w:bCs/>
                <w:lang w:val="bg-BG"/>
              </w:rPr>
            </w:pPr>
            <w:r>
              <w:rPr>
                <w:bCs/>
                <w:lang w:val="bg-BG"/>
              </w:rPr>
              <w:t>установява</w:t>
            </w:r>
            <w:r w:rsidRPr="007164EF">
              <w:rPr>
                <w:bCs/>
                <w:lang w:val="bg-BG"/>
              </w:rPr>
              <w:t xml:space="preserve"> връзка между участниците в областта на иновациите и съответните проекти;</w:t>
            </w:r>
          </w:p>
          <w:p w14:paraId="734C5D2A" w14:textId="05B5623E" w:rsidR="007164EF" w:rsidRPr="007164EF" w:rsidRDefault="007164EF" w:rsidP="007164EF">
            <w:pPr>
              <w:numPr>
                <w:ilvl w:val="0"/>
                <w:numId w:val="23"/>
              </w:numPr>
              <w:jc w:val="both"/>
              <w:rPr>
                <w:bCs/>
                <w:lang w:val="bg-BG"/>
              </w:rPr>
            </w:pPr>
            <w:r w:rsidRPr="007164EF">
              <w:rPr>
                <w:bCs/>
                <w:lang w:val="bg-BG"/>
              </w:rPr>
              <w:t>насърчава по-бързо и по-широкообхватно прилагане на нова</w:t>
            </w:r>
            <w:r>
              <w:rPr>
                <w:bCs/>
                <w:lang w:val="bg-BG"/>
              </w:rPr>
              <w:t xml:space="preserve">торските решения в практиката; </w:t>
            </w:r>
          </w:p>
          <w:p w14:paraId="3059808A" w14:textId="0DC0D639" w:rsidR="007164EF" w:rsidRPr="007164EF" w:rsidRDefault="007164EF" w:rsidP="00AE486B">
            <w:pPr>
              <w:numPr>
                <w:ilvl w:val="0"/>
                <w:numId w:val="23"/>
              </w:numPr>
              <w:jc w:val="both"/>
              <w:rPr>
                <w:bCs/>
                <w:lang w:val="bg-BG"/>
              </w:rPr>
            </w:pPr>
            <w:r w:rsidRPr="007164EF">
              <w:rPr>
                <w:bCs/>
                <w:lang w:val="bg-BG"/>
              </w:rPr>
              <w:t>информира научната общност за нуждите от изследвания в полза на селскостопанската практика.</w:t>
            </w:r>
          </w:p>
          <w:p w14:paraId="791CA304" w14:textId="2AD6A618" w:rsidR="00D02A22" w:rsidRDefault="00D02A22" w:rsidP="00AE486B">
            <w:pPr>
              <w:jc w:val="both"/>
              <w:rPr>
                <w:b/>
                <w:lang w:val="bg-BG"/>
              </w:rPr>
            </w:pPr>
            <w:r w:rsidRPr="00D02A22">
              <w:rPr>
                <w:b/>
                <w:bCs/>
                <w:lang w:val="bg-BG"/>
              </w:rPr>
              <w:t xml:space="preserve">  </w:t>
            </w:r>
          </w:p>
          <w:p w14:paraId="1EED22CA" w14:textId="04CD2925" w:rsidR="00AE486B" w:rsidRPr="00D02A22" w:rsidRDefault="00AE486B" w:rsidP="00AE486B">
            <w:pPr>
              <w:jc w:val="both"/>
              <w:rPr>
                <w:b/>
                <w:lang w:val="bg-BG"/>
              </w:rPr>
            </w:pPr>
            <w:r w:rsidRPr="00AE486B">
              <w:rPr>
                <w:b/>
                <w:lang w:val="bg-BG"/>
              </w:rPr>
              <w:t>1. Условия за допустимост на кандидатите:</w:t>
            </w:r>
          </w:p>
          <w:p w14:paraId="41B1D3B6" w14:textId="3393BE5B" w:rsidR="00AE486B" w:rsidRPr="00AE486B" w:rsidRDefault="00AE486B" w:rsidP="00AE486B">
            <w:pPr>
              <w:jc w:val="both"/>
              <w:rPr>
                <w:lang w:val="bg-BG"/>
              </w:rPr>
            </w:pPr>
            <w:r w:rsidRPr="00AE486B">
              <w:rPr>
                <w:lang w:val="bg-BG"/>
              </w:rPr>
              <w:t>Оперативните групи са обединения</w:t>
            </w:r>
            <w:r w:rsidR="00006153">
              <w:rPr>
                <w:lang w:val="bg-BG"/>
              </w:rPr>
              <w:t>, създадени</w:t>
            </w:r>
            <w:r w:rsidR="005D211E">
              <w:rPr>
                <w:lang w:val="bg-BG"/>
              </w:rPr>
              <w:t xml:space="preserve"> по реда на</w:t>
            </w:r>
            <w:r w:rsidRPr="00AE486B">
              <w:rPr>
                <w:lang w:val="bg-BG"/>
              </w:rPr>
              <w:t xml:space="preserve"> Закона за задълженията и договорите, включващи най-малко </w:t>
            </w:r>
            <w:r w:rsidR="006D6DD6">
              <w:rPr>
                <w:lang w:val="bg-BG"/>
              </w:rPr>
              <w:t>един земеделски стопанин и един представител на науката</w:t>
            </w:r>
            <w:r w:rsidRPr="00AE486B">
              <w:rPr>
                <w:lang w:val="bg-BG"/>
              </w:rPr>
              <w:t>. Оперативните групи се сформират за изпълнение на конкретен иновативен проект за конкретен период на действие.</w:t>
            </w:r>
          </w:p>
          <w:p w14:paraId="36998F97" w14:textId="77777777" w:rsidR="00AE486B" w:rsidRPr="00AE486B" w:rsidRDefault="00AE486B" w:rsidP="00AE486B">
            <w:pPr>
              <w:jc w:val="both"/>
              <w:rPr>
                <w:lang w:val="bg-BG"/>
              </w:rPr>
            </w:pPr>
          </w:p>
          <w:p w14:paraId="29033A92" w14:textId="10CECE9A" w:rsidR="00AE486B" w:rsidRPr="00AE486B" w:rsidRDefault="00AE486B" w:rsidP="00AE486B">
            <w:pPr>
              <w:jc w:val="both"/>
              <w:rPr>
                <w:lang w:val="bg-BG"/>
              </w:rPr>
            </w:pPr>
            <w:r w:rsidRPr="00AE486B">
              <w:rPr>
                <w:lang w:val="bg-BG"/>
              </w:rPr>
              <w:t>Опер</w:t>
            </w:r>
            <w:r>
              <w:rPr>
                <w:lang w:val="bg-BG"/>
              </w:rPr>
              <w:t>ативн</w:t>
            </w:r>
            <w:r w:rsidR="003A6EA0">
              <w:rPr>
                <w:lang w:val="bg-BG"/>
              </w:rPr>
              <w:t>ите</w:t>
            </w:r>
            <w:r>
              <w:rPr>
                <w:lang w:val="bg-BG"/>
              </w:rPr>
              <w:t xml:space="preserve"> груп</w:t>
            </w:r>
            <w:r w:rsidR="003A6EA0">
              <w:rPr>
                <w:lang w:val="bg-BG"/>
              </w:rPr>
              <w:t>и</w:t>
            </w:r>
            <w:r>
              <w:rPr>
                <w:lang w:val="bg-BG"/>
              </w:rPr>
              <w:t xml:space="preserve"> мо</w:t>
            </w:r>
            <w:r w:rsidR="003A6EA0">
              <w:rPr>
                <w:lang w:val="bg-BG"/>
              </w:rPr>
              <w:t>гат</w:t>
            </w:r>
            <w:r>
              <w:rPr>
                <w:lang w:val="bg-BG"/>
              </w:rPr>
              <w:t xml:space="preserve"> да включва</w:t>
            </w:r>
            <w:r w:rsidR="003A6EA0">
              <w:rPr>
                <w:lang w:val="bg-BG"/>
              </w:rPr>
              <w:t>т като участници</w:t>
            </w:r>
            <w:r>
              <w:rPr>
                <w:lang w:val="bg-BG"/>
              </w:rPr>
              <w:t>:</w:t>
            </w:r>
          </w:p>
          <w:p w14:paraId="7BEAC05D" w14:textId="2513B98C" w:rsidR="00AE486B" w:rsidRPr="00AE486B" w:rsidRDefault="00AE486B" w:rsidP="006D6DD6">
            <w:pPr>
              <w:pStyle w:val="ListParagraph"/>
              <w:numPr>
                <w:ilvl w:val="0"/>
                <w:numId w:val="24"/>
              </w:numPr>
              <w:spacing w:before="120" w:after="120"/>
              <w:contextualSpacing w:val="0"/>
              <w:jc w:val="both"/>
              <w:rPr>
                <w:lang w:val="bg-BG"/>
              </w:rPr>
            </w:pPr>
            <w:r w:rsidRPr="00AE486B">
              <w:rPr>
                <w:lang w:val="bg-BG"/>
              </w:rPr>
              <w:t>Регистрирани земеделски стопани, в т.ч. признати групи или организации на производители;</w:t>
            </w:r>
          </w:p>
          <w:p w14:paraId="77E29B01" w14:textId="0AFA43C2" w:rsidR="00AE486B" w:rsidRPr="00AE486B" w:rsidRDefault="00AE486B" w:rsidP="006D6DD6">
            <w:pPr>
              <w:pStyle w:val="ListParagraph"/>
              <w:numPr>
                <w:ilvl w:val="0"/>
                <w:numId w:val="24"/>
              </w:numPr>
              <w:spacing w:before="120" w:after="120"/>
              <w:contextualSpacing w:val="0"/>
              <w:jc w:val="both"/>
              <w:rPr>
                <w:lang w:val="bg-BG"/>
              </w:rPr>
            </w:pPr>
            <w:r w:rsidRPr="00AE486B">
              <w:rPr>
                <w:lang w:val="bg-BG"/>
              </w:rPr>
              <w:t>Научни институти или опитни станции, които извършват научни изследвания и научно обслужване в областта на селското стопанство или горското стопанство или биотехнологиите или хранителните технологии, които са организации по Закона за Селскостопанската академия или Закона за Българската академия на науките, както и специализирани държавни структури в областта на науката и научните изследвания;</w:t>
            </w:r>
          </w:p>
          <w:p w14:paraId="4B6172DE" w14:textId="4AA0BAB9" w:rsidR="00AE486B" w:rsidRPr="00AE486B" w:rsidRDefault="00AE486B" w:rsidP="006D6DD6">
            <w:pPr>
              <w:pStyle w:val="ListParagraph"/>
              <w:numPr>
                <w:ilvl w:val="0"/>
                <w:numId w:val="24"/>
              </w:numPr>
              <w:spacing w:before="120" w:after="120"/>
              <w:contextualSpacing w:val="0"/>
              <w:jc w:val="both"/>
              <w:rPr>
                <w:lang w:val="bg-BG"/>
              </w:rPr>
            </w:pPr>
            <w:r w:rsidRPr="00AE486B">
              <w:rPr>
                <w:lang w:val="bg-BG"/>
              </w:rPr>
              <w:t>Висши училища, акредитирани по Закона за висшето образование с актуални акредитации по професионални направления  „Растениевъдство“, „Растителна защита“, “Животновъдство“</w:t>
            </w:r>
            <w:r w:rsidR="007E685E">
              <w:rPr>
                <w:lang w:val="bg-BG"/>
              </w:rPr>
              <w:t>,</w:t>
            </w:r>
            <w:r w:rsidRPr="00AE486B">
              <w:rPr>
                <w:lang w:val="bg-BG"/>
              </w:rPr>
              <w:t xml:space="preserve"> „Ветеринарна медицина“, „Горско стопанство“, „Хранителни технологии“, „Биотехнологии“, „Науки за земята“;</w:t>
            </w:r>
          </w:p>
          <w:p w14:paraId="74809213" w14:textId="5058A736" w:rsidR="00AE486B" w:rsidRPr="00AE486B" w:rsidRDefault="00AE486B" w:rsidP="006D6DD6">
            <w:pPr>
              <w:pStyle w:val="ListParagraph"/>
              <w:numPr>
                <w:ilvl w:val="0"/>
                <w:numId w:val="24"/>
              </w:numPr>
              <w:spacing w:before="120" w:after="120"/>
              <w:contextualSpacing w:val="0"/>
              <w:jc w:val="both"/>
              <w:rPr>
                <w:lang w:val="bg-BG"/>
              </w:rPr>
            </w:pPr>
            <w:r w:rsidRPr="00AE486B">
              <w:rPr>
                <w:lang w:val="bg-BG"/>
              </w:rPr>
              <w:t>Неправителствени организации с предмет на дейност в областта на селското стопанство или в областта на горското стопанство или опазване на околната среда или водите или дигиталните технологии;</w:t>
            </w:r>
          </w:p>
          <w:p w14:paraId="0370E488" w14:textId="50E5EE92" w:rsidR="00AE486B" w:rsidRPr="00AE486B" w:rsidRDefault="00AE486B" w:rsidP="006D6DD6">
            <w:pPr>
              <w:pStyle w:val="ListParagraph"/>
              <w:numPr>
                <w:ilvl w:val="0"/>
                <w:numId w:val="24"/>
              </w:numPr>
              <w:spacing w:before="120" w:after="120"/>
              <w:contextualSpacing w:val="0"/>
              <w:jc w:val="both"/>
              <w:rPr>
                <w:lang w:val="bg-BG"/>
              </w:rPr>
            </w:pPr>
            <w:r w:rsidRPr="00AE486B">
              <w:rPr>
                <w:lang w:val="bg-BG"/>
              </w:rPr>
              <w:t>МСП в областта на преработката на селскостопански продукти;</w:t>
            </w:r>
          </w:p>
          <w:p w14:paraId="1CFBF22D" w14:textId="1C4EC128" w:rsidR="00AE486B" w:rsidRPr="00AE486B" w:rsidRDefault="00AE486B" w:rsidP="006D6DD6">
            <w:pPr>
              <w:pStyle w:val="ListParagraph"/>
              <w:numPr>
                <w:ilvl w:val="0"/>
                <w:numId w:val="24"/>
              </w:numPr>
              <w:spacing w:before="120" w:after="120"/>
              <w:contextualSpacing w:val="0"/>
              <w:jc w:val="both"/>
              <w:rPr>
                <w:lang w:val="bg-BG"/>
              </w:rPr>
            </w:pPr>
            <w:r w:rsidRPr="00AE486B">
              <w:rPr>
                <w:lang w:val="bg-BG"/>
              </w:rPr>
              <w:t>Консултантски организации с предмет на консултантската дейност в областта на селското стопанство или храните в т.ч. НССЗ.</w:t>
            </w:r>
          </w:p>
          <w:p w14:paraId="360FB817" w14:textId="77777777" w:rsidR="005D211E" w:rsidRDefault="005D211E" w:rsidP="00AE486B">
            <w:pPr>
              <w:jc w:val="both"/>
              <w:rPr>
                <w:lang w:val="bg-BG"/>
              </w:rPr>
            </w:pPr>
          </w:p>
          <w:p w14:paraId="480D01ED" w14:textId="27C213EE" w:rsidR="005D211E" w:rsidRPr="005D211E" w:rsidRDefault="005D211E" w:rsidP="00AE486B">
            <w:pPr>
              <w:jc w:val="both"/>
              <w:rPr>
                <w:b/>
                <w:lang w:val="bg-BG"/>
              </w:rPr>
            </w:pPr>
            <w:r w:rsidRPr="005D211E">
              <w:rPr>
                <w:lang w:val="bg-BG"/>
              </w:rPr>
              <w:t xml:space="preserve">В рамките на интервенцията няма да се подпомагат оперативни групи, които включват </w:t>
            </w:r>
            <w:r w:rsidR="00FF0894">
              <w:rPr>
                <w:lang w:val="bg-BG"/>
              </w:rPr>
              <w:t xml:space="preserve">единствено сътрудничество между научноизследователски </w:t>
            </w:r>
            <w:r w:rsidRPr="005D211E">
              <w:rPr>
                <w:lang w:val="bg-BG"/>
              </w:rPr>
              <w:t>организации.</w:t>
            </w:r>
            <w:r w:rsidRPr="005D211E">
              <w:rPr>
                <w:b/>
                <w:lang w:val="bg-BG"/>
              </w:rPr>
              <w:t xml:space="preserve"> </w:t>
            </w:r>
          </w:p>
          <w:p w14:paraId="6545AE4B" w14:textId="77777777" w:rsidR="005D211E" w:rsidRDefault="005D211E" w:rsidP="00AE486B">
            <w:pPr>
              <w:jc w:val="both"/>
              <w:rPr>
                <w:b/>
                <w:lang w:val="bg-BG"/>
              </w:rPr>
            </w:pPr>
          </w:p>
          <w:p w14:paraId="00850A8D" w14:textId="21D751CE" w:rsidR="00AE486B" w:rsidRDefault="00DB1156" w:rsidP="00AE486B">
            <w:pPr>
              <w:jc w:val="both"/>
              <w:rPr>
                <w:lang w:val="bg-BG"/>
              </w:rPr>
            </w:pPr>
            <w:r>
              <w:rPr>
                <w:b/>
                <w:lang w:val="bg-BG"/>
              </w:rPr>
              <w:t xml:space="preserve">2. </w:t>
            </w:r>
            <w:r w:rsidRPr="00DB1156">
              <w:rPr>
                <w:b/>
                <w:lang w:val="bg-BG"/>
              </w:rPr>
              <w:t>Условия за допустимост на проектните предложения</w:t>
            </w:r>
            <w:r>
              <w:rPr>
                <w:lang w:val="bg-BG"/>
              </w:rPr>
              <w:t>:</w:t>
            </w:r>
          </w:p>
          <w:p w14:paraId="1269AA33" w14:textId="720B18BF" w:rsidR="00DB1156" w:rsidRDefault="00AE486B" w:rsidP="00DB1156">
            <w:pPr>
              <w:jc w:val="both"/>
              <w:rPr>
                <w:lang w:val="bg-BG"/>
              </w:rPr>
            </w:pPr>
            <w:r w:rsidRPr="00AE486B">
              <w:rPr>
                <w:lang w:val="bg-BG"/>
              </w:rPr>
              <w:t>Подкрепата в рамките на интервенцията предвижда възможност за предоставяне на подпомагане за изпълнение на проекта в два етапа: първи етап - сформиране на оперативната група и втори етап - функц</w:t>
            </w:r>
            <w:r w:rsidR="00DB1156">
              <w:rPr>
                <w:lang w:val="bg-BG"/>
              </w:rPr>
              <w:t xml:space="preserve">иониране на оперативната група. </w:t>
            </w:r>
          </w:p>
          <w:p w14:paraId="06A7DC78" w14:textId="77777777" w:rsidR="00D02A22" w:rsidRDefault="00D02A22" w:rsidP="00DB1156">
            <w:pPr>
              <w:jc w:val="both"/>
              <w:rPr>
                <w:lang w:val="bg-BG"/>
              </w:rPr>
            </w:pPr>
          </w:p>
          <w:p w14:paraId="57DC3089" w14:textId="77777777" w:rsidR="00DB1156" w:rsidRPr="00AE486B" w:rsidRDefault="00DB1156" w:rsidP="00DB1156">
            <w:pPr>
              <w:jc w:val="both"/>
              <w:rPr>
                <w:lang w:val="bg-BG"/>
              </w:rPr>
            </w:pPr>
            <w:r w:rsidRPr="00AE486B">
              <w:rPr>
                <w:lang w:val="bg-BG"/>
              </w:rPr>
              <w:t>Първа фаза:</w:t>
            </w:r>
          </w:p>
          <w:p w14:paraId="353EEA69" w14:textId="0D593561" w:rsidR="00DB1156" w:rsidRPr="00AE486B" w:rsidRDefault="00DB1156" w:rsidP="00DB1156">
            <w:pPr>
              <w:jc w:val="both"/>
              <w:rPr>
                <w:lang w:val="bg-BG"/>
              </w:rPr>
            </w:pPr>
            <w:r w:rsidRPr="00AE486B">
              <w:rPr>
                <w:lang w:val="bg-BG"/>
              </w:rPr>
              <w:t>През първата фаза се пр</w:t>
            </w:r>
            <w:r w:rsidR="00F071DE">
              <w:rPr>
                <w:lang w:val="bg-BG"/>
              </w:rPr>
              <w:t>едоставя подкрепа за проучване н</w:t>
            </w:r>
            <w:r w:rsidRPr="00AE486B">
              <w:rPr>
                <w:lang w:val="bg-BG"/>
              </w:rPr>
              <w:t>а приложимостта на иновативния проект в конкретни географски райони и стопанства, анализ на конкретните производствени</w:t>
            </w:r>
            <w:r w:rsidR="00F071DE">
              <w:rPr>
                <w:lang w:val="bg-BG"/>
              </w:rPr>
              <w:t xml:space="preserve"> методи във връзка с въвеждане</w:t>
            </w:r>
            <w:r w:rsidRPr="00AE486B">
              <w:rPr>
                <w:lang w:val="bg-BG"/>
              </w:rPr>
              <w:t xml:space="preserve"> на иновативното предложение в практиката и създаване на база данни. През първата фаза е допустимо да се подкрепят и дейности за стимулиране на интерес с цел избор на подходящи стопанства за прилагане на иновативното предложение и евентуално разширение на оперативната група. Подкрепата за първата фаза се ограничава до </w:t>
            </w:r>
            <w:r>
              <w:rPr>
                <w:lang w:val="bg-BG"/>
              </w:rPr>
              <w:t xml:space="preserve">максимален период на продължителност от </w:t>
            </w:r>
            <w:r w:rsidRPr="00AE486B">
              <w:rPr>
                <w:lang w:val="bg-BG"/>
              </w:rPr>
              <w:t>една година.</w:t>
            </w:r>
          </w:p>
          <w:p w14:paraId="49B39489" w14:textId="77777777" w:rsidR="00DB1156" w:rsidRPr="00AE486B" w:rsidRDefault="00DB1156" w:rsidP="00DB1156">
            <w:pPr>
              <w:jc w:val="both"/>
              <w:rPr>
                <w:lang w:val="bg-BG"/>
              </w:rPr>
            </w:pPr>
          </w:p>
          <w:p w14:paraId="0956362C" w14:textId="77777777" w:rsidR="00DB1156" w:rsidRPr="00AE486B" w:rsidRDefault="00DB1156" w:rsidP="00DB1156">
            <w:pPr>
              <w:jc w:val="both"/>
              <w:rPr>
                <w:lang w:val="bg-BG"/>
              </w:rPr>
            </w:pPr>
            <w:r w:rsidRPr="00AE486B">
              <w:rPr>
                <w:lang w:val="bg-BG"/>
              </w:rPr>
              <w:t>Втора фаза:</w:t>
            </w:r>
          </w:p>
          <w:p w14:paraId="4B68E6C3" w14:textId="69DC7C7D" w:rsidR="00DB1156" w:rsidRPr="00AE486B" w:rsidRDefault="00DB1156" w:rsidP="00DB1156">
            <w:pPr>
              <w:jc w:val="both"/>
              <w:rPr>
                <w:lang w:val="bg-BG"/>
              </w:rPr>
            </w:pPr>
            <w:r w:rsidRPr="00AE486B">
              <w:rPr>
                <w:lang w:val="bg-BG"/>
              </w:rPr>
              <w:t>През втората фаза се предоставя подкрепа за същинското функциониране на оперативната група, в т.ч. дейностите за осъщ</w:t>
            </w:r>
            <w:r w:rsidR="007E685E">
              <w:rPr>
                <w:lang w:val="bg-BG"/>
              </w:rPr>
              <w:t xml:space="preserve">ествяване на сътрудничеството, </w:t>
            </w:r>
            <w:r w:rsidRPr="00AE486B">
              <w:rPr>
                <w:lang w:val="bg-BG"/>
              </w:rPr>
              <w:t>преките дейности за изпълнение на иновативния проект</w:t>
            </w:r>
            <w:r w:rsidR="007E685E">
              <w:rPr>
                <w:lang w:val="bg-BG"/>
              </w:rPr>
              <w:t xml:space="preserve"> и дейности, свързани с разпространение на резултатите от проекта</w:t>
            </w:r>
            <w:r w:rsidRPr="00AE486B">
              <w:rPr>
                <w:lang w:val="bg-BG"/>
              </w:rPr>
              <w:t>. Продължителността на втората фаза се посочва и обосновава в зависимост от иновативното предложение и очакваните резултати, но не може да бъде по-дълга от 5 години.</w:t>
            </w:r>
          </w:p>
          <w:p w14:paraId="17D8AEF7" w14:textId="77777777" w:rsidR="00AE486B" w:rsidRPr="00AE486B" w:rsidRDefault="00AE486B" w:rsidP="00AE486B">
            <w:pPr>
              <w:jc w:val="both"/>
              <w:rPr>
                <w:lang w:val="bg-BG"/>
              </w:rPr>
            </w:pPr>
          </w:p>
          <w:p w14:paraId="611B7978" w14:textId="0115041E" w:rsidR="00AE486B" w:rsidRPr="007164EF" w:rsidRDefault="00AE486B" w:rsidP="00AE486B">
            <w:pPr>
              <w:jc w:val="both"/>
              <w:rPr>
                <w:lang w:val="bg-BG"/>
              </w:rPr>
            </w:pPr>
            <w:r w:rsidRPr="00DB1156">
              <w:rPr>
                <w:lang w:val="bg-BG"/>
              </w:rPr>
              <w:t>Всяка оперативна група изготвя план за изпълнение на иновативен проект, който може да включва разработване на ин</w:t>
            </w:r>
            <w:r w:rsidR="00DB1156" w:rsidRPr="00DB1156">
              <w:rPr>
                <w:lang w:val="bg-BG"/>
              </w:rPr>
              <w:t>овативния проект (</w:t>
            </w:r>
            <w:r w:rsidR="007E685E">
              <w:rPr>
                <w:lang w:val="bg-BG"/>
              </w:rPr>
              <w:t xml:space="preserve">първа фаза - </w:t>
            </w:r>
            <w:r w:rsidR="00DB1156" w:rsidRPr="00DB1156">
              <w:rPr>
                <w:lang w:val="bg-BG"/>
              </w:rPr>
              <w:t xml:space="preserve">подготвителна </w:t>
            </w:r>
            <w:r w:rsidR="007E685E">
              <w:rPr>
                <w:lang w:val="bg-BG"/>
              </w:rPr>
              <w:t>част</w:t>
            </w:r>
            <w:r w:rsidR="00DB1156">
              <w:rPr>
                <w:lang w:val="bg-BG"/>
              </w:rPr>
              <w:t xml:space="preserve">) и реализиране на </w:t>
            </w:r>
            <w:r w:rsidR="007164EF">
              <w:rPr>
                <w:lang w:val="bg-BG"/>
              </w:rPr>
              <w:t>предвидените дейности</w:t>
            </w:r>
            <w:r w:rsidR="007E685E">
              <w:rPr>
                <w:lang w:val="bg-BG"/>
              </w:rPr>
              <w:t xml:space="preserve"> (втора фаза – </w:t>
            </w:r>
            <w:r w:rsidR="00E90F8B">
              <w:rPr>
                <w:lang w:val="bg-BG"/>
              </w:rPr>
              <w:t>функциониране на оперативната група</w:t>
            </w:r>
            <w:r w:rsidR="007E685E">
              <w:rPr>
                <w:lang w:val="bg-BG"/>
              </w:rPr>
              <w:t>)</w:t>
            </w:r>
            <w:r w:rsidR="007164EF">
              <w:rPr>
                <w:lang w:val="bg-BG"/>
              </w:rPr>
              <w:t>.</w:t>
            </w:r>
          </w:p>
          <w:p w14:paraId="3324A777" w14:textId="77777777" w:rsidR="007164EF" w:rsidRDefault="007164EF" w:rsidP="00AE486B">
            <w:pPr>
              <w:jc w:val="both"/>
              <w:rPr>
                <w:lang w:val="bg-BG"/>
              </w:rPr>
            </w:pPr>
          </w:p>
          <w:p w14:paraId="760FC87B" w14:textId="1F6D9D17" w:rsidR="00AE486B" w:rsidRPr="00DB1156" w:rsidRDefault="00AE486B" w:rsidP="00AE486B">
            <w:pPr>
              <w:jc w:val="both"/>
              <w:rPr>
                <w:lang w:val="bg-BG"/>
              </w:rPr>
            </w:pPr>
            <w:r w:rsidRPr="00DB1156">
              <w:rPr>
                <w:lang w:val="bg-BG"/>
              </w:rPr>
              <w:t>Иноватив</w:t>
            </w:r>
            <w:r w:rsidR="00DB1156" w:rsidRPr="00DB1156">
              <w:rPr>
                <w:lang w:val="bg-BG"/>
              </w:rPr>
              <w:t>ният проект в рамките на интерв</w:t>
            </w:r>
            <w:r w:rsidRPr="00DB1156">
              <w:rPr>
                <w:lang w:val="bg-BG"/>
              </w:rPr>
              <w:t>е</w:t>
            </w:r>
            <w:r w:rsidR="00DB1156" w:rsidRPr="00DB1156">
              <w:rPr>
                <w:lang w:val="bg-BG"/>
              </w:rPr>
              <w:t>н</w:t>
            </w:r>
            <w:r w:rsidRPr="00DB1156">
              <w:rPr>
                <w:lang w:val="bg-BG"/>
              </w:rPr>
              <w:t>цията се основава на интерактивен иновационен модел, който има за основни принципи:</w:t>
            </w:r>
          </w:p>
          <w:p w14:paraId="568B195C" w14:textId="50AE4F44" w:rsidR="00AE486B" w:rsidRPr="00DB1156" w:rsidRDefault="00AE486B" w:rsidP="00DB1156">
            <w:pPr>
              <w:pStyle w:val="ListParagraph"/>
              <w:numPr>
                <w:ilvl w:val="0"/>
                <w:numId w:val="19"/>
              </w:numPr>
              <w:jc w:val="both"/>
              <w:rPr>
                <w:lang w:val="bg-BG"/>
              </w:rPr>
            </w:pPr>
            <w:r w:rsidRPr="00DB1156">
              <w:rPr>
                <w:lang w:val="bg-BG"/>
              </w:rPr>
              <w:t>разработване на иновативни решения, фокусиращи се върху нуждите на фермерите или горските стопани, които същевременно адресират взаимодействията по веригата на доставки, когато това е полезно и приложимо;</w:t>
            </w:r>
          </w:p>
          <w:p w14:paraId="3158AFDF" w14:textId="49D6C9C2" w:rsidR="00AE486B" w:rsidRPr="00DB1156" w:rsidRDefault="00AE486B" w:rsidP="00DB1156">
            <w:pPr>
              <w:pStyle w:val="ListParagraph"/>
              <w:numPr>
                <w:ilvl w:val="0"/>
                <w:numId w:val="19"/>
              </w:numPr>
              <w:jc w:val="both"/>
              <w:rPr>
                <w:lang w:val="bg-BG"/>
              </w:rPr>
            </w:pPr>
            <w:r w:rsidRPr="00DB1156">
              <w:rPr>
                <w:lang w:val="bg-BG"/>
              </w:rPr>
              <w:t xml:space="preserve">обединяване на партньори с допълнителни знания като фермери, консултанти, изследователи, предприятия или неправителствени организации в целева комбинация, най-подходяща за постигане на целите на проекта; </w:t>
            </w:r>
          </w:p>
          <w:p w14:paraId="1EB55CBA" w14:textId="1411C83C" w:rsidR="00AE486B" w:rsidRDefault="00AE486B" w:rsidP="00AE486B">
            <w:pPr>
              <w:pStyle w:val="ListParagraph"/>
              <w:numPr>
                <w:ilvl w:val="0"/>
                <w:numId w:val="19"/>
              </w:numPr>
              <w:jc w:val="both"/>
              <w:rPr>
                <w:lang w:val="bg-BG"/>
              </w:rPr>
            </w:pPr>
            <w:r w:rsidRPr="00DB1156">
              <w:rPr>
                <w:lang w:val="bg-BG"/>
              </w:rPr>
              <w:t>съвместно вземане на решения и съвместно създаване на всеки един етап от изпълнение на проекта.</w:t>
            </w:r>
          </w:p>
          <w:p w14:paraId="33245F1C" w14:textId="77777777" w:rsidR="00DB1156" w:rsidRDefault="00DB1156" w:rsidP="00DB1156">
            <w:pPr>
              <w:jc w:val="both"/>
              <w:rPr>
                <w:lang w:val="bg-BG"/>
              </w:rPr>
            </w:pPr>
          </w:p>
          <w:p w14:paraId="10AA5BE0" w14:textId="495AC2D9" w:rsidR="009C16F5" w:rsidRDefault="009C16F5" w:rsidP="00DB1156">
            <w:pPr>
              <w:jc w:val="both"/>
              <w:rPr>
                <w:lang w:val="bg-BG"/>
              </w:rPr>
            </w:pPr>
            <w:r>
              <w:rPr>
                <w:lang w:val="bg-BG"/>
              </w:rPr>
              <w:t>За целите на прилагане на интервенцията се приема следното определение за иноваци</w:t>
            </w:r>
            <w:r w:rsidR="00545082">
              <w:rPr>
                <w:lang w:val="bg-BG"/>
              </w:rPr>
              <w:t>и</w:t>
            </w:r>
            <w:r>
              <w:rPr>
                <w:lang w:val="bg-BG"/>
              </w:rPr>
              <w:t xml:space="preserve">: </w:t>
            </w:r>
            <w:r w:rsidRPr="009C16F5">
              <w:rPr>
                <w:lang w:val="bg-BG"/>
              </w:rPr>
              <w:t>Разработването и внедряването в практиката на нов или значително подобрен продукт (стока или услуга), нов процес, нов маркетингов метод, или нов организационен метод, организация на работното място, или външни връзки, която води до повишаване на икономическа, социална или екологична ефективност.</w:t>
            </w:r>
          </w:p>
          <w:p w14:paraId="176C763C" w14:textId="77777777" w:rsidR="009C16F5" w:rsidRDefault="009C16F5" w:rsidP="00DB1156">
            <w:pPr>
              <w:jc w:val="both"/>
              <w:rPr>
                <w:lang w:val="bg-BG"/>
              </w:rPr>
            </w:pPr>
          </w:p>
          <w:p w14:paraId="66EDA8E0" w14:textId="72934935" w:rsidR="00DB1156" w:rsidRPr="00DB1156" w:rsidRDefault="00DB1156" w:rsidP="00DB1156">
            <w:pPr>
              <w:jc w:val="both"/>
              <w:rPr>
                <w:lang w:val="bg-BG"/>
              </w:rPr>
            </w:pPr>
            <w:r>
              <w:rPr>
                <w:lang w:val="bg-BG"/>
              </w:rPr>
              <w:t>Допустимите за подпомагане дейности в рамките на интервенцията следва да са</w:t>
            </w:r>
            <w:r w:rsidRPr="00DB1156">
              <w:rPr>
                <w:lang w:val="bg-BG"/>
              </w:rPr>
              <w:t xml:space="preserve"> свързани с производството, преработката и/или маркетинга на продукти, включени в Анекс № 1 на Д</w:t>
            </w:r>
            <w:r w:rsidR="004A7D85">
              <w:rPr>
                <w:lang w:val="bg-BG"/>
              </w:rPr>
              <w:t>оговора за функциониране на Европейския съюз (ДФЕС)</w:t>
            </w:r>
            <w:r w:rsidRPr="00DB1156">
              <w:rPr>
                <w:lang w:val="bg-BG"/>
              </w:rPr>
              <w:t xml:space="preserve"> или памук, с изключение на риба и рибни продукти.</w:t>
            </w:r>
          </w:p>
          <w:p w14:paraId="15617F6E" w14:textId="77777777" w:rsidR="00DB1156" w:rsidRDefault="00DB1156" w:rsidP="00AE486B">
            <w:pPr>
              <w:jc w:val="both"/>
              <w:rPr>
                <w:lang w:val="bg-BG"/>
              </w:rPr>
            </w:pPr>
          </w:p>
          <w:p w14:paraId="2EB31633" w14:textId="77777777" w:rsidR="00AE486B" w:rsidRPr="00AE486B" w:rsidRDefault="00AE486B" w:rsidP="00AE486B">
            <w:pPr>
              <w:jc w:val="both"/>
              <w:rPr>
                <w:lang w:val="bg-BG"/>
              </w:rPr>
            </w:pPr>
            <w:r w:rsidRPr="00AE486B">
              <w:rPr>
                <w:lang w:val="bg-BG"/>
              </w:rPr>
              <w:t>Одобрените оперативните групи се задължават да разпространяват резултатите от своите проекти чрез мрежите на ОСП.</w:t>
            </w:r>
          </w:p>
          <w:p w14:paraId="773F86A0" w14:textId="69D599B4" w:rsidR="00AE486B" w:rsidRPr="00AE486B" w:rsidRDefault="00AE486B" w:rsidP="00AE486B">
            <w:pPr>
              <w:jc w:val="both"/>
              <w:rPr>
                <w:lang w:val="bg-BG"/>
              </w:rPr>
            </w:pPr>
          </w:p>
          <w:p w14:paraId="75C5CC6F" w14:textId="7AA34E06" w:rsidR="00AE486B" w:rsidRDefault="00DB1156" w:rsidP="00AE486B">
            <w:pPr>
              <w:jc w:val="both"/>
              <w:rPr>
                <w:lang w:val="bg-BG"/>
              </w:rPr>
            </w:pPr>
            <w:r>
              <w:rPr>
                <w:b/>
                <w:lang w:val="bg-BG"/>
              </w:rPr>
              <w:t xml:space="preserve">3. </w:t>
            </w:r>
            <w:r w:rsidR="00AE486B" w:rsidRPr="00DB1156">
              <w:rPr>
                <w:b/>
                <w:lang w:val="bg-BG"/>
              </w:rPr>
              <w:t>Допустимите разходи</w:t>
            </w:r>
            <w:r>
              <w:rPr>
                <w:lang w:val="bg-BG"/>
              </w:rPr>
              <w:t>:</w:t>
            </w:r>
          </w:p>
          <w:p w14:paraId="4040B9A8" w14:textId="40770BA4" w:rsidR="00AE486B" w:rsidRPr="00DB1156" w:rsidRDefault="00AE486B" w:rsidP="00DB1156">
            <w:pPr>
              <w:pStyle w:val="ListParagraph"/>
              <w:numPr>
                <w:ilvl w:val="0"/>
                <w:numId w:val="20"/>
              </w:numPr>
              <w:spacing w:before="120" w:after="120"/>
              <w:contextualSpacing w:val="0"/>
              <w:jc w:val="both"/>
              <w:rPr>
                <w:lang w:val="bg-BG"/>
              </w:rPr>
            </w:pPr>
            <w:r w:rsidRPr="00DB1156">
              <w:rPr>
                <w:lang w:val="bg-BG"/>
              </w:rPr>
              <w:t>Проучвания за приложимост на иновативния проект – 5 000 евро на година за оперативна група – допустими само за първа фаза на изпълнение;</w:t>
            </w:r>
          </w:p>
          <w:p w14:paraId="0E1F3B46" w14:textId="1081FD4D" w:rsidR="00AE486B" w:rsidRPr="00DB1156" w:rsidRDefault="00AE486B" w:rsidP="00DB1156">
            <w:pPr>
              <w:pStyle w:val="ListParagraph"/>
              <w:numPr>
                <w:ilvl w:val="0"/>
                <w:numId w:val="20"/>
              </w:numPr>
              <w:spacing w:before="120" w:after="120"/>
              <w:contextualSpacing w:val="0"/>
              <w:jc w:val="both"/>
              <w:rPr>
                <w:lang w:val="bg-BG"/>
              </w:rPr>
            </w:pPr>
            <w:r w:rsidRPr="00DB1156">
              <w:rPr>
                <w:lang w:val="bg-BG"/>
              </w:rPr>
              <w:t>Стимулиране на интерес и разширяване на оперативната група – 10 000 евро на година за оперативна група – допустими само за първа фаза на изпълнение;</w:t>
            </w:r>
          </w:p>
          <w:p w14:paraId="5F31ACB7" w14:textId="548F5628" w:rsidR="00AE486B" w:rsidRPr="00DB1156" w:rsidRDefault="00AE486B" w:rsidP="00DB1156">
            <w:pPr>
              <w:pStyle w:val="ListParagraph"/>
              <w:numPr>
                <w:ilvl w:val="0"/>
                <w:numId w:val="20"/>
              </w:numPr>
              <w:spacing w:before="120" w:after="120"/>
              <w:contextualSpacing w:val="0"/>
              <w:jc w:val="both"/>
              <w:rPr>
                <w:lang w:val="bg-BG"/>
              </w:rPr>
            </w:pPr>
            <w:r w:rsidRPr="00DB1156">
              <w:rPr>
                <w:lang w:val="bg-BG"/>
              </w:rPr>
              <w:t>Текущи разходи във връзка със сътрудничеството – 30 000 евро на година за оперативна група – допустими само за втора фаза на изпълнение;</w:t>
            </w:r>
          </w:p>
          <w:p w14:paraId="35FA1D56" w14:textId="2A43AE9F" w:rsidR="00AE486B" w:rsidRDefault="00AE486B" w:rsidP="00DB1156">
            <w:pPr>
              <w:pStyle w:val="ListParagraph"/>
              <w:numPr>
                <w:ilvl w:val="0"/>
                <w:numId w:val="20"/>
              </w:numPr>
              <w:spacing w:before="120" w:after="120"/>
              <w:contextualSpacing w:val="0"/>
              <w:jc w:val="both"/>
              <w:rPr>
                <w:lang w:val="bg-BG"/>
              </w:rPr>
            </w:pPr>
            <w:r w:rsidRPr="00DB1156">
              <w:rPr>
                <w:lang w:val="bg-BG"/>
              </w:rPr>
              <w:t>Преки разходи за изпълнение на иновативния проект</w:t>
            </w:r>
            <w:r w:rsidR="00DB1156">
              <w:rPr>
                <w:lang w:val="bg-BG"/>
              </w:rPr>
              <w:t xml:space="preserve"> </w:t>
            </w:r>
            <w:r w:rsidRPr="00DB1156">
              <w:rPr>
                <w:lang w:val="bg-BG"/>
              </w:rPr>
              <w:t>съгласно представен план</w:t>
            </w:r>
            <w:r w:rsidR="00DB1156">
              <w:rPr>
                <w:lang w:val="bg-BG"/>
              </w:rPr>
              <w:t xml:space="preserve"> за изпънение</w:t>
            </w:r>
            <w:r w:rsidRPr="00DB1156">
              <w:rPr>
                <w:lang w:val="bg-BG"/>
              </w:rPr>
              <w:t xml:space="preserve"> – допустими с</w:t>
            </w:r>
            <w:r w:rsidR="00BD0537">
              <w:rPr>
                <w:lang w:val="bg-BG"/>
              </w:rPr>
              <w:t>амо за втора фаза на изпълнение;</w:t>
            </w:r>
          </w:p>
          <w:p w14:paraId="018EC688" w14:textId="4FDF1561" w:rsidR="00BD0537" w:rsidRPr="00DB1156" w:rsidRDefault="00BD0537" w:rsidP="00DB1156">
            <w:pPr>
              <w:pStyle w:val="ListParagraph"/>
              <w:numPr>
                <w:ilvl w:val="0"/>
                <w:numId w:val="20"/>
              </w:numPr>
              <w:spacing w:before="120" w:after="120"/>
              <w:contextualSpacing w:val="0"/>
              <w:jc w:val="both"/>
              <w:rPr>
                <w:lang w:val="bg-BG"/>
              </w:rPr>
            </w:pPr>
            <w:r>
              <w:rPr>
                <w:lang w:val="bg-BG"/>
              </w:rPr>
              <w:t>Разходите за популяризиране на резултатите по проекта – допустими само за втора фаза на изпълнение.</w:t>
            </w:r>
          </w:p>
          <w:p w14:paraId="1B2EDA42" w14:textId="76B3D8A6" w:rsidR="005F7C04" w:rsidRPr="005F7C04" w:rsidRDefault="00F071DE" w:rsidP="00AE486B">
            <w:pPr>
              <w:jc w:val="both"/>
              <w:rPr>
                <w:lang w:val="bg-BG"/>
              </w:rPr>
            </w:pPr>
            <w:r>
              <w:rPr>
                <w:lang w:val="bg-BG"/>
              </w:rPr>
              <w:t>Преките разходи</w:t>
            </w:r>
            <w:r w:rsidR="00AE486B" w:rsidRPr="00AE486B">
              <w:rPr>
                <w:lang w:val="bg-BG"/>
              </w:rPr>
              <w:t xml:space="preserve"> за изпълнение на иновативния проект могат да включват инвестиционни и неинвестиционни разходи. Подпомагането за инвестиционните разходи не покрива пълното </w:t>
            </w:r>
            <w:r w:rsidR="00AE486B" w:rsidRPr="00AE486B">
              <w:rPr>
                <w:lang w:val="bg-BG"/>
              </w:rPr>
              <w:lastRenderedPageBreak/>
              <w:t>придобиване на активите, а по-скоро само тяхното използване/амортизация за целия период на конкретния проект (изчислена съгласно нормалната добрата счетоводна практика) и намалена в зависимост от степента на използването му за проекта.</w:t>
            </w:r>
          </w:p>
        </w:tc>
      </w:tr>
    </w:tbl>
    <w:p w14:paraId="60CBC092" w14:textId="77777777" w:rsidR="005F556B" w:rsidRDefault="005F556B" w:rsidP="005F556B">
      <w:pPr>
        <w:spacing w:line="240" w:lineRule="auto"/>
        <w:jc w:val="both"/>
        <w:rPr>
          <w:b/>
        </w:rPr>
      </w:pPr>
    </w:p>
    <w:p w14:paraId="03A78BAB" w14:textId="77777777" w:rsidR="00B92EB3" w:rsidRPr="0046113A" w:rsidRDefault="00B92EB3" w:rsidP="0046113A">
      <w:pPr>
        <w:pStyle w:val="ListParagraph"/>
        <w:numPr>
          <w:ilvl w:val="0"/>
          <w:numId w:val="2"/>
        </w:numPr>
        <w:spacing w:line="240" w:lineRule="auto"/>
        <w:jc w:val="both"/>
        <w:rPr>
          <w:b/>
          <w:lang w:val="bg-BG"/>
        </w:rPr>
      </w:pPr>
      <w:r w:rsidRPr="0046113A">
        <w:rPr>
          <w:b/>
          <w:lang w:val="bg-BG"/>
        </w:rPr>
        <w:t>Съвместимост на интервенцията със споразумението на СТО за селското стопанство:</w:t>
      </w:r>
    </w:p>
    <w:p w14:paraId="4DA5BE71" w14:textId="77777777" w:rsidR="00B92EB3" w:rsidRDefault="00B92EB3" w:rsidP="005F556B">
      <w:pPr>
        <w:spacing w:line="240" w:lineRule="auto"/>
        <w:jc w:val="both"/>
        <w:rPr>
          <w:i/>
          <w:lang w:val="bg-BG"/>
        </w:rPr>
      </w:pPr>
      <w:r>
        <w:rPr>
          <w:i/>
          <w:lang w:val="bg-BG"/>
        </w:rPr>
        <w:t>/</w:t>
      </w:r>
      <w:r w:rsidRPr="00B92EB3">
        <w:rPr>
          <w:i/>
          <w:lang w:val="bg-BG"/>
        </w:rPr>
        <w:t xml:space="preserve">За всяка интервенция, която </w:t>
      </w:r>
      <w:r w:rsidRPr="00B92EB3">
        <w:rPr>
          <w:i/>
          <w:u w:val="single"/>
          <w:lang w:val="bg-BG"/>
        </w:rPr>
        <w:t>се</w:t>
      </w:r>
      <w:r w:rsidRPr="00B92EB3">
        <w:rPr>
          <w:i/>
          <w:lang w:val="bg-BG"/>
        </w:rPr>
        <w:t xml:space="preserve"> основава на видовете интервенции, изброени в приложение II към регламент</w:t>
      </w:r>
      <w:r>
        <w:rPr>
          <w:i/>
          <w:lang w:val="bg-BG"/>
        </w:rPr>
        <w:t>а за Стратегическите планове по ОСП</w:t>
      </w:r>
      <w:r w:rsidRPr="00B92EB3">
        <w:rPr>
          <w:i/>
          <w:lang w:val="bg-BG"/>
        </w:rPr>
        <w:t xml:space="preserve">, </w:t>
      </w:r>
      <w:r>
        <w:rPr>
          <w:i/>
          <w:lang w:val="bg-BG"/>
        </w:rPr>
        <w:t xml:space="preserve">следва да се опише </w:t>
      </w:r>
      <w:r w:rsidRPr="00B92EB3">
        <w:rPr>
          <w:i/>
          <w:lang w:val="bg-BG"/>
        </w:rPr>
        <w:t>как тя спазва съответните разпоредби на приложение 2 към Споразумението на СТО за селското</w:t>
      </w:r>
      <w:r>
        <w:rPr>
          <w:i/>
          <w:lang w:val="bg-BG"/>
        </w:rPr>
        <w:t xml:space="preserve"> стопанство (както е посочено в член 10</w:t>
      </w:r>
      <w:r w:rsidRPr="00B92EB3">
        <w:rPr>
          <w:i/>
          <w:lang w:val="bg-BG"/>
        </w:rPr>
        <w:t xml:space="preserve"> и в приложение II към </w:t>
      </w:r>
      <w:r>
        <w:rPr>
          <w:i/>
          <w:lang w:val="bg-BG"/>
        </w:rPr>
        <w:t>същия</w:t>
      </w:r>
      <w:r w:rsidRPr="00B92EB3">
        <w:rPr>
          <w:i/>
          <w:lang w:val="bg-BG"/>
        </w:rPr>
        <w:t xml:space="preserve"> регламент</w:t>
      </w:r>
      <w:r>
        <w:rPr>
          <w:i/>
          <w:lang w:val="bg-BG"/>
        </w:rPr>
        <w:t>).</w:t>
      </w:r>
      <w:r w:rsidRPr="00B92EB3">
        <w:rPr>
          <w:i/>
          <w:lang w:val="bg-BG"/>
        </w:rPr>
        <w:t xml:space="preserve"> За всяка интервенция, която </w:t>
      </w:r>
      <w:r w:rsidRPr="00B92EB3">
        <w:rPr>
          <w:i/>
          <w:u w:val="single"/>
          <w:lang w:val="bg-BG"/>
        </w:rPr>
        <w:t>не се</w:t>
      </w:r>
      <w:r w:rsidRPr="00B92EB3">
        <w:rPr>
          <w:i/>
          <w:lang w:val="bg-BG"/>
        </w:rPr>
        <w:t xml:space="preserve"> основава на видовете интервенции, изброени в приложение II към настоящия регламент, как спазва съответните разпоредби на член 6.5 или приложение 2 към Споразумението на СТО за селското стопанство</w:t>
      </w:r>
      <w:r>
        <w:rPr>
          <w:i/>
          <w:lang w:val="bg-BG"/>
        </w:rPr>
        <w:t>/</w:t>
      </w:r>
    </w:p>
    <w:tbl>
      <w:tblPr>
        <w:tblStyle w:val="TableGrid"/>
        <w:tblW w:w="0" w:type="auto"/>
        <w:tblLook w:val="04A0" w:firstRow="1" w:lastRow="0" w:firstColumn="1" w:lastColumn="0" w:noHBand="0" w:noVBand="1"/>
      </w:tblPr>
      <w:tblGrid>
        <w:gridCol w:w="9016"/>
      </w:tblGrid>
      <w:tr w:rsidR="00B92EB3" w:rsidRPr="00027128" w14:paraId="76AB9769" w14:textId="77777777" w:rsidTr="00B92EB3">
        <w:tc>
          <w:tcPr>
            <w:tcW w:w="9242" w:type="dxa"/>
          </w:tcPr>
          <w:p w14:paraId="6A87CC0A" w14:textId="2B273E2F" w:rsidR="00AA069F" w:rsidRPr="006D2D77" w:rsidRDefault="00F35ECB" w:rsidP="006D2D77">
            <w:pPr>
              <w:jc w:val="both"/>
              <w:rPr>
                <w:lang w:val="bg-BG"/>
              </w:rPr>
            </w:pPr>
            <w:r>
              <w:rPr>
                <w:lang w:val="bg-BG"/>
              </w:rPr>
              <w:t>Не</w:t>
            </w:r>
            <w:r w:rsidR="006D2D77">
              <w:rPr>
                <w:lang w:val="bg-BG"/>
              </w:rPr>
              <w:t xml:space="preserve">приложимо - </w:t>
            </w:r>
            <w:r w:rsidR="006D2D77" w:rsidRPr="006D2D77">
              <w:rPr>
                <w:lang w:val="bg-BG"/>
              </w:rPr>
              <w:t>Интервенцията не е включена в приложение II на Регламент ХХХХ/202Х</w:t>
            </w:r>
          </w:p>
        </w:tc>
      </w:tr>
    </w:tbl>
    <w:p w14:paraId="2FDC9A0C" w14:textId="77777777" w:rsidR="00B92EB3" w:rsidRPr="00B92EB3" w:rsidRDefault="00B92EB3" w:rsidP="005F556B">
      <w:pPr>
        <w:spacing w:line="240" w:lineRule="auto"/>
        <w:jc w:val="both"/>
        <w:rPr>
          <w:i/>
          <w:lang w:val="bg-BG"/>
        </w:rPr>
      </w:pPr>
    </w:p>
    <w:p w14:paraId="3D0E7E6C" w14:textId="77777777" w:rsidR="005F556B" w:rsidRPr="0046113A" w:rsidRDefault="005F556B" w:rsidP="0046113A">
      <w:pPr>
        <w:pStyle w:val="ListParagraph"/>
        <w:numPr>
          <w:ilvl w:val="0"/>
          <w:numId w:val="2"/>
        </w:numPr>
        <w:spacing w:line="240" w:lineRule="auto"/>
        <w:jc w:val="both"/>
        <w:rPr>
          <w:b/>
          <w:lang w:val="bg-BG"/>
        </w:rPr>
      </w:pPr>
      <w:r w:rsidRPr="0046113A">
        <w:rPr>
          <w:b/>
          <w:lang w:val="bg-BG"/>
        </w:rPr>
        <w:t xml:space="preserve">Нива на подпомагане / премии / методи за изчисляване (включително диференциации за групи от територии, където е приложимо) и, когато е приложимо, кратко обяснение защо посочените са подходящи за постигане на целите, </w:t>
      </w:r>
      <w:r w:rsidR="00950149" w:rsidRPr="0046113A">
        <w:rPr>
          <w:b/>
          <w:lang w:val="bg-BG"/>
        </w:rPr>
        <w:t>(</w:t>
      </w:r>
      <w:r w:rsidRPr="0046113A">
        <w:rPr>
          <w:b/>
          <w:lang w:val="bg-BG"/>
        </w:rPr>
        <w:t>също и по отношение на базовите изисквания</w:t>
      </w:r>
      <w:r w:rsidR="00950149" w:rsidRPr="0046113A">
        <w:rPr>
          <w:b/>
          <w:lang w:val="bg-BG"/>
        </w:rPr>
        <w:t>)</w:t>
      </w:r>
      <w:r w:rsidRPr="0046113A">
        <w:rPr>
          <w:b/>
          <w:lang w:val="bg-BG"/>
        </w:rPr>
        <w:t>:</w:t>
      </w:r>
    </w:p>
    <w:p w14:paraId="7014DAAF" w14:textId="77777777" w:rsidR="00BC2D56" w:rsidRPr="00BC2D56" w:rsidRDefault="00BC2D56" w:rsidP="00BC2D56">
      <w:pPr>
        <w:spacing w:after="0" w:line="240" w:lineRule="auto"/>
        <w:jc w:val="both"/>
        <w:rPr>
          <w:i/>
          <w:lang w:val="bg-BG"/>
        </w:rPr>
      </w:pPr>
      <w:r w:rsidRPr="00BC2D56">
        <w:rPr>
          <w:i/>
          <w:lang w:val="bg-BG"/>
        </w:rPr>
        <w:t>/</w:t>
      </w:r>
      <w:r w:rsidRPr="00BC2D56">
        <w:rPr>
          <w:b/>
          <w:i/>
          <w:lang w:val="bg-BG"/>
        </w:rPr>
        <w:t>информацията следва да включва:</w:t>
      </w:r>
      <w:r w:rsidRPr="00BC2D56">
        <w:rPr>
          <w:i/>
          <w:lang w:val="bg-BG"/>
        </w:rPr>
        <w:t xml:space="preserve"> формата и степента на подкрепа; методът за изчисляване на единичните суми на подпомагане и неговото сертифициране в съответствие с член 76; различните единни или средни единични суми на помощта</w:t>
      </w:r>
      <w:r w:rsidR="00950149">
        <w:rPr>
          <w:i/>
          <w:lang w:val="bg-BG"/>
        </w:rPr>
        <w:t xml:space="preserve"> в рамките на тази интервенция. /</w:t>
      </w:r>
    </w:p>
    <w:p w14:paraId="6B166987" w14:textId="77777777" w:rsidR="00BC2D56" w:rsidRDefault="00BC2D56" w:rsidP="005F556B">
      <w:pPr>
        <w:spacing w:line="240" w:lineRule="auto"/>
        <w:jc w:val="both"/>
        <w:rPr>
          <w:b/>
          <w:lang w:val="bg-BG"/>
        </w:rPr>
      </w:pPr>
    </w:p>
    <w:tbl>
      <w:tblPr>
        <w:tblStyle w:val="TableGrid"/>
        <w:tblW w:w="0" w:type="auto"/>
        <w:tblLook w:val="04A0" w:firstRow="1" w:lastRow="0" w:firstColumn="1" w:lastColumn="0" w:noHBand="0" w:noVBand="1"/>
      </w:tblPr>
      <w:tblGrid>
        <w:gridCol w:w="9016"/>
      </w:tblGrid>
      <w:tr w:rsidR="005F556B" w:rsidRPr="00027128" w14:paraId="2E84F3B9" w14:textId="77777777" w:rsidTr="005F556B">
        <w:tc>
          <w:tcPr>
            <w:tcW w:w="9242" w:type="dxa"/>
          </w:tcPr>
          <w:p w14:paraId="59E7E4F2" w14:textId="77777777" w:rsidR="00DB1156" w:rsidRDefault="00DB1156" w:rsidP="00DB1156">
            <w:pPr>
              <w:contextualSpacing/>
              <w:jc w:val="both"/>
              <w:rPr>
                <w:rFonts w:eastAsia="Times New Roman" w:cs="Times New Roman"/>
                <w:lang w:val="bg-BG"/>
              </w:rPr>
            </w:pPr>
          </w:p>
          <w:p w14:paraId="003ADBC6" w14:textId="368F6FDE" w:rsidR="00DB1156" w:rsidRPr="00697794" w:rsidRDefault="00DB1156" w:rsidP="00697794">
            <w:pPr>
              <w:contextualSpacing/>
              <w:jc w:val="both"/>
              <w:rPr>
                <w:rFonts w:eastAsia="Times New Roman" w:cs="Times New Roman"/>
                <w:lang w:val="bg-BG"/>
              </w:rPr>
            </w:pPr>
            <w:r w:rsidRPr="00DB1156">
              <w:rPr>
                <w:rFonts w:eastAsia="Times New Roman" w:cs="Times New Roman"/>
                <w:lang w:val="bg-BG"/>
              </w:rPr>
              <w:t>Финансова</w:t>
            </w:r>
            <w:r w:rsidR="00F071DE">
              <w:rPr>
                <w:rFonts w:eastAsia="Times New Roman" w:cs="Times New Roman"/>
                <w:lang w:val="bg-BG"/>
              </w:rPr>
              <w:t>та</w:t>
            </w:r>
            <w:r w:rsidRPr="00DB1156">
              <w:rPr>
                <w:rFonts w:eastAsia="Times New Roman" w:cs="Times New Roman"/>
                <w:lang w:val="bg-BG"/>
              </w:rPr>
              <w:t xml:space="preserve"> помощ в рамките на интервенцията се предоставя под формата на</w:t>
            </w:r>
            <w:r w:rsidR="00697794">
              <w:rPr>
                <w:rFonts w:eastAsia="Times New Roman" w:cs="Times New Roman"/>
                <w:lang w:val="bg-BG"/>
              </w:rPr>
              <w:t xml:space="preserve">: </w:t>
            </w:r>
            <w:r w:rsidRPr="00697794">
              <w:rPr>
                <w:rFonts w:eastAsia="Times New Roman" w:cs="Times New Roman"/>
                <w:lang w:val="bg-BG"/>
              </w:rPr>
              <w:t>възстановяване на действително направени и платени допустими разходи</w:t>
            </w:r>
            <w:r w:rsidR="00697794" w:rsidRPr="00697794">
              <w:rPr>
                <w:rFonts w:eastAsia="Times New Roman" w:cs="Times New Roman"/>
                <w:lang w:val="bg-BG"/>
              </w:rPr>
              <w:t>;</w:t>
            </w:r>
            <w:r w:rsidR="00697794">
              <w:rPr>
                <w:rFonts w:eastAsia="Times New Roman" w:cs="Times New Roman"/>
                <w:lang w:val="bg-BG"/>
              </w:rPr>
              <w:t xml:space="preserve"> </w:t>
            </w:r>
            <w:r w:rsidR="00697794" w:rsidRPr="00697794">
              <w:rPr>
                <w:rFonts w:eastAsia="Times New Roman" w:cs="Times New Roman"/>
                <w:lang w:val="bg-BG"/>
              </w:rPr>
              <w:t>финансиране на</w:t>
            </w:r>
            <w:r w:rsidRPr="00697794">
              <w:rPr>
                <w:rFonts w:eastAsia="Times New Roman" w:cs="Times New Roman"/>
                <w:lang w:val="bg-BG"/>
              </w:rPr>
              <w:t xml:space="preserve"> амортизационни отчисления</w:t>
            </w:r>
            <w:r w:rsidR="00697794" w:rsidRPr="00697794">
              <w:rPr>
                <w:rFonts w:eastAsia="Times New Roman" w:cs="Times New Roman"/>
                <w:lang w:val="bg-BG"/>
              </w:rPr>
              <w:t>;</w:t>
            </w:r>
            <w:r w:rsidR="00697794">
              <w:rPr>
                <w:rFonts w:eastAsia="Times New Roman" w:cs="Times New Roman"/>
                <w:lang w:val="bg-BG"/>
              </w:rPr>
              <w:t xml:space="preserve"> </w:t>
            </w:r>
            <w:r w:rsidRPr="00697794">
              <w:rPr>
                <w:rFonts w:eastAsia="Times New Roman" w:cs="Times New Roman"/>
                <w:lang w:val="bg-BG"/>
              </w:rPr>
              <w:t>прилагане на стандартна таблица на разходите за единица продукт</w:t>
            </w:r>
            <w:r w:rsidR="00697794">
              <w:rPr>
                <w:rFonts w:eastAsia="Times New Roman" w:cs="Times New Roman"/>
                <w:lang w:val="bg-BG"/>
              </w:rPr>
              <w:t xml:space="preserve"> и </w:t>
            </w:r>
            <w:r w:rsidRPr="00697794">
              <w:rPr>
                <w:rFonts w:eastAsia="Times New Roman" w:cs="Times New Roman"/>
                <w:lang w:val="bg-BG"/>
              </w:rPr>
              <w:t>финансиране с единна ставка, определено чрез прилагане на процент към една или няколко определени категории разходи.</w:t>
            </w:r>
          </w:p>
          <w:p w14:paraId="1DD4FF8D" w14:textId="77777777" w:rsidR="00DB1156" w:rsidRDefault="00DB1156" w:rsidP="00DB1156">
            <w:pPr>
              <w:contextualSpacing/>
              <w:jc w:val="both"/>
              <w:rPr>
                <w:rFonts w:eastAsia="Times New Roman" w:cs="Times New Roman"/>
                <w:b/>
                <w:lang w:val="bg-BG"/>
              </w:rPr>
            </w:pPr>
          </w:p>
          <w:p w14:paraId="3FEE1B60" w14:textId="77777777" w:rsidR="00DB1156" w:rsidRDefault="00DB1156" w:rsidP="00DB1156">
            <w:pPr>
              <w:contextualSpacing/>
              <w:jc w:val="both"/>
              <w:rPr>
                <w:rFonts w:eastAsia="Times New Roman" w:cs="Times New Roman"/>
                <w:b/>
                <w:lang w:val="bg-BG"/>
              </w:rPr>
            </w:pPr>
            <w:r w:rsidRPr="00DB1156">
              <w:rPr>
                <w:rFonts w:eastAsia="Times New Roman" w:cs="Times New Roman"/>
                <w:b/>
                <w:lang w:val="bg-BG"/>
              </w:rPr>
              <w:t xml:space="preserve">Максимален размер на допустимите разходи: </w:t>
            </w:r>
          </w:p>
          <w:p w14:paraId="49496B6C" w14:textId="3502FB24" w:rsidR="00DB1156" w:rsidRPr="00DB1156" w:rsidRDefault="00DB1156" w:rsidP="00DB1156">
            <w:pPr>
              <w:contextualSpacing/>
              <w:jc w:val="both"/>
              <w:rPr>
                <w:rFonts w:eastAsia="Times New Roman" w:cs="Times New Roman"/>
                <w:b/>
                <w:lang w:val="bg-BG"/>
              </w:rPr>
            </w:pPr>
            <w:r w:rsidRPr="00DB1156">
              <w:rPr>
                <w:rFonts w:eastAsia="Times New Roman" w:cs="Times New Roman"/>
                <w:lang w:val="bg-BG"/>
              </w:rPr>
              <w:t>Максималният размер на допустимите разходи</w:t>
            </w:r>
            <w:r w:rsidRPr="00DB1156">
              <w:rPr>
                <w:rFonts w:eastAsia="Times New Roman" w:cs="Times New Roman"/>
                <w:b/>
                <w:lang w:val="bg-BG"/>
              </w:rPr>
              <w:t xml:space="preserve"> </w:t>
            </w:r>
            <w:r w:rsidRPr="00DB1156">
              <w:rPr>
                <w:rFonts w:eastAsia="Times New Roman" w:cs="Times New Roman"/>
                <w:lang w:val="bg-BG"/>
              </w:rPr>
              <w:t>за един проект, изпълняван от един бенефициент, за периода на прилагане на Стратегически план</w:t>
            </w:r>
            <w:r w:rsidR="005D211E">
              <w:rPr>
                <w:rFonts w:eastAsia="Times New Roman" w:cs="Times New Roman"/>
                <w:lang w:val="bg-BG"/>
              </w:rPr>
              <w:t>, възлиза на</w:t>
            </w:r>
            <w:r w:rsidRPr="00DB1156">
              <w:rPr>
                <w:rFonts w:eastAsia="Times New Roman" w:cs="Times New Roman"/>
                <w:lang w:val="bg-BG"/>
              </w:rPr>
              <w:t>:</w:t>
            </w:r>
          </w:p>
          <w:p w14:paraId="20AAE6BA" w14:textId="77777777" w:rsidR="00DB1156" w:rsidRPr="00DB1156" w:rsidRDefault="00DB1156" w:rsidP="00DB1156">
            <w:pPr>
              <w:contextualSpacing/>
              <w:jc w:val="both"/>
              <w:rPr>
                <w:rFonts w:eastAsia="Times New Roman" w:cs="Times New Roman"/>
                <w:lang w:val="bg-BG"/>
              </w:rPr>
            </w:pPr>
          </w:p>
          <w:p w14:paraId="576234E7" w14:textId="1AEE72AD" w:rsidR="00DB1156" w:rsidRPr="004A10A1" w:rsidRDefault="005D211E" w:rsidP="004A10A1">
            <w:pPr>
              <w:pStyle w:val="ListParagraph"/>
              <w:numPr>
                <w:ilvl w:val="0"/>
                <w:numId w:val="21"/>
              </w:numPr>
              <w:jc w:val="both"/>
              <w:rPr>
                <w:rFonts w:eastAsia="Times New Roman" w:cs="Times New Roman"/>
                <w:lang w:val="bg-BG"/>
              </w:rPr>
            </w:pPr>
            <w:r w:rsidRPr="004A10A1">
              <w:rPr>
                <w:rFonts w:eastAsia="Times New Roman" w:cs="Times New Roman"/>
                <w:lang w:val="bg-BG"/>
              </w:rPr>
              <w:t xml:space="preserve">не повече от </w:t>
            </w:r>
            <w:r w:rsidR="00DB1156" w:rsidRPr="004A10A1">
              <w:rPr>
                <w:rFonts w:eastAsia="Times New Roman" w:cs="Times New Roman"/>
                <w:lang w:val="bg-BG"/>
              </w:rPr>
              <w:t xml:space="preserve">29 337 лв. </w:t>
            </w:r>
            <w:r w:rsidR="00B80655" w:rsidRPr="004A10A1">
              <w:rPr>
                <w:rFonts w:eastAsia="Times New Roman" w:cs="Times New Roman"/>
                <w:lang w:val="bg-BG"/>
              </w:rPr>
              <w:t xml:space="preserve">(15 000 евро) </w:t>
            </w:r>
            <w:r w:rsidR="00DB1156" w:rsidRPr="004A10A1">
              <w:rPr>
                <w:rFonts w:eastAsia="Times New Roman" w:cs="Times New Roman"/>
                <w:lang w:val="bg-BG"/>
              </w:rPr>
              <w:t>за първа фаза;</w:t>
            </w:r>
          </w:p>
          <w:p w14:paraId="30825238" w14:textId="77777777" w:rsidR="00233710" w:rsidRDefault="005D211E" w:rsidP="00233710">
            <w:pPr>
              <w:numPr>
                <w:ilvl w:val="0"/>
                <w:numId w:val="21"/>
              </w:numPr>
              <w:contextualSpacing/>
              <w:jc w:val="both"/>
              <w:rPr>
                <w:rFonts w:eastAsia="Times New Roman" w:cs="Times New Roman"/>
                <w:lang w:val="bg-BG"/>
              </w:rPr>
            </w:pPr>
            <w:r>
              <w:rPr>
                <w:rFonts w:eastAsia="Times New Roman" w:cs="Times New Roman"/>
                <w:lang w:val="bg-BG"/>
              </w:rPr>
              <w:t xml:space="preserve">не повече от </w:t>
            </w:r>
            <w:r w:rsidR="00DB1156" w:rsidRPr="00DB1156">
              <w:rPr>
                <w:rFonts w:eastAsia="Times New Roman" w:cs="Times New Roman"/>
                <w:lang w:val="bg-BG"/>
              </w:rPr>
              <w:t xml:space="preserve">782 320 лв. </w:t>
            </w:r>
            <w:r w:rsidR="00B80655">
              <w:rPr>
                <w:rFonts w:eastAsia="Times New Roman" w:cs="Times New Roman"/>
                <w:lang w:val="bg-BG"/>
              </w:rPr>
              <w:t xml:space="preserve">(400 000 евро) </w:t>
            </w:r>
            <w:r w:rsidR="00DB1156" w:rsidRPr="00DB1156">
              <w:rPr>
                <w:rFonts w:eastAsia="Times New Roman" w:cs="Times New Roman"/>
                <w:lang w:val="bg-BG"/>
              </w:rPr>
              <w:t>за втора фаза;</w:t>
            </w:r>
          </w:p>
          <w:p w14:paraId="6F1DF852" w14:textId="2E18D5CD" w:rsidR="00DB1156" w:rsidRPr="004A10A1" w:rsidRDefault="00233710" w:rsidP="004A10A1">
            <w:pPr>
              <w:pStyle w:val="ListParagraph"/>
              <w:numPr>
                <w:ilvl w:val="0"/>
                <w:numId w:val="20"/>
              </w:numPr>
              <w:jc w:val="both"/>
              <w:rPr>
                <w:rFonts w:eastAsia="Times New Roman" w:cs="Times New Roman"/>
                <w:lang w:val="bg-BG"/>
              </w:rPr>
            </w:pPr>
            <w:r w:rsidRPr="004A10A1">
              <w:rPr>
                <w:rFonts w:eastAsia="Times New Roman" w:cs="Times New Roman"/>
                <w:lang w:val="bg-BG"/>
              </w:rPr>
              <w:t xml:space="preserve">в т.ч. не </w:t>
            </w:r>
            <w:r w:rsidR="005D211E" w:rsidRPr="004A10A1">
              <w:rPr>
                <w:rFonts w:eastAsia="Times New Roman" w:cs="Times New Roman"/>
                <w:lang w:val="bg-BG"/>
              </w:rPr>
              <w:t xml:space="preserve">повече от </w:t>
            </w:r>
            <w:r w:rsidR="00DB1156" w:rsidRPr="004A10A1">
              <w:rPr>
                <w:rFonts w:eastAsia="Times New Roman" w:cs="Times New Roman"/>
                <w:lang w:val="bg-BG"/>
              </w:rPr>
              <w:t xml:space="preserve">58 674 лв. </w:t>
            </w:r>
            <w:r w:rsidR="00B80655" w:rsidRPr="004A10A1">
              <w:rPr>
                <w:rFonts w:eastAsia="Times New Roman" w:cs="Times New Roman"/>
                <w:lang w:val="bg-BG"/>
              </w:rPr>
              <w:t xml:space="preserve">(30 000 евро) </w:t>
            </w:r>
            <w:r w:rsidR="00DB1156" w:rsidRPr="004A10A1">
              <w:rPr>
                <w:rFonts w:eastAsia="Times New Roman" w:cs="Times New Roman"/>
                <w:lang w:val="bg-BG"/>
              </w:rPr>
              <w:t>за текущи разходи на година за втора фаза.</w:t>
            </w:r>
          </w:p>
          <w:p w14:paraId="6BCC46B7" w14:textId="77777777" w:rsidR="00DB1156" w:rsidRPr="00DB1156" w:rsidRDefault="00DB1156" w:rsidP="00DB1156">
            <w:pPr>
              <w:contextualSpacing/>
              <w:jc w:val="both"/>
              <w:rPr>
                <w:rFonts w:eastAsia="Times New Roman" w:cs="Times New Roman"/>
                <w:lang w:val="bg-BG"/>
              </w:rPr>
            </w:pPr>
          </w:p>
          <w:p w14:paraId="16C1CE19" w14:textId="77777777" w:rsidR="00DB1156" w:rsidRPr="00DB1156" w:rsidRDefault="00DB1156" w:rsidP="00DB1156">
            <w:pPr>
              <w:contextualSpacing/>
              <w:jc w:val="both"/>
              <w:rPr>
                <w:rFonts w:eastAsia="Times New Roman" w:cs="Times New Roman"/>
                <w:lang w:val="bg-BG"/>
              </w:rPr>
            </w:pPr>
            <w:r w:rsidRPr="00DB1156">
              <w:rPr>
                <w:rFonts w:eastAsia="Times New Roman" w:cs="Times New Roman"/>
                <w:b/>
                <w:lang w:val="bg-BG"/>
              </w:rPr>
              <w:t>Интензитет на помощта</w:t>
            </w:r>
            <w:r w:rsidRPr="00DB1156">
              <w:rPr>
                <w:rFonts w:eastAsia="Times New Roman" w:cs="Times New Roman"/>
                <w:lang w:val="bg-BG"/>
              </w:rPr>
              <w:t>:</w:t>
            </w:r>
          </w:p>
          <w:p w14:paraId="240C530D" w14:textId="31A94AC8" w:rsidR="00DB1156" w:rsidRPr="00B80655" w:rsidRDefault="005D211E" w:rsidP="00B80655">
            <w:pPr>
              <w:pStyle w:val="ListParagraph"/>
              <w:numPr>
                <w:ilvl w:val="0"/>
                <w:numId w:val="22"/>
              </w:numPr>
              <w:jc w:val="both"/>
              <w:rPr>
                <w:rFonts w:eastAsia="Times New Roman" w:cs="Times New Roman"/>
                <w:lang w:val="bg-BG"/>
              </w:rPr>
            </w:pPr>
            <w:r>
              <w:rPr>
                <w:rFonts w:eastAsia="Times New Roman" w:cs="Times New Roman"/>
                <w:lang w:val="bg-BG"/>
              </w:rPr>
              <w:t>д</w:t>
            </w:r>
            <w:r w:rsidR="00B80655" w:rsidRPr="00B80655">
              <w:rPr>
                <w:rFonts w:eastAsia="Times New Roman" w:cs="Times New Roman"/>
                <w:lang w:val="bg-BG"/>
              </w:rPr>
              <w:t xml:space="preserve">о </w:t>
            </w:r>
            <w:r w:rsidR="00DB1156" w:rsidRPr="00B80655">
              <w:rPr>
                <w:rFonts w:eastAsia="Times New Roman" w:cs="Times New Roman"/>
                <w:lang w:val="bg-BG"/>
              </w:rPr>
              <w:t>100 % от размера на одобрените разходи за първа фаза;</w:t>
            </w:r>
          </w:p>
          <w:p w14:paraId="07DAD585" w14:textId="000ECFDD" w:rsidR="00DB1156" w:rsidRPr="00B80655" w:rsidRDefault="005D211E" w:rsidP="00B80655">
            <w:pPr>
              <w:pStyle w:val="ListParagraph"/>
              <w:numPr>
                <w:ilvl w:val="0"/>
                <w:numId w:val="22"/>
              </w:numPr>
              <w:jc w:val="both"/>
              <w:rPr>
                <w:rFonts w:eastAsia="Times New Roman" w:cs="Times New Roman"/>
                <w:lang w:val="bg-BG"/>
              </w:rPr>
            </w:pPr>
            <w:r>
              <w:rPr>
                <w:rFonts w:eastAsia="Times New Roman" w:cs="Times New Roman"/>
                <w:lang w:val="bg-BG"/>
              </w:rPr>
              <w:t>д</w:t>
            </w:r>
            <w:r w:rsidR="00B80655" w:rsidRPr="00B80655">
              <w:rPr>
                <w:rFonts w:eastAsia="Times New Roman" w:cs="Times New Roman"/>
                <w:lang w:val="bg-BG"/>
              </w:rPr>
              <w:t xml:space="preserve">о </w:t>
            </w:r>
            <w:r w:rsidR="00DB1156" w:rsidRPr="00B80655">
              <w:rPr>
                <w:rFonts w:eastAsia="Times New Roman" w:cs="Times New Roman"/>
                <w:lang w:val="bg-BG"/>
              </w:rPr>
              <w:t xml:space="preserve">100 % от размера на одобрените разходи за втора фаза за текущи разходи </w:t>
            </w:r>
            <w:r w:rsidR="00B80655" w:rsidRPr="00B80655">
              <w:rPr>
                <w:rFonts w:eastAsia="Times New Roman" w:cs="Times New Roman"/>
                <w:lang w:val="bg-BG"/>
              </w:rPr>
              <w:t xml:space="preserve">за сътрудничеството </w:t>
            </w:r>
            <w:r w:rsidR="00DB1156" w:rsidRPr="00B80655">
              <w:rPr>
                <w:rFonts w:eastAsia="Times New Roman" w:cs="Times New Roman"/>
                <w:lang w:val="bg-BG"/>
              </w:rPr>
              <w:t>и за преки неинвестиционни разходи, обосновани като ключови за изпълнение на иновативния проект;</w:t>
            </w:r>
          </w:p>
          <w:p w14:paraId="311C1817" w14:textId="30C1BB9D" w:rsidR="00990EF9" w:rsidRPr="00B80655" w:rsidRDefault="005D211E" w:rsidP="00B80655">
            <w:pPr>
              <w:pStyle w:val="ListParagraph"/>
              <w:numPr>
                <w:ilvl w:val="0"/>
                <w:numId w:val="22"/>
              </w:numPr>
              <w:jc w:val="both"/>
              <w:rPr>
                <w:rFonts w:eastAsia="Times New Roman" w:cs="Times New Roman"/>
                <w:lang w:val="bg-BG"/>
              </w:rPr>
            </w:pPr>
            <w:r>
              <w:rPr>
                <w:rFonts w:eastAsia="Times New Roman" w:cs="Times New Roman"/>
                <w:lang w:val="bg-BG"/>
              </w:rPr>
              <w:t>д</w:t>
            </w:r>
            <w:r w:rsidR="00B80655" w:rsidRPr="00B80655">
              <w:rPr>
                <w:rFonts w:eastAsia="Times New Roman" w:cs="Times New Roman"/>
                <w:lang w:val="bg-BG"/>
              </w:rPr>
              <w:t xml:space="preserve">о </w:t>
            </w:r>
            <w:r w:rsidR="00DB1156" w:rsidRPr="00B80655">
              <w:rPr>
                <w:rFonts w:eastAsia="Times New Roman" w:cs="Times New Roman"/>
                <w:lang w:val="bg-BG"/>
              </w:rPr>
              <w:t>60 % от размера на одобрените преки инвестиционни разходи, обосновани като ключови за изпълнение на иновативния проект.</w:t>
            </w:r>
          </w:p>
          <w:p w14:paraId="482E2D19" w14:textId="30470F20" w:rsidR="00DB1156" w:rsidRPr="00467BC9" w:rsidRDefault="00DB1156" w:rsidP="00DB1156">
            <w:pPr>
              <w:contextualSpacing/>
              <w:jc w:val="both"/>
              <w:rPr>
                <w:rFonts w:eastAsia="Times New Roman" w:cs="Times New Roman"/>
                <w:lang w:val="bg-BG"/>
              </w:rPr>
            </w:pPr>
          </w:p>
        </w:tc>
      </w:tr>
    </w:tbl>
    <w:p w14:paraId="3D86B94E" w14:textId="77777777" w:rsidR="005F556B" w:rsidRDefault="005F556B" w:rsidP="005F556B">
      <w:pPr>
        <w:spacing w:line="240" w:lineRule="auto"/>
        <w:jc w:val="both"/>
        <w:rPr>
          <w:b/>
          <w:lang w:val="bg-BG"/>
        </w:rPr>
      </w:pPr>
    </w:p>
    <w:p w14:paraId="68EDFB62" w14:textId="77777777" w:rsidR="000A2E65" w:rsidRPr="000A2E65" w:rsidRDefault="000A2E65" w:rsidP="00252CFE">
      <w:pPr>
        <w:spacing w:line="240" w:lineRule="auto"/>
        <w:jc w:val="both"/>
        <w:rPr>
          <w:b/>
          <w:lang w:val="bg-BG"/>
        </w:rPr>
      </w:pPr>
    </w:p>
    <w:sectPr w:rsidR="000A2E65" w:rsidRPr="000A2E65" w:rsidSect="009C16F5">
      <w:headerReference w:type="even" r:id="rId8"/>
      <w:headerReference w:type="default" r:id="rId9"/>
      <w:headerReference w:type="first" r:id="rId10"/>
      <w:pgSz w:w="11906" w:h="16838"/>
      <w:pgMar w:top="1276"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D4B87" w14:textId="77777777" w:rsidR="00754C49" w:rsidRDefault="00754C49" w:rsidP="00C46DC8">
      <w:pPr>
        <w:spacing w:after="0" w:line="240" w:lineRule="auto"/>
      </w:pPr>
      <w:r>
        <w:separator/>
      </w:r>
    </w:p>
  </w:endnote>
  <w:endnote w:type="continuationSeparator" w:id="0">
    <w:p w14:paraId="687DB9E1" w14:textId="77777777" w:rsidR="00754C49" w:rsidRDefault="00754C49" w:rsidP="00C46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329EEF" w14:textId="77777777" w:rsidR="00754C49" w:rsidRDefault="00754C49" w:rsidP="00C46DC8">
      <w:pPr>
        <w:spacing w:after="0" w:line="240" w:lineRule="auto"/>
      </w:pPr>
      <w:r>
        <w:separator/>
      </w:r>
    </w:p>
  </w:footnote>
  <w:footnote w:type="continuationSeparator" w:id="0">
    <w:p w14:paraId="14EC7EFB" w14:textId="77777777" w:rsidR="00754C49" w:rsidRDefault="00754C49" w:rsidP="00C46D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86B67" w14:textId="77777777" w:rsidR="006B6279" w:rsidRDefault="00754C49">
    <w:pPr>
      <w:pStyle w:val="Header"/>
    </w:pPr>
    <w:r>
      <w:rPr>
        <w:noProof/>
      </w:rPr>
      <w:pict w14:anchorId="728294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48110" o:spid="_x0000_s2050" type="#_x0000_t136" style="position:absolute;margin-left:0;margin-top:0;width:424.2pt;height:212.1pt;rotation:315;z-index:-251655168;mso-position-horizontal:center;mso-position-horizontal-relative:margin;mso-position-vertical:center;mso-position-vertical-relative:margin" o:allowincell="f" fillcolor="#d99594 [1941]"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841D9" w14:textId="77777777" w:rsidR="006B6279" w:rsidRDefault="00754C49">
    <w:pPr>
      <w:pStyle w:val="Header"/>
    </w:pPr>
    <w:r>
      <w:rPr>
        <w:noProof/>
      </w:rPr>
      <w:pict w14:anchorId="169813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48111" o:spid="_x0000_s2051" type="#_x0000_t136" style="position:absolute;margin-left:0;margin-top:0;width:424.2pt;height:212.1pt;rotation:315;z-index:-251653120;mso-position-horizontal:center;mso-position-horizontal-relative:margin;mso-position-vertical:center;mso-position-vertical-relative:margin" o:allowincell="f" fillcolor="#d99594 [1941]" stroked="f">
          <v:fill opacity=".5"/>
          <v:textpath style="font-family:&quot;Calibri&quot;;font-size:1pt" string="ПРОЕКТ"/>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B1349" w14:textId="77777777" w:rsidR="006B6279" w:rsidRDefault="00754C49">
    <w:pPr>
      <w:pStyle w:val="Header"/>
    </w:pPr>
    <w:r>
      <w:rPr>
        <w:noProof/>
      </w:rPr>
      <w:pict w14:anchorId="633B7E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48109" o:spid="_x0000_s2049" type="#_x0000_t136" style="position:absolute;margin-left:0;margin-top:0;width:424.2pt;height:212.1pt;rotation:315;z-index:-251657216;mso-position-horizontal:center;mso-position-horizontal-relative:margin;mso-position-vertical:center;mso-position-vertical-relative:margin" o:allowincell="f" fillcolor="#d99594 [1941]"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4463C"/>
    <w:multiLevelType w:val="hybridMultilevel"/>
    <w:tmpl w:val="2A50A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3B0C05"/>
    <w:multiLevelType w:val="hybridMultilevel"/>
    <w:tmpl w:val="8052418A"/>
    <w:lvl w:ilvl="0" w:tplc="E6A03D12">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7D5579"/>
    <w:multiLevelType w:val="hybridMultilevel"/>
    <w:tmpl w:val="AE5EB8B0"/>
    <w:lvl w:ilvl="0" w:tplc="E6A03D12">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2C6A68"/>
    <w:multiLevelType w:val="hybridMultilevel"/>
    <w:tmpl w:val="BAC0E9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A371A70"/>
    <w:multiLevelType w:val="hybridMultilevel"/>
    <w:tmpl w:val="92868F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EE17F42"/>
    <w:multiLevelType w:val="hybridMultilevel"/>
    <w:tmpl w:val="95240628"/>
    <w:lvl w:ilvl="0" w:tplc="DA36E11C">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577CFA"/>
    <w:multiLevelType w:val="hybridMultilevel"/>
    <w:tmpl w:val="B05437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2503060"/>
    <w:multiLevelType w:val="hybridMultilevel"/>
    <w:tmpl w:val="8AFED604"/>
    <w:lvl w:ilvl="0" w:tplc="AEB87DF4">
      <w:start w:val="8"/>
      <w:numFmt w:val="bullet"/>
      <w:lvlText w:val="-"/>
      <w:lvlJc w:val="left"/>
      <w:pPr>
        <w:ind w:left="720" w:hanging="360"/>
      </w:pPr>
      <w:rPr>
        <w:rFonts w:ascii="Calibri" w:eastAsiaTheme="minorEastAsia" w:hAnsi="Calibri" w:cstheme="minorBidi" w:hint="default"/>
        <w:color w:val="000000" w:themeColor="text1"/>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2B442CB"/>
    <w:multiLevelType w:val="hybridMultilevel"/>
    <w:tmpl w:val="2B967192"/>
    <w:lvl w:ilvl="0" w:tplc="9A427648">
      <w:start w:val="3"/>
      <w:numFmt w:val="bullet"/>
      <w:lvlText w:val="-"/>
      <w:lvlJc w:val="left"/>
      <w:pPr>
        <w:ind w:left="720" w:hanging="360"/>
      </w:pPr>
      <w:rPr>
        <w:rFonts w:ascii="Calibri" w:eastAsiaTheme="minorEastAsia" w:hAnsi="Calibri"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3747D93"/>
    <w:multiLevelType w:val="multilevel"/>
    <w:tmpl w:val="E27C4F3E"/>
    <w:lvl w:ilvl="0">
      <w:start w:val="1"/>
      <w:numFmt w:val="decimal"/>
      <w:lvlText w:val="%1."/>
      <w:lvlJc w:val="left"/>
      <w:pPr>
        <w:ind w:left="360" w:hanging="360"/>
      </w:pPr>
      <w:rPr>
        <w:b/>
      </w:r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EF44B5"/>
    <w:multiLevelType w:val="hybridMultilevel"/>
    <w:tmpl w:val="6E426736"/>
    <w:lvl w:ilvl="0" w:tplc="33D2487E">
      <w:start w:val="1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E873F2"/>
    <w:multiLevelType w:val="hybridMultilevel"/>
    <w:tmpl w:val="69D4892A"/>
    <w:lvl w:ilvl="0" w:tplc="E6A03D12">
      <w:start w:val="2"/>
      <w:numFmt w:val="bullet"/>
      <w:lvlText w:val="-"/>
      <w:lvlJc w:val="left"/>
      <w:pPr>
        <w:ind w:left="720" w:hanging="360"/>
      </w:pPr>
      <w:rPr>
        <w:rFonts w:ascii="Calibri" w:eastAsiaTheme="minorEastAsia" w:hAnsi="Calibri"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FBF07D0"/>
    <w:multiLevelType w:val="hybridMultilevel"/>
    <w:tmpl w:val="B2A03BE0"/>
    <w:lvl w:ilvl="0" w:tplc="E6A03D12">
      <w:start w:val="2"/>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5C094D"/>
    <w:multiLevelType w:val="hybridMultilevel"/>
    <w:tmpl w:val="DB3290B2"/>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A865F63"/>
    <w:multiLevelType w:val="hybridMultilevel"/>
    <w:tmpl w:val="4754D7DE"/>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40182629"/>
    <w:multiLevelType w:val="hybridMultilevel"/>
    <w:tmpl w:val="52C00828"/>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43A96A98"/>
    <w:multiLevelType w:val="hybridMultilevel"/>
    <w:tmpl w:val="0E8A43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500337F0"/>
    <w:multiLevelType w:val="hybridMultilevel"/>
    <w:tmpl w:val="0B762AFA"/>
    <w:lvl w:ilvl="0" w:tplc="2A348C78">
      <w:start w:val="1"/>
      <w:numFmt w:val="decimal"/>
      <w:lvlText w:val="%1."/>
      <w:lvlJc w:val="left"/>
      <w:pPr>
        <w:ind w:left="720" w:hanging="360"/>
      </w:pPr>
      <w:rPr>
        <w:rFonts w:asciiTheme="minorHAnsi" w:eastAsia="Times New Roman" w:hAnsiTheme="minorHAnsi" w:cs="Times New Roman"/>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223430"/>
    <w:multiLevelType w:val="hybridMultilevel"/>
    <w:tmpl w:val="4754D7DE"/>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576E5F65"/>
    <w:multiLevelType w:val="hybridMultilevel"/>
    <w:tmpl w:val="F71A2B32"/>
    <w:lvl w:ilvl="0" w:tplc="DA36E11C">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4D7E82"/>
    <w:multiLevelType w:val="hybridMultilevel"/>
    <w:tmpl w:val="400458CE"/>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654F4293"/>
    <w:multiLevelType w:val="hybridMultilevel"/>
    <w:tmpl w:val="FAE6CE4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77414733"/>
    <w:multiLevelType w:val="hybridMultilevel"/>
    <w:tmpl w:val="56821C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787D1D22"/>
    <w:multiLevelType w:val="hybridMultilevel"/>
    <w:tmpl w:val="1362EF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3"/>
  </w:num>
  <w:num w:numId="2">
    <w:abstractNumId w:val="23"/>
  </w:num>
  <w:num w:numId="3">
    <w:abstractNumId w:val="21"/>
  </w:num>
  <w:num w:numId="4">
    <w:abstractNumId w:val="6"/>
  </w:num>
  <w:num w:numId="5">
    <w:abstractNumId w:val="9"/>
  </w:num>
  <w:num w:numId="6">
    <w:abstractNumId w:val="22"/>
  </w:num>
  <w:num w:numId="7">
    <w:abstractNumId w:val="16"/>
  </w:num>
  <w:num w:numId="8">
    <w:abstractNumId w:val="4"/>
  </w:num>
  <w:num w:numId="9">
    <w:abstractNumId w:val="7"/>
  </w:num>
  <w:num w:numId="10">
    <w:abstractNumId w:val="14"/>
  </w:num>
  <w:num w:numId="11">
    <w:abstractNumId w:val="13"/>
  </w:num>
  <w:num w:numId="12">
    <w:abstractNumId w:val="18"/>
  </w:num>
  <w:num w:numId="13">
    <w:abstractNumId w:val="15"/>
  </w:num>
  <w:num w:numId="14">
    <w:abstractNumId w:val="20"/>
  </w:num>
  <w:num w:numId="15">
    <w:abstractNumId w:val="11"/>
  </w:num>
  <w:num w:numId="16">
    <w:abstractNumId w:val="8"/>
  </w:num>
  <w:num w:numId="17">
    <w:abstractNumId w:val="0"/>
  </w:num>
  <w:num w:numId="18">
    <w:abstractNumId w:val="2"/>
  </w:num>
  <w:num w:numId="19">
    <w:abstractNumId w:val="5"/>
  </w:num>
  <w:num w:numId="20">
    <w:abstractNumId w:val="12"/>
  </w:num>
  <w:num w:numId="21">
    <w:abstractNumId w:val="17"/>
  </w:num>
  <w:num w:numId="22">
    <w:abstractNumId w:val="1"/>
  </w:num>
  <w:num w:numId="23">
    <w:abstractNumId w:val="10"/>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CE6"/>
    <w:rsid w:val="00006153"/>
    <w:rsid w:val="00021763"/>
    <w:rsid w:val="00027128"/>
    <w:rsid w:val="000615B6"/>
    <w:rsid w:val="00072CAF"/>
    <w:rsid w:val="0007631E"/>
    <w:rsid w:val="00083B60"/>
    <w:rsid w:val="00091262"/>
    <w:rsid w:val="0009266A"/>
    <w:rsid w:val="000A12E2"/>
    <w:rsid w:val="000A2C65"/>
    <w:rsid w:val="000A2E65"/>
    <w:rsid w:val="000A5759"/>
    <w:rsid w:val="000F1A1A"/>
    <w:rsid w:val="000F2317"/>
    <w:rsid w:val="000F7DB5"/>
    <w:rsid w:val="0011493F"/>
    <w:rsid w:val="00123ADD"/>
    <w:rsid w:val="00130A1B"/>
    <w:rsid w:val="0014470F"/>
    <w:rsid w:val="00147EC0"/>
    <w:rsid w:val="001506B6"/>
    <w:rsid w:val="00164268"/>
    <w:rsid w:val="00166843"/>
    <w:rsid w:val="001759E6"/>
    <w:rsid w:val="00177B65"/>
    <w:rsid w:val="001C2A90"/>
    <w:rsid w:val="001D2848"/>
    <w:rsid w:val="001D3F38"/>
    <w:rsid w:val="001E1E82"/>
    <w:rsid w:val="00201784"/>
    <w:rsid w:val="00216D60"/>
    <w:rsid w:val="0022571C"/>
    <w:rsid w:val="00233710"/>
    <w:rsid w:val="0023494F"/>
    <w:rsid w:val="002371AC"/>
    <w:rsid w:val="0024588F"/>
    <w:rsid w:val="002470B2"/>
    <w:rsid w:val="00252CFE"/>
    <w:rsid w:val="00287BA1"/>
    <w:rsid w:val="00295805"/>
    <w:rsid w:val="002B3CA4"/>
    <w:rsid w:val="002D313F"/>
    <w:rsid w:val="002E1310"/>
    <w:rsid w:val="002E576B"/>
    <w:rsid w:val="00314132"/>
    <w:rsid w:val="00322B1F"/>
    <w:rsid w:val="00323875"/>
    <w:rsid w:val="00323C4C"/>
    <w:rsid w:val="0034383F"/>
    <w:rsid w:val="00343F13"/>
    <w:rsid w:val="00351804"/>
    <w:rsid w:val="003618FC"/>
    <w:rsid w:val="00374394"/>
    <w:rsid w:val="003812FB"/>
    <w:rsid w:val="00392350"/>
    <w:rsid w:val="003A4B84"/>
    <w:rsid w:val="003A64ED"/>
    <w:rsid w:val="003A6CE6"/>
    <w:rsid w:val="003A6EA0"/>
    <w:rsid w:val="003B2B39"/>
    <w:rsid w:val="003B2C33"/>
    <w:rsid w:val="003D51F8"/>
    <w:rsid w:val="003E3467"/>
    <w:rsid w:val="003F53BF"/>
    <w:rsid w:val="00410FBF"/>
    <w:rsid w:val="00413109"/>
    <w:rsid w:val="00413957"/>
    <w:rsid w:val="00426C92"/>
    <w:rsid w:val="00433657"/>
    <w:rsid w:val="00433AC5"/>
    <w:rsid w:val="00440223"/>
    <w:rsid w:val="00455910"/>
    <w:rsid w:val="0046113A"/>
    <w:rsid w:val="00461C84"/>
    <w:rsid w:val="00464273"/>
    <w:rsid w:val="00465D61"/>
    <w:rsid w:val="00467BC9"/>
    <w:rsid w:val="004A10A1"/>
    <w:rsid w:val="004A1C67"/>
    <w:rsid w:val="004A7D85"/>
    <w:rsid w:val="004B5C67"/>
    <w:rsid w:val="004C27F1"/>
    <w:rsid w:val="004D47EE"/>
    <w:rsid w:val="004D583C"/>
    <w:rsid w:val="004F32B8"/>
    <w:rsid w:val="00516D61"/>
    <w:rsid w:val="0052608F"/>
    <w:rsid w:val="0053219C"/>
    <w:rsid w:val="00545082"/>
    <w:rsid w:val="00551F8B"/>
    <w:rsid w:val="00553908"/>
    <w:rsid w:val="00567D49"/>
    <w:rsid w:val="00570BEE"/>
    <w:rsid w:val="005A3D49"/>
    <w:rsid w:val="005C1410"/>
    <w:rsid w:val="005C64A0"/>
    <w:rsid w:val="005D211E"/>
    <w:rsid w:val="005D44BF"/>
    <w:rsid w:val="005E111D"/>
    <w:rsid w:val="005E3DB4"/>
    <w:rsid w:val="005E51D4"/>
    <w:rsid w:val="005F057C"/>
    <w:rsid w:val="005F40FF"/>
    <w:rsid w:val="005F556B"/>
    <w:rsid w:val="005F73A5"/>
    <w:rsid w:val="005F7C04"/>
    <w:rsid w:val="0060086E"/>
    <w:rsid w:val="00602900"/>
    <w:rsid w:val="006063D0"/>
    <w:rsid w:val="00655E40"/>
    <w:rsid w:val="006704CF"/>
    <w:rsid w:val="00673344"/>
    <w:rsid w:val="006747CC"/>
    <w:rsid w:val="00681B6D"/>
    <w:rsid w:val="00686CEF"/>
    <w:rsid w:val="00693CFD"/>
    <w:rsid w:val="00694E56"/>
    <w:rsid w:val="00697794"/>
    <w:rsid w:val="006B1909"/>
    <w:rsid w:val="006B1B26"/>
    <w:rsid w:val="006B6279"/>
    <w:rsid w:val="006C6AC7"/>
    <w:rsid w:val="006C763D"/>
    <w:rsid w:val="006D2D77"/>
    <w:rsid w:val="006D6DD6"/>
    <w:rsid w:val="006E005F"/>
    <w:rsid w:val="006E2C6A"/>
    <w:rsid w:val="006E54DC"/>
    <w:rsid w:val="006F5D0F"/>
    <w:rsid w:val="007035C5"/>
    <w:rsid w:val="00715809"/>
    <w:rsid w:val="007164EF"/>
    <w:rsid w:val="00716C9A"/>
    <w:rsid w:val="007509FC"/>
    <w:rsid w:val="00754C49"/>
    <w:rsid w:val="00770236"/>
    <w:rsid w:val="00772B90"/>
    <w:rsid w:val="00780A63"/>
    <w:rsid w:val="00784CDD"/>
    <w:rsid w:val="007A2641"/>
    <w:rsid w:val="007A75A3"/>
    <w:rsid w:val="007B4071"/>
    <w:rsid w:val="007D1335"/>
    <w:rsid w:val="007D4B8E"/>
    <w:rsid w:val="007E0EE3"/>
    <w:rsid w:val="007E685E"/>
    <w:rsid w:val="007F6563"/>
    <w:rsid w:val="00817FF5"/>
    <w:rsid w:val="00833722"/>
    <w:rsid w:val="008526F1"/>
    <w:rsid w:val="008609E2"/>
    <w:rsid w:val="00876447"/>
    <w:rsid w:val="00890974"/>
    <w:rsid w:val="00891D8E"/>
    <w:rsid w:val="008976FF"/>
    <w:rsid w:val="008A7C31"/>
    <w:rsid w:val="008B10A8"/>
    <w:rsid w:val="008C3C8B"/>
    <w:rsid w:val="008C74DB"/>
    <w:rsid w:val="008D3A9A"/>
    <w:rsid w:val="008E5BEA"/>
    <w:rsid w:val="008F035E"/>
    <w:rsid w:val="008F03F2"/>
    <w:rsid w:val="008F05DA"/>
    <w:rsid w:val="00900747"/>
    <w:rsid w:val="00907B02"/>
    <w:rsid w:val="0091452D"/>
    <w:rsid w:val="009224D3"/>
    <w:rsid w:val="00927421"/>
    <w:rsid w:val="009332EC"/>
    <w:rsid w:val="00935872"/>
    <w:rsid w:val="00941407"/>
    <w:rsid w:val="00942B62"/>
    <w:rsid w:val="009450F0"/>
    <w:rsid w:val="00950149"/>
    <w:rsid w:val="00950EC5"/>
    <w:rsid w:val="00963982"/>
    <w:rsid w:val="00975A3A"/>
    <w:rsid w:val="00990EF9"/>
    <w:rsid w:val="009B237B"/>
    <w:rsid w:val="009B2ED1"/>
    <w:rsid w:val="009B572F"/>
    <w:rsid w:val="009C16F5"/>
    <w:rsid w:val="009E4383"/>
    <w:rsid w:val="00A11423"/>
    <w:rsid w:val="00A20F14"/>
    <w:rsid w:val="00A65563"/>
    <w:rsid w:val="00A70C37"/>
    <w:rsid w:val="00A7344D"/>
    <w:rsid w:val="00A97C16"/>
    <w:rsid w:val="00AA069F"/>
    <w:rsid w:val="00AA5CCE"/>
    <w:rsid w:val="00AA5E78"/>
    <w:rsid w:val="00AB647F"/>
    <w:rsid w:val="00AD7F18"/>
    <w:rsid w:val="00AE486B"/>
    <w:rsid w:val="00B04758"/>
    <w:rsid w:val="00B06918"/>
    <w:rsid w:val="00B16744"/>
    <w:rsid w:val="00B17A8F"/>
    <w:rsid w:val="00B208C9"/>
    <w:rsid w:val="00B2102D"/>
    <w:rsid w:val="00B56527"/>
    <w:rsid w:val="00B80655"/>
    <w:rsid w:val="00B81CBF"/>
    <w:rsid w:val="00B928F7"/>
    <w:rsid w:val="00B92EB3"/>
    <w:rsid w:val="00B97E11"/>
    <w:rsid w:val="00BA3FE7"/>
    <w:rsid w:val="00BC19F0"/>
    <w:rsid w:val="00BC2D56"/>
    <w:rsid w:val="00BD0537"/>
    <w:rsid w:val="00BD6438"/>
    <w:rsid w:val="00BE7E72"/>
    <w:rsid w:val="00C066EB"/>
    <w:rsid w:val="00C17EA6"/>
    <w:rsid w:val="00C22569"/>
    <w:rsid w:val="00C245AA"/>
    <w:rsid w:val="00C300F6"/>
    <w:rsid w:val="00C40C02"/>
    <w:rsid w:val="00C46DC8"/>
    <w:rsid w:val="00CA5A7B"/>
    <w:rsid w:val="00CC2A84"/>
    <w:rsid w:val="00CC3D84"/>
    <w:rsid w:val="00D02A22"/>
    <w:rsid w:val="00D03BAD"/>
    <w:rsid w:val="00D143B5"/>
    <w:rsid w:val="00D15C9E"/>
    <w:rsid w:val="00D219E2"/>
    <w:rsid w:val="00D3075F"/>
    <w:rsid w:val="00D346D3"/>
    <w:rsid w:val="00D366A0"/>
    <w:rsid w:val="00D427B9"/>
    <w:rsid w:val="00D57E55"/>
    <w:rsid w:val="00D92818"/>
    <w:rsid w:val="00DA7753"/>
    <w:rsid w:val="00DB1156"/>
    <w:rsid w:val="00DB1959"/>
    <w:rsid w:val="00DB42EB"/>
    <w:rsid w:val="00DC08EE"/>
    <w:rsid w:val="00DC710F"/>
    <w:rsid w:val="00DD2471"/>
    <w:rsid w:val="00DD2EB7"/>
    <w:rsid w:val="00DE112E"/>
    <w:rsid w:val="00DE6D78"/>
    <w:rsid w:val="00DE7C10"/>
    <w:rsid w:val="00DE7C1B"/>
    <w:rsid w:val="00DF31CB"/>
    <w:rsid w:val="00E05DD7"/>
    <w:rsid w:val="00E0768F"/>
    <w:rsid w:val="00E13B35"/>
    <w:rsid w:val="00E1551E"/>
    <w:rsid w:val="00E15F3A"/>
    <w:rsid w:val="00E354E0"/>
    <w:rsid w:val="00E428BE"/>
    <w:rsid w:val="00E53C53"/>
    <w:rsid w:val="00E76E03"/>
    <w:rsid w:val="00E802E9"/>
    <w:rsid w:val="00E869B8"/>
    <w:rsid w:val="00E90F8B"/>
    <w:rsid w:val="00EB388A"/>
    <w:rsid w:val="00EB7040"/>
    <w:rsid w:val="00EE1987"/>
    <w:rsid w:val="00EF0963"/>
    <w:rsid w:val="00F071DE"/>
    <w:rsid w:val="00F12116"/>
    <w:rsid w:val="00F124C9"/>
    <w:rsid w:val="00F21D3A"/>
    <w:rsid w:val="00F22043"/>
    <w:rsid w:val="00F35ECB"/>
    <w:rsid w:val="00F463BC"/>
    <w:rsid w:val="00F5338B"/>
    <w:rsid w:val="00F82C34"/>
    <w:rsid w:val="00F87784"/>
    <w:rsid w:val="00FB5BC3"/>
    <w:rsid w:val="00FB5FC5"/>
    <w:rsid w:val="00FC0861"/>
    <w:rsid w:val="00FE16B1"/>
    <w:rsid w:val="00FE7E2E"/>
    <w:rsid w:val="00FF0894"/>
    <w:rsid w:val="00FF68AA"/>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7AF02BF"/>
  <w15:docId w15:val="{E1043277-ECD2-44D1-AEAC-F6D5B2509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BC2D56"/>
    <w:pPr>
      <w:ind w:left="720"/>
      <w:contextualSpacing/>
    </w:pPr>
  </w:style>
  <w:style w:type="character" w:styleId="CommentReference">
    <w:name w:val="annotation reference"/>
    <w:basedOn w:val="DefaultParagraphFont"/>
    <w:uiPriority w:val="99"/>
    <w:semiHidden/>
    <w:unhideWhenUsed/>
    <w:rsid w:val="00027128"/>
    <w:rPr>
      <w:sz w:val="16"/>
      <w:szCs w:val="16"/>
    </w:rPr>
  </w:style>
  <w:style w:type="paragraph" w:styleId="CommentText">
    <w:name w:val="annotation text"/>
    <w:basedOn w:val="Normal"/>
    <w:link w:val="CommentTextChar"/>
    <w:uiPriority w:val="99"/>
    <w:semiHidden/>
    <w:unhideWhenUsed/>
    <w:rsid w:val="00027128"/>
    <w:pPr>
      <w:spacing w:line="240" w:lineRule="auto"/>
    </w:pPr>
    <w:rPr>
      <w:sz w:val="20"/>
      <w:szCs w:val="20"/>
    </w:rPr>
  </w:style>
  <w:style w:type="character" w:customStyle="1" w:styleId="CommentTextChar">
    <w:name w:val="Comment Text Char"/>
    <w:basedOn w:val="DefaultParagraphFont"/>
    <w:link w:val="CommentText"/>
    <w:uiPriority w:val="99"/>
    <w:semiHidden/>
    <w:rsid w:val="00027128"/>
    <w:rPr>
      <w:sz w:val="20"/>
      <w:szCs w:val="20"/>
    </w:rPr>
  </w:style>
  <w:style w:type="paragraph" w:styleId="CommentSubject">
    <w:name w:val="annotation subject"/>
    <w:basedOn w:val="CommentText"/>
    <w:next w:val="CommentText"/>
    <w:link w:val="CommentSubjectChar"/>
    <w:uiPriority w:val="99"/>
    <w:semiHidden/>
    <w:unhideWhenUsed/>
    <w:rsid w:val="00027128"/>
    <w:rPr>
      <w:b/>
      <w:bCs/>
    </w:rPr>
  </w:style>
  <w:style w:type="character" w:customStyle="1" w:styleId="CommentSubjectChar">
    <w:name w:val="Comment Subject Char"/>
    <w:basedOn w:val="CommentTextChar"/>
    <w:link w:val="CommentSubject"/>
    <w:uiPriority w:val="99"/>
    <w:semiHidden/>
    <w:rsid w:val="00027128"/>
    <w:rPr>
      <w:b/>
      <w:bCs/>
      <w:sz w:val="20"/>
      <w:szCs w:val="20"/>
    </w:rPr>
  </w:style>
  <w:style w:type="paragraph" w:styleId="BalloonText">
    <w:name w:val="Balloon Text"/>
    <w:basedOn w:val="Normal"/>
    <w:link w:val="BalloonTextChar"/>
    <w:uiPriority w:val="99"/>
    <w:semiHidden/>
    <w:unhideWhenUsed/>
    <w:rsid w:val="000271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128"/>
    <w:rPr>
      <w:rFonts w:ascii="Tahoma" w:hAnsi="Tahoma" w:cs="Tahoma"/>
      <w:sz w:val="16"/>
      <w:szCs w:val="16"/>
    </w:rPr>
  </w:style>
  <w:style w:type="character" w:customStyle="1" w:styleId="tlid-translation">
    <w:name w:val="tlid-translation"/>
    <w:basedOn w:val="DefaultParagraphFont"/>
    <w:rsid w:val="003B2B39"/>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9B2ED1"/>
  </w:style>
  <w:style w:type="paragraph" w:styleId="Header">
    <w:name w:val="header"/>
    <w:basedOn w:val="Normal"/>
    <w:link w:val="HeaderChar"/>
    <w:uiPriority w:val="99"/>
    <w:unhideWhenUsed/>
    <w:rsid w:val="00C46D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C46DC8"/>
  </w:style>
  <w:style w:type="paragraph" w:styleId="Footer">
    <w:name w:val="footer"/>
    <w:basedOn w:val="Normal"/>
    <w:link w:val="FooterChar"/>
    <w:uiPriority w:val="99"/>
    <w:unhideWhenUsed/>
    <w:rsid w:val="00C46D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C46D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782704">
      <w:bodyDiv w:val="1"/>
      <w:marLeft w:val="0"/>
      <w:marRight w:val="0"/>
      <w:marTop w:val="0"/>
      <w:marBottom w:val="0"/>
      <w:divBdr>
        <w:top w:val="none" w:sz="0" w:space="0" w:color="auto"/>
        <w:left w:val="none" w:sz="0" w:space="0" w:color="auto"/>
        <w:bottom w:val="none" w:sz="0" w:space="0" w:color="auto"/>
        <w:right w:val="none" w:sz="0" w:space="0" w:color="auto"/>
      </w:divBdr>
      <w:divsChild>
        <w:div w:id="444034352">
          <w:marLeft w:val="0"/>
          <w:marRight w:val="0"/>
          <w:marTop w:val="0"/>
          <w:marBottom w:val="0"/>
          <w:divBdr>
            <w:top w:val="none" w:sz="0" w:space="0" w:color="auto"/>
            <w:left w:val="none" w:sz="0" w:space="0" w:color="auto"/>
            <w:bottom w:val="none" w:sz="0" w:space="0" w:color="auto"/>
            <w:right w:val="none" w:sz="0" w:space="0" w:color="auto"/>
          </w:divBdr>
          <w:divsChild>
            <w:div w:id="539055891">
              <w:marLeft w:val="0"/>
              <w:marRight w:val="0"/>
              <w:marTop w:val="0"/>
              <w:marBottom w:val="0"/>
              <w:divBdr>
                <w:top w:val="none" w:sz="0" w:space="0" w:color="auto"/>
                <w:left w:val="none" w:sz="0" w:space="0" w:color="auto"/>
                <w:bottom w:val="none" w:sz="0" w:space="0" w:color="auto"/>
                <w:right w:val="none" w:sz="0" w:space="0" w:color="auto"/>
              </w:divBdr>
              <w:divsChild>
                <w:div w:id="1809782529">
                  <w:marLeft w:val="0"/>
                  <w:marRight w:val="0"/>
                  <w:marTop w:val="0"/>
                  <w:marBottom w:val="0"/>
                  <w:divBdr>
                    <w:top w:val="none" w:sz="0" w:space="0" w:color="auto"/>
                    <w:left w:val="none" w:sz="0" w:space="0" w:color="auto"/>
                    <w:bottom w:val="none" w:sz="0" w:space="0" w:color="auto"/>
                    <w:right w:val="none" w:sz="0" w:space="0" w:color="auto"/>
                  </w:divBdr>
                  <w:divsChild>
                    <w:div w:id="1506355763">
                      <w:marLeft w:val="0"/>
                      <w:marRight w:val="0"/>
                      <w:marTop w:val="0"/>
                      <w:marBottom w:val="0"/>
                      <w:divBdr>
                        <w:top w:val="none" w:sz="0" w:space="0" w:color="auto"/>
                        <w:left w:val="none" w:sz="0" w:space="0" w:color="auto"/>
                        <w:bottom w:val="none" w:sz="0" w:space="0" w:color="auto"/>
                        <w:right w:val="none" w:sz="0" w:space="0" w:color="auto"/>
                      </w:divBdr>
                      <w:divsChild>
                        <w:div w:id="360135970">
                          <w:marLeft w:val="0"/>
                          <w:marRight w:val="0"/>
                          <w:marTop w:val="0"/>
                          <w:marBottom w:val="0"/>
                          <w:divBdr>
                            <w:top w:val="none" w:sz="0" w:space="0" w:color="auto"/>
                            <w:left w:val="none" w:sz="0" w:space="0" w:color="auto"/>
                            <w:bottom w:val="none" w:sz="0" w:space="0" w:color="auto"/>
                            <w:right w:val="none" w:sz="0" w:space="0" w:color="auto"/>
                          </w:divBdr>
                          <w:divsChild>
                            <w:div w:id="875969838">
                              <w:marLeft w:val="0"/>
                              <w:marRight w:val="300"/>
                              <w:marTop w:val="180"/>
                              <w:marBottom w:val="0"/>
                              <w:divBdr>
                                <w:top w:val="none" w:sz="0" w:space="0" w:color="auto"/>
                                <w:left w:val="none" w:sz="0" w:space="0" w:color="auto"/>
                                <w:bottom w:val="none" w:sz="0" w:space="0" w:color="auto"/>
                                <w:right w:val="none" w:sz="0" w:space="0" w:color="auto"/>
                              </w:divBdr>
                              <w:divsChild>
                                <w:div w:id="101321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8873621">
          <w:marLeft w:val="0"/>
          <w:marRight w:val="0"/>
          <w:marTop w:val="0"/>
          <w:marBottom w:val="0"/>
          <w:divBdr>
            <w:top w:val="none" w:sz="0" w:space="0" w:color="auto"/>
            <w:left w:val="none" w:sz="0" w:space="0" w:color="auto"/>
            <w:bottom w:val="none" w:sz="0" w:space="0" w:color="auto"/>
            <w:right w:val="none" w:sz="0" w:space="0" w:color="auto"/>
          </w:divBdr>
          <w:divsChild>
            <w:div w:id="710419743">
              <w:marLeft w:val="0"/>
              <w:marRight w:val="0"/>
              <w:marTop w:val="0"/>
              <w:marBottom w:val="0"/>
              <w:divBdr>
                <w:top w:val="none" w:sz="0" w:space="0" w:color="auto"/>
                <w:left w:val="none" w:sz="0" w:space="0" w:color="auto"/>
                <w:bottom w:val="none" w:sz="0" w:space="0" w:color="auto"/>
                <w:right w:val="none" w:sz="0" w:space="0" w:color="auto"/>
              </w:divBdr>
              <w:divsChild>
                <w:div w:id="397829298">
                  <w:marLeft w:val="0"/>
                  <w:marRight w:val="0"/>
                  <w:marTop w:val="0"/>
                  <w:marBottom w:val="0"/>
                  <w:divBdr>
                    <w:top w:val="none" w:sz="0" w:space="0" w:color="auto"/>
                    <w:left w:val="none" w:sz="0" w:space="0" w:color="auto"/>
                    <w:bottom w:val="none" w:sz="0" w:space="0" w:color="auto"/>
                    <w:right w:val="none" w:sz="0" w:space="0" w:color="auto"/>
                  </w:divBdr>
                  <w:divsChild>
                    <w:div w:id="1444417895">
                      <w:marLeft w:val="0"/>
                      <w:marRight w:val="0"/>
                      <w:marTop w:val="0"/>
                      <w:marBottom w:val="0"/>
                      <w:divBdr>
                        <w:top w:val="none" w:sz="0" w:space="0" w:color="auto"/>
                        <w:left w:val="none" w:sz="0" w:space="0" w:color="auto"/>
                        <w:bottom w:val="none" w:sz="0" w:space="0" w:color="auto"/>
                        <w:right w:val="none" w:sz="0" w:space="0" w:color="auto"/>
                      </w:divBdr>
                      <w:divsChild>
                        <w:div w:id="193686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5876486">
      <w:bodyDiv w:val="1"/>
      <w:marLeft w:val="0"/>
      <w:marRight w:val="0"/>
      <w:marTop w:val="0"/>
      <w:marBottom w:val="0"/>
      <w:divBdr>
        <w:top w:val="none" w:sz="0" w:space="0" w:color="auto"/>
        <w:left w:val="none" w:sz="0" w:space="0" w:color="auto"/>
        <w:bottom w:val="none" w:sz="0" w:space="0" w:color="auto"/>
        <w:right w:val="none" w:sz="0" w:space="0" w:color="auto"/>
      </w:divBdr>
      <w:divsChild>
        <w:div w:id="2138910352">
          <w:marLeft w:val="0"/>
          <w:marRight w:val="0"/>
          <w:marTop w:val="0"/>
          <w:marBottom w:val="0"/>
          <w:divBdr>
            <w:top w:val="none" w:sz="0" w:space="0" w:color="auto"/>
            <w:left w:val="none" w:sz="0" w:space="0" w:color="auto"/>
            <w:bottom w:val="none" w:sz="0" w:space="0" w:color="auto"/>
            <w:right w:val="none" w:sz="0" w:space="0" w:color="auto"/>
          </w:divBdr>
        </w:div>
        <w:div w:id="1849827698">
          <w:marLeft w:val="0"/>
          <w:marRight w:val="0"/>
          <w:marTop w:val="0"/>
          <w:marBottom w:val="0"/>
          <w:divBdr>
            <w:top w:val="none" w:sz="0" w:space="0" w:color="auto"/>
            <w:left w:val="none" w:sz="0" w:space="0" w:color="auto"/>
            <w:bottom w:val="none" w:sz="0" w:space="0" w:color="auto"/>
            <w:right w:val="none" w:sz="0" w:space="0" w:color="auto"/>
          </w:divBdr>
        </w:div>
      </w:divsChild>
    </w:div>
    <w:div w:id="1036155009">
      <w:bodyDiv w:val="1"/>
      <w:marLeft w:val="0"/>
      <w:marRight w:val="0"/>
      <w:marTop w:val="0"/>
      <w:marBottom w:val="0"/>
      <w:divBdr>
        <w:top w:val="none" w:sz="0" w:space="0" w:color="auto"/>
        <w:left w:val="none" w:sz="0" w:space="0" w:color="auto"/>
        <w:bottom w:val="none" w:sz="0" w:space="0" w:color="auto"/>
        <w:right w:val="none" w:sz="0" w:space="0" w:color="auto"/>
      </w:divBdr>
    </w:div>
    <w:div w:id="1465075719">
      <w:bodyDiv w:val="1"/>
      <w:marLeft w:val="0"/>
      <w:marRight w:val="0"/>
      <w:marTop w:val="0"/>
      <w:marBottom w:val="0"/>
      <w:divBdr>
        <w:top w:val="none" w:sz="0" w:space="0" w:color="auto"/>
        <w:left w:val="none" w:sz="0" w:space="0" w:color="auto"/>
        <w:bottom w:val="none" w:sz="0" w:space="0" w:color="auto"/>
        <w:right w:val="none" w:sz="0" w:space="0" w:color="auto"/>
      </w:divBdr>
    </w:div>
    <w:div w:id="1648587331">
      <w:bodyDiv w:val="1"/>
      <w:marLeft w:val="0"/>
      <w:marRight w:val="0"/>
      <w:marTop w:val="0"/>
      <w:marBottom w:val="0"/>
      <w:divBdr>
        <w:top w:val="none" w:sz="0" w:space="0" w:color="auto"/>
        <w:left w:val="none" w:sz="0" w:space="0" w:color="auto"/>
        <w:bottom w:val="none" w:sz="0" w:space="0" w:color="auto"/>
        <w:right w:val="none" w:sz="0" w:space="0" w:color="auto"/>
      </w:divBdr>
      <w:divsChild>
        <w:div w:id="1267687512">
          <w:marLeft w:val="0"/>
          <w:marRight w:val="0"/>
          <w:marTop w:val="0"/>
          <w:marBottom w:val="0"/>
          <w:divBdr>
            <w:top w:val="none" w:sz="0" w:space="0" w:color="auto"/>
            <w:left w:val="none" w:sz="0" w:space="0" w:color="auto"/>
            <w:bottom w:val="none" w:sz="0" w:space="0" w:color="auto"/>
            <w:right w:val="none" w:sz="0" w:space="0" w:color="auto"/>
          </w:divBdr>
          <w:divsChild>
            <w:div w:id="1645306979">
              <w:marLeft w:val="0"/>
              <w:marRight w:val="0"/>
              <w:marTop w:val="0"/>
              <w:marBottom w:val="0"/>
              <w:divBdr>
                <w:top w:val="none" w:sz="0" w:space="0" w:color="auto"/>
                <w:left w:val="none" w:sz="0" w:space="0" w:color="auto"/>
                <w:bottom w:val="none" w:sz="0" w:space="0" w:color="auto"/>
                <w:right w:val="none" w:sz="0" w:space="0" w:color="auto"/>
              </w:divBdr>
              <w:divsChild>
                <w:div w:id="1645502280">
                  <w:marLeft w:val="0"/>
                  <w:marRight w:val="0"/>
                  <w:marTop w:val="0"/>
                  <w:marBottom w:val="0"/>
                  <w:divBdr>
                    <w:top w:val="none" w:sz="0" w:space="0" w:color="auto"/>
                    <w:left w:val="none" w:sz="0" w:space="0" w:color="auto"/>
                    <w:bottom w:val="none" w:sz="0" w:space="0" w:color="auto"/>
                    <w:right w:val="none" w:sz="0" w:space="0" w:color="auto"/>
                  </w:divBdr>
                  <w:divsChild>
                    <w:div w:id="461926313">
                      <w:marLeft w:val="0"/>
                      <w:marRight w:val="0"/>
                      <w:marTop w:val="0"/>
                      <w:marBottom w:val="0"/>
                      <w:divBdr>
                        <w:top w:val="none" w:sz="0" w:space="0" w:color="auto"/>
                        <w:left w:val="none" w:sz="0" w:space="0" w:color="auto"/>
                        <w:bottom w:val="none" w:sz="0" w:space="0" w:color="auto"/>
                        <w:right w:val="none" w:sz="0" w:space="0" w:color="auto"/>
                      </w:divBdr>
                      <w:divsChild>
                        <w:div w:id="560092994">
                          <w:marLeft w:val="0"/>
                          <w:marRight w:val="0"/>
                          <w:marTop w:val="0"/>
                          <w:marBottom w:val="0"/>
                          <w:divBdr>
                            <w:top w:val="none" w:sz="0" w:space="0" w:color="auto"/>
                            <w:left w:val="none" w:sz="0" w:space="0" w:color="auto"/>
                            <w:bottom w:val="none" w:sz="0" w:space="0" w:color="auto"/>
                            <w:right w:val="none" w:sz="0" w:space="0" w:color="auto"/>
                          </w:divBdr>
                          <w:divsChild>
                            <w:div w:id="1639068196">
                              <w:marLeft w:val="0"/>
                              <w:marRight w:val="300"/>
                              <w:marTop w:val="180"/>
                              <w:marBottom w:val="0"/>
                              <w:divBdr>
                                <w:top w:val="none" w:sz="0" w:space="0" w:color="auto"/>
                                <w:left w:val="none" w:sz="0" w:space="0" w:color="auto"/>
                                <w:bottom w:val="none" w:sz="0" w:space="0" w:color="auto"/>
                                <w:right w:val="none" w:sz="0" w:space="0" w:color="auto"/>
                              </w:divBdr>
                              <w:divsChild>
                                <w:div w:id="48689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8762417">
          <w:marLeft w:val="0"/>
          <w:marRight w:val="0"/>
          <w:marTop w:val="0"/>
          <w:marBottom w:val="0"/>
          <w:divBdr>
            <w:top w:val="none" w:sz="0" w:space="0" w:color="auto"/>
            <w:left w:val="none" w:sz="0" w:space="0" w:color="auto"/>
            <w:bottom w:val="none" w:sz="0" w:space="0" w:color="auto"/>
            <w:right w:val="none" w:sz="0" w:space="0" w:color="auto"/>
          </w:divBdr>
          <w:divsChild>
            <w:div w:id="1233199972">
              <w:marLeft w:val="0"/>
              <w:marRight w:val="0"/>
              <w:marTop w:val="0"/>
              <w:marBottom w:val="0"/>
              <w:divBdr>
                <w:top w:val="none" w:sz="0" w:space="0" w:color="auto"/>
                <w:left w:val="none" w:sz="0" w:space="0" w:color="auto"/>
                <w:bottom w:val="none" w:sz="0" w:space="0" w:color="auto"/>
                <w:right w:val="none" w:sz="0" w:space="0" w:color="auto"/>
              </w:divBdr>
              <w:divsChild>
                <w:div w:id="245309374">
                  <w:marLeft w:val="0"/>
                  <w:marRight w:val="0"/>
                  <w:marTop w:val="0"/>
                  <w:marBottom w:val="0"/>
                  <w:divBdr>
                    <w:top w:val="none" w:sz="0" w:space="0" w:color="auto"/>
                    <w:left w:val="none" w:sz="0" w:space="0" w:color="auto"/>
                    <w:bottom w:val="none" w:sz="0" w:space="0" w:color="auto"/>
                    <w:right w:val="none" w:sz="0" w:space="0" w:color="auto"/>
                  </w:divBdr>
                  <w:divsChild>
                    <w:div w:id="265963872">
                      <w:marLeft w:val="0"/>
                      <w:marRight w:val="0"/>
                      <w:marTop w:val="0"/>
                      <w:marBottom w:val="0"/>
                      <w:divBdr>
                        <w:top w:val="none" w:sz="0" w:space="0" w:color="auto"/>
                        <w:left w:val="none" w:sz="0" w:space="0" w:color="auto"/>
                        <w:bottom w:val="none" w:sz="0" w:space="0" w:color="auto"/>
                        <w:right w:val="none" w:sz="0" w:space="0" w:color="auto"/>
                      </w:divBdr>
                      <w:divsChild>
                        <w:div w:id="78638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7782385">
      <w:bodyDiv w:val="1"/>
      <w:marLeft w:val="0"/>
      <w:marRight w:val="0"/>
      <w:marTop w:val="0"/>
      <w:marBottom w:val="0"/>
      <w:divBdr>
        <w:top w:val="none" w:sz="0" w:space="0" w:color="auto"/>
        <w:left w:val="none" w:sz="0" w:space="0" w:color="auto"/>
        <w:bottom w:val="none" w:sz="0" w:space="0" w:color="auto"/>
        <w:right w:val="none" w:sz="0" w:space="0" w:color="auto"/>
      </w:divBdr>
      <w:divsChild>
        <w:div w:id="546331948">
          <w:marLeft w:val="0"/>
          <w:marRight w:val="0"/>
          <w:marTop w:val="0"/>
          <w:marBottom w:val="0"/>
          <w:divBdr>
            <w:top w:val="none" w:sz="0" w:space="0" w:color="auto"/>
            <w:left w:val="none" w:sz="0" w:space="0" w:color="auto"/>
            <w:bottom w:val="none" w:sz="0" w:space="0" w:color="auto"/>
            <w:right w:val="none" w:sz="0" w:space="0" w:color="auto"/>
          </w:divBdr>
          <w:divsChild>
            <w:div w:id="819929148">
              <w:marLeft w:val="0"/>
              <w:marRight w:val="0"/>
              <w:marTop w:val="0"/>
              <w:marBottom w:val="0"/>
              <w:divBdr>
                <w:top w:val="none" w:sz="0" w:space="0" w:color="auto"/>
                <w:left w:val="none" w:sz="0" w:space="0" w:color="auto"/>
                <w:bottom w:val="none" w:sz="0" w:space="0" w:color="auto"/>
                <w:right w:val="none" w:sz="0" w:space="0" w:color="auto"/>
              </w:divBdr>
              <w:divsChild>
                <w:div w:id="1198471887">
                  <w:marLeft w:val="0"/>
                  <w:marRight w:val="0"/>
                  <w:marTop w:val="0"/>
                  <w:marBottom w:val="0"/>
                  <w:divBdr>
                    <w:top w:val="none" w:sz="0" w:space="0" w:color="auto"/>
                    <w:left w:val="none" w:sz="0" w:space="0" w:color="auto"/>
                    <w:bottom w:val="none" w:sz="0" w:space="0" w:color="auto"/>
                    <w:right w:val="none" w:sz="0" w:space="0" w:color="auto"/>
                  </w:divBdr>
                  <w:divsChild>
                    <w:div w:id="410546199">
                      <w:marLeft w:val="0"/>
                      <w:marRight w:val="0"/>
                      <w:marTop w:val="0"/>
                      <w:marBottom w:val="0"/>
                      <w:divBdr>
                        <w:top w:val="none" w:sz="0" w:space="0" w:color="auto"/>
                        <w:left w:val="none" w:sz="0" w:space="0" w:color="auto"/>
                        <w:bottom w:val="none" w:sz="0" w:space="0" w:color="auto"/>
                        <w:right w:val="none" w:sz="0" w:space="0" w:color="auto"/>
                      </w:divBdr>
                      <w:divsChild>
                        <w:div w:id="1163157568">
                          <w:marLeft w:val="0"/>
                          <w:marRight w:val="0"/>
                          <w:marTop w:val="0"/>
                          <w:marBottom w:val="0"/>
                          <w:divBdr>
                            <w:top w:val="none" w:sz="0" w:space="0" w:color="auto"/>
                            <w:left w:val="none" w:sz="0" w:space="0" w:color="auto"/>
                            <w:bottom w:val="none" w:sz="0" w:space="0" w:color="auto"/>
                            <w:right w:val="none" w:sz="0" w:space="0" w:color="auto"/>
                          </w:divBdr>
                          <w:divsChild>
                            <w:div w:id="485440691">
                              <w:marLeft w:val="0"/>
                              <w:marRight w:val="300"/>
                              <w:marTop w:val="180"/>
                              <w:marBottom w:val="0"/>
                              <w:divBdr>
                                <w:top w:val="none" w:sz="0" w:space="0" w:color="auto"/>
                                <w:left w:val="none" w:sz="0" w:space="0" w:color="auto"/>
                                <w:bottom w:val="none" w:sz="0" w:space="0" w:color="auto"/>
                                <w:right w:val="none" w:sz="0" w:space="0" w:color="auto"/>
                              </w:divBdr>
                              <w:divsChild>
                                <w:div w:id="93868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773392">
          <w:marLeft w:val="0"/>
          <w:marRight w:val="0"/>
          <w:marTop w:val="0"/>
          <w:marBottom w:val="0"/>
          <w:divBdr>
            <w:top w:val="none" w:sz="0" w:space="0" w:color="auto"/>
            <w:left w:val="none" w:sz="0" w:space="0" w:color="auto"/>
            <w:bottom w:val="none" w:sz="0" w:space="0" w:color="auto"/>
            <w:right w:val="none" w:sz="0" w:space="0" w:color="auto"/>
          </w:divBdr>
          <w:divsChild>
            <w:div w:id="2050915108">
              <w:marLeft w:val="0"/>
              <w:marRight w:val="0"/>
              <w:marTop w:val="0"/>
              <w:marBottom w:val="0"/>
              <w:divBdr>
                <w:top w:val="none" w:sz="0" w:space="0" w:color="auto"/>
                <w:left w:val="none" w:sz="0" w:space="0" w:color="auto"/>
                <w:bottom w:val="none" w:sz="0" w:space="0" w:color="auto"/>
                <w:right w:val="none" w:sz="0" w:space="0" w:color="auto"/>
              </w:divBdr>
              <w:divsChild>
                <w:div w:id="1470442602">
                  <w:marLeft w:val="0"/>
                  <w:marRight w:val="0"/>
                  <w:marTop w:val="0"/>
                  <w:marBottom w:val="0"/>
                  <w:divBdr>
                    <w:top w:val="none" w:sz="0" w:space="0" w:color="auto"/>
                    <w:left w:val="none" w:sz="0" w:space="0" w:color="auto"/>
                    <w:bottom w:val="none" w:sz="0" w:space="0" w:color="auto"/>
                    <w:right w:val="none" w:sz="0" w:space="0" w:color="auto"/>
                  </w:divBdr>
                  <w:divsChild>
                    <w:div w:id="2127311404">
                      <w:marLeft w:val="0"/>
                      <w:marRight w:val="0"/>
                      <w:marTop w:val="0"/>
                      <w:marBottom w:val="0"/>
                      <w:divBdr>
                        <w:top w:val="none" w:sz="0" w:space="0" w:color="auto"/>
                        <w:left w:val="none" w:sz="0" w:space="0" w:color="auto"/>
                        <w:bottom w:val="none" w:sz="0" w:space="0" w:color="auto"/>
                        <w:right w:val="none" w:sz="0" w:space="0" w:color="auto"/>
                      </w:divBdr>
                      <w:divsChild>
                        <w:div w:id="33858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EA2B7-BFB3-493B-A17F-9D1581067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2837</Words>
  <Characters>16176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Svetoslav Tsekov</dc:creator>
  <cp:lastModifiedBy>Milen M. Krastev</cp:lastModifiedBy>
  <cp:revision>8</cp:revision>
  <cp:lastPrinted>2020-11-11T09:42:00Z</cp:lastPrinted>
  <dcterms:created xsi:type="dcterms:W3CDTF">2020-12-02T10:21:00Z</dcterms:created>
  <dcterms:modified xsi:type="dcterms:W3CDTF">2020-12-04T09:07:00Z</dcterms:modified>
</cp:coreProperties>
</file>