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D76C3" w14:textId="6A1C3CF1" w:rsidR="002E576B" w:rsidRDefault="002E576B" w:rsidP="002E576B">
      <w:pPr>
        <w:jc w:val="center"/>
        <w:rPr>
          <w:lang w:val="bg-BG"/>
        </w:rPr>
      </w:pPr>
      <w:r>
        <w:rPr>
          <w:lang w:val="bg-BG"/>
        </w:rPr>
        <w:t>Име на интервенцията:</w:t>
      </w:r>
      <w:r w:rsidR="00E52703">
        <w:rPr>
          <w:lang w:val="bg-BG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E576B" w14:paraId="11E1A127" w14:textId="77777777" w:rsidTr="00E52703">
        <w:trPr>
          <w:trHeight w:val="622"/>
        </w:trPr>
        <w:tc>
          <w:tcPr>
            <w:tcW w:w="9242" w:type="dxa"/>
            <w:shd w:val="clear" w:color="auto" w:fill="B8CCE4" w:themeFill="accent1" w:themeFillTint="66"/>
            <w:vAlign w:val="center"/>
          </w:tcPr>
          <w:p w14:paraId="4830C425" w14:textId="297C35BB" w:rsidR="002E576B" w:rsidRPr="002E576B" w:rsidRDefault="00187603" w:rsidP="00E52703">
            <w:pPr>
              <w:spacing w:after="200" w:line="276" w:lineRule="auto"/>
              <w:jc w:val="center"/>
              <w:rPr>
                <w:b/>
                <w:lang w:val="bg-BG"/>
              </w:rPr>
            </w:pPr>
            <w:r w:rsidRPr="00187603">
              <w:rPr>
                <w:b/>
                <w:lang w:val="bg-BG"/>
              </w:rPr>
              <w:t>Член 64, буква „ж“ – Сътрудничество</w:t>
            </w:r>
          </w:p>
        </w:tc>
      </w:tr>
    </w:tbl>
    <w:p w14:paraId="17F00340" w14:textId="77777777" w:rsidR="002E576B" w:rsidRDefault="002E576B" w:rsidP="002E576B">
      <w:pPr>
        <w:jc w:val="center"/>
        <w:rPr>
          <w:lang w:val="bg-BG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943"/>
        <w:gridCol w:w="5983"/>
      </w:tblGrid>
      <w:tr w:rsidR="002E576B" w14:paraId="4326C04C" w14:textId="77777777" w:rsidTr="0015484B">
        <w:tc>
          <w:tcPr>
            <w:tcW w:w="2943" w:type="dxa"/>
            <w:shd w:val="clear" w:color="auto" w:fill="B8CCE4" w:themeFill="accent1" w:themeFillTint="66"/>
            <w:vAlign w:val="center"/>
          </w:tcPr>
          <w:p w14:paraId="6DB97CEC" w14:textId="341BDBCC" w:rsidR="002E576B" w:rsidRPr="002E576B" w:rsidRDefault="002E576B" w:rsidP="0015484B">
            <w:pPr>
              <w:ind w:right="1711"/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Фонд</w:t>
            </w:r>
          </w:p>
        </w:tc>
        <w:tc>
          <w:tcPr>
            <w:tcW w:w="5983" w:type="dxa"/>
          </w:tcPr>
          <w:p w14:paraId="7FFA5F4B" w14:textId="77777777" w:rsidR="002E576B" w:rsidRDefault="002E576B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ЕЗФРСР</w:t>
            </w:r>
          </w:p>
        </w:tc>
      </w:tr>
      <w:tr w:rsidR="002E576B" w14:paraId="748EE506" w14:textId="77777777" w:rsidTr="0015484B">
        <w:tc>
          <w:tcPr>
            <w:tcW w:w="2943" w:type="dxa"/>
            <w:shd w:val="clear" w:color="auto" w:fill="B8CCE4" w:themeFill="accent1" w:themeFillTint="66"/>
            <w:vAlign w:val="center"/>
          </w:tcPr>
          <w:p w14:paraId="40AC0DC8" w14:textId="77777777" w:rsidR="002E576B" w:rsidRPr="00BC2D56" w:rsidRDefault="002E576B" w:rsidP="0015484B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Тип на интервенцията</w:t>
            </w:r>
          </w:p>
        </w:tc>
        <w:tc>
          <w:tcPr>
            <w:tcW w:w="5983" w:type="dxa"/>
            <w:vAlign w:val="center"/>
          </w:tcPr>
          <w:p w14:paraId="1050530D" w14:textId="78629A2E" w:rsidR="002E576B" w:rsidRPr="009E19F4" w:rsidRDefault="00C92B73" w:rsidP="009E19F4">
            <w:pPr>
              <w:jc w:val="center"/>
              <w:rPr>
                <w:lang w:val="bg-BG"/>
              </w:rPr>
            </w:pPr>
            <w:r w:rsidRPr="009E19F4">
              <w:rPr>
                <w:b/>
                <w:bCs/>
                <w:lang w:val="bg-BG"/>
              </w:rPr>
              <w:t xml:space="preserve">Сътрудничество </w:t>
            </w:r>
            <w:r w:rsidR="00E52703" w:rsidRPr="009E19F4">
              <w:rPr>
                <w:b/>
                <w:bCs/>
                <w:lang w:val="bg-BG"/>
              </w:rPr>
              <w:t>за къс</w:t>
            </w:r>
            <w:r w:rsidR="00677A58">
              <w:rPr>
                <w:b/>
                <w:bCs/>
                <w:lang w:val="bg-BG"/>
              </w:rPr>
              <w:t>и вериги на доставки и местни</w:t>
            </w:r>
            <w:r w:rsidRPr="009E19F4">
              <w:rPr>
                <w:b/>
                <w:bCs/>
                <w:lang w:val="bg-BG"/>
              </w:rPr>
              <w:t xml:space="preserve"> пазари</w:t>
            </w:r>
            <w:r w:rsidR="009E19F4">
              <w:rPr>
                <w:b/>
                <w:bCs/>
                <w:lang w:val="bg-BG"/>
              </w:rPr>
              <w:t xml:space="preserve"> </w:t>
            </w:r>
            <w:r w:rsidR="009E19F4" w:rsidRPr="009E19F4">
              <w:rPr>
                <w:bCs/>
                <w:lang w:val="bg-BG"/>
              </w:rPr>
              <w:t>(</w:t>
            </w:r>
            <w:r w:rsidR="009E19F4" w:rsidRPr="009E19F4">
              <w:rPr>
                <w:lang w:val="bg-BG"/>
              </w:rPr>
              <w:t>Чл. 71, буква „д“)</w:t>
            </w:r>
          </w:p>
        </w:tc>
      </w:tr>
      <w:tr w:rsidR="002E576B" w14:paraId="7EF27D77" w14:textId="77777777" w:rsidTr="0015484B">
        <w:tc>
          <w:tcPr>
            <w:tcW w:w="2943" w:type="dxa"/>
            <w:shd w:val="clear" w:color="auto" w:fill="B8CCE4" w:themeFill="accent1" w:themeFillTint="66"/>
            <w:vAlign w:val="center"/>
          </w:tcPr>
          <w:p w14:paraId="28F50613" w14:textId="04C5BC68" w:rsidR="002E576B" w:rsidRPr="00BC2D56" w:rsidRDefault="002E576B" w:rsidP="0015484B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Териториален обхват</w:t>
            </w:r>
          </w:p>
        </w:tc>
        <w:tc>
          <w:tcPr>
            <w:tcW w:w="5983" w:type="dxa"/>
            <w:vAlign w:val="center"/>
          </w:tcPr>
          <w:p w14:paraId="0124E1AE" w14:textId="6BA7334E" w:rsidR="002E576B" w:rsidRDefault="00E52703" w:rsidP="009E19F4">
            <w:pPr>
              <w:jc w:val="center"/>
              <w:rPr>
                <w:lang w:val="bg-BG"/>
              </w:rPr>
            </w:pPr>
            <w:r w:rsidRPr="00C245AA">
              <w:rPr>
                <w:lang w:val="bg-BG"/>
              </w:rPr>
              <w:t>Дейностите по проектите се осъществят на те</w:t>
            </w:r>
            <w:r>
              <w:rPr>
                <w:lang w:val="bg-BG"/>
              </w:rPr>
              <w:t>риторията на Република България</w:t>
            </w:r>
          </w:p>
        </w:tc>
      </w:tr>
      <w:tr w:rsidR="002E576B" w14:paraId="01DAD92B" w14:textId="77777777" w:rsidTr="0015484B">
        <w:tc>
          <w:tcPr>
            <w:tcW w:w="2943" w:type="dxa"/>
            <w:shd w:val="clear" w:color="auto" w:fill="B8CCE4" w:themeFill="accent1" w:themeFillTint="66"/>
            <w:vAlign w:val="center"/>
          </w:tcPr>
          <w:p w14:paraId="37C43358" w14:textId="77777777" w:rsidR="002E576B" w:rsidRPr="002E576B" w:rsidRDefault="002E576B" w:rsidP="0015484B">
            <w:pPr>
              <w:rPr>
                <w:b/>
                <w:lang w:val="bg-BG"/>
              </w:rPr>
            </w:pPr>
            <w:r w:rsidRPr="00027128">
              <w:rPr>
                <w:b/>
                <w:lang w:val="bg-BG"/>
              </w:rPr>
              <w:t>Свързани специфични цели и където е релевантно, секторни приоритети</w:t>
            </w:r>
          </w:p>
        </w:tc>
        <w:tc>
          <w:tcPr>
            <w:tcW w:w="5983" w:type="dxa"/>
            <w:vAlign w:val="center"/>
          </w:tcPr>
          <w:p w14:paraId="7CF298BF" w14:textId="34F2CC6A" w:rsidR="002E576B" w:rsidRDefault="00E52703" w:rsidP="002E576B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Специфична цел № 3 „П</w:t>
            </w:r>
            <w:r w:rsidRPr="002D49F1">
              <w:rPr>
                <w:lang w:val="bg-BG"/>
              </w:rPr>
              <w:t>одобряване на позицията на земеделските стопани във веригата на стойността</w:t>
            </w:r>
            <w:r>
              <w:rPr>
                <w:lang w:val="bg-BG"/>
              </w:rPr>
              <w:t>“</w:t>
            </w:r>
          </w:p>
        </w:tc>
      </w:tr>
      <w:tr w:rsidR="002E576B" w14:paraId="59BEE944" w14:textId="77777777" w:rsidTr="0015484B">
        <w:tc>
          <w:tcPr>
            <w:tcW w:w="2943" w:type="dxa"/>
            <w:shd w:val="clear" w:color="auto" w:fill="B8CCE4" w:themeFill="accent1" w:themeFillTint="66"/>
            <w:vAlign w:val="center"/>
          </w:tcPr>
          <w:p w14:paraId="43C9EAD0" w14:textId="77777777" w:rsidR="002E576B" w:rsidRPr="002E576B" w:rsidRDefault="002E576B" w:rsidP="0015484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Индикатори за резултат</w:t>
            </w:r>
            <w:r w:rsidR="00F22043">
              <w:rPr>
                <w:b/>
                <w:lang w:val="bg-BG"/>
              </w:rPr>
              <w:t xml:space="preserve"> 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(</w:t>
            </w:r>
            <w:r w:rsidR="00F22043" w:rsidRPr="00F22043">
              <w:rPr>
                <w:b/>
                <w:i/>
                <w:sz w:val="20"/>
                <w:szCs w:val="20"/>
                <w:lang w:val="bg-BG"/>
              </w:rPr>
              <w:t>най-малко един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)</w:t>
            </w:r>
          </w:p>
        </w:tc>
        <w:tc>
          <w:tcPr>
            <w:tcW w:w="5983" w:type="dxa"/>
            <w:vAlign w:val="center"/>
          </w:tcPr>
          <w:p w14:paraId="25C03506" w14:textId="302AA500" w:rsidR="002E576B" w:rsidRDefault="00DD6EF3" w:rsidP="009E19F4">
            <w:pPr>
              <w:jc w:val="center"/>
              <w:rPr>
                <w:lang w:val="bg-BG"/>
              </w:rPr>
            </w:pPr>
            <w:r w:rsidRPr="00DD6EF3">
              <w:rPr>
                <w:lang w:val="bg-BG"/>
              </w:rPr>
              <w:t xml:space="preserve">R.10 </w:t>
            </w:r>
            <w:r w:rsidR="00E52703">
              <w:rPr>
                <w:lang w:val="bg-BG"/>
              </w:rPr>
              <w:t>„</w:t>
            </w:r>
            <w:r w:rsidRPr="00DD6EF3">
              <w:rPr>
                <w:lang w:val="bg-BG"/>
              </w:rPr>
              <w:t>Подобряване на организацията на веригата на доставки: дял на земеделските стопанства, участващи в подпомагани групи на производители, организации на производители, кооперативи и други форми на сътрудничество, местни пазари, къси вериги на доставки и схеми за качество</w:t>
            </w:r>
            <w:r w:rsidR="00E52703">
              <w:rPr>
                <w:lang w:val="bg-BG"/>
              </w:rPr>
              <w:t>“</w:t>
            </w:r>
          </w:p>
        </w:tc>
      </w:tr>
      <w:tr w:rsidR="002E576B" w14:paraId="07B4B94C" w14:textId="77777777" w:rsidTr="0015484B">
        <w:tc>
          <w:tcPr>
            <w:tcW w:w="2943" w:type="dxa"/>
            <w:shd w:val="clear" w:color="auto" w:fill="B8CCE4" w:themeFill="accent1" w:themeFillTint="66"/>
            <w:vAlign w:val="center"/>
          </w:tcPr>
          <w:p w14:paraId="0C07B77D" w14:textId="77777777" w:rsidR="002E576B" w:rsidRPr="002E576B" w:rsidRDefault="002E576B" w:rsidP="0015484B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Допустими бенефициенти</w:t>
            </w:r>
          </w:p>
        </w:tc>
        <w:tc>
          <w:tcPr>
            <w:tcW w:w="5983" w:type="dxa"/>
            <w:vAlign w:val="center"/>
          </w:tcPr>
          <w:p w14:paraId="1D5906A6" w14:textId="4B04FA59" w:rsidR="009E19F4" w:rsidRDefault="00DD6EF3" w:rsidP="009E19F4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Обединения за къси вериги на доставки и</w:t>
            </w:r>
          </w:p>
          <w:p w14:paraId="24A276CF" w14:textId="7B60D14A" w:rsidR="002E576B" w:rsidRDefault="00DD6EF3" w:rsidP="009E19F4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обединения за местни пазари</w:t>
            </w:r>
          </w:p>
        </w:tc>
      </w:tr>
    </w:tbl>
    <w:p w14:paraId="3B3540C6" w14:textId="77777777" w:rsidR="002E576B" w:rsidRDefault="002E576B" w:rsidP="002E576B">
      <w:pPr>
        <w:jc w:val="center"/>
      </w:pPr>
    </w:p>
    <w:p w14:paraId="0502AD32" w14:textId="77777777" w:rsidR="005F556B" w:rsidRPr="0046113A" w:rsidRDefault="004D583C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Описание на дизайна на</w:t>
      </w:r>
      <w:r w:rsidR="008A7C31" w:rsidRPr="0046113A">
        <w:rPr>
          <w:b/>
          <w:lang w:val="bg-BG"/>
        </w:rPr>
        <w:t xml:space="preserve"> </w:t>
      </w:r>
      <w:r w:rsidRPr="0046113A">
        <w:rPr>
          <w:b/>
          <w:lang w:val="bg-BG"/>
        </w:rPr>
        <w:t xml:space="preserve">интервенцията;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F556B" w14:paraId="6A36167F" w14:textId="77777777" w:rsidTr="005F556B">
        <w:tc>
          <w:tcPr>
            <w:tcW w:w="9242" w:type="dxa"/>
          </w:tcPr>
          <w:p w14:paraId="7FB414A5" w14:textId="1D55F3B8" w:rsidR="00DD6EF3" w:rsidRDefault="00DD6EF3" w:rsidP="00DD6EF3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Скъсяването на веригата на доставки на селскостопански продукти дава възможност от една страна да се гарантира качество на продуктите, и от друга – да се увеличи стойността за производителите.</w:t>
            </w:r>
            <w:r w:rsidR="00943BEC">
              <w:rPr>
                <w:lang w:val="bg-BG"/>
              </w:rPr>
              <w:t xml:space="preserve"> Популяризирането на късите вериги на доставки и местите пазари ще създаде добавена стойност на селскостопанските продукти, на местното развитие и местната идентичност.</w:t>
            </w:r>
          </w:p>
          <w:p w14:paraId="319E66A9" w14:textId="01F1F914" w:rsidR="00DD6EF3" w:rsidRPr="00DD6EF3" w:rsidRDefault="00DD6EF3" w:rsidP="00DD6EF3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 периода 2010 – 2017 г. се</w:t>
            </w:r>
            <w:r w:rsidRPr="00DD6EF3">
              <w:rPr>
                <w:lang w:val="bg-BG"/>
              </w:rPr>
              <w:t xml:space="preserve"> отчита незначителен относителен дял на фермите</w:t>
            </w:r>
            <w:r w:rsidR="00B032B7">
              <w:rPr>
                <w:lang w:val="en-US"/>
              </w:rPr>
              <w:t>,</w:t>
            </w:r>
            <w:r w:rsidRPr="00DD6EF3">
              <w:rPr>
                <w:lang w:val="bg-BG"/>
              </w:rPr>
              <w:t xml:space="preserve"> регистрирани по Н</w:t>
            </w:r>
            <w:r w:rsidR="00B032B7" w:rsidRPr="00DD6EF3">
              <w:rPr>
                <w:lang w:val="bg-BG"/>
              </w:rPr>
              <w:t>аредба</w:t>
            </w:r>
            <w:r w:rsidRPr="00DD6EF3">
              <w:rPr>
                <w:lang w:val="bg-BG"/>
              </w:rPr>
              <w:t xml:space="preserve"> № 26 от 2010 г. за директни доставки на малки количества суровини и храни от животински произход (производители в първичния сектор на млякото - 1,7</w:t>
            </w:r>
            <w:r w:rsidR="00B032B7">
              <w:rPr>
                <w:lang w:val="en-US"/>
              </w:rPr>
              <w:t xml:space="preserve"> </w:t>
            </w:r>
            <w:r w:rsidRPr="00DD6EF3">
              <w:rPr>
                <w:lang w:val="bg-BG"/>
              </w:rPr>
              <w:t>% от всички; произвеждащи яйца - 1% от стопан</w:t>
            </w:r>
            <w:r w:rsidR="00B032B7">
              <w:rPr>
                <w:lang w:val="bg-BG"/>
              </w:rPr>
              <w:t>ствата; месо и риба</w:t>
            </w:r>
            <w:r w:rsidRPr="00DD6EF3">
              <w:rPr>
                <w:lang w:val="bg-BG"/>
              </w:rPr>
              <w:t xml:space="preserve"> – под 1</w:t>
            </w:r>
            <w:r w:rsidR="00B032B7">
              <w:rPr>
                <w:lang w:val="en-US"/>
              </w:rPr>
              <w:t xml:space="preserve"> </w:t>
            </w:r>
            <w:r w:rsidRPr="00DD6EF3">
              <w:rPr>
                <w:lang w:val="bg-BG"/>
              </w:rPr>
              <w:t>% от производителите). Отчетено е слабо развитие на директните продажби на мляко чрез млекомати, както и слабо развитие на директните продажби от фермите в секторите „Мляко и млечни продукти“ и „Месо“.</w:t>
            </w:r>
          </w:p>
          <w:p w14:paraId="24D529DA" w14:textId="3159C5AE" w:rsidR="00DD6EF3" w:rsidRPr="00943BEC" w:rsidRDefault="00DD6EF3" w:rsidP="00943BEC">
            <w:pPr>
              <w:jc w:val="both"/>
              <w:rPr>
                <w:lang w:val="bg-BG"/>
              </w:rPr>
            </w:pPr>
            <w:r w:rsidRPr="00943BEC">
              <w:rPr>
                <w:lang w:val="bg-BG"/>
              </w:rPr>
              <w:t xml:space="preserve">Налага се потребността от облекчаване на изискванията, регламентиращи късите вериги на </w:t>
            </w:r>
            <w:r w:rsidRPr="00B032B7">
              <w:rPr>
                <w:lang w:val="bg-BG"/>
              </w:rPr>
              <w:t>доставка, което е предпоставка за изсветляването им и свободното им функциониране. Необходимо е обвързване на подпомагането с резултати, като производство и реализирани обороти. Налага</w:t>
            </w:r>
            <w:r w:rsidRPr="00943BEC">
              <w:rPr>
                <w:lang w:val="bg-BG"/>
              </w:rPr>
              <w:t xml:space="preserve"> се преглед </w:t>
            </w:r>
            <w:r w:rsidR="00E52703">
              <w:rPr>
                <w:lang w:val="bg-BG"/>
              </w:rPr>
              <w:t xml:space="preserve">и контрол </w:t>
            </w:r>
            <w:r w:rsidRPr="00943BEC">
              <w:rPr>
                <w:lang w:val="bg-BG"/>
              </w:rPr>
              <w:t>по отношение на стандартите за безопасност при продажбите от късите вериги, съобразени с възможностите на земеделските производители. Регулирането на директните продажби е необходимо за засилване на контрола върху хигиенните и екологични стандарти при продажбите на хранителни суровини и продукти.</w:t>
            </w:r>
          </w:p>
          <w:p w14:paraId="4F256A6F" w14:textId="77777777" w:rsidR="00E52703" w:rsidRDefault="002D49F1" w:rsidP="00943BEC">
            <w:pPr>
              <w:jc w:val="both"/>
              <w:rPr>
                <w:lang w:val="bg-BG"/>
              </w:rPr>
            </w:pPr>
            <w:r w:rsidRPr="00943BEC">
              <w:rPr>
                <w:lang w:val="bg-BG"/>
              </w:rPr>
              <w:t>Резултатите от анализа дават основание, участието на земеделските производители в създаването и разпределението на добавената стойност във веригите на доставка в секторите „Мляко и млечни продукти“, „Месо“, „Плодове и зеленчу</w:t>
            </w:r>
            <w:r w:rsidR="00E52703">
              <w:rPr>
                <w:lang w:val="bg-BG"/>
              </w:rPr>
              <w:t>ци“ и „Биологично производство“</w:t>
            </w:r>
            <w:r w:rsidRPr="00943BEC">
              <w:rPr>
                <w:lang w:val="bg-BG"/>
              </w:rPr>
              <w:t xml:space="preserve"> да бъде оценено ка</w:t>
            </w:r>
            <w:r w:rsidR="00E52703">
              <w:rPr>
                <w:lang w:val="bg-BG"/>
              </w:rPr>
              <w:t xml:space="preserve">то неравностойно и неустойчиво. </w:t>
            </w:r>
            <w:r w:rsidRPr="00943BEC">
              <w:rPr>
                <w:lang w:val="bg-BG"/>
              </w:rPr>
              <w:t xml:space="preserve">Намалява делът на първичното производство в добавената стойност на тези сектори. </w:t>
            </w:r>
          </w:p>
          <w:p w14:paraId="224A2399" w14:textId="395CA2E7" w:rsidR="002D49F1" w:rsidRPr="00943BEC" w:rsidRDefault="002D49F1" w:rsidP="00943BEC">
            <w:pPr>
              <w:jc w:val="both"/>
              <w:rPr>
                <w:lang w:val="bg-BG"/>
              </w:rPr>
            </w:pPr>
            <w:r w:rsidRPr="00943BEC">
              <w:rPr>
                <w:lang w:val="bg-BG"/>
              </w:rPr>
              <w:lastRenderedPageBreak/>
              <w:t>Голяма част от земеделските производители са изключени и не са интегрирани във веригата на стойността. Особено остър е проблема за млечното животновъдство. Като се има предвид, че 49</w:t>
            </w:r>
            <w:r w:rsidR="00E52703">
              <w:rPr>
                <w:lang w:val="bg-BG"/>
              </w:rPr>
              <w:t xml:space="preserve"> </w:t>
            </w:r>
            <w:r w:rsidRPr="00943BEC">
              <w:rPr>
                <w:lang w:val="bg-BG"/>
              </w:rPr>
              <w:t>% от суровото мляко остава за собствена консумация или се реализира чрез директни продажби и същевременно само 15</w:t>
            </w:r>
            <w:r w:rsidR="00E52703">
              <w:rPr>
                <w:lang w:val="bg-BG"/>
              </w:rPr>
              <w:t xml:space="preserve"> </w:t>
            </w:r>
            <w:r w:rsidRPr="00943BEC">
              <w:rPr>
                <w:lang w:val="bg-BG"/>
              </w:rPr>
              <w:t>% от произведеното мляко е от регистрирани по Наредба № 26 от 2010 г. за директни доставки на малки количества суровини обекти, то става ясно, че около 30</w:t>
            </w:r>
            <w:r w:rsidR="00E52703">
              <w:rPr>
                <w:lang w:val="bg-BG"/>
              </w:rPr>
              <w:t xml:space="preserve"> </w:t>
            </w:r>
            <w:r w:rsidRPr="00943BEC">
              <w:rPr>
                <w:lang w:val="bg-BG"/>
              </w:rPr>
              <w:t>% от произведеното мляко не се реализира на пазара. Достъпът до пазара става по-скъп и труден заради необходимостта от въвеждане на нови стандарти и изисквания.</w:t>
            </w:r>
          </w:p>
          <w:p w14:paraId="31E23C7B" w14:textId="77777777" w:rsidR="00E52703" w:rsidRDefault="002D49F1" w:rsidP="00943BEC">
            <w:pPr>
              <w:jc w:val="both"/>
              <w:rPr>
                <w:lang w:val="bg-BG"/>
              </w:rPr>
            </w:pPr>
            <w:r w:rsidRPr="00943BEC">
              <w:rPr>
                <w:lang w:val="bg-BG"/>
              </w:rPr>
              <w:t xml:space="preserve">Налага се потребността от осигуряване на възможности за по-голяма и адекватна на нуждите и на икономическите показатели инвестиционна подкрепа за късите вериги на доставки, което е предпоставка за увеличаване доходите на производителите и засилване на конкуренцията. Необходимо е да се осигури подкрепа за създаване и изграждане на публична пазарна инфраструктура за обслужване пазарната реализация в сектор „Плодове и зеленчуци” и „Биологично производство“, за да се разшири достъпа на малките стопанства до пазара и да се увеличи дела на първичното производство от този сектор в добавената стойност. </w:t>
            </w:r>
          </w:p>
          <w:p w14:paraId="1D553DF1" w14:textId="4245AB15" w:rsidR="005F556B" w:rsidRPr="00943BEC" w:rsidRDefault="002D49F1" w:rsidP="00A5537B">
            <w:pPr>
              <w:jc w:val="both"/>
              <w:rPr>
                <w:lang w:val="bg-BG"/>
              </w:rPr>
            </w:pPr>
            <w:r w:rsidRPr="00943BEC">
              <w:rPr>
                <w:lang w:val="bg-BG"/>
              </w:rPr>
              <w:t xml:space="preserve">Чрез популяризиране на късите вериги ще се създаде възможност за реализиране на цялата произведена продукция от фермерите и операторите от една страна, а от друга потребителите ще имат възможност да се запознаят с качествата и характеристиките на стоките, което ще подобри позицията на първичния производител. Възможно е да се повиши организираността на производителите на биологична продукция или </w:t>
            </w:r>
            <w:r w:rsidR="00A5537B">
              <w:rPr>
                <w:lang w:val="bg-BG"/>
              </w:rPr>
              <w:t xml:space="preserve">да се обособят </w:t>
            </w:r>
            <w:r w:rsidRPr="00943BEC">
              <w:rPr>
                <w:lang w:val="bg-BG"/>
              </w:rPr>
              <w:t>отделн</w:t>
            </w:r>
            <w:r w:rsidR="00A5537B">
              <w:rPr>
                <w:lang w:val="bg-BG"/>
              </w:rPr>
              <w:t xml:space="preserve">и места </w:t>
            </w:r>
            <w:r w:rsidRPr="00943BEC">
              <w:rPr>
                <w:lang w:val="bg-BG"/>
              </w:rPr>
              <w:t xml:space="preserve">в рамките на борсите в големите градове. </w:t>
            </w:r>
            <w:r w:rsidR="00A5537B">
              <w:rPr>
                <w:lang w:val="bg-BG"/>
              </w:rPr>
              <w:t>По този начин</w:t>
            </w:r>
            <w:r w:rsidRPr="00943BEC">
              <w:rPr>
                <w:lang w:val="bg-BG"/>
              </w:rPr>
              <w:t xml:space="preserve"> раздробеността и малките размери на стопанствата ще могат да бъдат преодол</w:t>
            </w:r>
            <w:r w:rsidR="00A5537B">
              <w:rPr>
                <w:lang w:val="bg-BG"/>
              </w:rPr>
              <w:t>я</w:t>
            </w:r>
            <w:r w:rsidRPr="00943BEC">
              <w:rPr>
                <w:lang w:val="bg-BG"/>
              </w:rPr>
              <w:t xml:space="preserve">ни и </w:t>
            </w:r>
            <w:r w:rsidR="00A5537B">
              <w:rPr>
                <w:lang w:val="bg-BG"/>
              </w:rPr>
              <w:t>да</w:t>
            </w:r>
            <w:r w:rsidRPr="00943BEC">
              <w:rPr>
                <w:lang w:val="bg-BG"/>
              </w:rPr>
              <w:t xml:space="preserve"> се създадат условия за развиване на дребен семеен селскостопански бизнес с нишови продукти.</w:t>
            </w:r>
          </w:p>
        </w:tc>
      </w:tr>
    </w:tbl>
    <w:p w14:paraId="3809FF12" w14:textId="77777777" w:rsidR="005F556B" w:rsidRDefault="005F556B" w:rsidP="005F556B">
      <w:pPr>
        <w:jc w:val="both"/>
        <w:rPr>
          <w:lang w:val="bg-BG"/>
        </w:rPr>
      </w:pPr>
    </w:p>
    <w:p w14:paraId="728B35D2" w14:textId="77777777" w:rsidR="00BC2D56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Идентифициране на съответните базови елементи (напр. </w:t>
      </w:r>
      <w:r w:rsidR="004D47EE" w:rsidRPr="0046113A">
        <w:rPr>
          <w:b/>
          <w:lang w:val="bg-BG"/>
        </w:rPr>
        <w:t xml:space="preserve">съответните </w:t>
      </w:r>
      <w:r w:rsidRPr="0046113A">
        <w:rPr>
          <w:b/>
          <w:lang w:val="bg-BG"/>
        </w:rPr>
        <w:t>GAEC или нормативно установени изисквания за управление (SMR), където е приложимо, и обяснение за това как ангажиментите надхвърлят задължителните изисквания:</w:t>
      </w:r>
    </w:p>
    <w:p w14:paraId="619CA2C9" w14:textId="77777777" w:rsidR="005F556B" w:rsidRPr="00BC2D56" w:rsidRDefault="00BC2D56" w:rsidP="005F556B">
      <w:pPr>
        <w:spacing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/за интервенции в областта на околната среда и климата, артикулацията с изискванията за условност трябва да показват, че практиките се допълват и не се припокриват/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F556B" w:rsidRPr="00027128" w14:paraId="464A87C2" w14:textId="77777777" w:rsidTr="005F556B">
        <w:tc>
          <w:tcPr>
            <w:tcW w:w="9242" w:type="dxa"/>
          </w:tcPr>
          <w:p w14:paraId="511DEFA1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  <w:p w14:paraId="047EE1F0" w14:textId="0A837F40" w:rsidR="005F556B" w:rsidRPr="00E52703" w:rsidRDefault="00E52703" w:rsidP="005F556B">
            <w:pPr>
              <w:jc w:val="both"/>
              <w:rPr>
                <w:lang w:val="bg-BG"/>
              </w:rPr>
            </w:pPr>
            <w:r w:rsidRPr="00E52703">
              <w:rPr>
                <w:lang w:val="bg-BG"/>
              </w:rPr>
              <w:t>Неприложимо</w:t>
            </w:r>
          </w:p>
          <w:p w14:paraId="12AE5DA0" w14:textId="77777777" w:rsidR="005F556B" w:rsidRDefault="005F556B" w:rsidP="005F556B">
            <w:pPr>
              <w:jc w:val="both"/>
              <w:rPr>
                <w:b/>
                <w:lang w:val="bg-BG"/>
              </w:rPr>
            </w:pPr>
          </w:p>
        </w:tc>
      </w:tr>
    </w:tbl>
    <w:p w14:paraId="34470601" w14:textId="77777777" w:rsidR="005F556B" w:rsidRDefault="005F556B" w:rsidP="005F556B">
      <w:pPr>
        <w:spacing w:line="240" w:lineRule="auto"/>
        <w:jc w:val="both"/>
        <w:rPr>
          <w:b/>
          <w:lang w:val="bg-BG"/>
        </w:rPr>
      </w:pPr>
    </w:p>
    <w:p w14:paraId="23BE16C0" w14:textId="77777777"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Условия за допустимост: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F556B" w14:paraId="7907A0BA" w14:textId="77777777" w:rsidTr="005F556B">
        <w:tc>
          <w:tcPr>
            <w:tcW w:w="9242" w:type="dxa"/>
          </w:tcPr>
          <w:p w14:paraId="3AC5A08B" w14:textId="77777777" w:rsidR="009E19F4" w:rsidRDefault="009E19F4" w:rsidP="00A5537B">
            <w:pPr>
              <w:jc w:val="both"/>
              <w:rPr>
                <w:bCs/>
                <w:lang w:val="bg-BG"/>
              </w:rPr>
            </w:pPr>
          </w:p>
          <w:p w14:paraId="15F2C5FB" w14:textId="77777777" w:rsidR="00D57B84" w:rsidRDefault="00D57B84" w:rsidP="00E40C42">
            <w:pPr>
              <w:jc w:val="both"/>
              <w:rPr>
                <w:bCs/>
                <w:lang w:val="bg-BG"/>
              </w:rPr>
            </w:pPr>
          </w:p>
          <w:p w14:paraId="64436F53" w14:textId="163F5028" w:rsidR="00E40C42" w:rsidRPr="00E40C42" w:rsidRDefault="00A5537B" w:rsidP="00E40C42">
            <w:pPr>
              <w:jc w:val="both"/>
              <w:rPr>
                <w:bCs/>
                <w:lang w:val="bg-BG"/>
              </w:rPr>
            </w:pPr>
            <w:r w:rsidRPr="00A5537B">
              <w:rPr>
                <w:bCs/>
                <w:lang w:val="bg-BG"/>
              </w:rPr>
              <w:t>Интервенцията цели създаването, организацията и укрепването на местните пазари и къси вериги за доставки чрез хоризонтално и вертикално сътрудн</w:t>
            </w:r>
            <w:r w:rsidR="00A87896">
              <w:rPr>
                <w:bCs/>
                <w:lang w:val="bg-BG"/>
              </w:rPr>
              <w:t xml:space="preserve">ичество между участниците в тях. Приоритет ще бъде осигурен за </w:t>
            </w:r>
            <w:r w:rsidR="00E40C42" w:rsidRPr="00E40C42">
              <w:rPr>
                <w:bCs/>
                <w:lang w:val="bg-BG"/>
              </w:rPr>
              <w:t xml:space="preserve">обединения, които предлагат на местния пазар или </w:t>
            </w:r>
            <w:r w:rsidR="00A87896">
              <w:rPr>
                <w:bCs/>
                <w:lang w:val="bg-BG"/>
              </w:rPr>
              <w:t xml:space="preserve">чрез </w:t>
            </w:r>
            <w:r w:rsidR="00E40C42" w:rsidRPr="00E40C42">
              <w:rPr>
                <w:bCs/>
                <w:lang w:val="bg-BG"/>
              </w:rPr>
              <w:t>къс</w:t>
            </w:r>
            <w:r w:rsidR="00A87896">
              <w:rPr>
                <w:bCs/>
                <w:lang w:val="bg-BG"/>
              </w:rPr>
              <w:t xml:space="preserve">и вериги на доставки - </w:t>
            </w:r>
            <w:r w:rsidR="00E40C42" w:rsidRPr="00E40C42">
              <w:rPr>
                <w:bCs/>
                <w:lang w:val="bg-BG"/>
              </w:rPr>
              <w:t xml:space="preserve">продукти, които попадат в </w:t>
            </w:r>
            <w:r w:rsidR="00A87896">
              <w:rPr>
                <w:bCs/>
                <w:lang w:val="bg-BG"/>
              </w:rPr>
              <w:t xml:space="preserve">обхвата на </w:t>
            </w:r>
            <w:r w:rsidR="00E40C42" w:rsidRPr="00E40C42">
              <w:rPr>
                <w:bCs/>
                <w:lang w:val="bg-BG"/>
              </w:rPr>
              <w:t>сектори „Мляко и млечни продукти“, „Месо“, „Плодове и зеленчуци“ и „Биологично производство“</w:t>
            </w:r>
            <w:r w:rsidR="00D57B84">
              <w:rPr>
                <w:bCs/>
                <w:lang w:val="bg-BG"/>
              </w:rPr>
              <w:t>, в т.ч. обединения на малки земеделски стопанства.</w:t>
            </w:r>
          </w:p>
          <w:p w14:paraId="3594B0A0" w14:textId="2448C1CB" w:rsidR="00D57B84" w:rsidRDefault="00D57B84" w:rsidP="005F556B">
            <w:pPr>
              <w:jc w:val="both"/>
              <w:rPr>
                <w:bCs/>
                <w:lang w:val="bg-BG"/>
              </w:rPr>
            </w:pPr>
          </w:p>
          <w:p w14:paraId="474716FE" w14:textId="711B6F66" w:rsidR="009E19F4" w:rsidRPr="009E19F4" w:rsidRDefault="00E40C42" w:rsidP="005F556B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 xml:space="preserve">1. </w:t>
            </w:r>
            <w:r w:rsidR="009E19F4" w:rsidRPr="009E19F4">
              <w:rPr>
                <w:b/>
                <w:bCs/>
                <w:lang w:val="bg-BG"/>
              </w:rPr>
              <w:t>Допустими кандидати:</w:t>
            </w:r>
          </w:p>
          <w:p w14:paraId="4FB5D178" w14:textId="77777777" w:rsidR="0015484B" w:rsidRDefault="00A5537B" w:rsidP="005F556B">
            <w:pPr>
              <w:jc w:val="both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Допустимите кандидати</w:t>
            </w:r>
            <w:r w:rsidRPr="006B5A27">
              <w:rPr>
                <w:bCs/>
                <w:lang w:val="bg-BG"/>
              </w:rPr>
              <w:t xml:space="preserve"> са обединения, които се определят като къса верига на доставки или местен пазар. Обединенията са регистрирани по Търговския закон, Закона за кооперациите или са учредени за целите на проекта по </w:t>
            </w:r>
            <w:r w:rsidR="004C4396">
              <w:rPr>
                <w:bCs/>
                <w:lang w:val="bg-BG"/>
              </w:rPr>
              <w:t xml:space="preserve">реда на </w:t>
            </w:r>
            <w:r w:rsidRPr="006B5A27">
              <w:rPr>
                <w:bCs/>
                <w:lang w:val="bg-BG"/>
              </w:rPr>
              <w:t xml:space="preserve">Закона за задълженията и договорите. </w:t>
            </w:r>
            <w:r w:rsidR="00E044AE">
              <w:rPr>
                <w:bCs/>
                <w:lang w:val="bg-BG"/>
              </w:rPr>
              <w:lastRenderedPageBreak/>
              <w:t xml:space="preserve">Участието в късата верига за доставки и в местния пазар трябва да е обосновано в плана за сътрудничество и да води до </w:t>
            </w:r>
            <w:r w:rsidR="00E044AE" w:rsidRPr="000E3C37">
              <w:rPr>
                <w:bCs/>
                <w:lang w:val="bg-BG"/>
              </w:rPr>
              <w:t>интегриран</w:t>
            </w:r>
            <w:r w:rsidR="00E044AE">
              <w:rPr>
                <w:bCs/>
                <w:lang w:val="bg-BG"/>
              </w:rPr>
              <w:t>е</w:t>
            </w:r>
            <w:r w:rsidR="00E044AE" w:rsidRPr="000E3C37">
              <w:rPr>
                <w:bCs/>
                <w:lang w:val="bg-BG"/>
              </w:rPr>
              <w:t xml:space="preserve"> във веригата на стойността</w:t>
            </w:r>
            <w:r w:rsidR="00E044AE">
              <w:rPr>
                <w:bCs/>
                <w:lang w:val="bg-BG"/>
              </w:rPr>
              <w:t xml:space="preserve">. </w:t>
            </w:r>
          </w:p>
          <w:p w14:paraId="76F7BFEC" w14:textId="5FDD814A" w:rsidR="005F556B" w:rsidRDefault="004C4396" w:rsidP="005F556B">
            <w:pPr>
              <w:jc w:val="both"/>
              <w:rPr>
                <w:bCs/>
                <w:u w:val="single"/>
                <w:lang w:val="bg-BG"/>
              </w:rPr>
            </w:pPr>
            <w:r>
              <w:rPr>
                <w:bCs/>
                <w:lang w:val="bg-BG"/>
              </w:rPr>
              <w:t xml:space="preserve">Допустимите </w:t>
            </w:r>
            <w:r w:rsidRPr="004C4396">
              <w:rPr>
                <w:bCs/>
                <w:lang w:val="bg-BG"/>
              </w:rPr>
              <w:t>обединения</w:t>
            </w:r>
            <w:r w:rsidR="004449FA" w:rsidRPr="004C4396">
              <w:rPr>
                <w:bCs/>
                <w:lang w:val="bg-BG"/>
              </w:rPr>
              <w:t xml:space="preserve"> включват най-малко </w:t>
            </w:r>
            <w:r w:rsidR="00E40C42" w:rsidRPr="004C4396">
              <w:rPr>
                <w:bCs/>
                <w:lang w:val="bg-BG"/>
              </w:rPr>
              <w:t>двама</w:t>
            </w:r>
            <w:r w:rsidR="004449FA" w:rsidRPr="004C4396">
              <w:rPr>
                <w:bCs/>
                <w:lang w:val="bg-BG"/>
              </w:rPr>
              <w:t xml:space="preserve"> участници, </w:t>
            </w:r>
            <w:r w:rsidR="00E40C42" w:rsidRPr="004C4396">
              <w:rPr>
                <w:bCs/>
                <w:lang w:val="bg-BG"/>
              </w:rPr>
              <w:t>които са регистрирани земеделски стопани.</w:t>
            </w:r>
          </w:p>
          <w:p w14:paraId="7D5745B8" w14:textId="4CD8CAF8" w:rsidR="00A5537B" w:rsidRPr="00A5537B" w:rsidRDefault="00A5537B" w:rsidP="005F556B">
            <w:pPr>
              <w:jc w:val="both"/>
              <w:rPr>
                <w:bCs/>
                <w:lang w:val="bg-BG"/>
              </w:rPr>
            </w:pPr>
          </w:p>
          <w:p w14:paraId="0E6F584C" w14:textId="613AE5BD" w:rsidR="00E52703" w:rsidRDefault="004449FA" w:rsidP="005F556B">
            <w:pPr>
              <w:jc w:val="both"/>
              <w:rPr>
                <w:bCs/>
                <w:lang w:val="bg-BG"/>
              </w:rPr>
            </w:pPr>
            <w:r w:rsidRPr="00E044AE">
              <w:rPr>
                <w:b/>
                <w:bCs/>
                <w:lang w:val="bg-BG"/>
              </w:rPr>
              <w:t>Обединенията за местен пазар</w:t>
            </w:r>
            <w:r w:rsidRPr="00EC640C">
              <w:rPr>
                <w:bCs/>
                <w:lang w:val="bg-BG"/>
              </w:rPr>
              <w:t xml:space="preserve"> могат да включват само земеделски стопани</w:t>
            </w:r>
            <w:r w:rsidR="00CF2C41">
              <w:rPr>
                <w:bCs/>
                <w:lang w:val="bg-BG"/>
              </w:rPr>
              <w:t xml:space="preserve"> и/или групи и организации на производители</w:t>
            </w:r>
            <w:r w:rsidRPr="00EC640C">
              <w:rPr>
                <w:bCs/>
                <w:lang w:val="bg-BG"/>
              </w:rPr>
              <w:t>, които произвеждат продукцията, която се предлага</w:t>
            </w:r>
            <w:r w:rsidR="009E19F4">
              <w:rPr>
                <w:bCs/>
                <w:lang w:val="bg-BG"/>
              </w:rPr>
              <w:t xml:space="preserve"> на пазара</w:t>
            </w:r>
            <w:r w:rsidRPr="00EC640C">
              <w:rPr>
                <w:bCs/>
                <w:lang w:val="bg-BG"/>
              </w:rPr>
              <w:t>, в</w:t>
            </w:r>
            <w:r w:rsidR="00A5537B">
              <w:rPr>
                <w:bCs/>
                <w:lang w:val="bg-BG"/>
              </w:rPr>
              <w:t>ключително</w:t>
            </w:r>
            <w:r w:rsidRPr="00EC640C">
              <w:rPr>
                <w:bCs/>
                <w:lang w:val="bg-BG"/>
              </w:rPr>
              <w:t xml:space="preserve"> и ако извършват нейната преработка. </w:t>
            </w:r>
          </w:p>
          <w:p w14:paraId="07844ED4" w14:textId="77777777" w:rsidR="00A5537B" w:rsidRDefault="00A5537B" w:rsidP="005F556B">
            <w:pPr>
              <w:jc w:val="both"/>
              <w:rPr>
                <w:bCs/>
                <w:lang w:val="bg-BG"/>
              </w:rPr>
            </w:pPr>
          </w:p>
          <w:p w14:paraId="79D0C1D3" w14:textId="64A16814" w:rsidR="00A5537B" w:rsidRDefault="00A5537B" w:rsidP="005F556B">
            <w:pPr>
              <w:jc w:val="both"/>
              <w:rPr>
                <w:bCs/>
                <w:lang w:val="bg-BG"/>
              </w:rPr>
            </w:pPr>
            <w:r w:rsidRPr="00E044AE">
              <w:rPr>
                <w:b/>
                <w:bCs/>
                <w:lang w:val="bg-BG"/>
              </w:rPr>
              <w:t>Обединенията за къси вериги на доставки</w:t>
            </w:r>
            <w:r>
              <w:rPr>
                <w:bCs/>
                <w:lang w:val="bg-BG"/>
              </w:rPr>
              <w:t xml:space="preserve"> могат да включват освен земеделски стопани, в т.ч. групи и организации на производители и </w:t>
            </w:r>
            <w:r w:rsidR="002D568F">
              <w:rPr>
                <w:bCs/>
                <w:lang w:val="bg-BG"/>
              </w:rPr>
              <w:t>МСП в областта на преработка на селскостопански продукти, както и търговци на дребно, регистрирани по Търговския закон.</w:t>
            </w:r>
          </w:p>
          <w:p w14:paraId="056E0EA2" w14:textId="77777777" w:rsidR="00A5537B" w:rsidRDefault="00A5537B" w:rsidP="005F556B">
            <w:pPr>
              <w:jc w:val="both"/>
              <w:rPr>
                <w:bCs/>
                <w:lang w:val="bg-BG"/>
              </w:rPr>
            </w:pPr>
          </w:p>
          <w:p w14:paraId="546062EE" w14:textId="0970D80D" w:rsidR="00E40C42" w:rsidRDefault="00E40C42" w:rsidP="005F556B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 xml:space="preserve">2. Определения </w:t>
            </w:r>
          </w:p>
          <w:p w14:paraId="6B2A5B0E" w14:textId="77777777" w:rsidR="00E40C42" w:rsidRDefault="00E40C42" w:rsidP="005F556B">
            <w:pPr>
              <w:jc w:val="both"/>
              <w:rPr>
                <w:b/>
                <w:bCs/>
                <w:lang w:val="bg-BG"/>
              </w:rPr>
            </w:pPr>
          </w:p>
          <w:p w14:paraId="26B43A55" w14:textId="052803E7" w:rsidR="004449FA" w:rsidRPr="00E40C42" w:rsidRDefault="00E40C42" w:rsidP="005F556B">
            <w:pPr>
              <w:jc w:val="both"/>
              <w:rPr>
                <w:b/>
                <w:bCs/>
                <w:lang w:val="bg-BG"/>
              </w:rPr>
            </w:pPr>
            <w:r w:rsidRPr="004C4396">
              <w:rPr>
                <w:b/>
                <w:bCs/>
                <w:i/>
                <w:lang w:val="bg-BG"/>
              </w:rPr>
              <w:t>Мест</w:t>
            </w:r>
            <w:r w:rsidR="00A5537B" w:rsidRPr="004C4396">
              <w:rPr>
                <w:b/>
                <w:bCs/>
                <w:i/>
                <w:lang w:val="bg-BG"/>
              </w:rPr>
              <w:t>н</w:t>
            </w:r>
            <w:r w:rsidRPr="004C4396">
              <w:rPr>
                <w:b/>
                <w:bCs/>
                <w:i/>
                <w:lang w:val="bg-BG"/>
              </w:rPr>
              <w:t>и</w:t>
            </w:r>
            <w:r w:rsidR="00A5537B" w:rsidRPr="004C4396">
              <w:rPr>
                <w:b/>
                <w:bCs/>
                <w:i/>
                <w:lang w:val="bg-BG"/>
              </w:rPr>
              <w:t xml:space="preserve"> пазар</w:t>
            </w:r>
            <w:r w:rsidRPr="004C4396">
              <w:rPr>
                <w:b/>
                <w:bCs/>
                <w:i/>
                <w:lang w:val="bg-BG"/>
              </w:rPr>
              <w:t>и</w:t>
            </w:r>
            <w:r w:rsidR="009229BC" w:rsidRPr="00EC640C">
              <w:rPr>
                <w:bCs/>
                <w:lang w:val="bg-BG"/>
              </w:rPr>
              <w:t xml:space="preserve"> са пазари в радиус </w:t>
            </w:r>
            <w:r w:rsidR="009229BC" w:rsidRPr="00E40C42">
              <w:rPr>
                <w:bCs/>
                <w:lang w:val="bg-BG"/>
              </w:rPr>
              <w:t xml:space="preserve">от 75 км </w:t>
            </w:r>
            <w:r w:rsidR="009229BC" w:rsidRPr="00EC640C">
              <w:rPr>
                <w:bCs/>
                <w:lang w:val="bg-BG"/>
              </w:rPr>
              <w:t>от стопанството на произход на продукта, в който радиус трябва да се осъществяват както преработката на продукта, така и продажбата му на крайния потребител.</w:t>
            </w:r>
          </w:p>
          <w:p w14:paraId="5514A0CE" w14:textId="77777777" w:rsidR="00E52703" w:rsidRDefault="00E52703" w:rsidP="00CF2C41">
            <w:pPr>
              <w:jc w:val="both"/>
              <w:rPr>
                <w:bCs/>
                <w:lang w:val="bg-BG"/>
              </w:rPr>
            </w:pPr>
          </w:p>
          <w:p w14:paraId="5409FC20" w14:textId="0BBF697C" w:rsidR="00A5537B" w:rsidRDefault="00E40C42" w:rsidP="00E044AE">
            <w:pPr>
              <w:jc w:val="both"/>
              <w:rPr>
                <w:bCs/>
                <w:lang w:val="bg-BG"/>
              </w:rPr>
            </w:pPr>
            <w:r w:rsidRPr="004C4396">
              <w:rPr>
                <w:b/>
                <w:bCs/>
                <w:i/>
                <w:lang w:val="bg-BG"/>
              </w:rPr>
              <w:t>Къси</w:t>
            </w:r>
            <w:r w:rsidR="009229BC" w:rsidRPr="004C4396">
              <w:rPr>
                <w:b/>
                <w:bCs/>
                <w:i/>
                <w:lang w:val="bg-BG"/>
              </w:rPr>
              <w:t xml:space="preserve"> вериги на доставки</w:t>
            </w:r>
            <w:r w:rsidR="009229BC" w:rsidRPr="00EC640C">
              <w:rPr>
                <w:bCs/>
                <w:lang w:val="bg-BG"/>
              </w:rPr>
              <w:t xml:space="preserve"> са такива, в които участват ограничен брой икономически оператори, поели ангажимент да си сътрудничат и посветени на местното икономическо развитие и близките териториални и социални отношения между производители, преработвателни и потребители.</w:t>
            </w:r>
            <w:r w:rsidR="00CF2C41">
              <w:rPr>
                <w:bCs/>
                <w:lang w:val="bg-BG"/>
              </w:rPr>
              <w:t xml:space="preserve"> </w:t>
            </w:r>
          </w:p>
          <w:p w14:paraId="70C572EC" w14:textId="77777777" w:rsidR="00A5537B" w:rsidRDefault="00A5537B" w:rsidP="00CF2C41">
            <w:pPr>
              <w:jc w:val="both"/>
              <w:rPr>
                <w:bCs/>
                <w:lang w:val="bg-BG"/>
              </w:rPr>
            </w:pPr>
          </w:p>
          <w:p w14:paraId="1991C16C" w14:textId="77777777" w:rsidR="00CF2C41" w:rsidRDefault="00CF2C41" w:rsidP="00633902">
            <w:pPr>
              <w:jc w:val="both"/>
              <w:rPr>
                <w:bCs/>
                <w:lang w:val="bg-BG"/>
              </w:rPr>
            </w:pPr>
          </w:p>
          <w:p w14:paraId="5C28C96F" w14:textId="361E1BF0" w:rsidR="00A5537B" w:rsidRPr="00A5537B" w:rsidRDefault="00E40C42" w:rsidP="00633902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 xml:space="preserve">3. </w:t>
            </w:r>
            <w:r w:rsidR="00A5537B" w:rsidRPr="00A5537B">
              <w:rPr>
                <w:b/>
                <w:bCs/>
                <w:lang w:val="bg-BG"/>
              </w:rPr>
              <w:t>Подпомагани дейности</w:t>
            </w:r>
          </w:p>
          <w:p w14:paraId="21DE824F" w14:textId="5FAAA6C8" w:rsidR="00E044AE" w:rsidRPr="00E044AE" w:rsidRDefault="007747D7" w:rsidP="00E40C42">
            <w:pPr>
              <w:spacing w:before="120" w:after="120"/>
              <w:jc w:val="both"/>
              <w:rPr>
                <w:lang w:val="bg-BG"/>
              </w:rPr>
            </w:pPr>
            <w:r w:rsidRPr="007747D7">
              <w:rPr>
                <w:lang w:val="bg-BG"/>
              </w:rPr>
              <w:t xml:space="preserve">Подкрепата се предоставя за развитие на къси </w:t>
            </w:r>
            <w:r w:rsidR="00BE4722">
              <w:rPr>
                <w:lang w:val="bg-BG"/>
              </w:rPr>
              <w:t xml:space="preserve"> </w:t>
            </w:r>
            <w:r w:rsidRPr="007747D7">
              <w:rPr>
                <w:lang w:val="bg-BG"/>
              </w:rPr>
              <w:t>вериги на доставки или за развитие на местни пазари и включва</w:t>
            </w:r>
            <w:r>
              <w:rPr>
                <w:lang w:val="bg-BG"/>
              </w:rPr>
              <w:t xml:space="preserve"> т</w:t>
            </w:r>
            <w:r w:rsidRPr="007747D7">
              <w:rPr>
                <w:lang w:val="bg-BG"/>
              </w:rPr>
              <w:t>екущи дейности във връзка със сътрудничеството</w:t>
            </w:r>
            <w:r>
              <w:rPr>
                <w:lang w:val="bg-BG"/>
              </w:rPr>
              <w:t xml:space="preserve">, </w:t>
            </w:r>
            <w:r w:rsidRPr="007747D7">
              <w:rPr>
                <w:lang w:val="bg-BG"/>
              </w:rPr>
              <w:t>популяризиране на къси вериги на доставки и на местни пазари</w:t>
            </w:r>
            <w:r>
              <w:rPr>
                <w:lang w:val="bg-BG"/>
              </w:rPr>
              <w:t xml:space="preserve"> и д</w:t>
            </w:r>
            <w:r w:rsidRPr="007747D7">
              <w:rPr>
                <w:lang w:val="bg-BG"/>
              </w:rPr>
              <w:t>ейности, свързани с изпълнението на проекта за сътрудничество</w:t>
            </w:r>
            <w:r w:rsidRPr="00E044AE">
              <w:rPr>
                <w:lang w:val="bg-BG"/>
              </w:rPr>
              <w:t>.</w:t>
            </w:r>
            <w:r w:rsidR="00E044AE" w:rsidRPr="00E044AE">
              <w:rPr>
                <w:lang w:val="bg-BG"/>
              </w:rPr>
              <w:t xml:space="preserve"> </w:t>
            </w:r>
            <w:r w:rsidR="00A5537B" w:rsidRPr="00E044AE">
              <w:rPr>
                <w:bCs/>
                <w:lang w:val="bg-BG"/>
              </w:rPr>
              <w:t xml:space="preserve">Подпомагат се </w:t>
            </w:r>
            <w:r w:rsidR="00E40C42">
              <w:rPr>
                <w:bCs/>
                <w:lang w:val="bg-BG"/>
              </w:rPr>
              <w:t xml:space="preserve">само </w:t>
            </w:r>
            <w:r w:rsidR="00A5537B" w:rsidRPr="00E044AE">
              <w:rPr>
                <w:bCs/>
                <w:lang w:val="bg-BG"/>
              </w:rPr>
              <w:t xml:space="preserve">дейности, свързани с предлагане на продукти в обхвата на Приложение </w:t>
            </w:r>
            <w:r w:rsidR="00A5537B" w:rsidRPr="00E044AE">
              <w:rPr>
                <w:bCs/>
                <w:lang w:val="en-US"/>
              </w:rPr>
              <w:t>I</w:t>
            </w:r>
            <w:r w:rsidR="00A5537B" w:rsidRPr="00E044AE">
              <w:rPr>
                <w:bCs/>
                <w:lang w:val="bg-BG"/>
              </w:rPr>
              <w:t xml:space="preserve"> към договора за Догов</w:t>
            </w:r>
            <w:r w:rsidR="00A5537B">
              <w:rPr>
                <w:bCs/>
                <w:lang w:val="bg-BG"/>
              </w:rPr>
              <w:t>ора за функциониране на Европейския съюз (ДФЕС).</w:t>
            </w:r>
          </w:p>
          <w:p w14:paraId="1C228073" w14:textId="7413E47A" w:rsidR="004C4396" w:rsidRDefault="004C4396" w:rsidP="00245A54">
            <w:pPr>
              <w:jc w:val="both"/>
              <w:rPr>
                <w:lang w:val="bg-BG"/>
              </w:rPr>
            </w:pPr>
            <w:r w:rsidRPr="004C4396">
              <w:rPr>
                <w:lang w:val="bg-BG"/>
              </w:rPr>
              <w:t>Финансирането на обединение за къса верига на доставки или обединение за местен пазар може да обхваща две фази: фаза на сформиране на обединението и фаза на функциониране на обединението.</w:t>
            </w:r>
            <w:r w:rsidR="00245A54">
              <w:rPr>
                <w:lang w:val="bg-BG"/>
              </w:rPr>
              <w:t xml:space="preserve"> </w:t>
            </w:r>
            <w:r w:rsidR="00245A54" w:rsidRPr="00245A54">
              <w:rPr>
                <w:lang w:val="bg-BG"/>
              </w:rPr>
              <w:t>Подкрепата за първата фаза се ограничава до максимален период на продължителност от една година.</w:t>
            </w:r>
            <w:r w:rsidR="00245A54">
              <w:rPr>
                <w:lang w:val="bg-BG"/>
              </w:rPr>
              <w:t xml:space="preserve"> </w:t>
            </w:r>
            <w:r w:rsidR="00245A54" w:rsidRPr="00AE486B">
              <w:rPr>
                <w:lang w:val="bg-BG"/>
              </w:rPr>
              <w:t>Продължителността на втората фаза не може да бъде по-дълга от 5 години.</w:t>
            </w:r>
          </w:p>
          <w:p w14:paraId="12F4A453" w14:textId="7346ADBB" w:rsidR="00CF7DFE" w:rsidRDefault="00E044AE" w:rsidP="00E40C42">
            <w:pPr>
              <w:spacing w:before="120" w:after="120"/>
              <w:jc w:val="both"/>
              <w:rPr>
                <w:lang w:val="bg-BG"/>
              </w:rPr>
            </w:pPr>
            <w:r w:rsidRPr="00E044AE">
              <w:rPr>
                <w:lang w:val="bg-BG"/>
              </w:rPr>
              <w:t>Към проект</w:t>
            </w:r>
            <w:r w:rsidR="00CF7DFE">
              <w:rPr>
                <w:lang w:val="bg-BG"/>
              </w:rPr>
              <w:t>а</w:t>
            </w:r>
            <w:r w:rsidRPr="00E044AE">
              <w:rPr>
                <w:lang w:val="bg-BG"/>
              </w:rPr>
              <w:t xml:space="preserve"> за сътрудничество се представя бизнес план, който доказва икономическа обоснованост на подпомагането и предвижда постигане на конкретни икономически резултати, свързани с </w:t>
            </w:r>
            <w:r w:rsidR="00E40C42">
              <w:rPr>
                <w:lang w:val="bg-BG"/>
              </w:rPr>
              <w:t>реализирани</w:t>
            </w:r>
            <w:r w:rsidRPr="00E044AE">
              <w:rPr>
                <w:lang w:val="bg-BG"/>
              </w:rPr>
              <w:t xml:space="preserve"> приходи </w:t>
            </w:r>
            <w:r w:rsidR="00E40C42">
              <w:rPr>
                <w:lang w:val="bg-BG"/>
              </w:rPr>
              <w:t>от продажби</w:t>
            </w:r>
            <w:r w:rsidR="0015484B">
              <w:rPr>
                <w:lang w:val="bg-BG"/>
              </w:rPr>
              <w:t>, въз основа на</w:t>
            </w:r>
            <w:r w:rsidRPr="00E044AE">
              <w:rPr>
                <w:lang w:val="bg-BG"/>
              </w:rPr>
              <w:t xml:space="preserve"> реализирано количество</w:t>
            </w:r>
            <w:r>
              <w:rPr>
                <w:lang w:val="bg-BG"/>
              </w:rPr>
              <w:t xml:space="preserve"> продукция. </w:t>
            </w:r>
          </w:p>
          <w:p w14:paraId="2A733BDE" w14:textId="4E3A5F0C" w:rsidR="00E95760" w:rsidRDefault="00CF7DFE" w:rsidP="00E40C42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За да подлежат на подпомагане</w:t>
            </w:r>
            <w:r w:rsidR="0015484B">
              <w:rPr>
                <w:lang w:val="bg-BG"/>
              </w:rPr>
              <w:t xml:space="preserve"> проектите следва да съдържат </w:t>
            </w:r>
            <w:r>
              <w:rPr>
                <w:lang w:val="bg-BG"/>
              </w:rPr>
              <w:t>информация относно брой и вид на участниците в сътрудничество, описание на предвидените дейности, продукти, включени в предмета на сътрудничество, план за популяризиране, както и да включва договор за създаване на обединението.</w:t>
            </w:r>
          </w:p>
          <w:p w14:paraId="7DE70813" w14:textId="424B6F1E" w:rsidR="00E95760" w:rsidRPr="00E95760" w:rsidRDefault="00E95760" w:rsidP="00E40C42">
            <w:pPr>
              <w:spacing w:before="120" w:after="120"/>
              <w:jc w:val="both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Д</w:t>
            </w:r>
            <w:r w:rsidRPr="00E95760">
              <w:rPr>
                <w:bCs/>
                <w:lang w:val="bg-BG"/>
              </w:rPr>
              <w:t>ейностите за популяризиране</w:t>
            </w:r>
            <w:r>
              <w:rPr>
                <w:bCs/>
                <w:lang w:val="bg-BG"/>
              </w:rPr>
              <w:t xml:space="preserve"> са задължителна част от проектите в рамките на интервенцията и </w:t>
            </w:r>
            <w:r w:rsidRPr="00E95760">
              <w:rPr>
                <w:bCs/>
                <w:lang w:val="bg-BG"/>
              </w:rPr>
              <w:t>имат за цел да повишат информираността за съществуването на късите вериги или местните пазари</w:t>
            </w:r>
            <w:r>
              <w:rPr>
                <w:bCs/>
                <w:lang w:val="bg-BG"/>
              </w:rPr>
              <w:t xml:space="preserve">, като са необходими, за да ги направят </w:t>
            </w:r>
            <w:r w:rsidRPr="00E95760">
              <w:rPr>
                <w:bCs/>
                <w:lang w:val="bg-BG"/>
              </w:rPr>
              <w:t>жизнеспособни.</w:t>
            </w:r>
          </w:p>
          <w:p w14:paraId="49677ACA" w14:textId="51FF01BB" w:rsidR="00E044AE" w:rsidRPr="001820ED" w:rsidRDefault="00CF7DFE" w:rsidP="001820ED">
            <w:pPr>
              <w:spacing w:before="240" w:after="240"/>
              <w:jc w:val="both"/>
              <w:rPr>
                <w:bCs/>
                <w:lang w:val="bg-BG"/>
              </w:rPr>
            </w:pPr>
            <w:r w:rsidRPr="00CF7DFE">
              <w:rPr>
                <w:bCs/>
                <w:lang w:val="bg-BG"/>
              </w:rPr>
              <w:lastRenderedPageBreak/>
              <w:t>Подпомагането е в съответствие с условията на Закона за храните</w:t>
            </w:r>
            <w:r w:rsidR="00B2496F">
              <w:rPr>
                <w:bCs/>
                <w:lang w:val="bg-BG"/>
              </w:rPr>
              <w:t xml:space="preserve">, в т. ч. </w:t>
            </w:r>
            <w:r w:rsidR="00D44968">
              <w:rPr>
                <w:bCs/>
                <w:lang w:val="bg-BG"/>
              </w:rPr>
              <w:t>подзаконовите нормативни актове</w:t>
            </w:r>
            <w:r w:rsidRPr="00CF7DFE">
              <w:rPr>
                <w:bCs/>
                <w:lang w:val="bg-BG"/>
              </w:rPr>
              <w:t xml:space="preserve"> за специфичните изисквания за директните доставки </w:t>
            </w:r>
            <w:r w:rsidR="00D44968">
              <w:rPr>
                <w:bCs/>
                <w:lang w:val="bg-BG"/>
              </w:rPr>
              <w:t>от производители на продукти от растителен и животински произход.</w:t>
            </w:r>
            <w:bookmarkStart w:id="0" w:name="_GoBack"/>
            <w:bookmarkEnd w:id="0"/>
          </w:p>
          <w:p w14:paraId="2BB4B9D8" w14:textId="3A61CC6E" w:rsidR="00E40C42" w:rsidRDefault="00E40C42" w:rsidP="00E42EEE">
            <w:pPr>
              <w:jc w:val="both"/>
              <w:rPr>
                <w:bCs/>
                <w:lang w:val="bg-BG"/>
              </w:rPr>
            </w:pPr>
            <w:r w:rsidRPr="00E40C42">
              <w:rPr>
                <w:b/>
                <w:lang w:val="bg-BG"/>
              </w:rPr>
              <w:t>4.</w:t>
            </w:r>
            <w:r>
              <w:rPr>
                <w:lang w:val="bg-BG"/>
              </w:rPr>
              <w:t xml:space="preserve"> </w:t>
            </w:r>
            <w:r w:rsidR="00E044AE" w:rsidRPr="00E044AE">
              <w:rPr>
                <w:b/>
                <w:bCs/>
                <w:lang w:val="bg-BG"/>
              </w:rPr>
              <w:t>Допустимите разходи</w:t>
            </w:r>
            <w:r w:rsidR="00E044AE">
              <w:rPr>
                <w:bCs/>
                <w:lang w:val="bg-BG"/>
              </w:rPr>
              <w:t xml:space="preserve"> </w:t>
            </w:r>
          </w:p>
          <w:p w14:paraId="40A74864" w14:textId="73BAA14C" w:rsidR="00E044AE" w:rsidRDefault="00E40C42" w:rsidP="00E42EEE">
            <w:pPr>
              <w:jc w:val="both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 xml:space="preserve">Допустимите разходи </w:t>
            </w:r>
            <w:r w:rsidR="0015484B">
              <w:rPr>
                <w:bCs/>
                <w:lang w:val="bg-BG"/>
              </w:rPr>
              <w:t xml:space="preserve">в рамките на интервенцията </w:t>
            </w:r>
            <w:r w:rsidR="00E044AE">
              <w:rPr>
                <w:bCs/>
                <w:lang w:val="bg-BG"/>
              </w:rPr>
              <w:t>включват:</w:t>
            </w:r>
          </w:p>
          <w:p w14:paraId="629365AB" w14:textId="7F701EFE" w:rsidR="00245A54" w:rsidRPr="007913C5" w:rsidRDefault="00245A54" w:rsidP="007913C5">
            <w:pPr>
              <w:pStyle w:val="ListParagraph"/>
              <w:numPr>
                <w:ilvl w:val="0"/>
                <w:numId w:val="8"/>
              </w:numPr>
              <w:spacing w:before="120" w:after="120"/>
              <w:ind w:left="714" w:hanging="357"/>
              <w:contextualSpacing w:val="0"/>
              <w:jc w:val="both"/>
              <w:rPr>
                <w:lang w:val="bg-BG"/>
              </w:rPr>
            </w:pPr>
            <w:r w:rsidRPr="007913C5">
              <w:rPr>
                <w:lang w:val="bg-BG"/>
              </w:rPr>
              <w:t>Разходи за проучвания за приложимост на проекта за сътрудничество за обединение за къса верига на доставки или обединение за местен пазар (допустими само за първа фаза на изпълнение);</w:t>
            </w:r>
          </w:p>
          <w:p w14:paraId="4D842BDC" w14:textId="7E8996EE" w:rsidR="00245A54" w:rsidRPr="007913C5" w:rsidRDefault="00245A54" w:rsidP="007913C5">
            <w:pPr>
              <w:pStyle w:val="ListParagraph"/>
              <w:numPr>
                <w:ilvl w:val="0"/>
                <w:numId w:val="8"/>
              </w:numPr>
              <w:spacing w:before="120" w:after="120"/>
              <w:ind w:left="714" w:hanging="357"/>
              <w:contextualSpacing w:val="0"/>
              <w:jc w:val="both"/>
              <w:rPr>
                <w:lang w:val="bg-BG"/>
              </w:rPr>
            </w:pPr>
            <w:r w:rsidRPr="007913C5">
              <w:rPr>
                <w:lang w:val="bg-BG"/>
              </w:rPr>
              <w:t xml:space="preserve">Разходи за стимулиране на интерес и разширяване на състава </w:t>
            </w:r>
            <w:r w:rsidR="00141FF7">
              <w:rPr>
                <w:lang w:val="bg-BG"/>
              </w:rPr>
              <w:t>н</w:t>
            </w:r>
            <w:r w:rsidRPr="007913C5">
              <w:rPr>
                <w:lang w:val="bg-BG"/>
              </w:rPr>
              <w:t>а обединение за къса верига на доставки или обединение за местен пазар (допустими само за първа фаза на изпълнение);</w:t>
            </w:r>
          </w:p>
          <w:p w14:paraId="7F82DA38" w14:textId="695F552A" w:rsidR="00E044AE" w:rsidRPr="007913C5" w:rsidRDefault="00E044AE" w:rsidP="007913C5">
            <w:pPr>
              <w:pStyle w:val="ListParagraph"/>
              <w:numPr>
                <w:ilvl w:val="0"/>
                <w:numId w:val="8"/>
              </w:numPr>
              <w:spacing w:before="120" w:after="120"/>
              <w:ind w:left="714" w:hanging="357"/>
              <w:contextualSpacing w:val="0"/>
              <w:jc w:val="both"/>
              <w:rPr>
                <w:bCs/>
                <w:lang w:val="bg-BG"/>
              </w:rPr>
            </w:pPr>
            <w:r w:rsidRPr="007913C5">
              <w:rPr>
                <w:bCs/>
                <w:lang w:val="bg-BG"/>
              </w:rPr>
              <w:t>Текущи раз</w:t>
            </w:r>
            <w:r w:rsidR="00E94884" w:rsidRPr="007913C5">
              <w:rPr>
                <w:bCs/>
                <w:lang w:val="bg-BG"/>
              </w:rPr>
              <w:t xml:space="preserve">ходи във връзка с дейността на </w:t>
            </w:r>
            <w:r w:rsidRPr="007913C5">
              <w:rPr>
                <w:bCs/>
                <w:lang w:val="bg-BG"/>
              </w:rPr>
              <w:t>обединението за къса верига на доставки или местен пазар</w:t>
            </w:r>
            <w:r w:rsidR="00245A54" w:rsidRPr="007913C5">
              <w:rPr>
                <w:bCs/>
                <w:lang w:val="bg-BG"/>
              </w:rPr>
              <w:t xml:space="preserve"> (допустими само за втора фаза)</w:t>
            </w:r>
            <w:r w:rsidRPr="007913C5">
              <w:rPr>
                <w:bCs/>
                <w:lang w:val="bg-BG"/>
              </w:rPr>
              <w:t>;</w:t>
            </w:r>
          </w:p>
          <w:p w14:paraId="59FA82EA" w14:textId="02B91365" w:rsidR="00E044AE" w:rsidRPr="007913C5" w:rsidRDefault="00E044AE" w:rsidP="007913C5">
            <w:pPr>
              <w:pStyle w:val="ListParagraph"/>
              <w:numPr>
                <w:ilvl w:val="0"/>
                <w:numId w:val="8"/>
              </w:numPr>
              <w:spacing w:before="120" w:after="120"/>
              <w:ind w:left="714" w:hanging="357"/>
              <w:contextualSpacing w:val="0"/>
              <w:jc w:val="both"/>
              <w:rPr>
                <w:bCs/>
                <w:lang w:val="bg-BG"/>
              </w:rPr>
            </w:pPr>
            <w:r w:rsidRPr="007913C5">
              <w:rPr>
                <w:bCs/>
                <w:lang w:val="bg-BG"/>
              </w:rPr>
              <w:t>Преки разхо</w:t>
            </w:r>
            <w:r w:rsidR="00E95760" w:rsidRPr="007913C5">
              <w:rPr>
                <w:bCs/>
                <w:lang w:val="bg-BG"/>
              </w:rPr>
              <w:t xml:space="preserve">ди за изпълнение на </w:t>
            </w:r>
            <w:r w:rsidRPr="007913C5">
              <w:rPr>
                <w:bCs/>
                <w:lang w:val="bg-BG"/>
              </w:rPr>
              <w:t>проект</w:t>
            </w:r>
            <w:r w:rsidR="00E95760" w:rsidRPr="007913C5">
              <w:rPr>
                <w:bCs/>
                <w:lang w:val="bg-BG"/>
              </w:rPr>
              <w:t>а</w:t>
            </w:r>
            <w:r w:rsidRPr="007913C5">
              <w:rPr>
                <w:bCs/>
                <w:lang w:val="bg-BG"/>
              </w:rPr>
              <w:t xml:space="preserve"> съгласно представен </w:t>
            </w:r>
            <w:r w:rsidR="00E95760" w:rsidRPr="007913C5">
              <w:rPr>
                <w:bCs/>
                <w:lang w:val="bg-BG"/>
              </w:rPr>
              <w:t>бизнес план</w:t>
            </w:r>
            <w:r w:rsidR="00FF1AF6" w:rsidRPr="007913C5">
              <w:rPr>
                <w:bCs/>
                <w:lang w:val="bg-BG"/>
              </w:rPr>
              <w:t xml:space="preserve">, в т.ч. инвестиционни разходи </w:t>
            </w:r>
            <w:r w:rsidR="00245A54" w:rsidRPr="007913C5">
              <w:rPr>
                <w:bCs/>
                <w:lang w:val="bg-BG"/>
              </w:rPr>
              <w:t>(</w:t>
            </w:r>
            <w:r w:rsidR="001820ED" w:rsidRPr="007913C5">
              <w:rPr>
                <w:bCs/>
                <w:lang w:val="bg-BG"/>
              </w:rPr>
              <w:t xml:space="preserve">допустими само за </w:t>
            </w:r>
            <w:r w:rsidR="00245A54" w:rsidRPr="007913C5">
              <w:rPr>
                <w:bCs/>
                <w:lang w:val="bg-BG"/>
              </w:rPr>
              <w:t>втора фаза)</w:t>
            </w:r>
            <w:r w:rsidRPr="007913C5">
              <w:rPr>
                <w:bCs/>
                <w:lang w:val="bg-BG"/>
              </w:rPr>
              <w:t>;</w:t>
            </w:r>
          </w:p>
          <w:p w14:paraId="198AB327" w14:textId="5A36CF77" w:rsidR="00A754A3" w:rsidRPr="007913C5" w:rsidRDefault="00E044AE" w:rsidP="007913C5">
            <w:pPr>
              <w:pStyle w:val="ListParagraph"/>
              <w:numPr>
                <w:ilvl w:val="0"/>
                <w:numId w:val="8"/>
              </w:numPr>
              <w:spacing w:before="120" w:after="120"/>
              <w:ind w:left="714" w:hanging="357"/>
              <w:contextualSpacing w:val="0"/>
              <w:jc w:val="both"/>
              <w:rPr>
                <w:bCs/>
                <w:lang w:val="bg-BG"/>
              </w:rPr>
            </w:pPr>
            <w:r w:rsidRPr="007913C5">
              <w:rPr>
                <w:bCs/>
                <w:lang w:val="bg-BG"/>
              </w:rPr>
              <w:t>Разходите за популяризиране на проекта</w:t>
            </w:r>
            <w:r w:rsidR="00245A54" w:rsidRPr="007913C5">
              <w:rPr>
                <w:bCs/>
                <w:lang w:val="bg-BG"/>
              </w:rPr>
              <w:t xml:space="preserve"> (</w:t>
            </w:r>
            <w:r w:rsidR="001820ED" w:rsidRPr="007913C5">
              <w:rPr>
                <w:bCs/>
                <w:lang w:val="bg-BG"/>
              </w:rPr>
              <w:t xml:space="preserve">допустими само за </w:t>
            </w:r>
            <w:r w:rsidR="00245A54" w:rsidRPr="007913C5">
              <w:rPr>
                <w:bCs/>
                <w:lang w:val="bg-BG"/>
              </w:rPr>
              <w:t>втора фаза)</w:t>
            </w:r>
            <w:r w:rsidR="00E95760" w:rsidRPr="007913C5">
              <w:rPr>
                <w:bCs/>
                <w:lang w:val="bg-BG"/>
              </w:rPr>
              <w:t>.</w:t>
            </w:r>
          </w:p>
        </w:tc>
      </w:tr>
    </w:tbl>
    <w:p w14:paraId="34ADFD4D" w14:textId="77777777" w:rsidR="005F556B" w:rsidRDefault="005F556B" w:rsidP="005F556B">
      <w:pPr>
        <w:spacing w:line="240" w:lineRule="auto"/>
        <w:jc w:val="both"/>
        <w:rPr>
          <w:b/>
        </w:rPr>
      </w:pPr>
    </w:p>
    <w:p w14:paraId="11DB4506" w14:textId="77777777" w:rsidR="00B92EB3" w:rsidRDefault="00B92EB3" w:rsidP="005F556B">
      <w:pPr>
        <w:spacing w:line="240" w:lineRule="auto"/>
        <w:jc w:val="both"/>
        <w:rPr>
          <w:b/>
        </w:rPr>
      </w:pPr>
    </w:p>
    <w:p w14:paraId="23F3A6B0" w14:textId="77777777" w:rsidR="00B92EB3" w:rsidRPr="0046113A" w:rsidRDefault="00B92EB3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Съвместимост на интервенцията със споразумението на СТО за селското стопанство:</w:t>
      </w:r>
    </w:p>
    <w:p w14:paraId="554E678E" w14:textId="77777777" w:rsidR="00B92EB3" w:rsidRDefault="00B92EB3" w:rsidP="005F556B">
      <w:pPr>
        <w:spacing w:line="240" w:lineRule="auto"/>
        <w:jc w:val="both"/>
        <w:rPr>
          <w:i/>
          <w:lang w:val="bg-BG"/>
        </w:rPr>
      </w:pPr>
      <w:r>
        <w:rPr>
          <w:i/>
          <w:lang w:val="bg-BG"/>
        </w:rPr>
        <w:t>/</w:t>
      </w:r>
      <w:r w:rsidRPr="00B92EB3">
        <w:rPr>
          <w:i/>
          <w:lang w:val="bg-BG"/>
        </w:rPr>
        <w:t xml:space="preserve">За всяка интервенция, която </w:t>
      </w:r>
      <w:r w:rsidRPr="00B92EB3">
        <w:rPr>
          <w:i/>
          <w:u w:val="single"/>
          <w:lang w:val="bg-BG"/>
        </w:rPr>
        <w:t>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регламент</w:t>
      </w:r>
      <w:r>
        <w:rPr>
          <w:i/>
          <w:lang w:val="bg-BG"/>
        </w:rPr>
        <w:t>а за Стратегическите планове по ОСП</w:t>
      </w:r>
      <w:r w:rsidRPr="00B92EB3">
        <w:rPr>
          <w:i/>
          <w:lang w:val="bg-BG"/>
        </w:rPr>
        <w:t xml:space="preserve">, </w:t>
      </w:r>
      <w:r>
        <w:rPr>
          <w:i/>
          <w:lang w:val="bg-BG"/>
        </w:rPr>
        <w:t xml:space="preserve">следва да се опише </w:t>
      </w:r>
      <w:r w:rsidRPr="00B92EB3">
        <w:rPr>
          <w:i/>
          <w:lang w:val="bg-BG"/>
        </w:rPr>
        <w:t>как тя спазва съответните разпоредби на приложение 2 към Споразумението на СТО за селското</w:t>
      </w:r>
      <w:r>
        <w:rPr>
          <w:i/>
          <w:lang w:val="bg-BG"/>
        </w:rPr>
        <w:t xml:space="preserve"> стопанство (както е посочено в член 10</w:t>
      </w:r>
      <w:r w:rsidRPr="00B92EB3">
        <w:rPr>
          <w:i/>
          <w:lang w:val="bg-BG"/>
        </w:rPr>
        <w:t xml:space="preserve"> и в приложение II към </w:t>
      </w:r>
      <w:r>
        <w:rPr>
          <w:i/>
          <w:lang w:val="bg-BG"/>
        </w:rPr>
        <w:t>същия</w:t>
      </w:r>
      <w:r w:rsidRPr="00B92EB3">
        <w:rPr>
          <w:i/>
          <w:lang w:val="bg-BG"/>
        </w:rPr>
        <w:t xml:space="preserve"> регламент</w:t>
      </w:r>
      <w:r>
        <w:rPr>
          <w:i/>
          <w:lang w:val="bg-BG"/>
        </w:rPr>
        <w:t>).</w:t>
      </w:r>
      <w:r w:rsidRPr="00B92EB3">
        <w:rPr>
          <w:i/>
          <w:lang w:val="bg-BG"/>
        </w:rPr>
        <w:t xml:space="preserve"> За всяка интервенция, която </w:t>
      </w:r>
      <w:r w:rsidRPr="00B92EB3">
        <w:rPr>
          <w:i/>
          <w:u w:val="single"/>
          <w:lang w:val="bg-BG"/>
        </w:rPr>
        <w:t>не 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настоящия регламент, как спазва съответните разпоредби на член 6.5 или приложение 2 към Споразумението на СТО за селското стопанство</w:t>
      </w:r>
      <w:r>
        <w:rPr>
          <w:i/>
          <w:lang w:val="bg-BG"/>
        </w:rPr>
        <w:t>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92EB3" w:rsidRPr="00027128" w14:paraId="0D9FA34D" w14:textId="77777777" w:rsidTr="00B92EB3">
        <w:tc>
          <w:tcPr>
            <w:tcW w:w="9242" w:type="dxa"/>
          </w:tcPr>
          <w:p w14:paraId="40EE3623" w14:textId="2128F5F7" w:rsidR="00B92EB3" w:rsidRDefault="009D4192" w:rsidP="005F556B">
            <w:pPr>
              <w:jc w:val="both"/>
              <w:rPr>
                <w:i/>
                <w:lang w:val="bg-BG"/>
              </w:rPr>
            </w:pPr>
            <w:r w:rsidRPr="00A87896">
              <w:rPr>
                <w:i/>
                <w:lang w:val="bg-BG"/>
              </w:rPr>
              <w:t xml:space="preserve">Параграф от приложение </w:t>
            </w:r>
            <w:r w:rsidR="00A87896">
              <w:rPr>
                <w:i/>
                <w:lang w:val="bg-BG"/>
              </w:rPr>
              <w:t xml:space="preserve">№ </w:t>
            </w:r>
            <w:r w:rsidRPr="00A87896">
              <w:rPr>
                <w:i/>
                <w:lang w:val="bg-BG"/>
              </w:rPr>
              <w:t>2 към Споразумението на СТО за селското стопанство ("Зелена кутия") - 2</w:t>
            </w:r>
          </w:p>
        </w:tc>
      </w:tr>
    </w:tbl>
    <w:p w14:paraId="4048787F" w14:textId="77777777" w:rsidR="00B92EB3" w:rsidRPr="00B92EB3" w:rsidRDefault="00B92EB3" w:rsidP="005F556B">
      <w:pPr>
        <w:spacing w:line="240" w:lineRule="auto"/>
        <w:jc w:val="both"/>
        <w:rPr>
          <w:i/>
          <w:lang w:val="bg-BG"/>
        </w:rPr>
      </w:pPr>
    </w:p>
    <w:p w14:paraId="37436A77" w14:textId="77777777" w:rsidR="005F556B" w:rsidRPr="0046113A" w:rsidRDefault="005F556B" w:rsidP="0046113A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Нива на подпомагане / премии / методи за изчисляване (включително диференциации за групи от територии, където е приложимо) и, когато е приложимо, кратко обяснение защо посочените са подходящи за постигане на целите, </w:t>
      </w:r>
      <w:r w:rsidR="00950149" w:rsidRPr="0046113A">
        <w:rPr>
          <w:b/>
          <w:lang w:val="bg-BG"/>
        </w:rPr>
        <w:t>(</w:t>
      </w:r>
      <w:r w:rsidRPr="0046113A">
        <w:rPr>
          <w:b/>
          <w:lang w:val="bg-BG"/>
        </w:rPr>
        <w:t>също и по отношение на базовите изисквания</w:t>
      </w:r>
      <w:r w:rsidR="00950149" w:rsidRPr="0046113A">
        <w:rPr>
          <w:b/>
          <w:lang w:val="bg-BG"/>
        </w:rPr>
        <w:t>)</w:t>
      </w:r>
      <w:r w:rsidRPr="0046113A">
        <w:rPr>
          <w:b/>
          <w:lang w:val="bg-BG"/>
        </w:rPr>
        <w:t>:</w:t>
      </w:r>
    </w:p>
    <w:p w14:paraId="30583844" w14:textId="77777777" w:rsidR="00BC2D56" w:rsidRPr="00BC2D56" w:rsidRDefault="00BC2D56" w:rsidP="00BC2D56">
      <w:pPr>
        <w:spacing w:after="0"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</w:t>
      </w:r>
      <w:r w:rsidRPr="00BC2D56">
        <w:rPr>
          <w:b/>
          <w:i/>
          <w:lang w:val="bg-BG"/>
        </w:rPr>
        <w:t>информацията следва да включва:</w:t>
      </w:r>
      <w:r w:rsidRPr="00BC2D56">
        <w:rPr>
          <w:i/>
          <w:lang w:val="bg-BG"/>
        </w:rPr>
        <w:t xml:space="preserve"> формата и степента на подкрепа; методът за изчисляване на единичните суми на подпомагане и неговото сертифициране в съответствие с член 76; различните единни или средни единични суми на помощта</w:t>
      </w:r>
      <w:r w:rsidR="00950149">
        <w:rPr>
          <w:i/>
          <w:lang w:val="bg-BG"/>
        </w:rPr>
        <w:t xml:space="preserve"> в рамките на тази интервенция. /</w:t>
      </w:r>
    </w:p>
    <w:p w14:paraId="437344CC" w14:textId="77777777" w:rsidR="00BC2D56" w:rsidRDefault="00BC2D56" w:rsidP="005F556B">
      <w:pPr>
        <w:spacing w:line="240" w:lineRule="auto"/>
        <w:jc w:val="both"/>
        <w:rPr>
          <w:b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F556B" w:rsidRPr="00027128" w14:paraId="759FB1AF" w14:textId="77777777" w:rsidTr="005F556B">
        <w:tc>
          <w:tcPr>
            <w:tcW w:w="9242" w:type="dxa"/>
          </w:tcPr>
          <w:p w14:paraId="0C6CA86E" w14:textId="343DDAD6" w:rsidR="00A87896" w:rsidRPr="00697794" w:rsidRDefault="00A87896" w:rsidP="00A87896">
            <w:pPr>
              <w:contextualSpacing/>
              <w:jc w:val="both"/>
              <w:rPr>
                <w:rFonts w:eastAsia="Times New Roman" w:cs="Times New Roman"/>
                <w:lang w:val="bg-BG"/>
              </w:rPr>
            </w:pPr>
            <w:r w:rsidRPr="00DB1156">
              <w:rPr>
                <w:rFonts w:eastAsia="Times New Roman" w:cs="Times New Roman"/>
                <w:lang w:val="bg-BG"/>
              </w:rPr>
              <w:t>Финансова</w:t>
            </w:r>
            <w:r>
              <w:rPr>
                <w:rFonts w:eastAsia="Times New Roman" w:cs="Times New Roman"/>
                <w:lang w:val="bg-BG"/>
              </w:rPr>
              <w:t>та</w:t>
            </w:r>
            <w:r w:rsidRPr="00DB1156">
              <w:rPr>
                <w:rFonts w:eastAsia="Times New Roman" w:cs="Times New Roman"/>
                <w:lang w:val="bg-BG"/>
              </w:rPr>
              <w:t xml:space="preserve"> помощ се предоставя под формата на</w:t>
            </w:r>
            <w:r>
              <w:rPr>
                <w:rFonts w:eastAsia="Times New Roman" w:cs="Times New Roman"/>
                <w:lang w:val="bg-BG"/>
              </w:rPr>
              <w:t xml:space="preserve">: </w:t>
            </w:r>
            <w:r w:rsidRPr="00697794">
              <w:rPr>
                <w:rFonts w:eastAsia="Times New Roman" w:cs="Times New Roman"/>
                <w:lang w:val="bg-BG"/>
              </w:rPr>
              <w:t>възстановяване на действително направени и платени допустими разходи;</w:t>
            </w:r>
            <w:r>
              <w:rPr>
                <w:rFonts w:eastAsia="Times New Roman" w:cs="Times New Roman"/>
                <w:lang w:val="bg-BG"/>
              </w:rPr>
              <w:t xml:space="preserve"> </w:t>
            </w:r>
            <w:r w:rsidRPr="00697794">
              <w:rPr>
                <w:rFonts w:eastAsia="Times New Roman" w:cs="Times New Roman"/>
                <w:lang w:val="bg-BG"/>
              </w:rPr>
              <w:t>прилагане на стандартна таблица на разходите за единица продукт</w:t>
            </w:r>
            <w:r>
              <w:rPr>
                <w:rFonts w:eastAsia="Times New Roman" w:cs="Times New Roman"/>
                <w:lang w:val="bg-BG"/>
              </w:rPr>
              <w:t xml:space="preserve"> и </w:t>
            </w:r>
            <w:r w:rsidRPr="00697794">
              <w:rPr>
                <w:rFonts w:eastAsia="Times New Roman" w:cs="Times New Roman"/>
                <w:lang w:val="bg-BG"/>
              </w:rPr>
              <w:t>финансиране с единна ставка, определено чрез прилагане на процент към една или няколко определени категории разходи.</w:t>
            </w:r>
          </w:p>
          <w:p w14:paraId="3F8644B3" w14:textId="77777777" w:rsidR="00A87896" w:rsidRDefault="00A87896" w:rsidP="00A87896">
            <w:pPr>
              <w:contextualSpacing/>
              <w:jc w:val="both"/>
              <w:rPr>
                <w:rFonts w:eastAsia="Times New Roman" w:cs="Times New Roman"/>
                <w:b/>
                <w:lang w:val="bg-BG"/>
              </w:rPr>
            </w:pPr>
          </w:p>
          <w:p w14:paraId="1D065E79" w14:textId="4225A6C1" w:rsidR="00A87896" w:rsidRDefault="00A87896" w:rsidP="00A87896">
            <w:pPr>
              <w:contextualSpacing/>
              <w:jc w:val="both"/>
              <w:rPr>
                <w:rFonts w:eastAsia="Times New Roman" w:cs="Times New Roman"/>
                <w:b/>
                <w:lang w:val="bg-BG"/>
              </w:rPr>
            </w:pPr>
            <w:r w:rsidRPr="00DB1156">
              <w:rPr>
                <w:rFonts w:eastAsia="Times New Roman" w:cs="Times New Roman"/>
                <w:b/>
                <w:lang w:val="bg-BG"/>
              </w:rPr>
              <w:t xml:space="preserve">Максимален размер на допустимите разходи: </w:t>
            </w:r>
          </w:p>
          <w:p w14:paraId="397B11B5" w14:textId="77777777" w:rsidR="00141FF7" w:rsidRDefault="00141FF7" w:rsidP="00A87896">
            <w:pPr>
              <w:contextualSpacing/>
              <w:jc w:val="both"/>
              <w:rPr>
                <w:rFonts w:eastAsia="Times New Roman" w:cs="Times New Roman"/>
                <w:b/>
                <w:lang w:val="bg-BG"/>
              </w:rPr>
            </w:pPr>
          </w:p>
          <w:p w14:paraId="0A03FA48" w14:textId="5582BE7C" w:rsidR="00245A54" w:rsidRDefault="00245A54" w:rsidP="00A87896">
            <w:pPr>
              <w:contextualSpacing/>
              <w:jc w:val="both"/>
              <w:rPr>
                <w:rFonts w:eastAsia="Times New Roman" w:cs="Times New Roman"/>
                <w:lang w:val="bg-BG"/>
              </w:rPr>
            </w:pPr>
            <w:r>
              <w:rPr>
                <w:rFonts w:eastAsia="Times New Roman" w:cs="Times New Roman"/>
                <w:lang w:val="bg-BG"/>
              </w:rPr>
              <w:t xml:space="preserve">1. </w:t>
            </w:r>
            <w:r w:rsidRPr="00245A54">
              <w:rPr>
                <w:rFonts w:eastAsia="Times New Roman" w:cs="Times New Roman"/>
                <w:lang w:val="bg-BG"/>
              </w:rPr>
              <w:t>Максималният размер на допустимите разходи</w:t>
            </w:r>
            <w:r w:rsidRPr="00245A54">
              <w:rPr>
                <w:rFonts w:eastAsia="Times New Roman" w:cs="Times New Roman"/>
                <w:b/>
                <w:lang w:val="bg-BG"/>
              </w:rPr>
              <w:t xml:space="preserve"> </w:t>
            </w:r>
            <w:r w:rsidRPr="00245A54">
              <w:rPr>
                <w:rFonts w:eastAsia="Times New Roman" w:cs="Times New Roman"/>
                <w:lang w:val="bg-BG"/>
              </w:rPr>
              <w:t xml:space="preserve">за </w:t>
            </w:r>
            <w:r>
              <w:rPr>
                <w:rFonts w:eastAsia="Times New Roman" w:cs="Times New Roman"/>
                <w:lang w:val="bg-BG"/>
              </w:rPr>
              <w:t>първа фаза</w:t>
            </w:r>
            <w:r w:rsidRPr="00245A54">
              <w:rPr>
                <w:rFonts w:eastAsia="Times New Roman" w:cs="Times New Roman"/>
                <w:lang w:val="bg-BG"/>
              </w:rPr>
              <w:t xml:space="preserve">, </w:t>
            </w:r>
            <w:r>
              <w:rPr>
                <w:rFonts w:eastAsia="Times New Roman" w:cs="Times New Roman"/>
                <w:lang w:val="bg-BG"/>
              </w:rPr>
              <w:t xml:space="preserve">за един проект, </w:t>
            </w:r>
            <w:r w:rsidRPr="00245A54">
              <w:rPr>
                <w:rFonts w:eastAsia="Times New Roman" w:cs="Times New Roman"/>
                <w:lang w:val="bg-BG"/>
              </w:rPr>
              <w:t xml:space="preserve">изпълняван от един бенефициент, възлиза на </w:t>
            </w:r>
            <w:r w:rsidR="00141FF7">
              <w:rPr>
                <w:rFonts w:eastAsia="Times New Roman" w:cs="Times New Roman"/>
                <w:lang w:val="bg-BG"/>
              </w:rPr>
              <w:t>29 337 лв. (15 000 евро), в т.ч. 9 779 лв. (5 000 евро) за р</w:t>
            </w:r>
            <w:r w:rsidR="00141FF7" w:rsidRPr="00141FF7">
              <w:rPr>
                <w:rFonts w:eastAsia="Times New Roman" w:cs="Times New Roman"/>
                <w:lang w:val="bg-BG"/>
              </w:rPr>
              <w:t>азходи за проучвания за приложимост на проекта за сътрудничество за обединение за къса верига на доставки или обединение за местен пазар</w:t>
            </w:r>
            <w:r w:rsidR="00141FF7">
              <w:rPr>
                <w:rFonts w:eastAsia="Times New Roman" w:cs="Times New Roman"/>
                <w:lang w:val="bg-BG"/>
              </w:rPr>
              <w:t xml:space="preserve"> и до 19 558 лв. (10 000 евро) за р</w:t>
            </w:r>
            <w:r w:rsidR="00141FF7" w:rsidRPr="00141FF7">
              <w:rPr>
                <w:rFonts w:eastAsia="Times New Roman" w:cs="Times New Roman"/>
                <w:lang w:val="bg-BG"/>
              </w:rPr>
              <w:t>азходи за стимулиране на интерес и разширяване на състава на обединение за къса верига на доставки или обединение за местен пазар</w:t>
            </w:r>
            <w:r w:rsidR="00141FF7">
              <w:rPr>
                <w:rFonts w:eastAsia="Times New Roman" w:cs="Times New Roman"/>
                <w:lang w:val="bg-BG"/>
              </w:rPr>
              <w:t>.</w:t>
            </w:r>
          </w:p>
          <w:p w14:paraId="76945438" w14:textId="77777777" w:rsidR="00141FF7" w:rsidRDefault="00141FF7" w:rsidP="00A87896">
            <w:pPr>
              <w:contextualSpacing/>
              <w:jc w:val="both"/>
              <w:rPr>
                <w:rFonts w:eastAsia="Times New Roman" w:cs="Times New Roman"/>
                <w:lang w:val="bg-BG"/>
              </w:rPr>
            </w:pPr>
          </w:p>
          <w:p w14:paraId="08E4D8FC" w14:textId="5005A6F9" w:rsidR="00A87896" w:rsidRPr="006413DA" w:rsidRDefault="00245A54" w:rsidP="00A87896">
            <w:pPr>
              <w:contextualSpacing/>
              <w:jc w:val="both"/>
              <w:rPr>
                <w:rFonts w:eastAsia="Times New Roman" w:cs="Times New Roman"/>
                <w:b/>
                <w:lang w:val="bg-BG"/>
              </w:rPr>
            </w:pPr>
            <w:r>
              <w:rPr>
                <w:rFonts w:eastAsia="Times New Roman" w:cs="Times New Roman"/>
                <w:lang w:val="bg-BG"/>
              </w:rPr>
              <w:t xml:space="preserve">2. </w:t>
            </w:r>
            <w:r w:rsidR="00A87896" w:rsidRPr="00DB1156">
              <w:rPr>
                <w:rFonts w:eastAsia="Times New Roman" w:cs="Times New Roman"/>
                <w:lang w:val="bg-BG"/>
              </w:rPr>
              <w:t>Максималният размер на допустимите разходи</w:t>
            </w:r>
            <w:r w:rsidR="00A87896" w:rsidRPr="00DB1156">
              <w:rPr>
                <w:rFonts w:eastAsia="Times New Roman" w:cs="Times New Roman"/>
                <w:b/>
                <w:lang w:val="bg-BG"/>
              </w:rPr>
              <w:t xml:space="preserve"> </w:t>
            </w:r>
            <w:r w:rsidR="007913C5">
              <w:rPr>
                <w:rFonts w:eastAsia="Times New Roman" w:cs="Times New Roman"/>
                <w:lang w:val="bg-BG"/>
              </w:rPr>
              <w:t>за</w:t>
            </w:r>
            <w:r w:rsidRPr="00245A54">
              <w:rPr>
                <w:rFonts w:eastAsia="Times New Roman" w:cs="Times New Roman"/>
                <w:lang w:val="bg-BG"/>
              </w:rPr>
              <w:t xml:space="preserve"> втора фаза </w:t>
            </w:r>
            <w:r w:rsidR="00A87896" w:rsidRPr="00245A54">
              <w:rPr>
                <w:rFonts w:eastAsia="Times New Roman" w:cs="Times New Roman"/>
                <w:lang w:val="bg-BG"/>
              </w:rPr>
              <w:t>за</w:t>
            </w:r>
            <w:r w:rsidR="00A87896" w:rsidRPr="00DB1156">
              <w:rPr>
                <w:rFonts w:eastAsia="Times New Roman" w:cs="Times New Roman"/>
                <w:lang w:val="bg-BG"/>
              </w:rPr>
              <w:t xml:space="preserve"> един проект, изпълняван от един бенефициент, за периода на прилагане на Стратегически план</w:t>
            </w:r>
            <w:r w:rsidR="00E94884">
              <w:rPr>
                <w:rFonts w:eastAsia="Times New Roman" w:cs="Times New Roman"/>
                <w:lang w:val="bg-BG"/>
              </w:rPr>
              <w:t xml:space="preserve">, възлиза на </w:t>
            </w:r>
            <w:r w:rsidR="006413DA">
              <w:rPr>
                <w:rFonts w:eastAsia="Times New Roman" w:cs="Times New Roman"/>
                <w:lang w:val="bg-BG"/>
              </w:rPr>
              <w:t>1</w:t>
            </w:r>
            <w:r w:rsidR="00E15FEB">
              <w:rPr>
                <w:rFonts w:eastAsia="Times New Roman" w:cs="Times New Roman"/>
                <w:lang w:val="bg-BG"/>
              </w:rPr>
              <w:t> 466 850</w:t>
            </w:r>
            <w:r w:rsidR="00A87896" w:rsidRPr="00DB1156">
              <w:rPr>
                <w:rFonts w:eastAsia="Times New Roman" w:cs="Times New Roman"/>
                <w:lang w:val="bg-BG"/>
              </w:rPr>
              <w:t xml:space="preserve"> лв. </w:t>
            </w:r>
            <w:r w:rsidR="00A87896">
              <w:rPr>
                <w:rFonts w:eastAsia="Times New Roman" w:cs="Times New Roman"/>
                <w:lang w:val="bg-BG"/>
              </w:rPr>
              <w:t>(</w:t>
            </w:r>
            <w:r w:rsidR="00E15FEB">
              <w:rPr>
                <w:rFonts w:eastAsia="Times New Roman" w:cs="Times New Roman"/>
                <w:lang w:val="bg-BG"/>
              </w:rPr>
              <w:t>750</w:t>
            </w:r>
            <w:r w:rsidR="00A87896">
              <w:rPr>
                <w:rFonts w:eastAsia="Times New Roman" w:cs="Times New Roman"/>
                <w:lang w:val="bg-BG"/>
              </w:rPr>
              <w:t> 000 евро)</w:t>
            </w:r>
            <w:r w:rsidR="00CF7DFE">
              <w:rPr>
                <w:rFonts w:eastAsia="Times New Roman" w:cs="Times New Roman"/>
                <w:lang w:val="bg-BG"/>
              </w:rPr>
              <w:t>, в това число:</w:t>
            </w:r>
          </w:p>
          <w:p w14:paraId="2385AD25" w14:textId="1BCC059D" w:rsidR="00E94884" w:rsidRDefault="00E94884" w:rsidP="00FF124F">
            <w:pPr>
              <w:pStyle w:val="ListParagraph"/>
              <w:numPr>
                <w:ilvl w:val="0"/>
                <w:numId w:val="7"/>
              </w:numPr>
              <w:spacing w:before="120" w:after="120"/>
              <w:ind w:left="714" w:hanging="357"/>
              <w:contextualSpacing w:val="0"/>
              <w:jc w:val="both"/>
              <w:rPr>
                <w:rFonts w:eastAsia="Times New Roman" w:cs="Times New Roman"/>
                <w:lang w:val="bg-BG"/>
              </w:rPr>
            </w:pPr>
            <w:r>
              <w:rPr>
                <w:rFonts w:eastAsia="Times New Roman" w:cs="Times New Roman"/>
                <w:lang w:val="bg-BG"/>
              </w:rPr>
              <w:t>Т</w:t>
            </w:r>
            <w:r w:rsidR="00CF7DFE">
              <w:rPr>
                <w:rFonts w:eastAsia="Times New Roman" w:cs="Times New Roman"/>
                <w:lang w:val="bg-BG"/>
              </w:rPr>
              <w:t>екущи</w:t>
            </w:r>
            <w:r>
              <w:rPr>
                <w:rFonts w:eastAsia="Times New Roman" w:cs="Times New Roman"/>
                <w:lang w:val="bg-BG"/>
              </w:rPr>
              <w:t xml:space="preserve"> разходи за сътрудничество в рамките на обединението за къса верига на доставки или местен пазар, като част от допустимите разходи по проекта, </w:t>
            </w:r>
            <w:r w:rsidR="00CF7DFE">
              <w:rPr>
                <w:rFonts w:eastAsia="Times New Roman" w:cs="Times New Roman"/>
                <w:lang w:val="bg-BG"/>
              </w:rPr>
              <w:t xml:space="preserve">които </w:t>
            </w:r>
            <w:r>
              <w:rPr>
                <w:rFonts w:eastAsia="Times New Roman" w:cs="Times New Roman"/>
                <w:lang w:val="bg-BG"/>
              </w:rPr>
              <w:t xml:space="preserve">не могат да надхвърлят 59 874 лв. </w:t>
            </w:r>
            <w:r w:rsidR="00E15FEB">
              <w:rPr>
                <w:rFonts w:eastAsia="Times New Roman" w:cs="Times New Roman"/>
                <w:lang w:val="bg-BG"/>
              </w:rPr>
              <w:t xml:space="preserve">(30 000 евро) </w:t>
            </w:r>
            <w:r>
              <w:rPr>
                <w:rFonts w:eastAsia="Times New Roman" w:cs="Times New Roman"/>
                <w:lang w:val="bg-BG"/>
              </w:rPr>
              <w:t>на година</w:t>
            </w:r>
            <w:r w:rsidR="0015484B">
              <w:rPr>
                <w:rFonts w:eastAsia="Times New Roman" w:cs="Times New Roman"/>
                <w:lang w:val="bg-BG"/>
              </w:rPr>
              <w:t>;</w:t>
            </w:r>
          </w:p>
          <w:p w14:paraId="21675790" w14:textId="1ACBD75B" w:rsidR="00E94884" w:rsidRPr="00E94884" w:rsidRDefault="00CF7DFE" w:rsidP="00FF124F">
            <w:pPr>
              <w:pStyle w:val="ListParagraph"/>
              <w:numPr>
                <w:ilvl w:val="0"/>
                <w:numId w:val="7"/>
              </w:numPr>
              <w:spacing w:before="120" w:after="120"/>
              <w:ind w:left="714" w:hanging="357"/>
              <w:contextualSpacing w:val="0"/>
              <w:jc w:val="both"/>
              <w:rPr>
                <w:rFonts w:eastAsia="Times New Roman" w:cs="Times New Roman"/>
                <w:lang w:val="bg-BG"/>
              </w:rPr>
            </w:pPr>
            <w:r>
              <w:rPr>
                <w:rFonts w:eastAsia="Times New Roman" w:cs="Times New Roman"/>
                <w:lang w:val="bg-BG"/>
              </w:rPr>
              <w:t>Разходи</w:t>
            </w:r>
            <w:r w:rsidR="00E94884">
              <w:rPr>
                <w:rFonts w:eastAsia="Times New Roman" w:cs="Times New Roman"/>
                <w:lang w:val="bg-BG"/>
              </w:rPr>
              <w:t xml:space="preserve"> за </w:t>
            </w:r>
            <w:r w:rsidR="00E94884">
              <w:rPr>
                <w:rFonts w:eastAsia="Times New Roman" w:cs="Times New Roman"/>
                <w:bCs/>
                <w:lang w:val="bg-BG"/>
              </w:rPr>
              <w:t xml:space="preserve">популяризиране на проекта на обединението за къса верига на доставки или местни пазар, като част от допустимите разходи по проекта, </w:t>
            </w:r>
            <w:r>
              <w:rPr>
                <w:rFonts w:eastAsia="Times New Roman" w:cs="Times New Roman"/>
                <w:bCs/>
                <w:lang w:val="bg-BG"/>
              </w:rPr>
              <w:t xml:space="preserve">които </w:t>
            </w:r>
            <w:r w:rsidR="00E94884">
              <w:rPr>
                <w:rFonts w:eastAsia="Times New Roman" w:cs="Times New Roman"/>
                <w:bCs/>
                <w:lang w:val="bg-BG"/>
              </w:rPr>
              <w:t xml:space="preserve">не могат да надхвърлят </w:t>
            </w:r>
            <w:r w:rsidR="00FF124F">
              <w:rPr>
                <w:rFonts w:eastAsia="Times New Roman" w:cs="Times New Roman"/>
                <w:bCs/>
                <w:lang w:val="bg-BG"/>
              </w:rPr>
              <w:t>48 895 лв. (25 000 евро)</w:t>
            </w:r>
            <w:r>
              <w:rPr>
                <w:rFonts w:eastAsia="Times New Roman" w:cs="Times New Roman"/>
                <w:bCs/>
                <w:lang w:val="bg-BG"/>
              </w:rPr>
              <w:t xml:space="preserve"> за периода на прилагане</w:t>
            </w:r>
            <w:r w:rsidR="00FF124F">
              <w:rPr>
                <w:rFonts w:eastAsia="Times New Roman" w:cs="Times New Roman"/>
                <w:bCs/>
                <w:lang w:val="bg-BG"/>
              </w:rPr>
              <w:t>.</w:t>
            </w:r>
          </w:p>
          <w:p w14:paraId="0EED1199" w14:textId="77777777" w:rsidR="00E15FEB" w:rsidRDefault="00E15FEB" w:rsidP="00A87896">
            <w:pPr>
              <w:contextualSpacing/>
              <w:jc w:val="both"/>
              <w:rPr>
                <w:rFonts w:eastAsia="Times New Roman" w:cs="Times New Roman"/>
                <w:b/>
                <w:lang w:val="bg-BG"/>
              </w:rPr>
            </w:pPr>
          </w:p>
          <w:p w14:paraId="4E650414" w14:textId="00186566" w:rsidR="00A87896" w:rsidRDefault="00A87896" w:rsidP="00A87896">
            <w:pPr>
              <w:contextualSpacing/>
              <w:jc w:val="both"/>
              <w:rPr>
                <w:rFonts w:eastAsia="Times New Roman" w:cs="Times New Roman"/>
                <w:lang w:val="bg-BG"/>
              </w:rPr>
            </w:pPr>
            <w:r w:rsidRPr="00DB1156">
              <w:rPr>
                <w:rFonts w:eastAsia="Times New Roman" w:cs="Times New Roman"/>
                <w:b/>
                <w:lang w:val="bg-BG"/>
              </w:rPr>
              <w:t>Интензитет на помощта</w:t>
            </w:r>
            <w:r w:rsidRPr="00DB1156">
              <w:rPr>
                <w:rFonts w:eastAsia="Times New Roman" w:cs="Times New Roman"/>
                <w:lang w:val="bg-BG"/>
              </w:rPr>
              <w:t>:</w:t>
            </w:r>
          </w:p>
          <w:p w14:paraId="42F6BBB1" w14:textId="3D8CF577" w:rsidR="00245A54" w:rsidRPr="00245A54" w:rsidRDefault="00245A54" w:rsidP="00245A54">
            <w:pPr>
              <w:pStyle w:val="ListParagraph"/>
              <w:numPr>
                <w:ilvl w:val="0"/>
                <w:numId w:val="6"/>
              </w:numPr>
              <w:spacing w:before="120" w:after="120" w:line="276" w:lineRule="auto"/>
              <w:ind w:left="714" w:hanging="357"/>
              <w:contextualSpacing w:val="0"/>
              <w:jc w:val="both"/>
              <w:rPr>
                <w:rFonts w:eastAsia="Times New Roman" w:cs="Times New Roman"/>
                <w:lang w:val="bg-BG"/>
              </w:rPr>
            </w:pPr>
            <w:r>
              <w:rPr>
                <w:rFonts w:eastAsia="Times New Roman" w:cs="Times New Roman"/>
                <w:lang w:val="bg-BG"/>
              </w:rPr>
              <w:t>д</w:t>
            </w:r>
            <w:r w:rsidRPr="00B80655">
              <w:rPr>
                <w:rFonts w:eastAsia="Times New Roman" w:cs="Times New Roman"/>
                <w:lang w:val="bg-BG"/>
              </w:rPr>
              <w:t xml:space="preserve">о 100 % от размера на одобрените разходи за </w:t>
            </w:r>
            <w:r w:rsidRPr="00245A54">
              <w:rPr>
                <w:rFonts w:eastAsia="Times New Roman" w:cs="Times New Roman"/>
                <w:lang w:val="bg-BG"/>
              </w:rPr>
              <w:t>проучвания за приложимост на проекта</w:t>
            </w:r>
            <w:r>
              <w:rPr>
                <w:rFonts w:eastAsia="Times New Roman" w:cs="Times New Roman"/>
                <w:lang w:val="bg-BG"/>
              </w:rPr>
              <w:t xml:space="preserve"> и </w:t>
            </w:r>
            <w:r w:rsidRPr="00245A54">
              <w:rPr>
                <w:lang w:val="bg-BG"/>
              </w:rPr>
              <w:t>за стимулиране на интерес и разширяване на състава</w:t>
            </w:r>
            <w:r>
              <w:rPr>
                <w:lang w:val="bg-BG"/>
              </w:rPr>
              <w:t xml:space="preserve"> на обединението за къса верига на доставки или местни пазари</w:t>
            </w:r>
            <w:r w:rsidRPr="00B80655">
              <w:rPr>
                <w:rFonts w:eastAsia="Times New Roman" w:cs="Times New Roman"/>
                <w:lang w:val="bg-BG"/>
              </w:rPr>
              <w:t>;</w:t>
            </w:r>
          </w:p>
          <w:p w14:paraId="664FE1DC" w14:textId="46A7958B" w:rsidR="00A87896" w:rsidRPr="00B80655" w:rsidRDefault="00A87896" w:rsidP="00FF124F">
            <w:pPr>
              <w:pStyle w:val="ListParagraph"/>
              <w:numPr>
                <w:ilvl w:val="0"/>
                <w:numId w:val="6"/>
              </w:numPr>
              <w:spacing w:before="120" w:after="120" w:line="276" w:lineRule="auto"/>
              <w:ind w:left="714" w:hanging="357"/>
              <w:contextualSpacing w:val="0"/>
              <w:jc w:val="both"/>
              <w:rPr>
                <w:rFonts w:eastAsia="Times New Roman" w:cs="Times New Roman"/>
                <w:lang w:val="bg-BG"/>
              </w:rPr>
            </w:pPr>
            <w:r>
              <w:rPr>
                <w:rFonts w:eastAsia="Times New Roman" w:cs="Times New Roman"/>
                <w:lang w:val="bg-BG"/>
              </w:rPr>
              <w:t>д</w:t>
            </w:r>
            <w:r w:rsidRPr="00B80655">
              <w:rPr>
                <w:rFonts w:eastAsia="Times New Roman" w:cs="Times New Roman"/>
                <w:lang w:val="bg-BG"/>
              </w:rPr>
              <w:t xml:space="preserve">о 100 % от размера на одобрените разходи за текущи разходи за сътрудничеството </w:t>
            </w:r>
            <w:r w:rsidR="00FF124F" w:rsidRPr="00FF124F">
              <w:rPr>
                <w:rFonts w:eastAsia="Times New Roman" w:cs="Times New Roman"/>
                <w:lang w:val="bg-BG"/>
              </w:rPr>
              <w:t>в рамките на обединението за къса верига на доставки или местен пазар</w:t>
            </w:r>
            <w:r w:rsidRPr="00B80655">
              <w:rPr>
                <w:rFonts w:eastAsia="Times New Roman" w:cs="Times New Roman"/>
                <w:lang w:val="bg-BG"/>
              </w:rPr>
              <w:t>;</w:t>
            </w:r>
          </w:p>
          <w:p w14:paraId="6BA35FD0" w14:textId="17A45064" w:rsidR="00FF215D" w:rsidRPr="00FF124F" w:rsidRDefault="00A87896" w:rsidP="00195EDF">
            <w:pPr>
              <w:pStyle w:val="ListParagraph"/>
              <w:numPr>
                <w:ilvl w:val="0"/>
                <w:numId w:val="6"/>
              </w:numPr>
              <w:spacing w:before="120" w:after="120" w:line="276" w:lineRule="auto"/>
              <w:ind w:left="714" w:hanging="357"/>
              <w:contextualSpacing w:val="0"/>
              <w:jc w:val="both"/>
              <w:rPr>
                <w:rFonts w:eastAsia="Times New Roman" w:cs="Times New Roman"/>
                <w:bCs/>
                <w:lang w:val="bg-BG"/>
              </w:rPr>
            </w:pPr>
            <w:r>
              <w:rPr>
                <w:rFonts w:eastAsia="Times New Roman" w:cs="Times New Roman"/>
                <w:lang w:val="bg-BG"/>
              </w:rPr>
              <w:t>д</w:t>
            </w:r>
            <w:r w:rsidRPr="00B80655">
              <w:rPr>
                <w:rFonts w:eastAsia="Times New Roman" w:cs="Times New Roman"/>
                <w:lang w:val="bg-BG"/>
              </w:rPr>
              <w:t xml:space="preserve">о </w:t>
            </w:r>
            <w:r w:rsidR="00195EDF">
              <w:rPr>
                <w:rFonts w:eastAsia="Times New Roman" w:cs="Times New Roman"/>
                <w:lang w:val="en-US"/>
              </w:rPr>
              <w:t>50</w:t>
            </w:r>
            <w:r w:rsidRPr="00B80655">
              <w:rPr>
                <w:rFonts w:eastAsia="Times New Roman" w:cs="Times New Roman"/>
                <w:lang w:val="bg-BG"/>
              </w:rPr>
              <w:t xml:space="preserve"> % от размера на одобрените </w:t>
            </w:r>
            <w:r w:rsidR="00FF124F">
              <w:rPr>
                <w:rFonts w:eastAsia="Times New Roman" w:cs="Times New Roman"/>
                <w:bCs/>
                <w:lang w:val="bg-BG"/>
              </w:rPr>
              <w:t>п</w:t>
            </w:r>
            <w:r w:rsidR="00FF124F" w:rsidRPr="00FF124F">
              <w:rPr>
                <w:rFonts w:eastAsia="Times New Roman" w:cs="Times New Roman"/>
                <w:bCs/>
                <w:lang w:val="bg-BG"/>
              </w:rPr>
              <w:t>реки разходи за изпълнение на проекта</w:t>
            </w:r>
            <w:r w:rsidR="00FF124F">
              <w:rPr>
                <w:rFonts w:eastAsia="Times New Roman" w:cs="Times New Roman"/>
                <w:bCs/>
                <w:lang w:val="bg-BG"/>
              </w:rPr>
              <w:t xml:space="preserve"> и разходи</w:t>
            </w:r>
            <w:r w:rsidR="001820ED">
              <w:rPr>
                <w:rFonts w:eastAsia="Times New Roman" w:cs="Times New Roman"/>
                <w:bCs/>
                <w:lang w:val="bg-BG"/>
              </w:rPr>
              <w:t>те</w:t>
            </w:r>
            <w:r w:rsidR="00FF124F" w:rsidRPr="00FF124F">
              <w:rPr>
                <w:rFonts w:eastAsia="Times New Roman" w:cs="Times New Roman"/>
                <w:bCs/>
                <w:lang w:val="bg-BG"/>
              </w:rPr>
              <w:t xml:space="preserve"> за </w:t>
            </w:r>
            <w:r w:rsidR="001820ED">
              <w:rPr>
                <w:rFonts w:eastAsia="Times New Roman" w:cs="Times New Roman"/>
                <w:bCs/>
                <w:lang w:val="bg-BG"/>
              </w:rPr>
              <w:t>неговото популяризиране</w:t>
            </w:r>
            <w:r w:rsidR="00FF124F" w:rsidRPr="00FF124F">
              <w:rPr>
                <w:rFonts w:eastAsia="Times New Roman" w:cs="Times New Roman"/>
                <w:bCs/>
                <w:lang w:val="bg-BG"/>
              </w:rPr>
              <w:t>.</w:t>
            </w:r>
          </w:p>
        </w:tc>
      </w:tr>
    </w:tbl>
    <w:p w14:paraId="0F596CC8" w14:textId="77777777" w:rsidR="000A2E65" w:rsidRPr="000A2E65" w:rsidRDefault="000A2E65" w:rsidP="00B032B7">
      <w:pPr>
        <w:spacing w:line="240" w:lineRule="auto"/>
        <w:jc w:val="both"/>
        <w:rPr>
          <w:b/>
          <w:lang w:val="bg-BG"/>
        </w:rPr>
      </w:pPr>
    </w:p>
    <w:sectPr w:rsidR="000A2E65" w:rsidRPr="000A2E65">
      <w:headerReference w:type="even" r:id="rId8"/>
      <w:head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F7E33" w16cex:dateUtc="2020-11-18T09:04:00Z"/>
  <w16cex:commentExtensible w16cex:durableId="23620FA9" w16cex:dateUtc="2020-11-20T07:49:00Z"/>
  <w16cex:commentExtensible w16cex:durableId="235F868D" w16cex:dateUtc="2020-11-18T09:39:00Z"/>
  <w16cex:commentExtensible w16cex:durableId="235F86AE" w16cex:dateUtc="2020-11-18T09:40:00Z"/>
  <w16cex:commentExtensible w16cex:durableId="23665231" w16cex:dateUtc="2020-11-23T13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4AEF504" w16cid:durableId="235F799A"/>
  <w16cid:commentId w16cid:paraId="51ABA902" w16cid:durableId="235F7E33"/>
  <w16cid:commentId w16cid:paraId="157C927E" w16cid:durableId="23620FA9"/>
  <w16cid:commentId w16cid:paraId="46874D33" w16cid:durableId="235F868D"/>
  <w16cid:commentId w16cid:paraId="693B27D7" w16cid:durableId="235F86AE"/>
  <w16cid:commentId w16cid:paraId="542BF109" w16cid:durableId="23665231"/>
  <w16cid:commentId w16cid:paraId="76FA9BC7" w16cid:durableId="235F799B"/>
  <w16cid:commentId w16cid:paraId="07370EEB" w16cid:durableId="235F799C"/>
  <w16cid:commentId w16cid:paraId="6643F6F4" w16cid:durableId="235F799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37B55" w14:textId="77777777" w:rsidR="00060B5C" w:rsidRDefault="00060B5C" w:rsidP="009E19F4">
      <w:pPr>
        <w:spacing w:after="0" w:line="240" w:lineRule="auto"/>
      </w:pPr>
      <w:r>
        <w:separator/>
      </w:r>
    </w:p>
  </w:endnote>
  <w:endnote w:type="continuationSeparator" w:id="0">
    <w:p w14:paraId="70E22ACC" w14:textId="77777777" w:rsidR="00060B5C" w:rsidRDefault="00060B5C" w:rsidP="009E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952DB" w14:textId="77777777" w:rsidR="00060B5C" w:rsidRDefault="00060B5C" w:rsidP="009E19F4">
      <w:pPr>
        <w:spacing w:after="0" w:line="240" w:lineRule="auto"/>
      </w:pPr>
      <w:r>
        <w:separator/>
      </w:r>
    </w:p>
  </w:footnote>
  <w:footnote w:type="continuationSeparator" w:id="0">
    <w:p w14:paraId="32D00024" w14:textId="77777777" w:rsidR="00060B5C" w:rsidRDefault="00060B5C" w:rsidP="009E1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E834B" w14:textId="0EEAB40B" w:rsidR="009E19F4" w:rsidRDefault="00060B5C">
    <w:pPr>
      <w:pStyle w:val="Header"/>
    </w:pPr>
    <w:r>
      <w:rPr>
        <w:noProof/>
      </w:rPr>
      <w:pict w14:anchorId="4C2051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07731339" o:spid="_x0000_s2050" type="#_x0000_t136" style="position:absolute;margin-left:0;margin-top:0;width:424.2pt;height:212.1pt;rotation:315;z-index:-251655168;mso-position-horizontal:center;mso-position-horizontal-relative:margin;mso-position-vertical:center;mso-position-vertical-relative:margin" o:allowincell="f" fillcolor="#d99594 [1941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A02AE" w14:textId="38C53189" w:rsidR="009E19F4" w:rsidRDefault="00060B5C">
    <w:pPr>
      <w:pStyle w:val="Header"/>
    </w:pPr>
    <w:r>
      <w:rPr>
        <w:noProof/>
      </w:rPr>
      <w:pict w14:anchorId="24FDD4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07731340" o:spid="_x0000_s2051" type="#_x0000_t136" style="position:absolute;margin-left:0;margin-top:0;width:424.2pt;height:212.1pt;rotation:315;z-index:-251653120;mso-position-horizontal:center;mso-position-horizontal-relative:margin;mso-position-vertical:center;mso-position-vertical-relative:margin" o:allowincell="f" fillcolor="#d99594 [1941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A35EF" w14:textId="10A2F9E2" w:rsidR="009E19F4" w:rsidRDefault="00060B5C">
    <w:pPr>
      <w:pStyle w:val="Header"/>
    </w:pPr>
    <w:r>
      <w:rPr>
        <w:noProof/>
      </w:rPr>
      <w:pict w14:anchorId="5622D06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07731338" o:spid="_x0000_s2049" type="#_x0000_t136" style="position:absolute;margin-left:0;margin-top:0;width:424.2pt;height:212.1pt;rotation:315;z-index:-251657216;mso-position-horizontal:center;mso-position-horizontal-relative:margin;mso-position-vertical:center;mso-position-vertical-relative:margin" o:allowincell="f" fillcolor="#d99594 [1941]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0C05"/>
    <w:multiLevelType w:val="hybridMultilevel"/>
    <w:tmpl w:val="8052418A"/>
    <w:lvl w:ilvl="0" w:tplc="E6A03D12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07FBA"/>
    <w:multiLevelType w:val="hybridMultilevel"/>
    <w:tmpl w:val="B356935C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C6A68"/>
    <w:multiLevelType w:val="hybridMultilevel"/>
    <w:tmpl w:val="BAC0E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14143"/>
    <w:multiLevelType w:val="hybridMultilevel"/>
    <w:tmpl w:val="B1C422B4"/>
    <w:lvl w:ilvl="0" w:tplc="44166C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F07D0"/>
    <w:multiLevelType w:val="hybridMultilevel"/>
    <w:tmpl w:val="B2A03BE0"/>
    <w:lvl w:ilvl="0" w:tplc="E6A03D12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337F0"/>
    <w:multiLevelType w:val="hybridMultilevel"/>
    <w:tmpl w:val="0B762AFA"/>
    <w:lvl w:ilvl="0" w:tplc="2A348C7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7D1D22"/>
    <w:multiLevelType w:val="hybridMultilevel"/>
    <w:tmpl w:val="1362EF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84700"/>
    <w:multiLevelType w:val="hybridMultilevel"/>
    <w:tmpl w:val="88EC4E84"/>
    <w:lvl w:ilvl="0" w:tplc="BEB6DD5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CE6"/>
    <w:rsid w:val="00027128"/>
    <w:rsid w:val="00060B5C"/>
    <w:rsid w:val="000850A8"/>
    <w:rsid w:val="000A2E65"/>
    <w:rsid w:val="000E3C37"/>
    <w:rsid w:val="001140AA"/>
    <w:rsid w:val="00130A1B"/>
    <w:rsid w:val="00141FF7"/>
    <w:rsid w:val="0015484B"/>
    <w:rsid w:val="00166843"/>
    <w:rsid w:val="0017414E"/>
    <w:rsid w:val="001759E6"/>
    <w:rsid w:val="001820ED"/>
    <w:rsid w:val="00187603"/>
    <w:rsid w:val="00195EDF"/>
    <w:rsid w:val="001B57F1"/>
    <w:rsid w:val="001C6E69"/>
    <w:rsid w:val="0023313B"/>
    <w:rsid w:val="00245A54"/>
    <w:rsid w:val="00252CFE"/>
    <w:rsid w:val="00263B8E"/>
    <w:rsid w:val="002D49F1"/>
    <w:rsid w:val="002D568F"/>
    <w:rsid w:val="002E576B"/>
    <w:rsid w:val="00310274"/>
    <w:rsid w:val="00323C4C"/>
    <w:rsid w:val="00335C2C"/>
    <w:rsid w:val="003464C8"/>
    <w:rsid w:val="00395336"/>
    <w:rsid w:val="003A6CE6"/>
    <w:rsid w:val="003B2B39"/>
    <w:rsid w:val="003C132C"/>
    <w:rsid w:val="00413957"/>
    <w:rsid w:val="00440223"/>
    <w:rsid w:val="004449FA"/>
    <w:rsid w:val="0046113A"/>
    <w:rsid w:val="00483A10"/>
    <w:rsid w:val="00487F45"/>
    <w:rsid w:val="004A1853"/>
    <w:rsid w:val="004C4396"/>
    <w:rsid w:val="004D47EE"/>
    <w:rsid w:val="004D583C"/>
    <w:rsid w:val="005402E1"/>
    <w:rsid w:val="005E47D0"/>
    <w:rsid w:val="005F556B"/>
    <w:rsid w:val="00633902"/>
    <w:rsid w:val="006413DA"/>
    <w:rsid w:val="00677A58"/>
    <w:rsid w:val="00686531"/>
    <w:rsid w:val="00694871"/>
    <w:rsid w:val="006B34A8"/>
    <w:rsid w:val="006B5A27"/>
    <w:rsid w:val="006C3C9D"/>
    <w:rsid w:val="006D3931"/>
    <w:rsid w:val="007747D7"/>
    <w:rsid w:val="007913C5"/>
    <w:rsid w:val="007F0EC9"/>
    <w:rsid w:val="007F6563"/>
    <w:rsid w:val="00832F22"/>
    <w:rsid w:val="00857FC8"/>
    <w:rsid w:val="00890974"/>
    <w:rsid w:val="008A7C31"/>
    <w:rsid w:val="008B09AE"/>
    <w:rsid w:val="008F05DA"/>
    <w:rsid w:val="008F1D13"/>
    <w:rsid w:val="0091452D"/>
    <w:rsid w:val="009229BC"/>
    <w:rsid w:val="00943BEC"/>
    <w:rsid w:val="00950149"/>
    <w:rsid w:val="00950EC5"/>
    <w:rsid w:val="00967F1D"/>
    <w:rsid w:val="009B0818"/>
    <w:rsid w:val="009D4192"/>
    <w:rsid w:val="009D7476"/>
    <w:rsid w:val="009E19F4"/>
    <w:rsid w:val="009F43B9"/>
    <w:rsid w:val="00A20F14"/>
    <w:rsid w:val="00A5537B"/>
    <w:rsid w:val="00A754A3"/>
    <w:rsid w:val="00A76F17"/>
    <w:rsid w:val="00A87896"/>
    <w:rsid w:val="00B032B7"/>
    <w:rsid w:val="00B04758"/>
    <w:rsid w:val="00B2496F"/>
    <w:rsid w:val="00B67274"/>
    <w:rsid w:val="00B771BA"/>
    <w:rsid w:val="00B92EB3"/>
    <w:rsid w:val="00BC0414"/>
    <w:rsid w:val="00BC2D56"/>
    <w:rsid w:val="00BD6438"/>
    <w:rsid w:val="00BE4722"/>
    <w:rsid w:val="00BF6B39"/>
    <w:rsid w:val="00C57CEF"/>
    <w:rsid w:val="00C77E68"/>
    <w:rsid w:val="00C92B73"/>
    <w:rsid w:val="00CF2C41"/>
    <w:rsid w:val="00CF7DFE"/>
    <w:rsid w:val="00D44968"/>
    <w:rsid w:val="00D53650"/>
    <w:rsid w:val="00D55387"/>
    <w:rsid w:val="00D5694F"/>
    <w:rsid w:val="00D57B84"/>
    <w:rsid w:val="00D8094F"/>
    <w:rsid w:val="00D90463"/>
    <w:rsid w:val="00D92818"/>
    <w:rsid w:val="00DB1959"/>
    <w:rsid w:val="00DB42EB"/>
    <w:rsid w:val="00DD6EF3"/>
    <w:rsid w:val="00E044AE"/>
    <w:rsid w:val="00E15FEB"/>
    <w:rsid w:val="00E40C42"/>
    <w:rsid w:val="00E42EEE"/>
    <w:rsid w:val="00E52703"/>
    <w:rsid w:val="00E76E03"/>
    <w:rsid w:val="00E85579"/>
    <w:rsid w:val="00E869B8"/>
    <w:rsid w:val="00E94884"/>
    <w:rsid w:val="00E95760"/>
    <w:rsid w:val="00EC640C"/>
    <w:rsid w:val="00ED606D"/>
    <w:rsid w:val="00F22043"/>
    <w:rsid w:val="00F307D5"/>
    <w:rsid w:val="00F3119E"/>
    <w:rsid w:val="00F5206C"/>
    <w:rsid w:val="00F53A9A"/>
    <w:rsid w:val="00F74E8A"/>
    <w:rsid w:val="00FF124F"/>
    <w:rsid w:val="00FF1AF6"/>
    <w:rsid w:val="00FF215D"/>
    <w:rsid w:val="00FF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1AC6D13"/>
  <w15:docId w15:val="{752ECE86-F530-4359-9A7B-F70C4620B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BC2D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71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1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1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3B2B39"/>
  </w:style>
  <w:style w:type="paragraph" w:styleId="Header">
    <w:name w:val="header"/>
    <w:basedOn w:val="Normal"/>
    <w:link w:val="HeaderChar"/>
    <w:uiPriority w:val="99"/>
    <w:unhideWhenUsed/>
    <w:rsid w:val="009E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9F4"/>
  </w:style>
  <w:style w:type="paragraph" w:styleId="Footer">
    <w:name w:val="footer"/>
    <w:basedOn w:val="Normal"/>
    <w:link w:val="FooterChar"/>
    <w:uiPriority w:val="99"/>
    <w:unhideWhenUsed/>
    <w:rsid w:val="009E1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9F4"/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rsid w:val="00A87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96983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1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8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1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9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819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9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7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7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4069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68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73B8D-13E4-48FA-99F7-20C1E8283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1921</Words>
  <Characters>10953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12849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Svetoslav Tsekov</dc:creator>
  <cp:lastModifiedBy>Milen M. Krastev</cp:lastModifiedBy>
  <cp:revision>9</cp:revision>
  <dcterms:created xsi:type="dcterms:W3CDTF">2020-12-03T12:27:00Z</dcterms:created>
  <dcterms:modified xsi:type="dcterms:W3CDTF">2020-12-04T09:17:00Z</dcterms:modified>
</cp:coreProperties>
</file>