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C74D0E" w14:textId="77777777" w:rsidR="002E576B" w:rsidRDefault="002E576B" w:rsidP="002E576B">
      <w:pPr>
        <w:jc w:val="center"/>
        <w:rPr>
          <w:lang w:val="bg-BG"/>
        </w:rPr>
      </w:pPr>
      <w:r>
        <w:rPr>
          <w:lang w:val="bg-BG"/>
        </w:rPr>
        <w:t>Име на интервенцията:</w:t>
      </w:r>
    </w:p>
    <w:tbl>
      <w:tblPr>
        <w:tblStyle w:val="TableGrid"/>
        <w:tblW w:w="0" w:type="auto"/>
        <w:tblLook w:val="04A0" w:firstRow="1" w:lastRow="0" w:firstColumn="1" w:lastColumn="0" w:noHBand="0" w:noVBand="1"/>
      </w:tblPr>
      <w:tblGrid>
        <w:gridCol w:w="8926"/>
      </w:tblGrid>
      <w:tr w:rsidR="002E576B" w14:paraId="6440195A" w14:textId="77777777" w:rsidTr="003A4B84">
        <w:trPr>
          <w:trHeight w:val="622"/>
        </w:trPr>
        <w:tc>
          <w:tcPr>
            <w:tcW w:w="8926" w:type="dxa"/>
            <w:shd w:val="clear" w:color="auto" w:fill="B8CCE4" w:themeFill="accent1" w:themeFillTint="66"/>
            <w:vAlign w:val="center"/>
          </w:tcPr>
          <w:p w14:paraId="2BE3FBD0" w14:textId="77777777" w:rsidR="002E576B" w:rsidRPr="00E53C53" w:rsidRDefault="009B2ED1" w:rsidP="007D1335">
            <w:pPr>
              <w:spacing w:after="200" w:line="276" w:lineRule="auto"/>
              <w:jc w:val="center"/>
              <w:rPr>
                <w:b/>
                <w:sz w:val="24"/>
                <w:szCs w:val="24"/>
                <w:lang w:val="bg-BG"/>
              </w:rPr>
            </w:pPr>
            <w:r w:rsidRPr="00E53C53">
              <w:rPr>
                <w:b/>
                <w:sz w:val="24"/>
                <w:szCs w:val="24"/>
                <w:lang w:val="bg-BG"/>
              </w:rPr>
              <w:t xml:space="preserve">Член </w:t>
            </w:r>
            <w:r w:rsidR="007D1335">
              <w:rPr>
                <w:b/>
                <w:sz w:val="24"/>
                <w:szCs w:val="24"/>
                <w:lang w:val="bg-BG"/>
              </w:rPr>
              <w:t>64, буква</w:t>
            </w:r>
            <w:r w:rsidR="0024588F">
              <w:rPr>
                <w:b/>
                <w:sz w:val="24"/>
                <w:szCs w:val="24"/>
                <w:lang w:val="bg-BG"/>
              </w:rPr>
              <w:t xml:space="preserve"> „з“</w:t>
            </w:r>
            <w:r w:rsidRPr="00E53C53">
              <w:rPr>
                <w:b/>
                <w:sz w:val="24"/>
                <w:szCs w:val="24"/>
                <w:lang w:val="bg-BG"/>
              </w:rPr>
              <w:t xml:space="preserve">  </w:t>
            </w:r>
            <w:r w:rsidR="00AD7F18">
              <w:rPr>
                <w:b/>
                <w:sz w:val="24"/>
                <w:szCs w:val="24"/>
                <w:lang w:val="bg-BG"/>
              </w:rPr>
              <w:t>– Обмен на знания и информация</w:t>
            </w:r>
            <w:r w:rsidR="005D44BF">
              <w:rPr>
                <w:b/>
                <w:sz w:val="24"/>
                <w:szCs w:val="24"/>
                <w:lang w:val="bg-BG"/>
              </w:rPr>
              <w:t xml:space="preserve"> </w:t>
            </w:r>
          </w:p>
        </w:tc>
      </w:tr>
    </w:tbl>
    <w:p w14:paraId="0A1973C8" w14:textId="77777777" w:rsidR="002E576B" w:rsidRDefault="002E576B" w:rsidP="002E576B">
      <w:pPr>
        <w:jc w:val="center"/>
        <w:rPr>
          <w:lang w:val="bg-BG"/>
        </w:rPr>
      </w:pPr>
    </w:p>
    <w:tbl>
      <w:tblPr>
        <w:tblStyle w:val="TableGrid"/>
        <w:tblW w:w="8926" w:type="dxa"/>
        <w:tblLook w:val="04A0" w:firstRow="1" w:lastRow="0" w:firstColumn="1" w:lastColumn="0" w:noHBand="0" w:noVBand="1"/>
      </w:tblPr>
      <w:tblGrid>
        <w:gridCol w:w="2943"/>
        <w:gridCol w:w="5983"/>
      </w:tblGrid>
      <w:tr w:rsidR="002E576B" w14:paraId="5D64D394" w14:textId="77777777" w:rsidTr="00A11423">
        <w:tc>
          <w:tcPr>
            <w:tcW w:w="2943" w:type="dxa"/>
            <w:shd w:val="clear" w:color="auto" w:fill="B8CCE4" w:themeFill="accent1" w:themeFillTint="66"/>
            <w:vAlign w:val="center"/>
          </w:tcPr>
          <w:p w14:paraId="0D7B6A38" w14:textId="77777777" w:rsidR="002E576B" w:rsidRPr="002E576B" w:rsidRDefault="002E576B" w:rsidP="00A11423">
            <w:pPr>
              <w:ind w:right="1711"/>
              <w:rPr>
                <w:b/>
                <w:lang w:val="bg-BG"/>
              </w:rPr>
            </w:pPr>
            <w:r w:rsidRPr="002E576B">
              <w:rPr>
                <w:b/>
                <w:lang w:val="bg-BG"/>
              </w:rPr>
              <w:t>Фонд</w:t>
            </w:r>
          </w:p>
        </w:tc>
        <w:tc>
          <w:tcPr>
            <w:tcW w:w="5983" w:type="dxa"/>
            <w:vAlign w:val="center"/>
          </w:tcPr>
          <w:p w14:paraId="52A6A06A" w14:textId="77777777" w:rsidR="002E576B" w:rsidRPr="00C245AA" w:rsidRDefault="009B2ED1" w:rsidP="008526F1">
            <w:pPr>
              <w:jc w:val="center"/>
              <w:rPr>
                <w:lang w:val="bg-BG"/>
              </w:rPr>
            </w:pPr>
            <w:r w:rsidRPr="00C245AA">
              <w:rPr>
                <w:lang w:val="bg-BG"/>
              </w:rPr>
              <w:t>Европейски земеделски фонд за развитие на селските райони (ЕЗФРСР)</w:t>
            </w:r>
          </w:p>
        </w:tc>
      </w:tr>
      <w:tr w:rsidR="002E576B" w14:paraId="3CC5699E" w14:textId="77777777" w:rsidTr="00A11423">
        <w:tc>
          <w:tcPr>
            <w:tcW w:w="2943" w:type="dxa"/>
            <w:shd w:val="clear" w:color="auto" w:fill="B8CCE4" w:themeFill="accent1" w:themeFillTint="66"/>
            <w:vAlign w:val="center"/>
          </w:tcPr>
          <w:p w14:paraId="0015C324" w14:textId="77777777" w:rsidR="002E576B" w:rsidRPr="00BC2D56" w:rsidRDefault="002E576B" w:rsidP="00A11423">
            <w:pPr>
              <w:rPr>
                <w:b/>
              </w:rPr>
            </w:pPr>
            <w:r w:rsidRPr="002E576B">
              <w:rPr>
                <w:b/>
                <w:lang w:val="bg-BG"/>
              </w:rPr>
              <w:t>Тип на интервенцията</w:t>
            </w:r>
          </w:p>
        </w:tc>
        <w:tc>
          <w:tcPr>
            <w:tcW w:w="5983" w:type="dxa"/>
            <w:vAlign w:val="center"/>
          </w:tcPr>
          <w:p w14:paraId="5DEBDE8B" w14:textId="77777777" w:rsidR="002E576B" w:rsidRPr="00C245AA" w:rsidRDefault="00201784" w:rsidP="00201784">
            <w:pPr>
              <w:jc w:val="center"/>
              <w:rPr>
                <w:b/>
                <w:lang w:val="bg-BG"/>
              </w:rPr>
            </w:pPr>
            <w:r>
              <w:rPr>
                <w:b/>
                <w:lang w:val="bg-BG"/>
              </w:rPr>
              <w:t>Консултантски услуги и повишаване на консултантския капацитет</w:t>
            </w:r>
          </w:p>
        </w:tc>
      </w:tr>
      <w:tr w:rsidR="002E576B" w14:paraId="4985530A" w14:textId="77777777" w:rsidTr="00A11423">
        <w:tc>
          <w:tcPr>
            <w:tcW w:w="2943" w:type="dxa"/>
            <w:shd w:val="clear" w:color="auto" w:fill="B8CCE4" w:themeFill="accent1" w:themeFillTint="66"/>
            <w:vAlign w:val="center"/>
          </w:tcPr>
          <w:p w14:paraId="7C71A1D2" w14:textId="77777777" w:rsidR="002E576B" w:rsidRPr="00BC2D56" w:rsidRDefault="002E576B" w:rsidP="00A11423">
            <w:pPr>
              <w:rPr>
                <w:b/>
              </w:rPr>
            </w:pPr>
            <w:r w:rsidRPr="002E576B">
              <w:rPr>
                <w:b/>
                <w:lang w:val="bg-BG"/>
              </w:rPr>
              <w:t>Териториален обхват</w:t>
            </w:r>
            <w:r w:rsidR="004D47EE">
              <w:rPr>
                <w:b/>
              </w:rPr>
              <w:t xml:space="preserve"> </w:t>
            </w:r>
          </w:p>
        </w:tc>
        <w:tc>
          <w:tcPr>
            <w:tcW w:w="5983" w:type="dxa"/>
            <w:vAlign w:val="center"/>
          </w:tcPr>
          <w:p w14:paraId="2E59E3CF" w14:textId="77777777" w:rsidR="002E576B" w:rsidRPr="00C245AA" w:rsidRDefault="00A7344D" w:rsidP="008526F1">
            <w:pPr>
              <w:jc w:val="center"/>
              <w:rPr>
                <w:lang w:val="bg-BG"/>
              </w:rPr>
            </w:pPr>
            <w:r w:rsidRPr="00C245AA">
              <w:rPr>
                <w:lang w:val="bg-BG"/>
              </w:rPr>
              <w:t>Дейностите по проектите се осъществят на територията на Република България.</w:t>
            </w:r>
          </w:p>
        </w:tc>
      </w:tr>
      <w:tr w:rsidR="002E576B" w14:paraId="4F5131AF" w14:textId="77777777" w:rsidTr="00A11423">
        <w:tc>
          <w:tcPr>
            <w:tcW w:w="2943" w:type="dxa"/>
            <w:shd w:val="clear" w:color="auto" w:fill="B8CCE4" w:themeFill="accent1" w:themeFillTint="66"/>
            <w:vAlign w:val="center"/>
          </w:tcPr>
          <w:p w14:paraId="1ACF947B" w14:textId="77777777" w:rsidR="002E576B" w:rsidRPr="002E576B" w:rsidRDefault="002E576B" w:rsidP="00A11423">
            <w:pPr>
              <w:rPr>
                <w:b/>
                <w:lang w:val="bg-BG"/>
              </w:rPr>
            </w:pPr>
            <w:r w:rsidRPr="00027128">
              <w:rPr>
                <w:b/>
                <w:lang w:val="bg-BG"/>
              </w:rPr>
              <w:t>Свързани специфични цели и където е релевантно, секторни приоритети</w:t>
            </w:r>
          </w:p>
        </w:tc>
        <w:tc>
          <w:tcPr>
            <w:tcW w:w="5983" w:type="dxa"/>
            <w:vAlign w:val="center"/>
          </w:tcPr>
          <w:p w14:paraId="287FF11A" w14:textId="77777777" w:rsidR="009B2ED1" w:rsidRPr="00C245AA" w:rsidRDefault="009B2ED1" w:rsidP="008526F1">
            <w:pPr>
              <w:jc w:val="center"/>
              <w:rPr>
                <w:lang w:val="bg-BG"/>
              </w:rPr>
            </w:pPr>
            <w:r w:rsidRPr="00C245AA">
              <w:rPr>
                <w:lang w:val="bg-BG"/>
              </w:rPr>
              <w:t>Типа на интервенцията е пряко свързан с</w:t>
            </w:r>
            <w:r w:rsidR="0024588F" w:rsidRPr="00C245AA">
              <w:rPr>
                <w:lang w:val="bg-BG"/>
              </w:rPr>
              <w:t xml:space="preserve"> хоризонтална</w:t>
            </w:r>
            <w:r w:rsidRPr="00C245AA">
              <w:rPr>
                <w:lang w:val="bg-BG"/>
              </w:rPr>
              <w:t xml:space="preserve"> </w:t>
            </w:r>
            <w:r w:rsidR="00516D61" w:rsidRPr="00C245AA">
              <w:rPr>
                <w:lang w:val="bg-BG"/>
              </w:rPr>
              <w:t>с</w:t>
            </w:r>
            <w:r w:rsidR="00567D49" w:rsidRPr="00C245AA">
              <w:rPr>
                <w:lang w:val="bg-BG"/>
              </w:rPr>
              <w:t xml:space="preserve">пецифична цел </w:t>
            </w:r>
            <w:r w:rsidR="00516D61" w:rsidRPr="00C245AA">
              <w:rPr>
                <w:lang w:val="bg-BG"/>
              </w:rPr>
              <w:t>„Модернизиране на сектора чрез стимулиране и споделяне на знанията, иновациите и цифровизацията в селското стопанство и селските райони и насърчаване на използването им в по-голяма степен“</w:t>
            </w:r>
          </w:p>
        </w:tc>
      </w:tr>
      <w:tr w:rsidR="002E576B" w14:paraId="6C000D0A" w14:textId="77777777" w:rsidTr="00A11423">
        <w:tc>
          <w:tcPr>
            <w:tcW w:w="2943" w:type="dxa"/>
            <w:shd w:val="clear" w:color="auto" w:fill="B8CCE4" w:themeFill="accent1" w:themeFillTint="66"/>
            <w:vAlign w:val="center"/>
          </w:tcPr>
          <w:p w14:paraId="78EBEC19" w14:textId="77777777" w:rsidR="002E576B" w:rsidRPr="002E576B" w:rsidRDefault="002E576B" w:rsidP="00A11423">
            <w:pPr>
              <w:rPr>
                <w:b/>
                <w:lang w:val="bg-BG"/>
              </w:rPr>
            </w:pPr>
            <w:r w:rsidRPr="002E576B">
              <w:rPr>
                <w:b/>
                <w:lang w:val="bg-BG"/>
              </w:rPr>
              <w:t>Индикатори за резултат</w:t>
            </w:r>
            <w:r w:rsidR="00F22043">
              <w:rPr>
                <w:b/>
                <w:lang w:val="bg-BG"/>
              </w:rPr>
              <w:t xml:space="preserve"> </w:t>
            </w:r>
            <w:r w:rsidR="00F22043" w:rsidRPr="00F22043">
              <w:rPr>
                <w:b/>
                <w:sz w:val="20"/>
                <w:szCs w:val="20"/>
                <w:lang w:val="bg-BG"/>
              </w:rPr>
              <w:t>(</w:t>
            </w:r>
            <w:r w:rsidR="00F22043" w:rsidRPr="00F22043">
              <w:rPr>
                <w:b/>
                <w:i/>
                <w:sz w:val="20"/>
                <w:szCs w:val="20"/>
                <w:lang w:val="bg-BG"/>
              </w:rPr>
              <w:t>най-малко един</w:t>
            </w:r>
            <w:r w:rsidR="00F22043" w:rsidRPr="00F22043">
              <w:rPr>
                <w:b/>
                <w:sz w:val="20"/>
                <w:szCs w:val="20"/>
                <w:lang w:val="bg-BG"/>
              </w:rPr>
              <w:t>)</w:t>
            </w:r>
          </w:p>
        </w:tc>
        <w:tc>
          <w:tcPr>
            <w:tcW w:w="5983" w:type="dxa"/>
            <w:vAlign w:val="center"/>
          </w:tcPr>
          <w:p w14:paraId="0DCD8002" w14:textId="2619D09A" w:rsidR="002E576B" w:rsidRDefault="00EB388A" w:rsidP="008526F1">
            <w:pPr>
              <w:jc w:val="center"/>
              <w:rPr>
                <w:lang w:val="bg-BG" w:bidi="bg-BG"/>
              </w:rPr>
            </w:pPr>
            <w:r w:rsidRPr="00EB388A">
              <w:rPr>
                <w:lang w:val="bg-BG" w:bidi="bg-BG"/>
              </w:rPr>
              <w:t>(O.29)</w:t>
            </w:r>
            <w:r w:rsidRPr="00EB388A">
              <w:rPr>
                <w:b/>
                <w:lang w:val="bg-BG" w:bidi="bg-BG"/>
              </w:rPr>
              <w:t xml:space="preserve"> </w:t>
            </w:r>
            <w:r w:rsidRPr="00EB388A">
              <w:rPr>
                <w:lang w:val="bg-BG" w:bidi="bg-BG"/>
              </w:rPr>
              <w:t>Брой на земеделските стопани, на които са предос</w:t>
            </w:r>
            <w:r>
              <w:rPr>
                <w:lang w:val="bg-BG" w:bidi="bg-BG"/>
              </w:rPr>
              <w:t xml:space="preserve">тавени </w:t>
            </w:r>
            <w:r w:rsidRPr="00EB388A">
              <w:rPr>
                <w:lang w:val="bg-BG" w:bidi="bg-BG"/>
              </w:rPr>
              <w:t>консултации</w:t>
            </w:r>
            <w:r w:rsidR="006E2B99">
              <w:rPr>
                <w:lang w:val="bg-BG" w:bidi="bg-BG"/>
              </w:rPr>
              <w:t>;</w:t>
            </w:r>
          </w:p>
          <w:p w14:paraId="1FB48932" w14:textId="4764692E" w:rsidR="0022571C" w:rsidRPr="0022571C" w:rsidRDefault="0022571C" w:rsidP="008526F1">
            <w:pPr>
              <w:jc w:val="center"/>
              <w:rPr>
                <w:lang w:val="bg-BG"/>
              </w:rPr>
            </w:pPr>
            <w:r w:rsidRPr="0022571C">
              <w:rPr>
                <w:lang w:val="bg-BG" w:bidi="bg-BG"/>
              </w:rPr>
              <w:t>(R.1) Подобряване на качеството на изпълнението чрез знания и иновации: дял на земеделските стопани, получаващи подпомагане за консултации, обучения, обмен на знания или участие в оперативни групи с цел подобряване на качеството на изпълнението в икономически, екологичен, климатичен и свързан с ресурсната ефективност аспект</w:t>
            </w:r>
            <w:r w:rsidR="006E2B99">
              <w:rPr>
                <w:lang w:val="bg-BG" w:bidi="bg-BG"/>
              </w:rPr>
              <w:t>.</w:t>
            </w:r>
          </w:p>
        </w:tc>
      </w:tr>
      <w:tr w:rsidR="002E576B" w14:paraId="3E2DB94D" w14:textId="77777777" w:rsidTr="00A11423">
        <w:tc>
          <w:tcPr>
            <w:tcW w:w="2943" w:type="dxa"/>
            <w:shd w:val="clear" w:color="auto" w:fill="B8CCE4" w:themeFill="accent1" w:themeFillTint="66"/>
            <w:vAlign w:val="center"/>
          </w:tcPr>
          <w:p w14:paraId="59013C95" w14:textId="77777777" w:rsidR="002E576B" w:rsidRPr="002E576B" w:rsidRDefault="002E576B" w:rsidP="00A11423">
            <w:pPr>
              <w:rPr>
                <w:b/>
                <w:lang w:val="bg-BG"/>
              </w:rPr>
            </w:pPr>
            <w:r w:rsidRPr="002E576B">
              <w:rPr>
                <w:b/>
                <w:lang w:val="bg-BG"/>
              </w:rPr>
              <w:t>Допустими бенефициенти</w:t>
            </w:r>
          </w:p>
        </w:tc>
        <w:tc>
          <w:tcPr>
            <w:tcW w:w="5983" w:type="dxa"/>
            <w:vAlign w:val="center"/>
          </w:tcPr>
          <w:p w14:paraId="1F7DF506" w14:textId="77777777" w:rsidR="002E576B" w:rsidRPr="0052608F" w:rsidRDefault="0052608F" w:rsidP="00A70C37">
            <w:pPr>
              <w:jc w:val="center"/>
              <w:rPr>
                <w:lang w:val="bg-BG"/>
              </w:rPr>
            </w:pPr>
            <w:r>
              <w:rPr>
                <w:lang w:val="bg-BG"/>
              </w:rPr>
              <w:t>Национална служба за съвети в земеделието</w:t>
            </w:r>
          </w:p>
        </w:tc>
      </w:tr>
    </w:tbl>
    <w:p w14:paraId="7B2A9BCE" w14:textId="77777777" w:rsidR="002E576B" w:rsidRDefault="002E576B" w:rsidP="002E576B">
      <w:pPr>
        <w:jc w:val="center"/>
      </w:pPr>
    </w:p>
    <w:p w14:paraId="2CA83010" w14:textId="77777777" w:rsidR="005F556B" w:rsidRPr="0046113A" w:rsidRDefault="004D583C" w:rsidP="0046113A">
      <w:pPr>
        <w:pStyle w:val="ListParagraph"/>
        <w:numPr>
          <w:ilvl w:val="0"/>
          <w:numId w:val="2"/>
        </w:numPr>
        <w:spacing w:line="240" w:lineRule="auto"/>
        <w:jc w:val="both"/>
        <w:rPr>
          <w:b/>
          <w:lang w:val="bg-BG"/>
        </w:rPr>
      </w:pPr>
      <w:r w:rsidRPr="0046113A">
        <w:rPr>
          <w:b/>
          <w:lang w:val="bg-BG"/>
        </w:rPr>
        <w:t>Описание на дизайна на</w:t>
      </w:r>
      <w:r w:rsidR="008A7C31" w:rsidRPr="0046113A">
        <w:rPr>
          <w:b/>
          <w:lang w:val="bg-BG"/>
        </w:rPr>
        <w:t xml:space="preserve"> </w:t>
      </w:r>
      <w:r w:rsidRPr="0046113A">
        <w:rPr>
          <w:b/>
          <w:lang w:val="bg-BG"/>
        </w:rPr>
        <w:t xml:space="preserve">интервенцията; </w:t>
      </w:r>
    </w:p>
    <w:tbl>
      <w:tblPr>
        <w:tblStyle w:val="TableGrid"/>
        <w:tblW w:w="0" w:type="auto"/>
        <w:tblLook w:val="04A0" w:firstRow="1" w:lastRow="0" w:firstColumn="1" w:lastColumn="0" w:noHBand="0" w:noVBand="1"/>
      </w:tblPr>
      <w:tblGrid>
        <w:gridCol w:w="8926"/>
      </w:tblGrid>
      <w:tr w:rsidR="005F556B" w14:paraId="356899AF" w14:textId="77777777" w:rsidTr="00A11423">
        <w:tc>
          <w:tcPr>
            <w:tcW w:w="8926" w:type="dxa"/>
          </w:tcPr>
          <w:p w14:paraId="4B48A3F6" w14:textId="77777777" w:rsidR="002470B2" w:rsidRDefault="00784CDD" w:rsidP="00716C9A">
            <w:pPr>
              <w:contextualSpacing/>
              <w:jc w:val="both"/>
              <w:rPr>
                <w:lang w:val="bg-BG"/>
              </w:rPr>
            </w:pPr>
            <w:r w:rsidRPr="00784CDD">
              <w:rPr>
                <w:lang w:val="bg-BG"/>
              </w:rPr>
              <w:t xml:space="preserve">Особено неблагоприятна качествена характеристика на работната сила в земеделието е нейното ниско образователно и квалификационно равнище. В това отношение силно изоставаме от Европейското равнище. Въпреки напредъка през последните години, положителните промени са недостатъчни за коренно усъвършенстване на образователно-квалификационна структура на фермерите. </w:t>
            </w:r>
          </w:p>
          <w:p w14:paraId="3CC6FF84" w14:textId="6765307F" w:rsidR="00784CDD" w:rsidRPr="00784CDD" w:rsidRDefault="00784CDD" w:rsidP="00716C9A">
            <w:pPr>
              <w:contextualSpacing/>
              <w:jc w:val="both"/>
              <w:rPr>
                <w:lang w:val="bg-BG"/>
              </w:rPr>
            </w:pPr>
            <w:r w:rsidRPr="00784CDD">
              <w:rPr>
                <w:lang w:val="bg-BG"/>
              </w:rPr>
              <w:t>На практика продължава да се чувства остро недостигът от висококвалифицирани специалисти, способни да управляват сложните производствени процеси, специализираната селскостопанска техника, машини и оборудване от последно поколение.</w:t>
            </w:r>
            <w:r w:rsidR="003B2C33">
              <w:rPr>
                <w:lang w:val="bg-BG"/>
              </w:rPr>
              <w:t xml:space="preserve"> Наблюдава се също така липса на управленски умения в това число, насочени към подготовка и изпълнение на проекти, свър</w:t>
            </w:r>
            <w:r w:rsidR="007C6B9A">
              <w:rPr>
                <w:lang w:val="bg-BG"/>
              </w:rPr>
              <w:t>зани с укрепване, разширяване</w:t>
            </w:r>
            <w:r w:rsidR="003B2C33">
              <w:rPr>
                <w:lang w:val="bg-BG"/>
              </w:rPr>
              <w:t xml:space="preserve"> и модернизиране на дейността и производствените процеси в стопанствата.</w:t>
            </w:r>
            <w:r w:rsidRPr="00784CDD">
              <w:rPr>
                <w:lang w:val="bg-BG"/>
              </w:rPr>
              <w:t xml:space="preserve">  </w:t>
            </w:r>
          </w:p>
          <w:p w14:paraId="39453B0D" w14:textId="77777777" w:rsidR="003B2C33" w:rsidRDefault="003B2C33" w:rsidP="00716C9A">
            <w:pPr>
              <w:contextualSpacing/>
              <w:jc w:val="both"/>
              <w:rPr>
                <w:lang w:val="bg-BG"/>
              </w:rPr>
            </w:pPr>
            <w:r>
              <w:rPr>
                <w:lang w:val="bg-BG"/>
              </w:rPr>
              <w:t xml:space="preserve">Наблюдава се </w:t>
            </w:r>
            <w:r w:rsidR="002470B2">
              <w:rPr>
                <w:lang w:val="bg-BG"/>
              </w:rPr>
              <w:t xml:space="preserve">и </w:t>
            </w:r>
            <w:r>
              <w:rPr>
                <w:lang w:val="bg-BG"/>
              </w:rPr>
              <w:t>тенденция особено сред м</w:t>
            </w:r>
            <w:r w:rsidR="00784CDD" w:rsidRPr="00784CDD">
              <w:rPr>
                <w:lang w:val="bg-BG"/>
              </w:rPr>
              <w:t>лади</w:t>
            </w:r>
            <w:r w:rsidR="008526F1">
              <w:rPr>
                <w:lang w:val="bg-BG"/>
              </w:rPr>
              <w:t>те</w:t>
            </w:r>
            <w:r w:rsidR="00784CDD" w:rsidRPr="00784CDD">
              <w:rPr>
                <w:lang w:val="bg-BG"/>
              </w:rPr>
              <w:t xml:space="preserve"> земеделски стопани</w:t>
            </w:r>
            <w:r>
              <w:rPr>
                <w:lang w:val="bg-BG"/>
              </w:rPr>
              <w:t xml:space="preserve"> за осъзнаване на </w:t>
            </w:r>
            <w:r w:rsidR="00784CDD" w:rsidRPr="00784CDD">
              <w:rPr>
                <w:lang w:val="bg-BG"/>
              </w:rPr>
              <w:t xml:space="preserve">необходимостта от постоянното повишаване на знанията и квалификацията, както и преквалификация. </w:t>
            </w:r>
          </w:p>
          <w:p w14:paraId="2FF7423B" w14:textId="77777777" w:rsidR="005C1410" w:rsidRDefault="005C1410" w:rsidP="00716C9A">
            <w:pPr>
              <w:contextualSpacing/>
              <w:jc w:val="both"/>
              <w:rPr>
                <w:lang w:val="bg-BG"/>
              </w:rPr>
            </w:pPr>
            <w:r w:rsidRPr="005C1410">
              <w:rPr>
                <w:lang w:val="bg-BG"/>
              </w:rPr>
              <w:t xml:space="preserve">Също така, преобладаващата част от стопаните в малките стопанства нямат специализирано земеделско образование и имат недостатъчно добре развити управленски и бизнес умения. В тази връзка за да се увеличат конкурентоспособността и жизнеспособността в малките стопанства има ясна необходимост от подобряване на знанията и уменията в областта на управлението и земеделското производство на управителите на тези стопанства, в т.ч. </w:t>
            </w:r>
            <w:r w:rsidR="0052608F">
              <w:rPr>
                <w:lang w:val="bg-BG"/>
              </w:rPr>
              <w:t>чрез</w:t>
            </w:r>
            <w:r w:rsidRPr="005C1410">
              <w:rPr>
                <w:lang w:val="bg-BG"/>
              </w:rPr>
              <w:t xml:space="preserve"> указване на съдействие под формата на предоставяне на </w:t>
            </w:r>
            <w:r w:rsidR="0052608F">
              <w:rPr>
                <w:lang w:val="bg-BG"/>
              </w:rPr>
              <w:t>съветнически и консултантски услуги</w:t>
            </w:r>
            <w:r w:rsidRPr="005C1410">
              <w:rPr>
                <w:lang w:val="bg-BG"/>
              </w:rPr>
              <w:t xml:space="preserve"> от специалисти с подходящо образование и опит.</w:t>
            </w:r>
          </w:p>
          <w:p w14:paraId="3BB4A97A" w14:textId="77777777" w:rsidR="008D3A9A" w:rsidRPr="008D3A9A" w:rsidRDefault="008D3A9A" w:rsidP="00716C9A">
            <w:pPr>
              <w:contextualSpacing/>
              <w:jc w:val="both"/>
              <w:rPr>
                <w:lang w:val="bg-BG"/>
              </w:rPr>
            </w:pPr>
            <w:r w:rsidRPr="008D3A9A">
              <w:rPr>
                <w:lang w:val="bg-BG"/>
              </w:rPr>
              <w:lastRenderedPageBreak/>
              <w:t xml:space="preserve">Достъпът на малките стопанства </w:t>
            </w:r>
            <w:r w:rsidRPr="004B013C">
              <w:rPr>
                <w:lang w:val="bg-BG"/>
              </w:rPr>
              <w:t>до</w:t>
            </w:r>
            <w:r w:rsidRPr="008D3A9A">
              <w:rPr>
                <w:lang w:val="bg-BG"/>
              </w:rPr>
              <w:t xml:space="preserve"> подпомагане по ОСП се ограничава както от наличието на достатъчно информация за участие в схемите и мерките, така и от високата, спрямо доходите на стопанствата цена на консултантските услуги за разработване на бизнес планове и управление на </w:t>
            </w:r>
            <w:r w:rsidR="002470B2">
              <w:rPr>
                <w:lang w:val="bg-BG"/>
              </w:rPr>
              <w:t xml:space="preserve">проекти.  Видът и обхватът на </w:t>
            </w:r>
            <w:r w:rsidRPr="008D3A9A">
              <w:rPr>
                <w:lang w:val="bg-BG"/>
              </w:rPr>
              <w:t>консултантските услуги, предлагани на малките земеделски стопанства трябва да отговарят на специфичните им нужди.</w:t>
            </w:r>
          </w:p>
          <w:p w14:paraId="1CD67135" w14:textId="77777777" w:rsidR="00784CDD" w:rsidRPr="00784CDD" w:rsidRDefault="00784CDD" w:rsidP="00716C9A">
            <w:pPr>
              <w:contextualSpacing/>
              <w:jc w:val="both"/>
              <w:rPr>
                <w:lang w:val="bg-BG"/>
              </w:rPr>
            </w:pPr>
            <w:r w:rsidRPr="00784CDD">
              <w:rPr>
                <w:lang w:val="bg-BG"/>
              </w:rPr>
              <w:t xml:space="preserve">Въпреки нарастващата роля на </w:t>
            </w:r>
            <w:r w:rsidR="003B2C33">
              <w:rPr>
                <w:lang w:val="bg-BG"/>
              </w:rPr>
              <w:t>Национална служба за съвети в земеделието (</w:t>
            </w:r>
            <w:r w:rsidRPr="00784CDD">
              <w:rPr>
                <w:lang w:val="bg-BG"/>
              </w:rPr>
              <w:t>НССЗ</w:t>
            </w:r>
            <w:r w:rsidR="003B2C33">
              <w:rPr>
                <w:lang w:val="bg-BG"/>
              </w:rPr>
              <w:t>)</w:t>
            </w:r>
            <w:r w:rsidRPr="00784CDD">
              <w:rPr>
                <w:lang w:val="bg-BG"/>
              </w:rPr>
              <w:t xml:space="preserve"> като център за трансфер на знания в областта на земеделието с широкомащабната си дейност, </w:t>
            </w:r>
            <w:r w:rsidR="008526F1">
              <w:rPr>
                <w:lang w:val="bg-BG"/>
              </w:rPr>
              <w:t>Службата</w:t>
            </w:r>
            <w:r w:rsidRPr="00784CDD">
              <w:rPr>
                <w:lang w:val="bg-BG"/>
              </w:rPr>
              <w:t xml:space="preserve"> може само частично да помогне за посрещане на потребностите от висококвалифицирани мениджърски кадри. Това определя потребността от разширяване достъпа до знания чрез използването на повече образователни източници за придобиване на необходимите знания и практически опит</w:t>
            </w:r>
            <w:r w:rsidR="008526F1">
              <w:rPr>
                <w:lang w:val="bg-BG"/>
              </w:rPr>
              <w:t xml:space="preserve">, в това число необходимостта от </w:t>
            </w:r>
            <w:r w:rsidR="00A97C16">
              <w:rPr>
                <w:lang w:val="bg-BG"/>
              </w:rPr>
              <w:t>разширяване на консултантския капаците</w:t>
            </w:r>
            <w:r w:rsidR="0052608F">
              <w:rPr>
                <w:lang w:val="bg-BG"/>
              </w:rPr>
              <w:t>т</w:t>
            </w:r>
            <w:r w:rsidR="00A97C16">
              <w:rPr>
                <w:lang w:val="bg-BG"/>
              </w:rPr>
              <w:t xml:space="preserve"> и </w:t>
            </w:r>
            <w:r w:rsidR="0052608F">
              <w:rPr>
                <w:lang w:val="bg-BG"/>
              </w:rPr>
              <w:t xml:space="preserve">възможността за </w:t>
            </w:r>
            <w:r w:rsidR="008526F1">
              <w:rPr>
                <w:lang w:val="bg-BG"/>
              </w:rPr>
              <w:t>предоставяне</w:t>
            </w:r>
            <w:r w:rsidR="00A97C16">
              <w:rPr>
                <w:lang w:val="bg-BG"/>
              </w:rPr>
              <w:t>то</w:t>
            </w:r>
            <w:r w:rsidR="008526F1">
              <w:rPr>
                <w:lang w:val="bg-BG"/>
              </w:rPr>
              <w:t xml:space="preserve"> на </w:t>
            </w:r>
            <w:r w:rsidR="003B2C33">
              <w:rPr>
                <w:lang w:val="bg-BG"/>
              </w:rPr>
              <w:t xml:space="preserve">допълнителни </w:t>
            </w:r>
            <w:r w:rsidR="008526F1">
              <w:rPr>
                <w:lang w:val="bg-BG"/>
              </w:rPr>
              <w:t>консултантски услуги</w:t>
            </w:r>
            <w:r w:rsidR="0052608F">
              <w:rPr>
                <w:lang w:val="bg-BG"/>
              </w:rPr>
              <w:t xml:space="preserve"> от Службата</w:t>
            </w:r>
            <w:r w:rsidRPr="00784CDD">
              <w:rPr>
                <w:lang w:val="bg-BG"/>
              </w:rPr>
              <w:t xml:space="preserve">. </w:t>
            </w:r>
          </w:p>
          <w:p w14:paraId="69C1C775" w14:textId="77777777" w:rsidR="00784CDD" w:rsidRDefault="00784CDD" w:rsidP="00716C9A">
            <w:pPr>
              <w:contextualSpacing/>
              <w:jc w:val="both"/>
              <w:rPr>
                <w:lang w:val="bg-BG"/>
              </w:rPr>
            </w:pPr>
            <w:r w:rsidRPr="00784CDD">
              <w:rPr>
                <w:lang w:val="bg-BG"/>
              </w:rPr>
              <w:t>Потребностите, свързани с разширяване капацитета на организациите, ангажирани с обучението и предоставянето на консултантски услуги на земеделските стопани, както и подобряването на контрола върху тяхната дейност, със засилването на контрола върху издаването на съответните сертификати за преминалите обучителни курсове, с обогатяването на съдържанието на обучителните курсове и диверсификация на формите за предоставяне на консултантски услуги се обуславят от: недостатъчния експертен капацитет</w:t>
            </w:r>
            <w:r w:rsidRPr="004B013C">
              <w:rPr>
                <w:lang w:val="bg-BG"/>
              </w:rPr>
              <w:t>,</w:t>
            </w:r>
            <w:r w:rsidRPr="00784CDD">
              <w:rPr>
                <w:lang w:val="bg-BG"/>
              </w:rPr>
              <w:t xml:space="preserve"> с който разполагат съответните обучителни организации; от слабия контрол върху дейността им, в т.ч. при издаване на сертификационните материали; от необходимостта за постоянно привеждане на учебното съдържание на предлаганите курсове в съответствие с навлизащите нови технологии и предоставяне на специфични практически знания. Задоволяването на горепосочените потребности ще способства увеличаването професионално–квалификационния потенциал на аграрните мениджъри, както и </w:t>
            </w:r>
            <w:r w:rsidR="00BC19F0">
              <w:rPr>
                <w:lang w:val="bg-BG"/>
              </w:rPr>
              <w:t>на останалите заети в отрасъла.</w:t>
            </w:r>
          </w:p>
          <w:p w14:paraId="4A0DBF1A" w14:textId="77777777" w:rsidR="009B237B" w:rsidRPr="009B237B" w:rsidRDefault="008C3C8B" w:rsidP="00716C9A">
            <w:pPr>
              <w:contextualSpacing/>
              <w:jc w:val="both"/>
              <w:rPr>
                <w:lang w:val="bg-BG"/>
              </w:rPr>
            </w:pPr>
            <w:r>
              <w:rPr>
                <w:lang w:val="bg-BG"/>
              </w:rPr>
              <w:t>Необходимо е да се насърчи</w:t>
            </w:r>
            <w:r w:rsidR="009B237B" w:rsidRPr="009B237B">
              <w:rPr>
                <w:lang w:val="bg-BG"/>
              </w:rPr>
              <w:t xml:space="preserve"> участие</w:t>
            </w:r>
            <w:r>
              <w:rPr>
                <w:lang w:val="bg-BG"/>
              </w:rPr>
              <w:t>то</w:t>
            </w:r>
            <w:r w:rsidR="009B237B" w:rsidRPr="009B237B">
              <w:rPr>
                <w:lang w:val="bg-BG"/>
              </w:rPr>
              <w:t xml:space="preserve"> на земеделските стопани,</w:t>
            </w:r>
            <w:r w:rsidR="00770236">
              <w:rPr>
                <w:lang w:val="bg-BG"/>
              </w:rPr>
              <w:t xml:space="preserve"> техните организации и НССЗ в Системата за знания и иновации в селското стопанство (С</w:t>
            </w:r>
            <w:r w:rsidR="009B237B" w:rsidRPr="009B237B">
              <w:rPr>
                <w:lang w:val="bg-BG"/>
              </w:rPr>
              <w:t>ЗИСС</w:t>
            </w:r>
            <w:r w:rsidR="00770236">
              <w:rPr>
                <w:lang w:val="bg-BG"/>
              </w:rPr>
              <w:t>)</w:t>
            </w:r>
            <w:r w:rsidR="009B237B" w:rsidRPr="009B237B">
              <w:rPr>
                <w:lang w:val="bg-BG"/>
              </w:rPr>
              <w:t>, което да разшири възможностите за споделяне, обмен и разпространение на знания и опит, включително в контекста на националната мрежа по Общата селскостопанска политика. По този начин ще се осигури и съдействие на администрацията при изпълнението на политиките, насочени към повишаване на конкурентните предимства на селскостопанския отрасъл в зависимост от специфичните очаквания на различните видове производства и структура /обем на стопанствата, възрастова структура, специфични регионални характеристики и др./ на стопанствата.</w:t>
            </w:r>
          </w:p>
          <w:p w14:paraId="0C691BFE" w14:textId="77777777" w:rsidR="0052608F" w:rsidRDefault="0052608F" w:rsidP="00716C9A">
            <w:pPr>
              <w:contextualSpacing/>
              <w:jc w:val="both"/>
              <w:rPr>
                <w:lang w:val="bg-BG"/>
              </w:rPr>
            </w:pPr>
            <w:r>
              <w:rPr>
                <w:lang w:val="bg-BG"/>
              </w:rPr>
              <w:t xml:space="preserve">В контекста на </w:t>
            </w:r>
            <w:r w:rsidR="00A97C16">
              <w:rPr>
                <w:lang w:val="bg-BG"/>
              </w:rPr>
              <w:t>консултациите</w:t>
            </w:r>
            <w:r w:rsidR="009B237B" w:rsidRPr="009B237B">
              <w:rPr>
                <w:lang w:val="bg-BG"/>
              </w:rPr>
              <w:t xml:space="preserve">, свързани с качеството на изпълнение на практиките, насочени към опазване на околната среда и климата и </w:t>
            </w:r>
            <w:r>
              <w:rPr>
                <w:lang w:val="bg-BG"/>
              </w:rPr>
              <w:t>биоразнообразието, включително съвети</w:t>
            </w:r>
            <w:r w:rsidR="009B237B" w:rsidRPr="009B237B">
              <w:rPr>
                <w:lang w:val="bg-BG"/>
              </w:rPr>
              <w:t xml:space="preserve"> за прилагане на добрите земеделски практики, съвети, обменът на информация и знания са от съществено значение за осигуряването на ефективно изпълнение на земеделските практики от полза за климата и околната среда. </w:t>
            </w:r>
          </w:p>
          <w:p w14:paraId="3763A70E" w14:textId="77777777" w:rsidR="00A97C16" w:rsidRDefault="0052608F" w:rsidP="00716C9A">
            <w:pPr>
              <w:contextualSpacing/>
              <w:jc w:val="both"/>
              <w:rPr>
                <w:lang w:val="bg-BG"/>
              </w:rPr>
            </w:pPr>
            <w:r>
              <w:rPr>
                <w:lang w:val="bg-BG"/>
              </w:rPr>
              <w:t>Добре функциониращата система</w:t>
            </w:r>
            <w:r w:rsidR="009B237B" w:rsidRPr="009B237B">
              <w:rPr>
                <w:lang w:val="bg-BG"/>
              </w:rPr>
              <w:t xml:space="preserve"> за знания и иновации в селското стопанство, в която се включват научни работници, съветници, експерти, фермери и други заинтересовани лица в областта на земеделието, ще помогне за справяне с някои от проблемите между засилената амбиция за опазване на околната среда и жизнеспособните земеделски доходи, например по-ниска възвръщаемост в кратък до средносрочен план в резултат на екологични изисквания. </w:t>
            </w:r>
          </w:p>
          <w:p w14:paraId="050C9E61" w14:textId="77777777" w:rsidR="002470B2" w:rsidRDefault="009B237B" w:rsidP="00716C9A">
            <w:pPr>
              <w:contextualSpacing/>
              <w:jc w:val="both"/>
              <w:rPr>
                <w:lang w:val="bg-BG"/>
              </w:rPr>
            </w:pPr>
            <w:r w:rsidRPr="009B237B">
              <w:rPr>
                <w:lang w:val="bg-BG"/>
              </w:rPr>
              <w:t xml:space="preserve">Необходимо е и продължаването на мерките за </w:t>
            </w:r>
            <w:r w:rsidR="0052608F">
              <w:rPr>
                <w:lang w:val="bg-BG"/>
              </w:rPr>
              <w:t>предоставяне на съветнически и консултантски услуги</w:t>
            </w:r>
            <w:r w:rsidRPr="009B237B">
              <w:rPr>
                <w:lang w:val="bg-BG"/>
              </w:rPr>
              <w:t xml:space="preserve"> в екологосъобразните практики – консервационно, интегрирано и биологично земеделие, за да се адресират целите на Зелената сделка, както и целите по Националния план за действие </w:t>
            </w:r>
            <w:r w:rsidR="007D4B8E">
              <w:rPr>
                <w:lang w:val="bg-BG"/>
              </w:rPr>
              <w:t>по изменение на климата (НПДИК)</w:t>
            </w:r>
            <w:r w:rsidRPr="009B237B">
              <w:rPr>
                <w:lang w:val="bg-BG"/>
              </w:rPr>
              <w:t xml:space="preserve">. </w:t>
            </w:r>
          </w:p>
          <w:p w14:paraId="50249DFE" w14:textId="77777777" w:rsidR="009B237B" w:rsidRDefault="009B237B" w:rsidP="00716C9A">
            <w:pPr>
              <w:contextualSpacing/>
              <w:jc w:val="both"/>
              <w:rPr>
                <w:lang w:val="bg-BG"/>
              </w:rPr>
            </w:pPr>
            <w:r w:rsidRPr="009B237B">
              <w:rPr>
                <w:lang w:val="bg-BG"/>
              </w:rPr>
              <w:t xml:space="preserve">Различните потребности, свързани с повишаване на професионалната квалификация на предприемачите и заетите лица в селскостопанския отрасъл чрез адаптиране на формите за трансфер на знания към специфичните секторни особености, очертани в отделните </w:t>
            </w:r>
            <w:r w:rsidRPr="009B237B">
              <w:rPr>
                <w:lang w:val="bg-BG"/>
              </w:rPr>
              <w:lastRenderedPageBreak/>
              <w:t>специфични цели, са</w:t>
            </w:r>
            <w:r w:rsidR="0052608F">
              <w:rPr>
                <w:lang w:val="bg-BG"/>
              </w:rPr>
              <w:t xml:space="preserve"> свързани с необходимостта от предоставяне на</w:t>
            </w:r>
            <w:r w:rsidRPr="009B237B">
              <w:rPr>
                <w:lang w:val="bg-BG"/>
              </w:rPr>
              <w:t>:</w:t>
            </w:r>
          </w:p>
          <w:p w14:paraId="27CE004D" w14:textId="77777777" w:rsidR="003B2C33" w:rsidRPr="009B237B" w:rsidRDefault="003B2C33" w:rsidP="00716C9A">
            <w:pPr>
              <w:contextualSpacing/>
              <w:jc w:val="both"/>
              <w:rPr>
                <w:lang w:val="bg-BG"/>
              </w:rPr>
            </w:pPr>
          </w:p>
          <w:p w14:paraId="24EE5A73" w14:textId="304752A6" w:rsidR="009B237B" w:rsidRPr="003B2C33" w:rsidRDefault="0052608F" w:rsidP="00716C9A">
            <w:pPr>
              <w:pStyle w:val="ListParagraph"/>
              <w:numPr>
                <w:ilvl w:val="0"/>
                <w:numId w:val="11"/>
              </w:numPr>
              <w:jc w:val="both"/>
              <w:rPr>
                <w:lang w:val="bg-BG"/>
              </w:rPr>
            </w:pPr>
            <w:r>
              <w:rPr>
                <w:lang w:val="bg-BG"/>
              </w:rPr>
              <w:t>Съветнически и консултантски услуги</w:t>
            </w:r>
            <w:r w:rsidR="009B237B" w:rsidRPr="003B2C33">
              <w:rPr>
                <w:lang w:val="bg-BG"/>
              </w:rPr>
              <w:t xml:space="preserve"> </w:t>
            </w:r>
            <w:r w:rsidR="0022571C">
              <w:rPr>
                <w:lang w:val="bg-BG"/>
              </w:rPr>
              <w:t>с цел</w:t>
            </w:r>
            <w:r w:rsidR="009B237B" w:rsidRPr="003B2C33">
              <w:rPr>
                <w:lang w:val="bg-BG"/>
              </w:rPr>
              <w:t xml:space="preserve"> повишаване на знанията за смекчаване на последиците от изменението на климата и за адаптация към него, както и за устойчивата енергия /СЦ 4/.</w:t>
            </w:r>
          </w:p>
          <w:p w14:paraId="6710A466" w14:textId="77777777" w:rsidR="003B2C33" w:rsidRDefault="003B2C33" w:rsidP="00716C9A">
            <w:pPr>
              <w:contextualSpacing/>
              <w:jc w:val="both"/>
              <w:rPr>
                <w:lang w:val="bg-BG"/>
              </w:rPr>
            </w:pPr>
          </w:p>
          <w:p w14:paraId="047FC6DB" w14:textId="77777777" w:rsidR="009B237B" w:rsidRPr="003B2C33" w:rsidRDefault="0052608F" w:rsidP="00716C9A">
            <w:pPr>
              <w:pStyle w:val="ListParagraph"/>
              <w:numPr>
                <w:ilvl w:val="0"/>
                <w:numId w:val="11"/>
              </w:numPr>
              <w:jc w:val="both"/>
              <w:rPr>
                <w:lang w:val="bg-BG"/>
              </w:rPr>
            </w:pPr>
            <w:r w:rsidRPr="0052608F">
              <w:rPr>
                <w:lang w:val="bg-BG"/>
              </w:rPr>
              <w:t>Съветнически и консултантски услуги</w:t>
            </w:r>
            <w:r w:rsidR="009B237B" w:rsidRPr="003B2C33">
              <w:rPr>
                <w:lang w:val="bg-BG"/>
              </w:rPr>
              <w:t xml:space="preserve"> </w:t>
            </w:r>
            <w:r w:rsidR="0022571C">
              <w:rPr>
                <w:lang w:val="bg-BG"/>
              </w:rPr>
              <w:t>с цел</w:t>
            </w:r>
            <w:r w:rsidR="009B237B" w:rsidRPr="003B2C33">
              <w:rPr>
                <w:lang w:val="bg-BG"/>
              </w:rPr>
              <w:t xml:space="preserve"> повишаване на знанията за устойчиво управление на природните ресурси (води, почви, въздух) и добри практики в земеделието по отношение на природните ресурси /СЦ 5/;</w:t>
            </w:r>
          </w:p>
          <w:p w14:paraId="34FC8551" w14:textId="77777777" w:rsidR="003B2C33" w:rsidRDefault="003B2C33" w:rsidP="00716C9A">
            <w:pPr>
              <w:contextualSpacing/>
              <w:jc w:val="both"/>
              <w:rPr>
                <w:lang w:val="bg-BG"/>
              </w:rPr>
            </w:pPr>
          </w:p>
          <w:p w14:paraId="25C3A732" w14:textId="38EA72C8" w:rsidR="00F965B8" w:rsidRDefault="0052608F" w:rsidP="002C774F">
            <w:pPr>
              <w:pStyle w:val="ListParagraph"/>
              <w:numPr>
                <w:ilvl w:val="0"/>
                <w:numId w:val="11"/>
              </w:numPr>
              <w:jc w:val="both"/>
              <w:rPr>
                <w:lang w:val="bg-BG"/>
              </w:rPr>
            </w:pPr>
            <w:r w:rsidRPr="0052608F">
              <w:rPr>
                <w:lang w:val="bg-BG"/>
              </w:rPr>
              <w:t>Съветнически и консултантски услуги</w:t>
            </w:r>
            <w:r w:rsidR="009B237B" w:rsidRPr="003B2C33">
              <w:rPr>
                <w:lang w:val="bg-BG"/>
              </w:rPr>
              <w:t>, свързани с опазване на околната среда и б</w:t>
            </w:r>
            <w:r w:rsidR="003B2C33" w:rsidRPr="003B2C33">
              <w:rPr>
                <w:lang w:val="bg-BG"/>
              </w:rPr>
              <w:t>иологичното разнообразие /СЦ 6/.</w:t>
            </w:r>
          </w:p>
          <w:p w14:paraId="1542233F" w14:textId="77777777" w:rsidR="006E2B99" w:rsidRPr="006E2B99" w:rsidRDefault="006E2B99" w:rsidP="006E2B99">
            <w:pPr>
              <w:jc w:val="both"/>
              <w:rPr>
                <w:lang w:val="bg-BG"/>
              </w:rPr>
            </w:pPr>
          </w:p>
          <w:p w14:paraId="4A22D595" w14:textId="2D5745B7" w:rsidR="00933F51" w:rsidRPr="00F471C0" w:rsidRDefault="00F471C0" w:rsidP="00F471C0">
            <w:pPr>
              <w:contextualSpacing/>
              <w:jc w:val="both"/>
              <w:rPr>
                <w:lang w:val="bg-BG"/>
              </w:rPr>
            </w:pPr>
            <w:r>
              <w:rPr>
                <w:lang w:val="bg-BG"/>
              </w:rPr>
              <w:t>Необходимо е също така да бъде осигурена</w:t>
            </w:r>
            <w:r w:rsidR="00F965B8">
              <w:rPr>
                <w:lang w:val="bg-BG"/>
              </w:rPr>
              <w:t xml:space="preserve"> възможност за предоставяне на консултантски услуги за малки и млади земеделски стопани</w:t>
            </w:r>
            <w:r>
              <w:rPr>
                <w:lang w:val="bg-BG"/>
              </w:rPr>
              <w:t xml:space="preserve">, свързани с използването </w:t>
            </w:r>
            <w:r w:rsidR="00E45A0A">
              <w:rPr>
                <w:lang w:val="bg-BG"/>
              </w:rPr>
              <w:t>на дигитални инструменти;</w:t>
            </w:r>
            <w:r>
              <w:rPr>
                <w:lang w:val="bg-BG"/>
              </w:rPr>
              <w:t xml:space="preserve"> у</w:t>
            </w:r>
            <w:r w:rsidRPr="00F471C0">
              <w:rPr>
                <w:lang w:val="bg-BG"/>
              </w:rPr>
              <w:t xml:space="preserve">правлението </w:t>
            </w:r>
            <w:r w:rsidR="00E45A0A" w:rsidRPr="00F471C0">
              <w:rPr>
                <w:lang w:val="bg-BG"/>
              </w:rPr>
              <w:t>на риска</w:t>
            </w:r>
            <w:r>
              <w:rPr>
                <w:lang w:val="bg-BG"/>
              </w:rPr>
              <w:t xml:space="preserve"> в стопанствата и </w:t>
            </w:r>
            <w:r w:rsidR="00933F51" w:rsidRPr="00F471C0">
              <w:rPr>
                <w:lang w:val="bg-BG"/>
              </w:rPr>
              <w:t>Европейското партньорство за иновации за селскостопанска производителност и устойчивост</w:t>
            </w:r>
            <w:r w:rsidRPr="00F471C0">
              <w:rPr>
                <w:lang w:val="bg-BG"/>
              </w:rPr>
              <w:t>)</w:t>
            </w:r>
            <w:r>
              <w:rPr>
                <w:lang w:val="bg-BG"/>
              </w:rPr>
              <w:t>.</w:t>
            </w:r>
          </w:p>
        </w:tc>
      </w:tr>
    </w:tbl>
    <w:p w14:paraId="08DC9F47" w14:textId="77777777" w:rsidR="005F556B" w:rsidRDefault="005F556B" w:rsidP="005F556B">
      <w:pPr>
        <w:jc w:val="both"/>
        <w:rPr>
          <w:lang w:val="bg-BG"/>
        </w:rPr>
      </w:pPr>
    </w:p>
    <w:p w14:paraId="12D70BF6" w14:textId="77777777" w:rsidR="00BC2D56" w:rsidRPr="0046113A" w:rsidRDefault="005F556B" w:rsidP="0046113A">
      <w:pPr>
        <w:pStyle w:val="ListParagraph"/>
        <w:numPr>
          <w:ilvl w:val="0"/>
          <w:numId w:val="2"/>
        </w:numPr>
        <w:spacing w:line="240" w:lineRule="auto"/>
        <w:jc w:val="both"/>
        <w:rPr>
          <w:b/>
          <w:lang w:val="bg-BG"/>
        </w:rPr>
      </w:pPr>
      <w:r w:rsidRPr="0046113A">
        <w:rPr>
          <w:b/>
          <w:lang w:val="bg-BG"/>
        </w:rPr>
        <w:t xml:space="preserve">Идентифициране на съответните базови елементи (напр. </w:t>
      </w:r>
      <w:r w:rsidR="004D47EE" w:rsidRPr="0046113A">
        <w:rPr>
          <w:b/>
          <w:lang w:val="bg-BG"/>
        </w:rPr>
        <w:t xml:space="preserve">съответните </w:t>
      </w:r>
      <w:r w:rsidRPr="0046113A">
        <w:rPr>
          <w:b/>
          <w:lang w:val="bg-BG"/>
        </w:rPr>
        <w:t>GAEC или нормативно установени изисквания за управление (SMR), където е приложимо, и обяснение за това как ангажиментите надхвърлят задължителните изисквания:</w:t>
      </w:r>
    </w:p>
    <w:p w14:paraId="5EF29370" w14:textId="77777777" w:rsidR="005F556B" w:rsidRPr="00BC2D56" w:rsidRDefault="00BC2D56" w:rsidP="005F556B">
      <w:pPr>
        <w:spacing w:line="240" w:lineRule="auto"/>
        <w:jc w:val="both"/>
        <w:rPr>
          <w:i/>
          <w:lang w:val="bg-BG"/>
        </w:rPr>
      </w:pPr>
      <w:r w:rsidRPr="00BC2D56">
        <w:rPr>
          <w:i/>
          <w:lang w:val="bg-BG"/>
        </w:rPr>
        <w:t>/за интервенции в областта на околната среда и климата, артикулацията с изискванията за условност трябва да показват, че практиките се допълват и не се припокриват/</w:t>
      </w:r>
    </w:p>
    <w:tbl>
      <w:tblPr>
        <w:tblStyle w:val="TableGrid"/>
        <w:tblW w:w="0" w:type="auto"/>
        <w:tblLook w:val="04A0" w:firstRow="1" w:lastRow="0" w:firstColumn="1" w:lastColumn="0" w:noHBand="0" w:noVBand="1"/>
      </w:tblPr>
      <w:tblGrid>
        <w:gridCol w:w="9242"/>
      </w:tblGrid>
      <w:tr w:rsidR="005F556B" w:rsidRPr="00027128" w14:paraId="216407C1" w14:textId="77777777" w:rsidTr="005F556B">
        <w:tc>
          <w:tcPr>
            <w:tcW w:w="9242" w:type="dxa"/>
          </w:tcPr>
          <w:p w14:paraId="1B0F1CEF" w14:textId="77777777" w:rsidR="00F35ECB" w:rsidRDefault="00F35ECB" w:rsidP="005F556B">
            <w:pPr>
              <w:jc w:val="both"/>
              <w:rPr>
                <w:lang w:val="bg-BG"/>
              </w:rPr>
            </w:pPr>
          </w:p>
          <w:p w14:paraId="2DD5D039" w14:textId="77777777" w:rsidR="005F556B" w:rsidRDefault="007D1335" w:rsidP="005F556B">
            <w:pPr>
              <w:jc w:val="both"/>
              <w:rPr>
                <w:lang w:val="bg-BG"/>
              </w:rPr>
            </w:pPr>
            <w:r>
              <w:rPr>
                <w:lang w:val="bg-BG"/>
              </w:rPr>
              <w:t>Не</w:t>
            </w:r>
            <w:r w:rsidR="005E111D">
              <w:rPr>
                <w:lang w:val="bg-BG"/>
              </w:rPr>
              <w:t>приложимо за конкретния тип интервенция</w:t>
            </w:r>
            <w:r w:rsidR="004B5C67" w:rsidRPr="00AA069F">
              <w:rPr>
                <w:lang w:val="bg-BG"/>
              </w:rPr>
              <w:t xml:space="preserve"> </w:t>
            </w:r>
          </w:p>
          <w:p w14:paraId="7EA1D48C" w14:textId="77777777" w:rsidR="00F35ECB" w:rsidRPr="00AA069F" w:rsidRDefault="00F35ECB" w:rsidP="005F556B">
            <w:pPr>
              <w:jc w:val="both"/>
              <w:rPr>
                <w:lang w:val="bg-BG"/>
              </w:rPr>
            </w:pPr>
          </w:p>
        </w:tc>
      </w:tr>
    </w:tbl>
    <w:p w14:paraId="158A4B8F" w14:textId="77777777" w:rsidR="005F556B" w:rsidRDefault="005F556B" w:rsidP="005F556B">
      <w:pPr>
        <w:spacing w:line="240" w:lineRule="auto"/>
        <w:jc w:val="both"/>
        <w:rPr>
          <w:b/>
          <w:lang w:val="bg-BG"/>
        </w:rPr>
      </w:pPr>
    </w:p>
    <w:p w14:paraId="75817B9F" w14:textId="77777777" w:rsidR="005F556B" w:rsidRPr="0046113A" w:rsidRDefault="005F556B" w:rsidP="0046113A">
      <w:pPr>
        <w:pStyle w:val="ListParagraph"/>
        <w:numPr>
          <w:ilvl w:val="0"/>
          <w:numId w:val="2"/>
        </w:numPr>
        <w:spacing w:line="240" w:lineRule="auto"/>
        <w:jc w:val="both"/>
        <w:rPr>
          <w:b/>
          <w:lang w:val="bg-BG"/>
        </w:rPr>
      </w:pPr>
      <w:r w:rsidRPr="0046113A">
        <w:rPr>
          <w:b/>
          <w:lang w:val="bg-BG"/>
        </w:rPr>
        <w:t>Условия за допустимост:</w:t>
      </w:r>
    </w:p>
    <w:tbl>
      <w:tblPr>
        <w:tblStyle w:val="TableGrid"/>
        <w:tblW w:w="0" w:type="auto"/>
        <w:tblLook w:val="04A0" w:firstRow="1" w:lastRow="0" w:firstColumn="1" w:lastColumn="0" w:noHBand="0" w:noVBand="1"/>
      </w:tblPr>
      <w:tblGrid>
        <w:gridCol w:w="9242"/>
      </w:tblGrid>
      <w:tr w:rsidR="005F556B" w14:paraId="36AFF4F8" w14:textId="77777777" w:rsidTr="005F556B">
        <w:tc>
          <w:tcPr>
            <w:tcW w:w="9242" w:type="dxa"/>
          </w:tcPr>
          <w:p w14:paraId="03707854" w14:textId="77777777" w:rsidR="00B208C9" w:rsidRDefault="00B208C9" w:rsidP="00164268">
            <w:pPr>
              <w:jc w:val="both"/>
              <w:rPr>
                <w:lang w:val="bg-BG"/>
              </w:rPr>
            </w:pPr>
          </w:p>
          <w:p w14:paraId="0CC4E1D8" w14:textId="3DFF5DDC" w:rsidR="005C1410" w:rsidRDefault="002B3CA4" w:rsidP="00164268">
            <w:pPr>
              <w:jc w:val="both"/>
              <w:rPr>
                <w:lang w:val="bg-BG"/>
              </w:rPr>
            </w:pPr>
            <w:r>
              <w:rPr>
                <w:lang w:val="bg-BG"/>
              </w:rPr>
              <w:t>Допустим</w:t>
            </w:r>
            <w:r w:rsidR="008F03F2">
              <w:rPr>
                <w:lang w:val="bg-BG"/>
              </w:rPr>
              <w:t xml:space="preserve"> б</w:t>
            </w:r>
            <w:r w:rsidR="0052608F">
              <w:rPr>
                <w:lang w:val="bg-BG"/>
              </w:rPr>
              <w:t>енефициент е</w:t>
            </w:r>
            <w:r w:rsidR="00A11423">
              <w:rPr>
                <w:lang w:val="bg-BG"/>
              </w:rPr>
              <w:t xml:space="preserve"> Национална служба за съвети в земеделието (НССЗ)</w:t>
            </w:r>
            <w:r w:rsidR="006063D0">
              <w:rPr>
                <w:lang w:val="bg-BG"/>
              </w:rPr>
              <w:t>.</w:t>
            </w:r>
            <w:r>
              <w:rPr>
                <w:lang w:val="bg-BG"/>
              </w:rPr>
              <w:t xml:space="preserve"> Съветническите и к</w:t>
            </w:r>
            <w:r w:rsidR="003618FC" w:rsidRPr="003618FC">
              <w:rPr>
                <w:lang w:val="bg-BG"/>
              </w:rPr>
              <w:t>онсултантските услуги</w:t>
            </w:r>
            <w:r w:rsidR="003B2C33">
              <w:rPr>
                <w:lang w:val="bg-BG"/>
              </w:rPr>
              <w:t xml:space="preserve">, предоставяни от </w:t>
            </w:r>
            <w:r w:rsidR="006063D0">
              <w:rPr>
                <w:lang w:val="bg-BG"/>
              </w:rPr>
              <w:t>НССЗ</w:t>
            </w:r>
            <w:r w:rsidR="003B2C33">
              <w:rPr>
                <w:lang w:val="bg-BG"/>
              </w:rPr>
              <w:t xml:space="preserve"> </w:t>
            </w:r>
            <w:r w:rsidR="0022571C">
              <w:rPr>
                <w:lang w:val="bg-BG"/>
              </w:rPr>
              <w:t>в рамките на</w:t>
            </w:r>
            <w:r w:rsidR="003B2C33">
              <w:rPr>
                <w:lang w:val="bg-BG"/>
              </w:rPr>
              <w:t xml:space="preserve"> </w:t>
            </w:r>
            <w:r w:rsidR="00E354E0">
              <w:rPr>
                <w:lang w:val="bg-BG"/>
              </w:rPr>
              <w:t>интервенцията</w:t>
            </w:r>
            <w:r w:rsidR="0022571C">
              <w:rPr>
                <w:lang w:val="bg-BG"/>
              </w:rPr>
              <w:t>,</w:t>
            </w:r>
            <w:r w:rsidR="003618FC" w:rsidRPr="003618FC">
              <w:rPr>
                <w:lang w:val="bg-BG"/>
              </w:rPr>
              <w:t xml:space="preserve"> с</w:t>
            </w:r>
            <w:r w:rsidR="0022571C">
              <w:rPr>
                <w:lang w:val="bg-BG"/>
              </w:rPr>
              <w:t xml:space="preserve">ледва да са </w:t>
            </w:r>
            <w:r w:rsidR="003618FC" w:rsidRPr="003618FC">
              <w:rPr>
                <w:lang w:val="bg-BG"/>
              </w:rPr>
              <w:t>в полза на</w:t>
            </w:r>
            <w:r w:rsidR="00C300F6">
              <w:rPr>
                <w:lang w:val="bg-BG"/>
              </w:rPr>
              <w:t>:</w:t>
            </w:r>
            <w:r w:rsidR="003618FC" w:rsidRPr="003618FC">
              <w:rPr>
                <w:lang w:val="bg-BG"/>
              </w:rPr>
              <w:t xml:space="preserve"> земеделските стопани, </w:t>
            </w:r>
            <w:r w:rsidR="005C1410">
              <w:rPr>
                <w:lang w:val="bg-BG"/>
              </w:rPr>
              <w:t xml:space="preserve">в т.ч. </w:t>
            </w:r>
            <w:r w:rsidR="003618FC" w:rsidRPr="003618FC">
              <w:rPr>
                <w:lang w:val="bg-BG"/>
              </w:rPr>
              <w:t>младите</w:t>
            </w:r>
            <w:r w:rsidR="00F82C34">
              <w:rPr>
                <w:lang w:val="bg-BG"/>
              </w:rPr>
              <w:t xml:space="preserve"> и малки </w:t>
            </w:r>
            <w:r w:rsidR="00E13B35">
              <w:rPr>
                <w:lang w:val="bg-BG"/>
              </w:rPr>
              <w:t xml:space="preserve">земеделски </w:t>
            </w:r>
            <w:r w:rsidR="003618FC" w:rsidRPr="003618FC">
              <w:rPr>
                <w:lang w:val="bg-BG"/>
              </w:rPr>
              <w:t>стопани, съгласно определени</w:t>
            </w:r>
            <w:r w:rsidR="00F82C34">
              <w:rPr>
                <w:lang w:val="bg-BG"/>
              </w:rPr>
              <w:t>ята</w:t>
            </w:r>
            <w:r w:rsidR="003618FC" w:rsidRPr="003618FC">
              <w:rPr>
                <w:lang w:val="bg-BG"/>
              </w:rPr>
              <w:t xml:space="preserve"> в </w:t>
            </w:r>
            <w:r w:rsidR="005C1410">
              <w:rPr>
                <w:lang w:val="bg-BG"/>
              </w:rPr>
              <w:t>Стратегическия план</w:t>
            </w:r>
            <w:r w:rsidR="00322B1F">
              <w:rPr>
                <w:lang w:val="bg-BG"/>
              </w:rPr>
              <w:t xml:space="preserve">, </w:t>
            </w:r>
            <w:r w:rsidR="00F82C34">
              <w:rPr>
                <w:lang w:val="bg-BG"/>
              </w:rPr>
              <w:t>както</w:t>
            </w:r>
            <w:r w:rsidR="003618FC" w:rsidRPr="003618FC">
              <w:rPr>
                <w:lang w:val="bg-BG"/>
              </w:rPr>
              <w:t xml:space="preserve"> и горските стопани. </w:t>
            </w:r>
          </w:p>
          <w:p w14:paraId="7818DF33" w14:textId="77777777" w:rsidR="005A3D49" w:rsidRDefault="005A3D49" w:rsidP="00164268">
            <w:pPr>
              <w:jc w:val="both"/>
              <w:rPr>
                <w:lang w:val="bg-BG"/>
              </w:rPr>
            </w:pPr>
          </w:p>
          <w:p w14:paraId="6D37AF85" w14:textId="081A46C4" w:rsidR="00B208C9" w:rsidRDefault="0052608F" w:rsidP="005C1410">
            <w:pPr>
              <w:jc w:val="both"/>
              <w:rPr>
                <w:color w:val="000000" w:themeColor="text1"/>
                <w:lang w:val="bg-BG"/>
              </w:rPr>
            </w:pPr>
            <w:r w:rsidRPr="006063D0">
              <w:rPr>
                <w:color w:val="000000" w:themeColor="text1"/>
                <w:lang w:val="bg-BG"/>
              </w:rPr>
              <w:t>За да изпълнява възложените функции</w:t>
            </w:r>
            <w:r w:rsidR="006063D0" w:rsidRPr="006063D0">
              <w:rPr>
                <w:color w:val="000000" w:themeColor="text1"/>
                <w:lang w:val="bg-BG"/>
              </w:rPr>
              <w:t>, Службата следва да разполага</w:t>
            </w:r>
            <w:r w:rsidR="005C1410" w:rsidRPr="006063D0">
              <w:rPr>
                <w:color w:val="000000" w:themeColor="text1"/>
                <w:lang w:val="bg-BG"/>
              </w:rPr>
              <w:t xml:space="preserve"> с подходящи ресурси от редовно обучен и квалифициран персонал </w:t>
            </w:r>
            <w:r w:rsidR="00E30C50">
              <w:rPr>
                <w:color w:val="000000" w:themeColor="text1"/>
                <w:lang w:val="bg-BG"/>
              </w:rPr>
              <w:t>с</w:t>
            </w:r>
            <w:r w:rsidR="00E30C50" w:rsidRPr="006063D0">
              <w:rPr>
                <w:color w:val="000000" w:themeColor="text1"/>
                <w:lang w:val="bg-BG"/>
              </w:rPr>
              <w:t xml:space="preserve"> </w:t>
            </w:r>
            <w:r w:rsidR="005C1410" w:rsidRPr="006063D0">
              <w:rPr>
                <w:color w:val="000000" w:themeColor="text1"/>
                <w:lang w:val="bg-BG"/>
              </w:rPr>
              <w:t>консултантски опит и надеждност по отношение на обхвата на консултантските пакети, които ще предоставят</w:t>
            </w:r>
            <w:r w:rsidR="005C1410">
              <w:rPr>
                <w:color w:val="000000" w:themeColor="text1"/>
                <w:lang w:val="bg-BG"/>
              </w:rPr>
              <w:t xml:space="preserve">. </w:t>
            </w:r>
          </w:p>
          <w:p w14:paraId="0C55753C" w14:textId="77777777" w:rsidR="00C22569" w:rsidRDefault="00C22569" w:rsidP="005C1410">
            <w:pPr>
              <w:jc w:val="both"/>
              <w:rPr>
                <w:color w:val="000000" w:themeColor="text1"/>
                <w:lang w:val="bg-BG"/>
              </w:rPr>
            </w:pPr>
          </w:p>
          <w:p w14:paraId="457F3246" w14:textId="0A9DC365" w:rsidR="00C22569" w:rsidRDefault="005C1410" w:rsidP="00C22569">
            <w:pPr>
              <w:jc w:val="both"/>
              <w:rPr>
                <w:color w:val="000000" w:themeColor="text1"/>
                <w:lang w:val="bg-BG"/>
              </w:rPr>
            </w:pPr>
            <w:r>
              <w:rPr>
                <w:color w:val="000000" w:themeColor="text1"/>
                <w:lang w:val="bg-BG"/>
              </w:rPr>
              <w:t xml:space="preserve">Изискванията по отношение на квалифицирания персонал са насочени към професионална квалификация в областта на </w:t>
            </w:r>
            <w:r w:rsidRPr="008D3A9A">
              <w:rPr>
                <w:color w:val="000000" w:themeColor="text1"/>
                <w:lang w:val="bg-BG"/>
              </w:rPr>
              <w:t>аграрните науки, ветеринарната медицина, аграрната икономика, инженерно-технически дисциплини в областта на земеделието</w:t>
            </w:r>
            <w:r w:rsidR="00E30C50">
              <w:rPr>
                <w:color w:val="000000" w:themeColor="text1"/>
                <w:lang w:val="bg-BG"/>
              </w:rPr>
              <w:t xml:space="preserve"> и</w:t>
            </w:r>
            <w:r w:rsidR="00E30C50" w:rsidRPr="008D3A9A">
              <w:rPr>
                <w:color w:val="000000" w:themeColor="text1"/>
                <w:lang w:val="bg-BG"/>
              </w:rPr>
              <w:t xml:space="preserve"> </w:t>
            </w:r>
            <w:r w:rsidRPr="008D3A9A">
              <w:rPr>
                <w:color w:val="000000" w:themeColor="text1"/>
                <w:lang w:val="bg-BG"/>
              </w:rPr>
              <w:t>хранително-вкусова промишленост</w:t>
            </w:r>
            <w:r w:rsidR="008D3A9A" w:rsidRPr="008D3A9A">
              <w:rPr>
                <w:color w:val="000000" w:themeColor="text1"/>
                <w:lang w:val="bg-BG"/>
              </w:rPr>
              <w:t>.</w:t>
            </w:r>
            <w:r w:rsidR="008D3A9A">
              <w:rPr>
                <w:color w:val="000000" w:themeColor="text1"/>
                <w:lang w:val="bg-BG"/>
              </w:rPr>
              <w:t xml:space="preserve"> Квалифицираният персонал следва да е обучен под формата на </w:t>
            </w:r>
            <w:r w:rsidR="00E30C50">
              <w:rPr>
                <w:color w:val="000000" w:themeColor="text1"/>
                <w:lang w:val="bg-BG"/>
              </w:rPr>
              <w:t>премина</w:t>
            </w:r>
            <w:r w:rsidR="00F965B8">
              <w:rPr>
                <w:color w:val="000000" w:themeColor="text1"/>
                <w:lang w:val="bg-BG"/>
              </w:rPr>
              <w:t>т</w:t>
            </w:r>
            <w:r w:rsidR="00E30C50">
              <w:rPr>
                <w:color w:val="000000" w:themeColor="text1"/>
                <w:lang w:val="bg-BG"/>
              </w:rPr>
              <w:t xml:space="preserve">и </w:t>
            </w:r>
            <w:r w:rsidR="008D3A9A" w:rsidRPr="006063D0">
              <w:rPr>
                <w:color w:val="000000" w:themeColor="text1"/>
                <w:lang w:val="bg-BG"/>
              </w:rPr>
              <w:t xml:space="preserve">специализирани обучения или различни форми за повишаване на квалификацията по теми в областта на аграрните науки, ветеринарната медицина, икономика, екология, европейско и национално законодателство или по теми в обхвата на </w:t>
            </w:r>
            <w:r w:rsidR="006063D0">
              <w:rPr>
                <w:color w:val="000000" w:themeColor="text1"/>
                <w:lang w:val="bg-BG"/>
              </w:rPr>
              <w:t>специфичните цели на Стратегическия план</w:t>
            </w:r>
            <w:r w:rsidR="008D3A9A" w:rsidRPr="006063D0">
              <w:rPr>
                <w:color w:val="000000" w:themeColor="text1"/>
                <w:lang w:val="bg-BG"/>
              </w:rPr>
              <w:t>. Специализираното обучение и повишаването на квалификацията може да обхваща участие в семинари или курсове, получена магистърска или докторска степен, процедура по хабилитиране. Конкретните изисквания ще бъдат посочени в поканата за предоставяне на предложения.</w:t>
            </w:r>
          </w:p>
          <w:p w14:paraId="3BB8791A" w14:textId="77777777" w:rsidR="00B928F7" w:rsidRDefault="00B928F7" w:rsidP="00C22569">
            <w:pPr>
              <w:jc w:val="both"/>
              <w:rPr>
                <w:color w:val="000000" w:themeColor="text1"/>
                <w:lang w:val="bg-BG"/>
              </w:rPr>
            </w:pPr>
          </w:p>
          <w:p w14:paraId="2F0AB3D6" w14:textId="77777777" w:rsidR="00B928F7" w:rsidRDefault="00B928F7" w:rsidP="00C22569">
            <w:pPr>
              <w:jc w:val="both"/>
              <w:rPr>
                <w:color w:val="000000" w:themeColor="text1"/>
                <w:lang w:val="bg-BG"/>
              </w:rPr>
            </w:pPr>
            <w:r>
              <w:rPr>
                <w:color w:val="000000" w:themeColor="text1"/>
                <w:lang w:val="bg-BG"/>
              </w:rPr>
              <w:t>Управляващият орган следва да гарантира, че предоставянето на консултантски ус</w:t>
            </w:r>
            <w:r w:rsidR="002B3CA4">
              <w:rPr>
                <w:color w:val="000000" w:themeColor="text1"/>
                <w:lang w:val="bg-BG"/>
              </w:rPr>
              <w:t>луги от страна на бенефициента</w:t>
            </w:r>
            <w:r>
              <w:rPr>
                <w:color w:val="000000" w:themeColor="text1"/>
                <w:lang w:val="bg-BG"/>
              </w:rPr>
              <w:t xml:space="preserve"> в рамките на интервенцията </w:t>
            </w:r>
            <w:r w:rsidR="00433657">
              <w:rPr>
                <w:color w:val="000000" w:themeColor="text1"/>
                <w:lang w:val="bg-BG"/>
              </w:rPr>
              <w:t>са</w:t>
            </w:r>
            <w:r>
              <w:rPr>
                <w:color w:val="000000" w:themeColor="text1"/>
                <w:lang w:val="bg-BG"/>
              </w:rPr>
              <w:t xml:space="preserve"> в съответствие с </w:t>
            </w:r>
            <w:r w:rsidR="00374394">
              <w:rPr>
                <w:color w:val="000000" w:themeColor="text1"/>
                <w:lang w:val="bg-BG"/>
              </w:rPr>
              <w:t xml:space="preserve">изискванията, предвидени в чл. 13 от </w:t>
            </w:r>
            <w:r w:rsidRPr="00B928F7">
              <w:rPr>
                <w:color w:val="000000" w:themeColor="text1"/>
                <w:lang w:val="bg-BG"/>
              </w:rPr>
              <w:t>Регламент ХХХХ/202Х</w:t>
            </w:r>
            <w:r>
              <w:rPr>
                <w:color w:val="000000" w:themeColor="text1"/>
                <w:lang w:val="bg-BG"/>
              </w:rPr>
              <w:t>.</w:t>
            </w:r>
          </w:p>
          <w:p w14:paraId="48A1E6F8" w14:textId="77777777" w:rsidR="008D3A9A" w:rsidRPr="005C1410" w:rsidRDefault="008D3A9A" w:rsidP="005C1410">
            <w:pPr>
              <w:jc w:val="both"/>
              <w:rPr>
                <w:color w:val="000000" w:themeColor="text1"/>
                <w:lang w:val="bg-BG"/>
              </w:rPr>
            </w:pPr>
          </w:p>
          <w:p w14:paraId="062683DA" w14:textId="77777777" w:rsidR="00A11423" w:rsidRDefault="003618FC" w:rsidP="003618FC">
            <w:pPr>
              <w:jc w:val="both"/>
              <w:rPr>
                <w:color w:val="000000" w:themeColor="text1"/>
                <w:lang w:val="bg-BG"/>
              </w:rPr>
            </w:pPr>
            <w:r w:rsidRPr="00990EF9">
              <w:rPr>
                <w:color w:val="000000" w:themeColor="text1"/>
                <w:lang w:val="bg-BG"/>
              </w:rPr>
              <w:t>Подкрепата</w:t>
            </w:r>
            <w:r w:rsidR="008D3A9A" w:rsidRPr="008D3A9A">
              <w:rPr>
                <w:color w:val="000000" w:themeColor="text1"/>
                <w:lang w:val="bg-BG"/>
              </w:rPr>
              <w:t xml:space="preserve"> </w:t>
            </w:r>
            <w:r w:rsidRPr="00990EF9">
              <w:rPr>
                <w:color w:val="000000" w:themeColor="text1"/>
                <w:lang w:val="bg-BG"/>
              </w:rPr>
              <w:t xml:space="preserve">се предоставя </w:t>
            </w:r>
            <w:r w:rsidR="00A97C16">
              <w:rPr>
                <w:color w:val="000000" w:themeColor="text1"/>
                <w:lang w:val="bg-BG"/>
              </w:rPr>
              <w:t xml:space="preserve">само </w:t>
            </w:r>
            <w:r w:rsidRPr="00990EF9">
              <w:rPr>
                <w:color w:val="000000" w:themeColor="text1"/>
                <w:lang w:val="bg-BG"/>
              </w:rPr>
              <w:t xml:space="preserve">за подпомагане на земеделските </w:t>
            </w:r>
            <w:r w:rsidR="006063D0">
              <w:rPr>
                <w:color w:val="000000" w:themeColor="text1"/>
                <w:lang w:val="bg-BG"/>
              </w:rPr>
              <w:t>и горски</w:t>
            </w:r>
            <w:r w:rsidRPr="00990EF9">
              <w:rPr>
                <w:color w:val="000000" w:themeColor="text1"/>
                <w:lang w:val="bg-BG"/>
              </w:rPr>
              <w:t xml:space="preserve"> стопани с оглед да се възползват от консултантски услуги за подобряване на икономическите и екологични показатели, както и климатичната съобразеност и устойчивост на изменението на климата на техните стопанства</w:t>
            </w:r>
            <w:r w:rsidR="008976FF" w:rsidRPr="00990EF9">
              <w:rPr>
                <w:color w:val="000000" w:themeColor="text1"/>
                <w:lang w:val="bg-BG"/>
              </w:rPr>
              <w:t xml:space="preserve">,  въвеждане на  иновативни селскостопански технологии и </w:t>
            </w:r>
            <w:r w:rsidR="00BC19F0" w:rsidRPr="00990EF9">
              <w:rPr>
                <w:color w:val="000000" w:themeColor="text1"/>
              </w:rPr>
              <w:t xml:space="preserve"> </w:t>
            </w:r>
            <w:r w:rsidR="00BC19F0" w:rsidRPr="00990EF9">
              <w:rPr>
                <w:color w:val="000000" w:themeColor="text1"/>
                <w:lang w:val="bg-BG"/>
              </w:rPr>
              <w:t>на иновативни решения базирани на дигитални технологии</w:t>
            </w:r>
            <w:r w:rsidR="00E354E0">
              <w:rPr>
                <w:color w:val="000000" w:themeColor="text1"/>
                <w:lang w:val="bg-BG"/>
              </w:rPr>
              <w:t>, съгласно идентифицираните потребности</w:t>
            </w:r>
            <w:r w:rsidR="006B1B26" w:rsidRPr="00990EF9">
              <w:rPr>
                <w:color w:val="000000" w:themeColor="text1"/>
                <w:lang w:val="bg-BG"/>
              </w:rPr>
              <w:t>.</w:t>
            </w:r>
            <w:r w:rsidRPr="00990EF9">
              <w:rPr>
                <w:color w:val="000000" w:themeColor="text1"/>
                <w:lang w:val="bg-BG"/>
              </w:rPr>
              <w:t xml:space="preserve"> </w:t>
            </w:r>
          </w:p>
          <w:p w14:paraId="0E9CE7D0" w14:textId="77777777" w:rsidR="003A4B84" w:rsidRDefault="003A4B84" w:rsidP="003618FC">
            <w:pPr>
              <w:jc w:val="both"/>
              <w:rPr>
                <w:color w:val="000000" w:themeColor="text1"/>
                <w:lang w:val="bg-BG"/>
              </w:rPr>
            </w:pPr>
          </w:p>
          <w:p w14:paraId="3475D115" w14:textId="77777777" w:rsidR="003A4B84" w:rsidRPr="003B2C33" w:rsidRDefault="003A4B84" w:rsidP="003A4B84">
            <w:pPr>
              <w:spacing w:before="240" w:after="240"/>
              <w:rPr>
                <w:b/>
                <w:color w:val="000000" w:themeColor="text1"/>
                <w:lang w:val="bg-BG"/>
              </w:rPr>
            </w:pPr>
            <w:r w:rsidRPr="003B2C33">
              <w:rPr>
                <w:b/>
                <w:color w:val="000000" w:themeColor="text1"/>
                <w:lang w:val="bg-BG"/>
              </w:rPr>
              <w:t>Подпомагането се предоставя за</w:t>
            </w:r>
            <w:r w:rsidR="008D3A9A">
              <w:rPr>
                <w:b/>
                <w:color w:val="000000" w:themeColor="text1"/>
                <w:lang w:val="bg-BG"/>
              </w:rPr>
              <w:t xml:space="preserve"> извършване на</w:t>
            </w:r>
            <w:r w:rsidRPr="003B2C33">
              <w:rPr>
                <w:b/>
                <w:color w:val="000000" w:themeColor="text1"/>
                <w:lang w:val="bg-BG"/>
              </w:rPr>
              <w:t xml:space="preserve"> </w:t>
            </w:r>
            <w:r w:rsidR="00FE16B1" w:rsidRPr="003B2C33">
              <w:rPr>
                <w:b/>
                <w:color w:val="000000" w:themeColor="text1"/>
                <w:lang w:val="bg-BG"/>
              </w:rPr>
              <w:t>следните</w:t>
            </w:r>
            <w:r w:rsidRPr="003B2C33">
              <w:rPr>
                <w:b/>
                <w:color w:val="000000" w:themeColor="text1"/>
                <w:lang w:val="bg-BG"/>
              </w:rPr>
              <w:t xml:space="preserve"> дейности:</w:t>
            </w:r>
          </w:p>
          <w:p w14:paraId="26E2E726" w14:textId="52084D1E" w:rsidR="003A4B84" w:rsidRPr="00B208C9" w:rsidRDefault="00B208C9" w:rsidP="00B208C9">
            <w:pPr>
              <w:pStyle w:val="ListParagraph"/>
              <w:numPr>
                <w:ilvl w:val="0"/>
                <w:numId w:val="13"/>
              </w:numPr>
              <w:spacing w:before="120" w:after="120"/>
              <w:ind w:left="714" w:hanging="357"/>
              <w:contextualSpacing w:val="0"/>
              <w:jc w:val="both"/>
              <w:rPr>
                <w:szCs w:val="24"/>
              </w:rPr>
            </w:pPr>
            <w:r>
              <w:rPr>
                <w:szCs w:val="24"/>
                <w:lang w:val="bg-BG"/>
              </w:rPr>
              <w:t xml:space="preserve">Консултантски пакет № 1: </w:t>
            </w:r>
            <w:r w:rsidR="003A4B84" w:rsidRPr="00B208C9">
              <w:rPr>
                <w:szCs w:val="24"/>
                <w:lang w:val="bg-BG"/>
              </w:rPr>
              <w:t>Предост</w:t>
            </w:r>
            <w:r w:rsidR="00FE16B1" w:rsidRPr="00B208C9">
              <w:rPr>
                <w:szCs w:val="24"/>
                <w:lang w:val="bg-BG"/>
              </w:rPr>
              <w:t xml:space="preserve">авяне на консултантски услуги, насочени към </w:t>
            </w:r>
            <w:r w:rsidRPr="00B208C9">
              <w:rPr>
                <w:szCs w:val="24"/>
                <w:lang w:val="bg-BG"/>
              </w:rPr>
              <w:t xml:space="preserve">млади </w:t>
            </w:r>
            <w:r w:rsidR="00FE16B1" w:rsidRPr="00B208C9">
              <w:rPr>
                <w:szCs w:val="24"/>
                <w:lang w:val="bg-BG"/>
              </w:rPr>
              <w:t>земеделски стопани</w:t>
            </w:r>
            <w:r w:rsidR="00297977">
              <w:rPr>
                <w:szCs w:val="24"/>
                <w:lang w:val="bg-BG"/>
              </w:rPr>
              <w:t xml:space="preserve"> за подпомагане за кандидатстване за интервенциите, по които те са допустими</w:t>
            </w:r>
            <w:r w:rsidR="008B037F">
              <w:rPr>
                <w:szCs w:val="24"/>
                <w:lang w:val="bg-BG"/>
              </w:rPr>
              <w:t xml:space="preserve"> (СЦ </w:t>
            </w:r>
            <w:r w:rsidR="008B037F">
              <w:rPr>
                <w:rFonts w:cstheme="minorHAnsi"/>
                <w:szCs w:val="24"/>
                <w:lang w:val="bg-BG"/>
              </w:rPr>
              <w:t>№</w:t>
            </w:r>
            <w:r w:rsidR="008B037F">
              <w:rPr>
                <w:szCs w:val="24"/>
                <w:lang w:val="bg-BG"/>
              </w:rPr>
              <w:t xml:space="preserve"> 7)</w:t>
            </w:r>
            <w:r w:rsidR="00FE16B1" w:rsidRPr="00B208C9">
              <w:rPr>
                <w:szCs w:val="24"/>
                <w:lang w:val="bg-BG"/>
              </w:rPr>
              <w:t>;</w:t>
            </w:r>
          </w:p>
          <w:p w14:paraId="69CA7272" w14:textId="06677A73" w:rsidR="00B208C9" w:rsidRPr="00F471C0" w:rsidRDefault="00B208C9" w:rsidP="00B208C9">
            <w:pPr>
              <w:pStyle w:val="ListParagraph"/>
              <w:numPr>
                <w:ilvl w:val="0"/>
                <w:numId w:val="13"/>
              </w:numPr>
              <w:spacing w:before="120" w:after="120"/>
              <w:ind w:left="714" w:hanging="357"/>
              <w:contextualSpacing w:val="0"/>
              <w:jc w:val="both"/>
              <w:rPr>
                <w:szCs w:val="24"/>
              </w:rPr>
            </w:pPr>
            <w:r w:rsidRPr="00B208C9">
              <w:rPr>
                <w:szCs w:val="24"/>
                <w:lang w:val="bg-BG"/>
              </w:rPr>
              <w:t xml:space="preserve">Консултантски пакет № </w:t>
            </w:r>
            <w:r>
              <w:rPr>
                <w:szCs w:val="24"/>
                <w:lang w:val="bg-BG"/>
              </w:rPr>
              <w:t>2</w:t>
            </w:r>
            <w:r w:rsidRPr="00B208C9">
              <w:rPr>
                <w:szCs w:val="24"/>
                <w:lang w:val="bg-BG"/>
              </w:rPr>
              <w:t xml:space="preserve">: </w:t>
            </w:r>
            <w:r w:rsidRPr="00B208C9">
              <w:rPr>
                <w:szCs w:val="24"/>
              </w:rPr>
              <w:t xml:space="preserve">Предоставяне на </w:t>
            </w:r>
            <w:r w:rsidRPr="00B208C9">
              <w:rPr>
                <w:szCs w:val="24"/>
                <w:lang w:val="bg-BG"/>
              </w:rPr>
              <w:t xml:space="preserve">консултантски услуги, насочени към малки земеделски </w:t>
            </w:r>
            <w:r w:rsidRPr="00F471C0">
              <w:rPr>
                <w:szCs w:val="24"/>
                <w:lang w:val="bg-BG"/>
              </w:rPr>
              <w:t>стопани</w:t>
            </w:r>
            <w:r w:rsidR="00297977" w:rsidRPr="00F471C0">
              <w:rPr>
                <w:szCs w:val="24"/>
                <w:lang w:val="bg-BG"/>
              </w:rPr>
              <w:t xml:space="preserve"> за подпомагане за кандидатстване за интервенциите, по които те са допустими</w:t>
            </w:r>
            <w:r w:rsidR="008B037F" w:rsidRPr="00F471C0">
              <w:rPr>
                <w:szCs w:val="24"/>
                <w:lang w:val="bg-BG"/>
              </w:rPr>
              <w:t xml:space="preserve"> (СЦ </w:t>
            </w:r>
            <w:r w:rsidR="008B037F" w:rsidRPr="00F471C0">
              <w:rPr>
                <w:rFonts w:cstheme="minorHAnsi"/>
                <w:szCs w:val="24"/>
                <w:lang w:val="bg-BG"/>
              </w:rPr>
              <w:t>№</w:t>
            </w:r>
            <w:r w:rsidR="008B037F" w:rsidRPr="00F471C0">
              <w:rPr>
                <w:szCs w:val="24"/>
                <w:lang w:val="bg-BG"/>
              </w:rPr>
              <w:t xml:space="preserve"> 1</w:t>
            </w:r>
            <w:r w:rsidR="00D905D2" w:rsidRPr="00F471C0">
              <w:rPr>
                <w:szCs w:val="24"/>
                <w:lang w:val="bg-BG"/>
              </w:rPr>
              <w:t xml:space="preserve"> и 2</w:t>
            </w:r>
            <w:r w:rsidR="008B037F" w:rsidRPr="00F471C0">
              <w:rPr>
                <w:szCs w:val="24"/>
                <w:lang w:val="bg-BG"/>
              </w:rPr>
              <w:t>)</w:t>
            </w:r>
            <w:r w:rsidRPr="00F471C0">
              <w:rPr>
                <w:szCs w:val="24"/>
                <w:lang w:val="bg-BG"/>
              </w:rPr>
              <w:t>;</w:t>
            </w:r>
          </w:p>
          <w:p w14:paraId="169570DC" w14:textId="77777777" w:rsidR="00FE16B1" w:rsidRPr="002F6A73" w:rsidRDefault="00B208C9" w:rsidP="00B208C9">
            <w:pPr>
              <w:pStyle w:val="ListParagraph"/>
              <w:numPr>
                <w:ilvl w:val="0"/>
                <w:numId w:val="13"/>
              </w:numPr>
              <w:spacing w:before="120" w:after="120" w:line="276" w:lineRule="auto"/>
              <w:ind w:left="714" w:hanging="357"/>
              <w:contextualSpacing w:val="0"/>
              <w:jc w:val="both"/>
              <w:rPr>
                <w:szCs w:val="24"/>
                <w:lang w:val="bg-BG"/>
              </w:rPr>
            </w:pPr>
            <w:r w:rsidRPr="002F6A73">
              <w:rPr>
                <w:szCs w:val="24"/>
                <w:lang w:val="bg-BG"/>
              </w:rPr>
              <w:t xml:space="preserve">Консултантски пакет № 3: </w:t>
            </w:r>
            <w:r w:rsidR="00FE16B1" w:rsidRPr="002F6A73">
              <w:rPr>
                <w:szCs w:val="24"/>
                <w:lang w:val="bg-BG"/>
              </w:rPr>
              <w:t>Предоставяне на консултантски услуги</w:t>
            </w:r>
            <w:r w:rsidR="008F03F2" w:rsidRPr="002F6A73">
              <w:rPr>
                <w:szCs w:val="24"/>
                <w:lang w:val="bg-BG"/>
              </w:rPr>
              <w:t xml:space="preserve">, </w:t>
            </w:r>
            <w:r w:rsidR="00FE16B1" w:rsidRPr="002F6A73">
              <w:rPr>
                <w:szCs w:val="24"/>
                <w:lang w:val="bg-BG"/>
              </w:rPr>
              <w:t>насочени към горски стопани</w:t>
            </w:r>
            <w:r w:rsidR="008B037F" w:rsidRPr="002F6A73">
              <w:rPr>
                <w:szCs w:val="24"/>
                <w:lang w:val="bg-BG"/>
              </w:rPr>
              <w:t xml:space="preserve"> </w:t>
            </w:r>
            <w:r w:rsidR="008B037F" w:rsidRPr="00F471C0">
              <w:rPr>
                <w:szCs w:val="24"/>
                <w:lang w:val="bg-BG"/>
              </w:rPr>
              <w:t xml:space="preserve">(СЦ </w:t>
            </w:r>
            <w:r w:rsidR="008B037F" w:rsidRPr="00F471C0">
              <w:rPr>
                <w:rFonts w:cstheme="minorHAnsi"/>
                <w:szCs w:val="24"/>
                <w:lang w:val="bg-BG"/>
              </w:rPr>
              <w:t>№</w:t>
            </w:r>
            <w:r w:rsidR="008B037F" w:rsidRPr="00F471C0">
              <w:rPr>
                <w:szCs w:val="24"/>
                <w:lang w:val="bg-BG"/>
              </w:rPr>
              <w:t xml:space="preserve"> 8)</w:t>
            </w:r>
            <w:r w:rsidR="00FE16B1" w:rsidRPr="002F6A73">
              <w:rPr>
                <w:szCs w:val="24"/>
                <w:lang w:val="bg-BG"/>
              </w:rPr>
              <w:t>;</w:t>
            </w:r>
          </w:p>
          <w:p w14:paraId="7E175B8B" w14:textId="77777777" w:rsidR="007A2641" w:rsidRPr="00F471C0" w:rsidRDefault="007A2641" w:rsidP="00B208C9">
            <w:pPr>
              <w:pStyle w:val="ListParagraph"/>
              <w:numPr>
                <w:ilvl w:val="0"/>
                <w:numId w:val="13"/>
              </w:numPr>
              <w:spacing w:before="120" w:after="120"/>
              <w:ind w:left="714" w:hanging="357"/>
              <w:contextualSpacing w:val="0"/>
              <w:jc w:val="both"/>
              <w:rPr>
                <w:szCs w:val="24"/>
                <w:lang w:val="bg-BG"/>
              </w:rPr>
            </w:pPr>
            <w:r w:rsidRPr="00F471C0">
              <w:rPr>
                <w:szCs w:val="24"/>
                <w:lang w:val="bg-BG"/>
              </w:rPr>
              <w:t xml:space="preserve">Консултантски пакет № 4: </w:t>
            </w:r>
            <w:r w:rsidR="00770236" w:rsidRPr="002F6A73">
              <w:rPr>
                <w:szCs w:val="24"/>
                <w:lang w:val="bg-BG"/>
              </w:rPr>
              <w:t xml:space="preserve">Предоставяне на </w:t>
            </w:r>
            <w:r w:rsidR="00770236" w:rsidRPr="00F471C0">
              <w:rPr>
                <w:szCs w:val="24"/>
                <w:lang w:val="bg-BG"/>
              </w:rPr>
              <w:t>консултантски услуги по отношение на с</w:t>
            </w:r>
            <w:r w:rsidRPr="00F471C0">
              <w:rPr>
                <w:szCs w:val="24"/>
                <w:lang w:val="bg-BG"/>
              </w:rPr>
              <w:t>мекчаване на последиците от изменението на климата и за адаптация към него, както и за устойчивата енергия (СЦ № 4);</w:t>
            </w:r>
          </w:p>
          <w:p w14:paraId="611FE977" w14:textId="77777777" w:rsidR="007A2641" w:rsidRPr="002F6A73" w:rsidRDefault="007A2641" w:rsidP="007A2641">
            <w:pPr>
              <w:pStyle w:val="ListParagraph"/>
              <w:numPr>
                <w:ilvl w:val="0"/>
                <w:numId w:val="13"/>
              </w:numPr>
              <w:spacing w:before="120" w:after="120"/>
              <w:contextualSpacing w:val="0"/>
              <w:jc w:val="both"/>
              <w:rPr>
                <w:szCs w:val="24"/>
                <w:lang w:val="bg-BG"/>
              </w:rPr>
            </w:pPr>
            <w:r w:rsidRPr="00F471C0">
              <w:rPr>
                <w:szCs w:val="24"/>
                <w:lang w:val="bg-BG"/>
              </w:rPr>
              <w:t xml:space="preserve">Консултантски пакет № 5: </w:t>
            </w:r>
            <w:r w:rsidR="00770236" w:rsidRPr="002F6A73">
              <w:rPr>
                <w:szCs w:val="24"/>
                <w:lang w:val="bg-BG"/>
              </w:rPr>
              <w:t xml:space="preserve">Предоставяне на </w:t>
            </w:r>
            <w:r w:rsidR="00770236" w:rsidRPr="00F471C0">
              <w:rPr>
                <w:szCs w:val="24"/>
                <w:lang w:val="bg-BG"/>
              </w:rPr>
              <w:t>консултантски услуги за п</w:t>
            </w:r>
            <w:r w:rsidRPr="00F471C0">
              <w:rPr>
                <w:szCs w:val="24"/>
                <w:lang w:val="bg-BG"/>
              </w:rPr>
              <w:t xml:space="preserve">овишаване на знанията за устойчиво управление на природните ресурси (води, почви, въздух) и добри практики в земеделието по отношение на природните ресурси </w:t>
            </w:r>
            <w:r w:rsidRPr="002F6A73">
              <w:rPr>
                <w:szCs w:val="24"/>
                <w:lang w:val="bg-BG"/>
              </w:rPr>
              <w:t>(СЦ № 5);</w:t>
            </w:r>
          </w:p>
          <w:p w14:paraId="204C71BE" w14:textId="521A22A6" w:rsidR="007A2641" w:rsidRPr="002F6A73" w:rsidRDefault="007A2641" w:rsidP="007A2641">
            <w:pPr>
              <w:pStyle w:val="ListParagraph"/>
              <w:numPr>
                <w:ilvl w:val="0"/>
                <w:numId w:val="13"/>
              </w:numPr>
              <w:spacing w:before="120" w:after="120" w:line="276" w:lineRule="auto"/>
              <w:contextualSpacing w:val="0"/>
              <w:jc w:val="both"/>
              <w:rPr>
                <w:szCs w:val="24"/>
                <w:lang w:val="bg-BG"/>
              </w:rPr>
            </w:pPr>
            <w:r w:rsidRPr="002F6A73">
              <w:rPr>
                <w:szCs w:val="24"/>
                <w:lang w:val="bg-BG"/>
              </w:rPr>
              <w:t xml:space="preserve">Консултантски пакет № 6: </w:t>
            </w:r>
            <w:r w:rsidR="00770236" w:rsidRPr="002F6A73">
              <w:rPr>
                <w:szCs w:val="24"/>
                <w:lang w:val="bg-BG"/>
              </w:rPr>
              <w:t xml:space="preserve">Предоставяне на </w:t>
            </w:r>
            <w:r w:rsidR="00770236" w:rsidRPr="00F471C0">
              <w:rPr>
                <w:szCs w:val="24"/>
                <w:lang w:val="bg-BG"/>
              </w:rPr>
              <w:t>консултантски услуги с цел</w:t>
            </w:r>
            <w:r w:rsidR="007E1C9F" w:rsidRPr="00F471C0">
              <w:rPr>
                <w:szCs w:val="24"/>
                <w:lang w:val="bg-BG"/>
              </w:rPr>
              <w:t xml:space="preserve"> защита на </w:t>
            </w:r>
            <w:r w:rsidR="00770236" w:rsidRPr="00F471C0">
              <w:rPr>
                <w:szCs w:val="24"/>
                <w:lang w:val="bg-BG"/>
              </w:rPr>
              <w:t xml:space="preserve"> </w:t>
            </w:r>
            <w:r w:rsidRPr="002F6A73">
              <w:rPr>
                <w:szCs w:val="24"/>
                <w:lang w:val="bg-BG"/>
              </w:rPr>
              <w:t>биологичното разнообразие</w:t>
            </w:r>
            <w:r w:rsidR="007E1C9F" w:rsidRPr="002F6A73">
              <w:rPr>
                <w:szCs w:val="24"/>
                <w:lang w:val="bg-BG"/>
              </w:rPr>
              <w:t xml:space="preserve">, подобряване на екосистемните услуги и опазване на местообитанията и </w:t>
            </w:r>
            <w:r w:rsidR="009215F7" w:rsidRPr="002F6A73">
              <w:rPr>
                <w:szCs w:val="24"/>
                <w:lang w:val="bg-BG"/>
              </w:rPr>
              <w:t>ландшафта (</w:t>
            </w:r>
            <w:r w:rsidRPr="002F6A73">
              <w:rPr>
                <w:szCs w:val="24"/>
                <w:lang w:val="bg-BG"/>
              </w:rPr>
              <w:t>СЦ № 6);</w:t>
            </w:r>
          </w:p>
          <w:p w14:paraId="2FB45500" w14:textId="6B879533" w:rsidR="00620666" w:rsidRPr="002F6A73" w:rsidRDefault="00620666" w:rsidP="00620666">
            <w:pPr>
              <w:pStyle w:val="ListParagraph"/>
              <w:numPr>
                <w:ilvl w:val="0"/>
                <w:numId w:val="13"/>
              </w:numPr>
              <w:spacing w:before="120" w:after="120" w:line="276" w:lineRule="auto"/>
              <w:contextualSpacing w:val="0"/>
              <w:jc w:val="both"/>
              <w:rPr>
                <w:szCs w:val="24"/>
                <w:lang w:val="bg-BG"/>
              </w:rPr>
            </w:pPr>
            <w:r w:rsidRPr="002F6A73">
              <w:rPr>
                <w:szCs w:val="24"/>
                <w:lang w:val="bg-BG"/>
              </w:rPr>
              <w:t xml:space="preserve">Консултантски пакет № </w:t>
            </w:r>
            <w:r w:rsidR="00D905D2" w:rsidRPr="002F6A73">
              <w:rPr>
                <w:szCs w:val="24"/>
                <w:lang w:val="bg-BG"/>
              </w:rPr>
              <w:t>7</w:t>
            </w:r>
            <w:r w:rsidRPr="002F6A73">
              <w:rPr>
                <w:szCs w:val="24"/>
                <w:lang w:val="bg-BG"/>
              </w:rPr>
              <w:t>: Предоставяне на консултантски услуги относно общите принципи на интегрираното управление на вредителите</w:t>
            </w:r>
            <w:r w:rsidR="005713C5" w:rsidRPr="002F6A73">
              <w:rPr>
                <w:lang w:val="bg-BG"/>
              </w:rPr>
              <w:t xml:space="preserve"> </w:t>
            </w:r>
            <w:r w:rsidR="005713C5" w:rsidRPr="00F471C0">
              <w:rPr>
                <w:lang w:val="bg-BG"/>
              </w:rPr>
              <w:t xml:space="preserve">и </w:t>
            </w:r>
            <w:r w:rsidR="005713C5" w:rsidRPr="00F471C0">
              <w:rPr>
                <w:szCs w:val="24"/>
                <w:lang w:val="bg-BG"/>
              </w:rPr>
              <w:t>на добрата растителнозащитна практика</w:t>
            </w:r>
            <w:r w:rsidR="005713C5" w:rsidRPr="002F6A73">
              <w:rPr>
                <w:szCs w:val="24"/>
                <w:lang w:val="bg-BG"/>
              </w:rPr>
              <w:t xml:space="preserve"> (СЦ № 5);</w:t>
            </w:r>
          </w:p>
          <w:p w14:paraId="342DA5B6" w14:textId="30FAF14C" w:rsidR="005713C5" w:rsidRPr="002F6A73" w:rsidRDefault="005713C5" w:rsidP="005713C5">
            <w:pPr>
              <w:pStyle w:val="ListParagraph"/>
              <w:numPr>
                <w:ilvl w:val="0"/>
                <w:numId w:val="13"/>
              </w:numPr>
              <w:spacing w:before="120" w:after="120" w:line="276" w:lineRule="auto"/>
              <w:contextualSpacing w:val="0"/>
              <w:jc w:val="both"/>
              <w:rPr>
                <w:szCs w:val="24"/>
                <w:lang w:val="bg-BG"/>
              </w:rPr>
            </w:pPr>
            <w:r w:rsidRPr="002F6A73">
              <w:rPr>
                <w:szCs w:val="24"/>
                <w:lang w:val="bg-BG"/>
              </w:rPr>
              <w:t xml:space="preserve">Консултантски пакет № </w:t>
            </w:r>
            <w:r w:rsidR="00D905D2" w:rsidRPr="002F6A73">
              <w:rPr>
                <w:szCs w:val="24"/>
                <w:lang w:val="bg-BG"/>
              </w:rPr>
              <w:t>8</w:t>
            </w:r>
            <w:r w:rsidRPr="002F6A73">
              <w:rPr>
                <w:szCs w:val="24"/>
                <w:lang w:val="bg-BG"/>
              </w:rPr>
              <w:t xml:space="preserve">: Предоставянето на консултантски услуги относно стандартите за </w:t>
            </w:r>
            <w:r w:rsidRPr="00F471C0">
              <w:rPr>
                <w:szCs w:val="24"/>
                <w:lang w:val="bg-BG"/>
              </w:rPr>
              <w:t xml:space="preserve">биосигурност в животновъдните стопанства, хуманното отношение и здравеопазването на </w:t>
            </w:r>
            <w:r w:rsidRPr="002F6A73">
              <w:rPr>
                <w:szCs w:val="24"/>
                <w:lang w:val="bg-BG"/>
              </w:rPr>
              <w:t xml:space="preserve">животните  (СЦ </w:t>
            </w:r>
            <w:r w:rsidRPr="002F6A73">
              <w:rPr>
                <w:rFonts w:cstheme="minorHAnsi"/>
                <w:szCs w:val="24"/>
                <w:lang w:val="bg-BG"/>
              </w:rPr>
              <w:t>№</w:t>
            </w:r>
            <w:r w:rsidRPr="002F6A73">
              <w:rPr>
                <w:szCs w:val="24"/>
                <w:lang w:val="bg-BG"/>
              </w:rPr>
              <w:t xml:space="preserve"> 4 и 9);</w:t>
            </w:r>
          </w:p>
          <w:p w14:paraId="563B003F" w14:textId="070ECBE6" w:rsidR="00620666" w:rsidRPr="002F6A73" w:rsidRDefault="00DC1C90">
            <w:pPr>
              <w:pStyle w:val="ListParagraph"/>
              <w:numPr>
                <w:ilvl w:val="0"/>
                <w:numId w:val="13"/>
              </w:numPr>
              <w:spacing w:before="120" w:after="120" w:line="276" w:lineRule="auto"/>
              <w:contextualSpacing w:val="0"/>
              <w:jc w:val="both"/>
              <w:rPr>
                <w:szCs w:val="24"/>
                <w:lang w:val="bg-BG"/>
              </w:rPr>
            </w:pPr>
            <w:r w:rsidRPr="002F6A73">
              <w:rPr>
                <w:szCs w:val="24"/>
                <w:lang w:val="bg-BG"/>
              </w:rPr>
              <w:t xml:space="preserve">Консултантски пакет № </w:t>
            </w:r>
            <w:r w:rsidR="00D905D2" w:rsidRPr="002F6A73">
              <w:rPr>
                <w:szCs w:val="24"/>
                <w:lang w:val="bg-BG"/>
              </w:rPr>
              <w:t>9</w:t>
            </w:r>
            <w:r w:rsidRPr="002F6A73">
              <w:rPr>
                <w:szCs w:val="24"/>
                <w:lang w:val="bg-BG"/>
              </w:rPr>
              <w:t>: Предоставянето на консултантски услуги относно стандартите за безопасност на труда и/или стандарти за безопасност на стопанствата</w:t>
            </w:r>
            <w:r w:rsidR="008B037F" w:rsidRPr="00F471C0">
              <w:rPr>
                <w:szCs w:val="24"/>
                <w:lang w:val="bg-BG"/>
              </w:rPr>
              <w:t xml:space="preserve"> (СЦ </w:t>
            </w:r>
            <w:r w:rsidR="008B037F" w:rsidRPr="00F471C0">
              <w:rPr>
                <w:rFonts w:cstheme="minorHAnsi"/>
                <w:szCs w:val="24"/>
                <w:lang w:val="bg-BG"/>
              </w:rPr>
              <w:t>№</w:t>
            </w:r>
            <w:r w:rsidR="008B037F" w:rsidRPr="00F471C0">
              <w:rPr>
                <w:szCs w:val="24"/>
                <w:lang w:val="bg-BG"/>
              </w:rPr>
              <w:t xml:space="preserve"> 1)</w:t>
            </w:r>
            <w:r w:rsidRPr="002F6A73">
              <w:rPr>
                <w:szCs w:val="24"/>
                <w:lang w:val="bg-BG"/>
              </w:rPr>
              <w:t>;</w:t>
            </w:r>
          </w:p>
          <w:p w14:paraId="30855584" w14:textId="65D79D14" w:rsidR="00DC1C90" w:rsidRDefault="00DC1C90" w:rsidP="00DC1C90">
            <w:pPr>
              <w:pStyle w:val="ListParagraph"/>
              <w:numPr>
                <w:ilvl w:val="0"/>
                <w:numId w:val="13"/>
              </w:numPr>
              <w:spacing w:before="120" w:after="120"/>
              <w:jc w:val="both"/>
              <w:rPr>
                <w:szCs w:val="24"/>
                <w:lang w:val="bg-BG"/>
              </w:rPr>
            </w:pPr>
            <w:r w:rsidRPr="002F6A73">
              <w:rPr>
                <w:szCs w:val="24"/>
                <w:lang w:val="bg-BG"/>
              </w:rPr>
              <w:t xml:space="preserve">Консултантски пакет № </w:t>
            </w:r>
            <w:r w:rsidR="00D905D2" w:rsidRPr="002F6A73">
              <w:rPr>
                <w:szCs w:val="24"/>
                <w:lang w:val="bg-BG"/>
              </w:rPr>
              <w:t>10</w:t>
            </w:r>
            <w:r w:rsidR="00655049" w:rsidRPr="002F6A73">
              <w:rPr>
                <w:szCs w:val="24"/>
                <w:lang w:val="bg-BG"/>
              </w:rPr>
              <w:t xml:space="preserve"> Предоставянето</w:t>
            </w:r>
            <w:r w:rsidR="00655049" w:rsidRPr="00655049">
              <w:rPr>
                <w:szCs w:val="24"/>
                <w:lang w:val="bg-BG"/>
              </w:rPr>
              <w:t xml:space="preserve"> на консултантски услуги относно </w:t>
            </w:r>
            <w:r w:rsidR="00655049">
              <w:rPr>
                <w:szCs w:val="24"/>
                <w:lang w:val="bg-BG"/>
              </w:rPr>
              <w:t xml:space="preserve">устойчивото развитие на земеделските </w:t>
            </w:r>
            <w:r w:rsidR="00655049" w:rsidRPr="00655049">
              <w:rPr>
                <w:szCs w:val="24"/>
                <w:lang w:val="bg-BG"/>
              </w:rPr>
              <w:t>стопанствата</w:t>
            </w:r>
            <w:r w:rsidR="00655049">
              <w:rPr>
                <w:szCs w:val="24"/>
                <w:lang w:val="bg-BG"/>
              </w:rPr>
              <w:t xml:space="preserve">  </w:t>
            </w:r>
            <w:r w:rsidR="009215F7">
              <w:rPr>
                <w:szCs w:val="24"/>
                <w:lang w:val="bg-BG"/>
              </w:rPr>
              <w:t xml:space="preserve">(СЦ </w:t>
            </w:r>
            <w:r w:rsidR="009215F7">
              <w:rPr>
                <w:rFonts w:cstheme="minorHAnsi"/>
                <w:szCs w:val="24"/>
                <w:lang w:val="bg-BG"/>
              </w:rPr>
              <w:t>№</w:t>
            </w:r>
            <w:r w:rsidR="009215F7">
              <w:rPr>
                <w:szCs w:val="24"/>
                <w:lang w:val="bg-BG"/>
              </w:rPr>
              <w:t xml:space="preserve"> 1, 2 и 3) </w:t>
            </w:r>
            <w:r w:rsidR="00655049">
              <w:rPr>
                <w:szCs w:val="24"/>
                <w:lang w:val="bg-BG"/>
              </w:rPr>
              <w:t>в т.ч.</w:t>
            </w:r>
            <w:r>
              <w:rPr>
                <w:szCs w:val="24"/>
                <w:lang w:val="bg-BG"/>
              </w:rPr>
              <w:t xml:space="preserve">: </w:t>
            </w:r>
          </w:p>
          <w:p w14:paraId="062E80A0" w14:textId="77777777" w:rsidR="00655049" w:rsidRDefault="00655049" w:rsidP="00F471C0">
            <w:pPr>
              <w:pStyle w:val="ListParagraph"/>
              <w:numPr>
                <w:ilvl w:val="0"/>
                <w:numId w:val="18"/>
              </w:numPr>
              <w:contextualSpacing w:val="0"/>
              <w:jc w:val="both"/>
              <w:rPr>
                <w:szCs w:val="24"/>
                <w:lang w:val="bg-BG"/>
              </w:rPr>
            </w:pPr>
            <w:r>
              <w:rPr>
                <w:szCs w:val="24"/>
                <w:lang w:val="bg-BG"/>
              </w:rPr>
              <w:t xml:space="preserve">Интервенции </w:t>
            </w:r>
            <w:r w:rsidR="00DC1C90" w:rsidRPr="00DC1C90">
              <w:rPr>
                <w:szCs w:val="24"/>
                <w:lang w:val="bg-BG"/>
              </w:rPr>
              <w:t>на равнище стопанство, които са насочени към модернизиране на стопанството, изграждане на конкурентоспособност, секторна интеграция, иновации и пазарно ориентиране</w:t>
            </w:r>
            <w:r w:rsidR="009215F7">
              <w:rPr>
                <w:szCs w:val="24"/>
                <w:lang w:val="bg-BG"/>
              </w:rPr>
              <w:t>;</w:t>
            </w:r>
          </w:p>
          <w:p w14:paraId="41091B2B" w14:textId="77777777" w:rsidR="00DC1C90" w:rsidRDefault="00655049" w:rsidP="00F471C0">
            <w:pPr>
              <w:pStyle w:val="ListParagraph"/>
              <w:numPr>
                <w:ilvl w:val="0"/>
                <w:numId w:val="18"/>
              </w:numPr>
              <w:contextualSpacing w:val="0"/>
              <w:jc w:val="both"/>
              <w:rPr>
                <w:szCs w:val="24"/>
                <w:lang w:val="bg-BG"/>
              </w:rPr>
            </w:pPr>
            <w:r>
              <w:rPr>
                <w:szCs w:val="24"/>
                <w:lang w:val="bg-BG"/>
              </w:rPr>
              <w:t>к</w:t>
            </w:r>
            <w:r w:rsidR="00DC1C90" w:rsidRPr="00DC1C90">
              <w:rPr>
                <w:szCs w:val="24"/>
                <w:lang w:val="bg-BG"/>
              </w:rPr>
              <w:t xml:space="preserve">онсултиране по въпроси и проблеми на земеделското стопанство, свързани с икономическите показатели на земеделското стопанство, включително въпроси на </w:t>
            </w:r>
            <w:r w:rsidR="00DC1C90" w:rsidRPr="00DC1C90">
              <w:rPr>
                <w:szCs w:val="24"/>
                <w:lang w:val="bg-BG"/>
              </w:rPr>
              <w:lastRenderedPageBreak/>
              <w:t>конкурентоспособността</w:t>
            </w:r>
            <w:r w:rsidR="009215F7">
              <w:rPr>
                <w:szCs w:val="24"/>
                <w:lang w:val="bg-BG"/>
              </w:rPr>
              <w:t xml:space="preserve"> и маркетинга и реализация на произвежданите земеделски продукти</w:t>
            </w:r>
            <w:r>
              <w:rPr>
                <w:szCs w:val="24"/>
                <w:lang w:val="bg-BG"/>
              </w:rPr>
              <w:t>;</w:t>
            </w:r>
          </w:p>
          <w:p w14:paraId="15641E6F" w14:textId="77777777" w:rsidR="00655049" w:rsidRDefault="00DC1C90" w:rsidP="00655049">
            <w:pPr>
              <w:pStyle w:val="ListParagraph"/>
              <w:numPr>
                <w:ilvl w:val="0"/>
                <w:numId w:val="18"/>
              </w:numPr>
              <w:contextualSpacing w:val="0"/>
              <w:jc w:val="both"/>
              <w:rPr>
                <w:szCs w:val="24"/>
                <w:lang w:val="bg-BG"/>
              </w:rPr>
            </w:pPr>
            <w:r w:rsidRPr="00D905D2">
              <w:rPr>
                <w:szCs w:val="24"/>
                <w:lang w:val="bg-BG"/>
              </w:rPr>
              <w:t>управление на риска в земеделското стопанството</w:t>
            </w:r>
            <w:r w:rsidR="00655049">
              <w:rPr>
                <w:szCs w:val="24"/>
                <w:lang w:val="bg-BG"/>
              </w:rPr>
              <w:t>;</w:t>
            </w:r>
          </w:p>
          <w:p w14:paraId="3CF04BAF" w14:textId="77777777" w:rsidR="00655049" w:rsidRPr="00655049" w:rsidRDefault="00655049" w:rsidP="00655049">
            <w:pPr>
              <w:pStyle w:val="ListParagraph"/>
              <w:numPr>
                <w:ilvl w:val="0"/>
                <w:numId w:val="18"/>
              </w:numPr>
              <w:jc w:val="both"/>
              <w:rPr>
                <w:szCs w:val="24"/>
                <w:lang w:val="bg-BG"/>
              </w:rPr>
            </w:pPr>
            <w:r>
              <w:rPr>
                <w:szCs w:val="24"/>
                <w:lang w:val="bg-BG"/>
              </w:rPr>
              <w:t>и</w:t>
            </w:r>
            <w:r w:rsidRPr="00655049">
              <w:rPr>
                <w:szCs w:val="24"/>
                <w:lang w:val="bg-BG"/>
              </w:rPr>
              <w:t>зползването на дигитални инструменти;</w:t>
            </w:r>
          </w:p>
          <w:p w14:paraId="69945DBA" w14:textId="77777777" w:rsidR="00DC1C90" w:rsidRDefault="00655049" w:rsidP="00655049">
            <w:pPr>
              <w:pStyle w:val="ListParagraph"/>
              <w:numPr>
                <w:ilvl w:val="0"/>
                <w:numId w:val="18"/>
              </w:numPr>
              <w:contextualSpacing w:val="0"/>
              <w:jc w:val="both"/>
              <w:rPr>
                <w:szCs w:val="24"/>
                <w:lang w:val="bg-BG"/>
              </w:rPr>
            </w:pPr>
            <w:r>
              <w:rPr>
                <w:szCs w:val="24"/>
                <w:lang w:val="bg-BG"/>
              </w:rPr>
              <w:t>е</w:t>
            </w:r>
            <w:r w:rsidRPr="00655049">
              <w:rPr>
                <w:szCs w:val="24"/>
                <w:lang w:val="bg-BG"/>
              </w:rPr>
              <w:t>вропейското партньорство за иновации за селскостопанска производителност и устойчивост (EIP-AGRI);</w:t>
            </w:r>
          </w:p>
          <w:p w14:paraId="56BFF997" w14:textId="77777777" w:rsidR="00FE16B1" w:rsidRPr="00B208C9" w:rsidRDefault="005F40FF" w:rsidP="00F471C0">
            <w:pPr>
              <w:pStyle w:val="ListParagraph"/>
              <w:numPr>
                <w:ilvl w:val="0"/>
                <w:numId w:val="13"/>
              </w:numPr>
              <w:spacing w:before="120" w:after="120"/>
              <w:ind w:left="714" w:hanging="357"/>
              <w:contextualSpacing w:val="0"/>
              <w:jc w:val="both"/>
              <w:rPr>
                <w:szCs w:val="24"/>
              </w:rPr>
            </w:pPr>
            <w:r w:rsidRPr="00B208C9">
              <w:rPr>
                <w:szCs w:val="24"/>
                <w:lang w:val="bg-BG"/>
              </w:rPr>
              <w:t>Подкрепа за разширяване на капацитета за предоставяне на консултантски услуги</w:t>
            </w:r>
            <w:r w:rsidR="00655049">
              <w:rPr>
                <w:szCs w:val="24"/>
                <w:lang w:val="bg-BG"/>
              </w:rPr>
              <w:t xml:space="preserve"> на общинско ниво</w:t>
            </w:r>
            <w:r w:rsidR="006063D0">
              <w:rPr>
                <w:szCs w:val="24"/>
                <w:lang w:val="bg-BG"/>
              </w:rPr>
              <w:t>.</w:t>
            </w:r>
          </w:p>
          <w:p w14:paraId="1DD6F64A" w14:textId="6C897917" w:rsidR="006063D0" w:rsidRPr="00F471C0" w:rsidRDefault="00F471C0" w:rsidP="00F471C0">
            <w:pPr>
              <w:spacing w:before="120" w:after="120"/>
              <w:jc w:val="both"/>
              <w:rPr>
                <w:szCs w:val="24"/>
                <w:lang w:val="bg-BG"/>
              </w:rPr>
            </w:pPr>
            <w:r w:rsidRPr="00F471C0">
              <w:rPr>
                <w:szCs w:val="24"/>
                <w:lang w:val="bg-BG"/>
              </w:rPr>
              <w:t>Консултантски пакети № 4, 5, 6, 7, 8, 9, 10 и 11 ще се предоставят единствено на малки и млади земеделски стопани съгласно определението в Стратегическия план.</w:t>
            </w:r>
          </w:p>
          <w:p w14:paraId="5AB345F4" w14:textId="77777777" w:rsidR="005F7C04" w:rsidRPr="005F7C04" w:rsidRDefault="005F7C04" w:rsidP="003A4B84">
            <w:pPr>
              <w:spacing w:before="240" w:after="240"/>
              <w:jc w:val="both"/>
              <w:rPr>
                <w:b/>
                <w:szCs w:val="24"/>
                <w:lang w:val="bg-BG"/>
              </w:rPr>
            </w:pPr>
            <w:r w:rsidRPr="005F7C04">
              <w:rPr>
                <w:b/>
                <w:szCs w:val="24"/>
                <w:lang w:val="en-US"/>
              </w:rPr>
              <w:t xml:space="preserve">I. </w:t>
            </w:r>
            <w:r w:rsidR="005A3D49">
              <w:rPr>
                <w:b/>
                <w:szCs w:val="24"/>
                <w:lang w:val="bg-BG"/>
              </w:rPr>
              <w:t>Подкрепа чрез к</w:t>
            </w:r>
            <w:r w:rsidRPr="005F7C04">
              <w:rPr>
                <w:b/>
                <w:szCs w:val="24"/>
                <w:lang w:val="bg-BG"/>
              </w:rPr>
              <w:t>онсултантски пакети</w:t>
            </w:r>
            <w:r w:rsidR="005A3D49">
              <w:rPr>
                <w:b/>
                <w:szCs w:val="24"/>
                <w:lang w:val="bg-BG"/>
              </w:rPr>
              <w:t xml:space="preserve"> за земеделски и горски стопани</w:t>
            </w:r>
          </w:p>
          <w:p w14:paraId="2A8F9003" w14:textId="0B1E58C6" w:rsidR="003A4B84" w:rsidRDefault="003A4B84" w:rsidP="003A4B84">
            <w:pPr>
              <w:spacing w:before="240" w:after="240"/>
              <w:jc w:val="both"/>
              <w:rPr>
                <w:szCs w:val="24"/>
                <w:lang w:val="bg-BG"/>
              </w:rPr>
            </w:pPr>
            <w:r w:rsidRPr="003A4B84">
              <w:rPr>
                <w:szCs w:val="24"/>
                <w:lang w:val="bg-BG"/>
              </w:rPr>
              <w:t>По</w:t>
            </w:r>
            <w:r w:rsidR="00B208C9">
              <w:rPr>
                <w:szCs w:val="24"/>
                <w:lang w:val="bg-BG"/>
              </w:rPr>
              <w:t>средством</w:t>
            </w:r>
            <w:r w:rsidRPr="003A4B84">
              <w:rPr>
                <w:szCs w:val="24"/>
                <w:lang w:val="bg-BG"/>
              </w:rPr>
              <w:t xml:space="preserve"> интервенцията се подпомага предоставянето на консултантски услуги на земеделски </w:t>
            </w:r>
            <w:r w:rsidR="00433657">
              <w:rPr>
                <w:szCs w:val="24"/>
                <w:lang w:val="bg-BG"/>
              </w:rPr>
              <w:t>и горски стопани</w:t>
            </w:r>
            <w:r w:rsidRPr="003A4B84">
              <w:rPr>
                <w:szCs w:val="24"/>
                <w:lang w:val="bg-BG"/>
              </w:rPr>
              <w:t xml:space="preserve"> с цел подобряване на икономическите и екологичните показатели, както и на климатичната съобразеност и устойчивост на изменението на</w:t>
            </w:r>
            <w:r w:rsidR="00A70C37">
              <w:rPr>
                <w:szCs w:val="24"/>
                <w:lang w:val="bg-BG"/>
              </w:rPr>
              <w:t xml:space="preserve"> климата на техните стопанства. </w:t>
            </w:r>
            <w:r w:rsidRPr="003A4B84">
              <w:rPr>
                <w:szCs w:val="24"/>
                <w:lang w:val="bg-BG"/>
              </w:rPr>
              <w:t xml:space="preserve">Допустимите дейности </w:t>
            </w:r>
            <w:r w:rsidR="00433657">
              <w:rPr>
                <w:szCs w:val="24"/>
                <w:lang w:val="bg-BG"/>
              </w:rPr>
              <w:t xml:space="preserve">за </w:t>
            </w:r>
            <w:r w:rsidRPr="003A4B84">
              <w:rPr>
                <w:szCs w:val="24"/>
                <w:lang w:val="bg-BG"/>
              </w:rPr>
              <w:t xml:space="preserve">предоставяне на индивидуални консултантски услуги </w:t>
            </w:r>
            <w:r w:rsidR="00433657">
              <w:rPr>
                <w:szCs w:val="24"/>
                <w:lang w:val="bg-BG"/>
              </w:rPr>
              <w:t xml:space="preserve">са </w:t>
            </w:r>
            <w:r w:rsidRPr="003A4B84">
              <w:rPr>
                <w:szCs w:val="24"/>
                <w:lang w:val="bg-BG"/>
              </w:rPr>
              <w:t>във вид на консултантски пакети. Индивидуалните консултантски услуги се определят като предоставяне на съвети и консултации, включително посещения на стопанството, в рамките на един консултантски пакет</w:t>
            </w:r>
            <w:r w:rsidR="00B208C9">
              <w:rPr>
                <w:szCs w:val="24"/>
                <w:lang w:val="bg-BG"/>
              </w:rPr>
              <w:t>.</w:t>
            </w:r>
          </w:p>
          <w:p w14:paraId="60948BEB" w14:textId="77777777" w:rsidR="002470B2" w:rsidRPr="002470B2" w:rsidRDefault="002470B2" w:rsidP="00C22569">
            <w:pPr>
              <w:spacing w:before="240" w:after="240"/>
              <w:jc w:val="both"/>
              <w:rPr>
                <w:b/>
                <w:lang w:val="en-US"/>
              </w:rPr>
            </w:pPr>
            <w:r w:rsidRPr="002470B2">
              <w:rPr>
                <w:b/>
                <w:lang w:val="en-US"/>
              </w:rPr>
              <w:t xml:space="preserve">II. </w:t>
            </w:r>
            <w:r w:rsidRPr="002470B2">
              <w:rPr>
                <w:b/>
                <w:lang w:val="bg-BG"/>
              </w:rPr>
              <w:t>Подкрепа за разширяване на капацитета за предоставяне на консултантски услуги</w:t>
            </w:r>
          </w:p>
          <w:p w14:paraId="3DC8A57D" w14:textId="2BBE0A02" w:rsidR="00C22569" w:rsidRPr="00C22569" w:rsidRDefault="00C22569" w:rsidP="00C22569">
            <w:pPr>
              <w:spacing w:before="240" w:after="240"/>
              <w:jc w:val="both"/>
              <w:rPr>
                <w:rFonts w:eastAsia="Times New Roman" w:cs="Times New Roman"/>
                <w:lang w:val="bg-BG"/>
              </w:rPr>
            </w:pPr>
            <w:r w:rsidRPr="00C22569">
              <w:rPr>
                <w:lang w:val="bg-BG"/>
              </w:rPr>
              <w:t>Предоставя се</w:t>
            </w:r>
            <w:r w:rsidR="00B208C9" w:rsidRPr="00C22569">
              <w:rPr>
                <w:lang w:val="bg-BG"/>
              </w:rPr>
              <w:t xml:space="preserve"> възможност за подпомагане на дейности, свързани с разширяване на капацитета за предоставяне на консултантски услуги</w:t>
            </w:r>
            <w:r w:rsidR="0089083F">
              <w:rPr>
                <w:lang w:val="bg-BG"/>
              </w:rPr>
              <w:t xml:space="preserve"> </w:t>
            </w:r>
            <w:r w:rsidR="001664DD">
              <w:rPr>
                <w:lang w:val="bg-BG"/>
              </w:rPr>
              <w:t>на</w:t>
            </w:r>
            <w:r w:rsidR="0089083F">
              <w:rPr>
                <w:lang w:val="bg-BG"/>
              </w:rPr>
              <w:t xml:space="preserve"> малки земеделски стопанства и </w:t>
            </w:r>
            <w:r w:rsidR="001664DD">
              <w:rPr>
                <w:lang w:val="bg-BG"/>
              </w:rPr>
              <w:t>на</w:t>
            </w:r>
            <w:r w:rsidR="0089083F">
              <w:rPr>
                <w:lang w:val="bg-BG"/>
              </w:rPr>
              <w:t xml:space="preserve"> млади </w:t>
            </w:r>
            <w:r w:rsidR="00453389">
              <w:rPr>
                <w:lang w:val="bg-BG"/>
              </w:rPr>
              <w:t>земеделски стопани</w:t>
            </w:r>
            <w:r w:rsidR="00B208C9" w:rsidRPr="00C22569">
              <w:rPr>
                <w:lang w:val="bg-BG"/>
              </w:rPr>
              <w:t>.</w:t>
            </w:r>
            <w:r w:rsidRPr="00C22569">
              <w:rPr>
                <w:rFonts w:eastAsia="Times New Roman" w:cs="Times New Roman"/>
              </w:rPr>
              <w:t xml:space="preserve"> </w:t>
            </w:r>
            <w:r w:rsidRPr="00C22569">
              <w:rPr>
                <w:rFonts w:eastAsia="Times New Roman" w:cs="Times New Roman"/>
                <w:lang w:val="bg-BG"/>
              </w:rPr>
              <w:t>Тез</w:t>
            </w:r>
            <w:r w:rsidR="00F82C34">
              <w:rPr>
                <w:rFonts w:eastAsia="Times New Roman" w:cs="Times New Roman"/>
                <w:lang w:val="bg-BG"/>
              </w:rPr>
              <w:t xml:space="preserve">и дейности включват подпомагане </w:t>
            </w:r>
            <w:r w:rsidRPr="00C22569">
              <w:rPr>
                <w:rFonts w:eastAsia="Times New Roman" w:cs="Times New Roman"/>
                <w:lang w:val="bg-BG"/>
              </w:rPr>
              <w:t xml:space="preserve">функционирането на общински мобилни консултантски </w:t>
            </w:r>
            <w:r w:rsidR="005F7C04">
              <w:rPr>
                <w:rFonts w:eastAsia="Times New Roman" w:cs="Times New Roman"/>
                <w:lang w:val="bg-BG"/>
              </w:rPr>
              <w:t>центрове (офиси)</w:t>
            </w:r>
            <w:r w:rsidRPr="00C22569">
              <w:rPr>
                <w:rFonts w:eastAsia="Times New Roman" w:cs="Times New Roman"/>
                <w:lang w:val="bg-BG"/>
              </w:rPr>
              <w:t>, които да осигуряват възможност за</w:t>
            </w:r>
            <w:r w:rsidR="001664DD">
              <w:rPr>
                <w:rFonts w:eastAsia="Times New Roman" w:cs="Times New Roman"/>
                <w:lang w:val="bg-BG"/>
              </w:rPr>
              <w:t xml:space="preserve"> извършване на следните основни съветнически услуги от тяхна страна</w:t>
            </w:r>
            <w:r w:rsidRPr="00C22569">
              <w:rPr>
                <w:rFonts w:eastAsia="Times New Roman" w:cs="Times New Roman"/>
                <w:lang w:val="bg-BG"/>
              </w:rPr>
              <w:t>:</w:t>
            </w:r>
          </w:p>
          <w:p w14:paraId="5581948F" w14:textId="690B27FE" w:rsidR="00C22569" w:rsidRPr="00C22569" w:rsidRDefault="00C22569" w:rsidP="00C22569">
            <w:pPr>
              <w:pStyle w:val="ListParagraph"/>
              <w:numPr>
                <w:ilvl w:val="0"/>
                <w:numId w:val="14"/>
              </w:numPr>
              <w:spacing w:before="240" w:after="240"/>
              <w:jc w:val="both"/>
              <w:rPr>
                <w:lang w:val="bg-BG"/>
              </w:rPr>
            </w:pPr>
            <w:r w:rsidRPr="00C22569">
              <w:rPr>
                <w:rFonts w:eastAsia="Times New Roman" w:cs="Times New Roman"/>
                <w:lang w:val="bg-BG"/>
              </w:rPr>
              <w:t>Предоставяне на</w:t>
            </w:r>
            <w:r w:rsidRPr="00C22569">
              <w:rPr>
                <w:lang w:val="bg-BG"/>
              </w:rPr>
              <w:t xml:space="preserve"> </w:t>
            </w:r>
            <w:r w:rsidR="00374394">
              <w:rPr>
                <w:lang w:val="bg-BG"/>
              </w:rPr>
              <w:t>с</w:t>
            </w:r>
            <w:r w:rsidR="00F82C34">
              <w:rPr>
                <w:lang w:val="bg-BG"/>
              </w:rPr>
              <w:t>ъвети и консултации на малки</w:t>
            </w:r>
            <w:r w:rsidR="00374394">
              <w:rPr>
                <w:lang w:val="bg-BG"/>
              </w:rPr>
              <w:t xml:space="preserve"> </w:t>
            </w:r>
            <w:r w:rsidRPr="00C22569">
              <w:rPr>
                <w:lang w:val="bg-BG"/>
              </w:rPr>
              <w:t>земеделски стопанства</w:t>
            </w:r>
            <w:r w:rsidR="0089083F">
              <w:rPr>
                <w:lang w:val="bg-BG"/>
              </w:rPr>
              <w:t xml:space="preserve"> и</w:t>
            </w:r>
            <w:r w:rsidR="0089083F">
              <w:rPr>
                <w:lang w:val="en-US"/>
              </w:rPr>
              <w:t xml:space="preserve"> </w:t>
            </w:r>
            <w:r w:rsidR="0089083F">
              <w:rPr>
                <w:lang w:val="bg-BG"/>
              </w:rPr>
              <w:t xml:space="preserve">млади </w:t>
            </w:r>
            <w:r w:rsidR="00D905D2">
              <w:rPr>
                <w:lang w:val="bg-BG"/>
              </w:rPr>
              <w:t>земеделски</w:t>
            </w:r>
            <w:r w:rsidR="00453389">
              <w:rPr>
                <w:lang w:val="bg-BG"/>
              </w:rPr>
              <w:t xml:space="preserve"> стопани</w:t>
            </w:r>
            <w:r w:rsidRPr="00C22569">
              <w:rPr>
                <w:lang w:val="bg-BG"/>
              </w:rPr>
              <w:t>;</w:t>
            </w:r>
          </w:p>
          <w:p w14:paraId="672D1E38" w14:textId="709EC313" w:rsidR="00C22569" w:rsidRPr="00C22569" w:rsidRDefault="00C22569" w:rsidP="00C22569">
            <w:pPr>
              <w:pStyle w:val="ListParagraph"/>
              <w:numPr>
                <w:ilvl w:val="0"/>
                <w:numId w:val="14"/>
              </w:numPr>
              <w:spacing w:before="240" w:after="240"/>
              <w:jc w:val="both"/>
              <w:rPr>
                <w:lang w:val="bg-BG"/>
              </w:rPr>
            </w:pPr>
            <w:r w:rsidRPr="00C22569">
              <w:rPr>
                <w:lang w:val="bg-BG"/>
              </w:rPr>
              <w:t>Организиране на информационни събития за малки земеделски стопанства</w:t>
            </w:r>
            <w:r w:rsidR="0089083F">
              <w:rPr>
                <w:lang w:val="bg-BG"/>
              </w:rPr>
              <w:t xml:space="preserve"> и млади </w:t>
            </w:r>
            <w:r w:rsidR="00453389">
              <w:rPr>
                <w:lang w:val="bg-BG"/>
              </w:rPr>
              <w:t>земеделски стопани</w:t>
            </w:r>
            <w:r w:rsidRPr="00C22569">
              <w:rPr>
                <w:lang w:val="bg-BG"/>
              </w:rPr>
              <w:t xml:space="preserve"> в различни населени места;</w:t>
            </w:r>
          </w:p>
          <w:p w14:paraId="48ED363E" w14:textId="6C7E1D32" w:rsidR="00EE1987" w:rsidRPr="002B3CA4" w:rsidRDefault="00F82C34" w:rsidP="002B3CA4">
            <w:pPr>
              <w:pStyle w:val="ListParagraph"/>
              <w:numPr>
                <w:ilvl w:val="0"/>
                <w:numId w:val="14"/>
              </w:numPr>
              <w:spacing w:before="240" w:after="240"/>
              <w:jc w:val="both"/>
              <w:rPr>
                <w:lang w:val="bg-BG"/>
              </w:rPr>
            </w:pPr>
            <w:r>
              <w:rPr>
                <w:lang w:val="bg-BG"/>
              </w:rPr>
              <w:t xml:space="preserve">Посещение на малки </w:t>
            </w:r>
            <w:r w:rsidR="00C22569" w:rsidRPr="00C22569">
              <w:rPr>
                <w:lang w:val="bg-BG"/>
              </w:rPr>
              <w:t xml:space="preserve">земеделски стопанства за разясняване на условията за кандидатстване по </w:t>
            </w:r>
            <w:r w:rsidR="00770236">
              <w:rPr>
                <w:lang w:val="bg-BG"/>
              </w:rPr>
              <w:t>интервенции</w:t>
            </w:r>
            <w:r w:rsidR="0089083F">
              <w:rPr>
                <w:lang w:val="bg-BG"/>
              </w:rPr>
              <w:t>те</w:t>
            </w:r>
            <w:r w:rsidR="00770236">
              <w:rPr>
                <w:lang w:val="bg-BG"/>
              </w:rPr>
              <w:t>, включени в Стратегическия план</w:t>
            </w:r>
            <w:r w:rsidR="0089083F">
              <w:rPr>
                <w:lang w:val="bg-BG"/>
              </w:rPr>
              <w:t xml:space="preserve"> </w:t>
            </w:r>
            <w:r w:rsidR="0089083F" w:rsidRPr="00F471C0">
              <w:rPr>
                <w:lang w:val="bg-BG"/>
              </w:rPr>
              <w:t>и за предоставяне на други съвети и консултации свързани с дейността им.</w:t>
            </w:r>
          </w:p>
          <w:p w14:paraId="4F46B194" w14:textId="77777777" w:rsidR="005F7C04" w:rsidRDefault="001506B6" w:rsidP="005F7C04">
            <w:pPr>
              <w:jc w:val="both"/>
              <w:rPr>
                <w:lang w:val="bg-BG"/>
              </w:rPr>
            </w:pPr>
            <w:r w:rsidRPr="005F7C04">
              <w:rPr>
                <w:lang w:val="bg-BG"/>
              </w:rPr>
              <w:t xml:space="preserve">Допустимите разходи, свързани с </w:t>
            </w:r>
            <w:r w:rsidR="005F7C04" w:rsidRPr="005F7C04">
              <w:rPr>
                <w:lang w:val="bg-BG"/>
              </w:rPr>
              <w:t xml:space="preserve">разширяване на капацитета за предоставяне на консултантски услуги посредством функциониране на мобилни общински </w:t>
            </w:r>
            <w:r w:rsidR="00EE1987">
              <w:rPr>
                <w:lang w:val="bg-BG"/>
              </w:rPr>
              <w:t>центрове</w:t>
            </w:r>
            <w:r w:rsidR="005F7C04" w:rsidRPr="005F7C04">
              <w:rPr>
                <w:lang w:val="bg-BG"/>
              </w:rPr>
              <w:t xml:space="preserve"> включва</w:t>
            </w:r>
            <w:r w:rsidR="00FE7E2E">
              <w:rPr>
                <w:lang w:val="bg-BG"/>
              </w:rPr>
              <w:t>т</w:t>
            </w:r>
            <w:r w:rsidR="005F7C04">
              <w:rPr>
                <w:lang w:val="bg-BG"/>
              </w:rPr>
              <w:t>:</w:t>
            </w:r>
            <w:r w:rsidR="005F7C04" w:rsidRPr="005F7C04">
              <w:rPr>
                <w:lang w:val="bg-BG"/>
              </w:rPr>
              <w:t xml:space="preserve"> разходи за закупуване на </w:t>
            </w:r>
            <w:r w:rsidR="005F7C04" w:rsidRPr="005F7C04">
              <w:rPr>
                <w:rFonts w:eastAsia="Times New Roman" w:cs="Times New Roman"/>
                <w:szCs w:val="24"/>
                <w:lang w:val="bg-BG"/>
              </w:rPr>
              <w:t xml:space="preserve">дълготрайни материални и нематериални </w:t>
            </w:r>
            <w:r w:rsidR="005F7C04" w:rsidRPr="005F7C04">
              <w:rPr>
                <w:lang w:val="bg-BG"/>
              </w:rPr>
              <w:t>активи</w:t>
            </w:r>
            <w:r w:rsidR="005F7C04">
              <w:rPr>
                <w:lang w:val="bg-BG"/>
              </w:rPr>
              <w:t>;</w:t>
            </w:r>
            <w:r w:rsidR="005F7C04" w:rsidRPr="005F7C04">
              <w:rPr>
                <w:lang w:val="bg-BG"/>
              </w:rPr>
              <w:t xml:space="preserve"> разходи за възнаграждение на служителите</w:t>
            </w:r>
            <w:r w:rsidR="005F7C04">
              <w:rPr>
                <w:lang w:val="bg-BG"/>
              </w:rPr>
              <w:t>;</w:t>
            </w:r>
            <w:r w:rsidR="005F7C04" w:rsidRPr="005F7C04">
              <w:rPr>
                <w:lang w:val="bg-BG"/>
              </w:rPr>
              <w:t xml:space="preserve"> разходи за изработване, отпечатване и разпространение на информационни материали и за информационни мероприятия свързани с дейността на </w:t>
            </w:r>
            <w:r w:rsidR="005F7C04">
              <w:rPr>
                <w:lang w:val="bg-BG"/>
              </w:rPr>
              <w:t>центровете</w:t>
            </w:r>
            <w:r w:rsidR="005F7C04" w:rsidRPr="005F7C04">
              <w:rPr>
                <w:lang w:val="bg-BG"/>
              </w:rPr>
              <w:t xml:space="preserve"> и оперативни разходи</w:t>
            </w:r>
            <w:r w:rsidR="005F7C04">
              <w:rPr>
                <w:lang w:val="bg-BG"/>
              </w:rPr>
              <w:t>, които са</w:t>
            </w:r>
            <w:r w:rsidR="005F7C04" w:rsidRPr="005F7C04">
              <w:rPr>
                <w:rFonts w:eastAsia="Times New Roman" w:cs="Times New Roman"/>
                <w:szCs w:val="24"/>
                <w:lang w:val="bg-BG"/>
              </w:rPr>
              <w:t xml:space="preserve"> </w:t>
            </w:r>
            <w:r w:rsidR="005F7C04" w:rsidRPr="005F7C04">
              <w:rPr>
                <w:lang w:val="bg-BG"/>
              </w:rPr>
              <w:t>стриктно свързани с функционирането на мобилните общинските центрове.</w:t>
            </w:r>
          </w:p>
          <w:p w14:paraId="6617586D" w14:textId="77777777" w:rsidR="00EE1987" w:rsidRDefault="00EE1987" w:rsidP="005F7C04">
            <w:pPr>
              <w:jc w:val="both"/>
              <w:rPr>
                <w:rFonts w:ascii="Times New Roman" w:eastAsia="Times New Roman" w:hAnsi="Times New Roman" w:cs="Times New Roman"/>
                <w:szCs w:val="24"/>
              </w:rPr>
            </w:pPr>
          </w:p>
          <w:p w14:paraId="28A82963" w14:textId="77777777" w:rsidR="00A70C37" w:rsidRPr="00EE1987" w:rsidRDefault="00EE1987" w:rsidP="005F7C04">
            <w:pPr>
              <w:jc w:val="both"/>
              <w:rPr>
                <w:lang w:val="bg-BG"/>
              </w:rPr>
            </w:pPr>
            <w:r w:rsidRPr="00EE1987">
              <w:rPr>
                <w:lang w:val="bg-BG"/>
              </w:rPr>
              <w:t xml:space="preserve">Мобилни общински центрове (офиси) за </w:t>
            </w:r>
            <w:r w:rsidR="002B3CA4">
              <w:rPr>
                <w:lang w:val="bg-BG"/>
              </w:rPr>
              <w:t xml:space="preserve">предоставяне на </w:t>
            </w:r>
            <w:r w:rsidRPr="00EE1987">
              <w:rPr>
                <w:lang w:val="bg-BG"/>
              </w:rPr>
              <w:t xml:space="preserve">консултантски услуги към НССЗ са самостоятелни звена, допълващи дейността на областните офиси на НССЗ, създадени </w:t>
            </w:r>
            <w:r w:rsidR="00FE7E2E">
              <w:rPr>
                <w:lang w:val="bg-BG"/>
              </w:rPr>
              <w:t>по</w:t>
            </w:r>
            <w:r w:rsidRPr="00EE1987">
              <w:rPr>
                <w:lang w:val="bg-BG"/>
              </w:rPr>
              <w:t xml:space="preserve"> подмярка 2.2 „Създаване на консултантски услуги“ от ПРСР 2014-2020 г.</w:t>
            </w:r>
          </w:p>
          <w:p w14:paraId="564881FF" w14:textId="77777777" w:rsidR="005F7C04" w:rsidRPr="005F7C04" w:rsidRDefault="005F7C04" w:rsidP="006063D0">
            <w:pPr>
              <w:jc w:val="both"/>
              <w:rPr>
                <w:lang w:val="bg-BG"/>
              </w:rPr>
            </w:pPr>
          </w:p>
        </w:tc>
      </w:tr>
    </w:tbl>
    <w:p w14:paraId="1755A610" w14:textId="77777777" w:rsidR="005F556B" w:rsidRDefault="005F556B" w:rsidP="005F556B">
      <w:pPr>
        <w:spacing w:line="240" w:lineRule="auto"/>
        <w:jc w:val="both"/>
        <w:rPr>
          <w:b/>
        </w:rPr>
      </w:pPr>
    </w:p>
    <w:p w14:paraId="4BD070BB" w14:textId="77777777" w:rsidR="00B92EB3" w:rsidRPr="0046113A" w:rsidRDefault="00B92EB3" w:rsidP="0046113A">
      <w:pPr>
        <w:pStyle w:val="ListParagraph"/>
        <w:numPr>
          <w:ilvl w:val="0"/>
          <w:numId w:val="2"/>
        </w:numPr>
        <w:spacing w:line="240" w:lineRule="auto"/>
        <w:jc w:val="both"/>
        <w:rPr>
          <w:b/>
          <w:lang w:val="bg-BG"/>
        </w:rPr>
      </w:pPr>
      <w:r w:rsidRPr="0046113A">
        <w:rPr>
          <w:b/>
          <w:lang w:val="bg-BG"/>
        </w:rPr>
        <w:t>Съвместимост на интервенцията със споразумението на СТО за селското стопанство:</w:t>
      </w:r>
    </w:p>
    <w:p w14:paraId="16818343" w14:textId="77777777" w:rsidR="00B92EB3" w:rsidRDefault="00B92EB3" w:rsidP="005F556B">
      <w:pPr>
        <w:spacing w:line="240" w:lineRule="auto"/>
        <w:jc w:val="both"/>
        <w:rPr>
          <w:i/>
          <w:lang w:val="bg-BG"/>
        </w:rPr>
      </w:pPr>
      <w:r>
        <w:rPr>
          <w:i/>
          <w:lang w:val="bg-BG"/>
        </w:rPr>
        <w:lastRenderedPageBreak/>
        <w:t>/</w:t>
      </w:r>
      <w:r w:rsidRPr="00B92EB3">
        <w:rPr>
          <w:i/>
          <w:lang w:val="bg-BG"/>
        </w:rPr>
        <w:t xml:space="preserve">За всяка интервенция, която </w:t>
      </w:r>
      <w:r w:rsidRPr="00B92EB3">
        <w:rPr>
          <w:i/>
          <w:u w:val="single"/>
          <w:lang w:val="bg-BG"/>
        </w:rPr>
        <w:t>се</w:t>
      </w:r>
      <w:r w:rsidRPr="00B92EB3">
        <w:rPr>
          <w:i/>
          <w:lang w:val="bg-BG"/>
        </w:rPr>
        <w:t xml:space="preserve"> основава на видовете интервенции, изброени в приложение II към регламент</w:t>
      </w:r>
      <w:r>
        <w:rPr>
          <w:i/>
          <w:lang w:val="bg-BG"/>
        </w:rPr>
        <w:t>а за Стратегическите планове по ОСП</w:t>
      </w:r>
      <w:r w:rsidRPr="00B92EB3">
        <w:rPr>
          <w:i/>
          <w:lang w:val="bg-BG"/>
        </w:rPr>
        <w:t xml:space="preserve">, </w:t>
      </w:r>
      <w:r>
        <w:rPr>
          <w:i/>
          <w:lang w:val="bg-BG"/>
        </w:rPr>
        <w:t xml:space="preserve">следва да се опише </w:t>
      </w:r>
      <w:r w:rsidRPr="00B92EB3">
        <w:rPr>
          <w:i/>
          <w:lang w:val="bg-BG"/>
        </w:rPr>
        <w:t>как тя спазва съответните разпоредби на приложение 2 към Споразумението на СТО за селското</w:t>
      </w:r>
      <w:r>
        <w:rPr>
          <w:i/>
          <w:lang w:val="bg-BG"/>
        </w:rPr>
        <w:t xml:space="preserve"> стопанство (както е посочено в член 10</w:t>
      </w:r>
      <w:r w:rsidRPr="00B92EB3">
        <w:rPr>
          <w:i/>
          <w:lang w:val="bg-BG"/>
        </w:rPr>
        <w:t xml:space="preserve"> и в приложение II към </w:t>
      </w:r>
      <w:r>
        <w:rPr>
          <w:i/>
          <w:lang w:val="bg-BG"/>
        </w:rPr>
        <w:t>същия</w:t>
      </w:r>
      <w:r w:rsidRPr="00B92EB3">
        <w:rPr>
          <w:i/>
          <w:lang w:val="bg-BG"/>
        </w:rPr>
        <w:t xml:space="preserve"> регламент</w:t>
      </w:r>
      <w:r>
        <w:rPr>
          <w:i/>
          <w:lang w:val="bg-BG"/>
        </w:rPr>
        <w:t>).</w:t>
      </w:r>
      <w:r w:rsidRPr="00B92EB3">
        <w:rPr>
          <w:i/>
          <w:lang w:val="bg-BG"/>
        </w:rPr>
        <w:t xml:space="preserve"> За всяка интервенция, която </w:t>
      </w:r>
      <w:r w:rsidRPr="00B92EB3">
        <w:rPr>
          <w:i/>
          <w:u w:val="single"/>
          <w:lang w:val="bg-BG"/>
        </w:rPr>
        <w:t>не се</w:t>
      </w:r>
      <w:r w:rsidRPr="00B92EB3">
        <w:rPr>
          <w:i/>
          <w:lang w:val="bg-BG"/>
        </w:rPr>
        <w:t xml:space="preserve"> основава на видовете интервенции, изброени в приложение II към настоящия регламент, как спазва съответните разпоредби на член 6.5 или приложение 2 към Споразумението на СТО за селското стопанство</w:t>
      </w:r>
      <w:r>
        <w:rPr>
          <w:i/>
          <w:lang w:val="bg-BG"/>
        </w:rPr>
        <w:t>/</w:t>
      </w:r>
    </w:p>
    <w:tbl>
      <w:tblPr>
        <w:tblStyle w:val="TableGrid"/>
        <w:tblW w:w="0" w:type="auto"/>
        <w:tblLook w:val="04A0" w:firstRow="1" w:lastRow="0" w:firstColumn="1" w:lastColumn="0" w:noHBand="0" w:noVBand="1"/>
      </w:tblPr>
      <w:tblGrid>
        <w:gridCol w:w="9242"/>
      </w:tblGrid>
      <w:tr w:rsidR="00B92EB3" w:rsidRPr="00027128" w14:paraId="5B7E8998" w14:textId="77777777" w:rsidTr="00B92EB3">
        <w:tc>
          <w:tcPr>
            <w:tcW w:w="9242" w:type="dxa"/>
          </w:tcPr>
          <w:p w14:paraId="01956634" w14:textId="77777777" w:rsidR="00AA069F" w:rsidRPr="006D2D77" w:rsidRDefault="00F35ECB" w:rsidP="006D2D77">
            <w:pPr>
              <w:jc w:val="both"/>
              <w:rPr>
                <w:lang w:val="bg-BG"/>
              </w:rPr>
            </w:pPr>
            <w:r>
              <w:rPr>
                <w:lang w:val="bg-BG"/>
              </w:rPr>
              <w:t>Не</w:t>
            </w:r>
            <w:r w:rsidR="006D2D77">
              <w:rPr>
                <w:lang w:val="bg-BG"/>
              </w:rPr>
              <w:t xml:space="preserve">приложимо - </w:t>
            </w:r>
            <w:r w:rsidR="006D2D77" w:rsidRPr="006D2D77">
              <w:rPr>
                <w:lang w:val="bg-BG"/>
              </w:rPr>
              <w:t>Интервенцията не е включена в приложение II на Регламент ХХХХ/202Х</w:t>
            </w:r>
          </w:p>
        </w:tc>
      </w:tr>
    </w:tbl>
    <w:p w14:paraId="2071689C" w14:textId="77777777" w:rsidR="00B92EB3" w:rsidRPr="00B92EB3" w:rsidRDefault="00B92EB3" w:rsidP="005F556B">
      <w:pPr>
        <w:spacing w:line="240" w:lineRule="auto"/>
        <w:jc w:val="both"/>
        <w:rPr>
          <w:i/>
          <w:lang w:val="bg-BG"/>
        </w:rPr>
      </w:pPr>
    </w:p>
    <w:p w14:paraId="39C6E630" w14:textId="77777777" w:rsidR="005F556B" w:rsidRPr="0046113A" w:rsidRDefault="005F556B" w:rsidP="0046113A">
      <w:pPr>
        <w:pStyle w:val="ListParagraph"/>
        <w:numPr>
          <w:ilvl w:val="0"/>
          <w:numId w:val="2"/>
        </w:numPr>
        <w:spacing w:line="240" w:lineRule="auto"/>
        <w:jc w:val="both"/>
        <w:rPr>
          <w:b/>
          <w:lang w:val="bg-BG"/>
        </w:rPr>
      </w:pPr>
      <w:r w:rsidRPr="0046113A">
        <w:rPr>
          <w:b/>
          <w:lang w:val="bg-BG"/>
        </w:rPr>
        <w:t xml:space="preserve">Нива на подпомагане / премии / методи за изчисляване (включително диференциации за групи от територии, където е приложимо) и, когато е приложимо, кратко обяснение защо посочените са подходящи за постигане на целите, </w:t>
      </w:r>
      <w:r w:rsidR="00950149" w:rsidRPr="0046113A">
        <w:rPr>
          <w:b/>
          <w:lang w:val="bg-BG"/>
        </w:rPr>
        <w:t>(</w:t>
      </w:r>
      <w:r w:rsidRPr="0046113A">
        <w:rPr>
          <w:b/>
          <w:lang w:val="bg-BG"/>
        </w:rPr>
        <w:t>също и по отношение на базовите изисквания</w:t>
      </w:r>
      <w:r w:rsidR="00950149" w:rsidRPr="0046113A">
        <w:rPr>
          <w:b/>
          <w:lang w:val="bg-BG"/>
        </w:rPr>
        <w:t>)</w:t>
      </w:r>
      <w:r w:rsidRPr="0046113A">
        <w:rPr>
          <w:b/>
          <w:lang w:val="bg-BG"/>
        </w:rPr>
        <w:t>:</w:t>
      </w:r>
    </w:p>
    <w:p w14:paraId="1E799E26" w14:textId="77777777" w:rsidR="00BC2D56" w:rsidRPr="00BC2D56" w:rsidRDefault="00BC2D56" w:rsidP="00BC2D56">
      <w:pPr>
        <w:spacing w:after="0" w:line="240" w:lineRule="auto"/>
        <w:jc w:val="both"/>
        <w:rPr>
          <w:i/>
          <w:lang w:val="bg-BG"/>
        </w:rPr>
      </w:pPr>
      <w:r w:rsidRPr="00BC2D56">
        <w:rPr>
          <w:i/>
          <w:lang w:val="bg-BG"/>
        </w:rPr>
        <w:t>/</w:t>
      </w:r>
      <w:r w:rsidRPr="00BC2D56">
        <w:rPr>
          <w:b/>
          <w:i/>
          <w:lang w:val="bg-BG"/>
        </w:rPr>
        <w:t>информацията следва да включва:</w:t>
      </w:r>
      <w:r w:rsidRPr="00BC2D56">
        <w:rPr>
          <w:i/>
          <w:lang w:val="bg-BG"/>
        </w:rPr>
        <w:t xml:space="preserve"> формата и степента на подкрепа; методът за изчисляване на единичните суми на подпомагане и неговото сертифициране в съответствие с член 76; различните единни или средни единични суми на помощта</w:t>
      </w:r>
      <w:r w:rsidR="00950149">
        <w:rPr>
          <w:i/>
          <w:lang w:val="bg-BG"/>
        </w:rPr>
        <w:t xml:space="preserve"> в рамките на тази интервенция. /</w:t>
      </w:r>
    </w:p>
    <w:p w14:paraId="3AB4E20F" w14:textId="77777777" w:rsidR="00BC2D56" w:rsidRDefault="00BC2D56" w:rsidP="005F556B">
      <w:pPr>
        <w:spacing w:line="240" w:lineRule="auto"/>
        <w:jc w:val="both"/>
        <w:rPr>
          <w:b/>
          <w:lang w:val="bg-BG"/>
        </w:rPr>
      </w:pPr>
    </w:p>
    <w:tbl>
      <w:tblPr>
        <w:tblStyle w:val="TableGrid"/>
        <w:tblW w:w="0" w:type="auto"/>
        <w:tblLook w:val="04A0" w:firstRow="1" w:lastRow="0" w:firstColumn="1" w:lastColumn="0" w:noHBand="0" w:noVBand="1"/>
      </w:tblPr>
      <w:tblGrid>
        <w:gridCol w:w="9242"/>
      </w:tblGrid>
      <w:tr w:rsidR="005F556B" w:rsidRPr="00027128" w14:paraId="430ED798" w14:textId="77777777" w:rsidTr="005F556B">
        <w:tc>
          <w:tcPr>
            <w:tcW w:w="9242" w:type="dxa"/>
          </w:tcPr>
          <w:p w14:paraId="48513383" w14:textId="3626E8D3" w:rsidR="00FE7E2E" w:rsidRDefault="00D366A0" w:rsidP="00F124C9">
            <w:pPr>
              <w:spacing w:after="240"/>
              <w:jc w:val="both"/>
              <w:rPr>
                <w:szCs w:val="24"/>
                <w:lang w:val="bg-BG"/>
              </w:rPr>
            </w:pPr>
            <w:r w:rsidRPr="00433657">
              <w:rPr>
                <w:szCs w:val="24"/>
                <w:lang w:val="bg-BG"/>
              </w:rPr>
              <w:t>Подпомагането на дейности, свързани с предоставяне на консултантски пакети</w:t>
            </w:r>
            <w:r w:rsidR="000A12E2" w:rsidRPr="00433657">
              <w:rPr>
                <w:szCs w:val="24"/>
                <w:lang w:val="bg-BG"/>
              </w:rPr>
              <w:t xml:space="preserve"> се прилагат под формата на стандартна таблица за единица продукт (стандартни опростени разходи)</w:t>
            </w:r>
            <w:r w:rsidR="00F124C9" w:rsidRPr="00433657">
              <w:rPr>
                <w:szCs w:val="24"/>
                <w:lang w:val="bg-BG"/>
              </w:rPr>
              <w:t xml:space="preserve">. </w:t>
            </w:r>
          </w:p>
          <w:p w14:paraId="6E320F2A" w14:textId="0DBEC3F1" w:rsidR="000A12E2" w:rsidRPr="00433657" w:rsidRDefault="00F124C9" w:rsidP="00F124C9">
            <w:pPr>
              <w:spacing w:after="240"/>
              <w:jc w:val="both"/>
              <w:rPr>
                <w:szCs w:val="24"/>
                <w:lang w:val="bg-BG"/>
              </w:rPr>
            </w:pPr>
            <w:r w:rsidRPr="00433657">
              <w:rPr>
                <w:szCs w:val="24"/>
                <w:lang w:val="bg-BG"/>
              </w:rPr>
              <w:t>Разходите</w:t>
            </w:r>
            <w:r w:rsidR="00FA3928">
              <w:rPr>
                <w:szCs w:val="24"/>
                <w:lang w:val="bg-BG"/>
              </w:rPr>
              <w:t>,</w:t>
            </w:r>
            <w:r w:rsidRPr="00433657">
              <w:rPr>
                <w:szCs w:val="24"/>
                <w:lang w:val="bg-BG"/>
              </w:rPr>
              <w:t xml:space="preserve"> </w:t>
            </w:r>
            <w:r w:rsidR="00FA3928" w:rsidRPr="00FA3928">
              <w:rPr>
                <w:szCs w:val="24"/>
                <w:lang w:val="bg-BG"/>
              </w:rPr>
              <w:t>свързани с предоставяне на консултантски пакети</w:t>
            </w:r>
            <w:r w:rsidR="00F965B8">
              <w:rPr>
                <w:szCs w:val="24"/>
                <w:lang w:val="en-US"/>
              </w:rPr>
              <w:t>,</w:t>
            </w:r>
            <w:r w:rsidR="00FA3928" w:rsidRPr="00FA3928">
              <w:rPr>
                <w:szCs w:val="24"/>
                <w:lang w:val="bg-BG"/>
              </w:rPr>
              <w:t xml:space="preserve"> </w:t>
            </w:r>
            <w:r w:rsidRPr="00433657">
              <w:rPr>
                <w:szCs w:val="24"/>
                <w:lang w:val="bg-BG"/>
              </w:rPr>
              <w:t>могат да включват: възнаграждения на консултантите, разходи за път, материали, разходи, свързани с мястото, в което се доставя консултацията и други разходи, които са обосновани и са пряко свързани с предоста</w:t>
            </w:r>
            <w:r w:rsidR="00D366A0" w:rsidRPr="00433657">
              <w:rPr>
                <w:szCs w:val="24"/>
                <w:lang w:val="bg-BG"/>
              </w:rPr>
              <w:t>вянето на консултантския пакет.</w:t>
            </w:r>
          </w:p>
          <w:p w14:paraId="117CB1A7" w14:textId="2115415F" w:rsidR="00D366A0" w:rsidRPr="00433657" w:rsidRDefault="00D366A0" w:rsidP="00F124C9">
            <w:pPr>
              <w:spacing w:after="240"/>
              <w:jc w:val="both"/>
              <w:rPr>
                <w:szCs w:val="24"/>
                <w:lang w:val="bg-BG"/>
              </w:rPr>
            </w:pPr>
            <w:r w:rsidRPr="00433657">
              <w:rPr>
                <w:szCs w:val="24"/>
                <w:lang w:val="bg-BG"/>
              </w:rPr>
              <w:t>Размерът на безвъзмездната финансова помощ за дейности, свързани с предоставяне на консултантски услуги</w:t>
            </w:r>
            <w:r w:rsidR="00DF31CB">
              <w:rPr>
                <w:szCs w:val="24"/>
                <w:lang w:val="bg-BG"/>
              </w:rPr>
              <w:t xml:space="preserve"> под формата на консултантски пакети</w:t>
            </w:r>
            <w:r w:rsidRPr="00433657">
              <w:rPr>
                <w:szCs w:val="24"/>
                <w:lang w:val="bg-BG"/>
              </w:rPr>
              <w:t xml:space="preserve"> </w:t>
            </w:r>
            <w:r w:rsidR="00FA3928">
              <w:rPr>
                <w:szCs w:val="24"/>
                <w:lang w:val="bg-BG"/>
              </w:rPr>
              <w:t>е</w:t>
            </w:r>
            <w:r w:rsidRPr="00433657">
              <w:rPr>
                <w:szCs w:val="24"/>
                <w:lang w:val="bg-BG"/>
              </w:rPr>
              <w:t xml:space="preserve"> до 100 % от размера на </w:t>
            </w:r>
            <w:r w:rsidR="00686CEF">
              <w:rPr>
                <w:szCs w:val="24"/>
                <w:lang w:val="bg-BG"/>
              </w:rPr>
              <w:t>предвидените</w:t>
            </w:r>
            <w:r w:rsidRPr="00433657">
              <w:rPr>
                <w:szCs w:val="24"/>
                <w:lang w:val="bg-BG"/>
              </w:rPr>
              <w:t xml:space="preserve"> разходи.</w:t>
            </w:r>
          </w:p>
          <w:p w14:paraId="77B7FCA7" w14:textId="09770046" w:rsidR="00F124C9" w:rsidRDefault="000A12E2" w:rsidP="00F124C9">
            <w:pPr>
              <w:spacing w:after="240"/>
              <w:jc w:val="both"/>
              <w:rPr>
                <w:szCs w:val="24"/>
                <w:lang w:val="bg-BG"/>
              </w:rPr>
            </w:pPr>
            <w:r w:rsidRPr="001506B6">
              <w:rPr>
                <w:szCs w:val="24"/>
                <w:lang w:val="bg-BG"/>
              </w:rPr>
              <w:t>Допустимите разходи</w:t>
            </w:r>
            <w:r w:rsidR="00F124C9" w:rsidRPr="001506B6">
              <w:rPr>
                <w:szCs w:val="24"/>
                <w:lang w:val="bg-BG"/>
              </w:rPr>
              <w:t xml:space="preserve"> се определят за всеки консултантски пакет</w:t>
            </w:r>
            <w:r w:rsidRPr="001506B6">
              <w:rPr>
                <w:szCs w:val="24"/>
                <w:lang w:val="bg-BG"/>
              </w:rPr>
              <w:t xml:space="preserve">, като </w:t>
            </w:r>
            <w:r w:rsidR="00F124C9" w:rsidRPr="001506B6">
              <w:rPr>
                <w:szCs w:val="24"/>
                <w:lang w:val="bg-BG"/>
              </w:rPr>
              <w:t xml:space="preserve">се отнасят за предоставянето </w:t>
            </w:r>
            <w:r w:rsidRPr="001506B6">
              <w:rPr>
                <w:szCs w:val="24"/>
                <w:lang w:val="bg-BG"/>
              </w:rPr>
              <w:t xml:space="preserve">на </w:t>
            </w:r>
            <w:r w:rsidR="00FA3928" w:rsidRPr="001506B6">
              <w:rPr>
                <w:szCs w:val="24"/>
                <w:lang w:val="bg-BG"/>
              </w:rPr>
              <w:t>консултаци</w:t>
            </w:r>
            <w:r w:rsidR="00FA3928">
              <w:rPr>
                <w:szCs w:val="24"/>
                <w:lang w:val="bg-BG"/>
              </w:rPr>
              <w:t>и</w:t>
            </w:r>
            <w:r w:rsidR="00FA3928" w:rsidRPr="001506B6">
              <w:rPr>
                <w:szCs w:val="24"/>
                <w:lang w:val="bg-BG"/>
              </w:rPr>
              <w:t xml:space="preserve"> </w:t>
            </w:r>
            <w:r w:rsidRPr="001506B6">
              <w:rPr>
                <w:szCs w:val="24"/>
                <w:lang w:val="bg-BG"/>
              </w:rPr>
              <w:t>на едно стопанство</w:t>
            </w:r>
            <w:r w:rsidR="00F124C9" w:rsidRPr="001506B6">
              <w:rPr>
                <w:szCs w:val="24"/>
                <w:lang w:val="bg-BG"/>
              </w:rPr>
              <w:t>. Разходите се изплащат на бенефициентите по подмярката във вид на общи стандартни разходи по пакети. Стандартните разходи за всеки пакет, по който се предоставя консултантска услуга се умножават по броя на консултирани земеделски или горски стопани</w:t>
            </w:r>
            <w:r w:rsidR="00FA3928">
              <w:rPr>
                <w:szCs w:val="24"/>
                <w:lang w:val="bg-BG"/>
              </w:rPr>
              <w:t>,</w:t>
            </w:r>
            <w:r w:rsidR="00F124C9" w:rsidRPr="001506B6">
              <w:rPr>
                <w:szCs w:val="24"/>
                <w:lang w:val="bg-BG"/>
              </w:rPr>
              <w:t xml:space="preserve"> за да се определи общата сума за възстановяване на бенефициентите. </w:t>
            </w:r>
          </w:p>
          <w:p w14:paraId="68647A37" w14:textId="77777777" w:rsidR="00686CEF" w:rsidRPr="00686CEF" w:rsidRDefault="00686CEF" w:rsidP="00F124C9">
            <w:pPr>
              <w:spacing w:after="240"/>
              <w:jc w:val="both"/>
              <w:rPr>
                <w:b/>
                <w:szCs w:val="24"/>
                <w:lang w:val="bg-BG"/>
              </w:rPr>
            </w:pPr>
            <w:r w:rsidRPr="00686CEF">
              <w:rPr>
                <w:b/>
                <w:szCs w:val="24"/>
                <w:lang w:val="bg-BG"/>
              </w:rPr>
              <w:t xml:space="preserve">Ще бъдат определени </w:t>
            </w:r>
            <w:r>
              <w:rPr>
                <w:b/>
                <w:szCs w:val="24"/>
                <w:lang w:val="bg-BG"/>
              </w:rPr>
              <w:t xml:space="preserve">единни </w:t>
            </w:r>
            <w:r w:rsidRPr="00686CEF">
              <w:rPr>
                <w:b/>
                <w:szCs w:val="24"/>
                <w:lang w:val="bg-BG"/>
              </w:rPr>
              <w:t xml:space="preserve">ставки за следните </w:t>
            </w:r>
            <w:r>
              <w:rPr>
                <w:b/>
                <w:szCs w:val="24"/>
                <w:lang w:val="bg-BG"/>
              </w:rPr>
              <w:t xml:space="preserve">допустими </w:t>
            </w:r>
            <w:r w:rsidRPr="00686CEF">
              <w:rPr>
                <w:b/>
                <w:szCs w:val="24"/>
                <w:lang w:val="bg-BG"/>
              </w:rPr>
              <w:t>дейности:</w:t>
            </w:r>
          </w:p>
          <w:p w14:paraId="44232AAD" w14:textId="77777777" w:rsidR="005713C5" w:rsidRPr="005713C5" w:rsidRDefault="005713C5" w:rsidP="005713C5">
            <w:pPr>
              <w:pStyle w:val="ListParagraph"/>
              <w:numPr>
                <w:ilvl w:val="0"/>
                <w:numId w:val="15"/>
              </w:numPr>
              <w:spacing w:before="120" w:after="120"/>
              <w:jc w:val="both"/>
              <w:rPr>
                <w:szCs w:val="24"/>
                <w:lang w:val="bg-BG"/>
              </w:rPr>
            </w:pPr>
            <w:r w:rsidRPr="005713C5">
              <w:rPr>
                <w:szCs w:val="24"/>
                <w:lang w:val="bg-BG"/>
              </w:rPr>
              <w:t xml:space="preserve">Консултантски пакет № 1: Предоставяне на консултантски услуги, насочени към млади земеделски стопани за подпомагане за кандидатстване за интервенциите, по които те са допустими </w:t>
            </w:r>
            <w:r>
              <w:rPr>
                <w:szCs w:val="24"/>
                <w:lang w:val="bg-BG"/>
              </w:rPr>
              <w:t>(за едно консултирано лице)</w:t>
            </w:r>
            <w:r w:rsidRPr="005713C5">
              <w:rPr>
                <w:szCs w:val="24"/>
                <w:lang w:val="bg-BG"/>
              </w:rPr>
              <w:t>;</w:t>
            </w:r>
          </w:p>
          <w:p w14:paraId="1429132E" w14:textId="77777777" w:rsidR="005713C5" w:rsidRPr="005713C5" w:rsidRDefault="005713C5" w:rsidP="005713C5">
            <w:pPr>
              <w:pStyle w:val="ListParagraph"/>
              <w:numPr>
                <w:ilvl w:val="0"/>
                <w:numId w:val="15"/>
              </w:numPr>
              <w:spacing w:before="120" w:after="120"/>
              <w:jc w:val="both"/>
              <w:rPr>
                <w:szCs w:val="24"/>
                <w:lang w:val="bg-BG"/>
              </w:rPr>
            </w:pPr>
            <w:r w:rsidRPr="005713C5">
              <w:rPr>
                <w:szCs w:val="24"/>
                <w:lang w:val="bg-BG"/>
              </w:rPr>
              <w:t xml:space="preserve">Консултантски пакет № 2: Предоставяне на консултантски услуги, насочени към малки земеделски стопани за подпомагане за кандидатстване за интервенциите, по които те са допустими </w:t>
            </w:r>
            <w:r>
              <w:rPr>
                <w:szCs w:val="24"/>
                <w:lang w:val="bg-BG"/>
              </w:rPr>
              <w:t>(за едно консултирано лице</w:t>
            </w:r>
            <w:r w:rsidRPr="005713C5">
              <w:rPr>
                <w:szCs w:val="24"/>
                <w:lang w:val="bg-BG"/>
              </w:rPr>
              <w:t>);</w:t>
            </w:r>
          </w:p>
          <w:p w14:paraId="06D18782" w14:textId="77777777" w:rsidR="005713C5" w:rsidRPr="005713C5" w:rsidRDefault="005713C5" w:rsidP="005713C5">
            <w:pPr>
              <w:pStyle w:val="ListParagraph"/>
              <w:numPr>
                <w:ilvl w:val="0"/>
                <w:numId w:val="15"/>
              </w:numPr>
              <w:spacing w:before="120" w:after="120"/>
              <w:jc w:val="both"/>
              <w:rPr>
                <w:szCs w:val="24"/>
                <w:lang w:val="bg-BG"/>
              </w:rPr>
            </w:pPr>
            <w:r w:rsidRPr="005713C5">
              <w:rPr>
                <w:szCs w:val="24"/>
                <w:lang w:val="bg-BG"/>
              </w:rPr>
              <w:t xml:space="preserve">Консултантски пакет № 3: Предоставяне на консултантски услуги, насочени към горски стопани </w:t>
            </w:r>
            <w:r>
              <w:rPr>
                <w:szCs w:val="24"/>
                <w:lang w:val="bg-BG"/>
              </w:rPr>
              <w:t>(за едно консултирано лице)</w:t>
            </w:r>
            <w:r w:rsidRPr="005713C5">
              <w:rPr>
                <w:szCs w:val="24"/>
                <w:lang w:val="bg-BG"/>
              </w:rPr>
              <w:t>;</w:t>
            </w:r>
          </w:p>
          <w:p w14:paraId="2F4837C1" w14:textId="77777777" w:rsidR="005713C5" w:rsidRPr="005713C5" w:rsidRDefault="005713C5" w:rsidP="005713C5">
            <w:pPr>
              <w:pStyle w:val="ListParagraph"/>
              <w:numPr>
                <w:ilvl w:val="0"/>
                <w:numId w:val="15"/>
              </w:numPr>
              <w:spacing w:before="120" w:after="120"/>
              <w:jc w:val="both"/>
              <w:rPr>
                <w:szCs w:val="24"/>
                <w:lang w:val="bg-BG"/>
              </w:rPr>
            </w:pPr>
            <w:r w:rsidRPr="005713C5">
              <w:rPr>
                <w:szCs w:val="24"/>
                <w:lang w:val="bg-BG"/>
              </w:rPr>
              <w:t xml:space="preserve">Консултантски пакет № 4: Предоставяне на консултантски услуги по отношение на смекчаване на последиците от изменението на климата и за адаптация към него, както и за устойчивата енергия </w:t>
            </w:r>
            <w:r>
              <w:rPr>
                <w:szCs w:val="24"/>
                <w:lang w:val="bg-BG"/>
              </w:rPr>
              <w:t>(за едно консултирано лице);</w:t>
            </w:r>
          </w:p>
          <w:p w14:paraId="008FC36E" w14:textId="77777777" w:rsidR="005713C5" w:rsidRPr="005713C5" w:rsidRDefault="005713C5" w:rsidP="005713C5">
            <w:pPr>
              <w:pStyle w:val="ListParagraph"/>
              <w:numPr>
                <w:ilvl w:val="0"/>
                <w:numId w:val="15"/>
              </w:numPr>
              <w:spacing w:before="120" w:after="120"/>
              <w:jc w:val="both"/>
              <w:rPr>
                <w:szCs w:val="24"/>
                <w:lang w:val="bg-BG"/>
              </w:rPr>
            </w:pPr>
            <w:r w:rsidRPr="005713C5">
              <w:rPr>
                <w:szCs w:val="24"/>
                <w:lang w:val="bg-BG"/>
              </w:rPr>
              <w:t xml:space="preserve">Консултантски пакет № 5: Предоставяне на консултантски услуги за повишаване на </w:t>
            </w:r>
            <w:r w:rsidRPr="005713C5">
              <w:rPr>
                <w:szCs w:val="24"/>
                <w:lang w:val="bg-BG"/>
              </w:rPr>
              <w:lastRenderedPageBreak/>
              <w:t xml:space="preserve">знанията за устойчиво управление на природните ресурси (води, почви, въздух) и добри практики в земеделието по отношение на природните ресурси </w:t>
            </w:r>
            <w:r>
              <w:rPr>
                <w:szCs w:val="24"/>
                <w:lang w:val="bg-BG"/>
              </w:rPr>
              <w:t>(за едно консултирано лице)</w:t>
            </w:r>
            <w:r w:rsidRPr="005713C5">
              <w:rPr>
                <w:szCs w:val="24"/>
                <w:lang w:val="bg-BG"/>
              </w:rPr>
              <w:t>;</w:t>
            </w:r>
          </w:p>
          <w:p w14:paraId="2648FE0C" w14:textId="21FC4150" w:rsidR="005713C5" w:rsidRPr="005713C5" w:rsidRDefault="005713C5" w:rsidP="005713C5">
            <w:pPr>
              <w:pStyle w:val="ListParagraph"/>
              <w:numPr>
                <w:ilvl w:val="0"/>
                <w:numId w:val="15"/>
              </w:numPr>
              <w:spacing w:before="120" w:after="120"/>
              <w:jc w:val="both"/>
              <w:rPr>
                <w:szCs w:val="24"/>
                <w:lang w:val="bg-BG"/>
              </w:rPr>
            </w:pPr>
            <w:r w:rsidRPr="005713C5">
              <w:rPr>
                <w:szCs w:val="24"/>
                <w:lang w:val="bg-BG"/>
              </w:rPr>
              <w:t xml:space="preserve">Консултантски пакет № 6: </w:t>
            </w:r>
            <w:r w:rsidR="007E1C9F" w:rsidRPr="00770236">
              <w:rPr>
                <w:szCs w:val="24"/>
              </w:rPr>
              <w:t xml:space="preserve">Предоставяне на </w:t>
            </w:r>
            <w:r w:rsidR="007E1C9F" w:rsidRPr="00770236">
              <w:rPr>
                <w:szCs w:val="24"/>
                <w:lang w:val="bg-BG"/>
              </w:rPr>
              <w:t xml:space="preserve">консултантски услуги </w:t>
            </w:r>
            <w:r w:rsidR="007E1C9F">
              <w:rPr>
                <w:szCs w:val="24"/>
                <w:lang w:val="bg-BG"/>
              </w:rPr>
              <w:t xml:space="preserve">с цел защита на  </w:t>
            </w:r>
            <w:r w:rsidR="007E1C9F" w:rsidRPr="007A2641">
              <w:rPr>
                <w:szCs w:val="24"/>
                <w:lang w:val="bg-BG"/>
              </w:rPr>
              <w:t>биологичното разнообразие</w:t>
            </w:r>
            <w:r w:rsidR="007E1C9F">
              <w:rPr>
                <w:szCs w:val="24"/>
                <w:lang w:val="bg-BG"/>
              </w:rPr>
              <w:t xml:space="preserve">, </w:t>
            </w:r>
            <w:r w:rsidR="007E1C9F" w:rsidRPr="007E1C9F">
              <w:rPr>
                <w:szCs w:val="24"/>
                <w:lang w:val="bg-BG"/>
              </w:rPr>
              <w:t>подобряване на екосистемните услуги</w:t>
            </w:r>
            <w:r w:rsidR="007E1C9F" w:rsidRPr="009215F7">
              <w:rPr>
                <w:szCs w:val="24"/>
                <w:lang w:val="bg-BG"/>
              </w:rPr>
              <w:t xml:space="preserve"> и </w:t>
            </w:r>
            <w:r w:rsidR="007E1C9F">
              <w:rPr>
                <w:szCs w:val="24"/>
                <w:lang w:val="bg-BG"/>
              </w:rPr>
              <w:t xml:space="preserve">опазване на местообитанията и </w:t>
            </w:r>
            <w:r w:rsidR="007E1C9F" w:rsidRPr="009215F7">
              <w:rPr>
                <w:szCs w:val="24"/>
                <w:lang w:val="bg-BG"/>
              </w:rPr>
              <w:t>ландшафта</w:t>
            </w:r>
            <w:r>
              <w:rPr>
                <w:szCs w:val="24"/>
                <w:lang w:val="bg-BG"/>
              </w:rPr>
              <w:t>(за едно консултирано лице)</w:t>
            </w:r>
            <w:r w:rsidRPr="005713C5">
              <w:rPr>
                <w:szCs w:val="24"/>
                <w:lang w:val="bg-BG"/>
              </w:rPr>
              <w:t>;</w:t>
            </w:r>
          </w:p>
          <w:p w14:paraId="5946D6D8" w14:textId="5ACC4510" w:rsidR="005713C5" w:rsidRPr="005713C5" w:rsidRDefault="005713C5" w:rsidP="005713C5">
            <w:pPr>
              <w:pStyle w:val="ListParagraph"/>
              <w:numPr>
                <w:ilvl w:val="0"/>
                <w:numId w:val="15"/>
              </w:numPr>
              <w:spacing w:before="120" w:after="120"/>
              <w:jc w:val="both"/>
              <w:rPr>
                <w:szCs w:val="24"/>
                <w:lang w:val="bg-BG"/>
              </w:rPr>
            </w:pPr>
            <w:r w:rsidRPr="005713C5">
              <w:rPr>
                <w:szCs w:val="24"/>
                <w:lang w:val="bg-BG"/>
              </w:rPr>
              <w:t xml:space="preserve">Консултантски пакет № </w:t>
            </w:r>
            <w:r w:rsidR="00D905D2">
              <w:rPr>
                <w:szCs w:val="24"/>
                <w:lang w:val="bg-BG"/>
              </w:rPr>
              <w:t>7</w:t>
            </w:r>
            <w:r w:rsidRPr="005713C5">
              <w:rPr>
                <w:szCs w:val="24"/>
                <w:lang w:val="bg-BG"/>
              </w:rPr>
              <w:t xml:space="preserve">: Предоставяне на консултантски услуги относно общите принципи на интегрираното управление на вредителите и на добрата растителнозащитна практика </w:t>
            </w:r>
            <w:r>
              <w:rPr>
                <w:szCs w:val="24"/>
                <w:lang w:val="bg-BG"/>
              </w:rPr>
              <w:t>(за едно консултирано лице)</w:t>
            </w:r>
            <w:r w:rsidRPr="005713C5">
              <w:rPr>
                <w:szCs w:val="24"/>
                <w:lang w:val="bg-BG"/>
              </w:rPr>
              <w:t>;</w:t>
            </w:r>
          </w:p>
          <w:p w14:paraId="0DAD0290" w14:textId="3AA04092" w:rsidR="005713C5" w:rsidRPr="005713C5" w:rsidRDefault="005713C5" w:rsidP="005713C5">
            <w:pPr>
              <w:pStyle w:val="ListParagraph"/>
              <w:numPr>
                <w:ilvl w:val="0"/>
                <w:numId w:val="15"/>
              </w:numPr>
              <w:spacing w:before="120" w:after="120"/>
              <w:jc w:val="both"/>
              <w:rPr>
                <w:szCs w:val="24"/>
                <w:lang w:val="bg-BG"/>
              </w:rPr>
            </w:pPr>
            <w:r w:rsidRPr="005713C5">
              <w:rPr>
                <w:szCs w:val="24"/>
                <w:lang w:val="bg-BG"/>
              </w:rPr>
              <w:t xml:space="preserve">Консултантски пакет № </w:t>
            </w:r>
            <w:r w:rsidR="00D905D2">
              <w:rPr>
                <w:szCs w:val="24"/>
                <w:lang w:val="bg-BG"/>
              </w:rPr>
              <w:t>8</w:t>
            </w:r>
            <w:r w:rsidRPr="005713C5">
              <w:rPr>
                <w:szCs w:val="24"/>
                <w:lang w:val="bg-BG"/>
              </w:rPr>
              <w:t xml:space="preserve">: Предоставянето на консултантски услуги относно стандартите за биосигурност в животновъдните стопанства, хуманното отношение и здравеопазването на животните  </w:t>
            </w:r>
            <w:r>
              <w:rPr>
                <w:szCs w:val="24"/>
                <w:lang w:val="bg-BG"/>
              </w:rPr>
              <w:t>(за едно консултирано лице)</w:t>
            </w:r>
            <w:r w:rsidRPr="005713C5">
              <w:rPr>
                <w:szCs w:val="24"/>
                <w:lang w:val="bg-BG"/>
              </w:rPr>
              <w:t>;</w:t>
            </w:r>
          </w:p>
          <w:p w14:paraId="41480144" w14:textId="67A6CC64" w:rsidR="005713C5" w:rsidRPr="005713C5" w:rsidRDefault="005713C5" w:rsidP="005713C5">
            <w:pPr>
              <w:pStyle w:val="ListParagraph"/>
              <w:numPr>
                <w:ilvl w:val="0"/>
                <w:numId w:val="15"/>
              </w:numPr>
              <w:spacing w:before="120" w:after="120"/>
              <w:jc w:val="both"/>
              <w:rPr>
                <w:szCs w:val="24"/>
                <w:lang w:val="bg-BG"/>
              </w:rPr>
            </w:pPr>
            <w:r w:rsidRPr="005713C5">
              <w:rPr>
                <w:szCs w:val="24"/>
                <w:lang w:val="bg-BG"/>
              </w:rPr>
              <w:t xml:space="preserve">Консултантски пакет № </w:t>
            </w:r>
            <w:r w:rsidR="00D905D2">
              <w:rPr>
                <w:szCs w:val="24"/>
                <w:lang w:val="bg-BG"/>
              </w:rPr>
              <w:t>9</w:t>
            </w:r>
            <w:r w:rsidRPr="005713C5">
              <w:rPr>
                <w:szCs w:val="24"/>
                <w:lang w:val="bg-BG"/>
              </w:rPr>
              <w:t xml:space="preserve">: Предоставянето на консултантски услуги относно стандартите за безопасност на труда и/или стандарти за безопасност на стопанствата </w:t>
            </w:r>
            <w:r>
              <w:rPr>
                <w:szCs w:val="24"/>
                <w:lang w:val="bg-BG"/>
              </w:rPr>
              <w:t>(за едно консултирано лице)</w:t>
            </w:r>
            <w:r w:rsidRPr="005713C5">
              <w:rPr>
                <w:szCs w:val="24"/>
                <w:lang w:val="bg-BG"/>
              </w:rPr>
              <w:t>;</w:t>
            </w:r>
          </w:p>
          <w:p w14:paraId="38483CF4" w14:textId="186D7177" w:rsidR="00EE1987" w:rsidRDefault="005713C5" w:rsidP="008B10A8">
            <w:pPr>
              <w:pStyle w:val="ListParagraph"/>
              <w:numPr>
                <w:ilvl w:val="0"/>
                <w:numId w:val="15"/>
              </w:numPr>
              <w:spacing w:before="120" w:after="120"/>
              <w:ind w:left="714" w:hanging="357"/>
              <w:contextualSpacing w:val="0"/>
              <w:jc w:val="both"/>
              <w:rPr>
                <w:szCs w:val="24"/>
                <w:lang w:val="bg-BG"/>
              </w:rPr>
            </w:pPr>
            <w:r w:rsidRPr="005713C5">
              <w:rPr>
                <w:szCs w:val="24"/>
                <w:lang w:val="bg-BG"/>
              </w:rPr>
              <w:t xml:space="preserve">Консултантски пакет № </w:t>
            </w:r>
            <w:r w:rsidR="00D905D2">
              <w:rPr>
                <w:szCs w:val="24"/>
                <w:lang w:val="bg-BG"/>
              </w:rPr>
              <w:t>10</w:t>
            </w:r>
            <w:r w:rsidRPr="005713C5">
              <w:rPr>
                <w:szCs w:val="24"/>
                <w:lang w:val="bg-BG"/>
              </w:rPr>
              <w:t xml:space="preserve"> Предоставянето на консултантски услуги относно устойчивото развитие на земеделските стопанствата  </w:t>
            </w:r>
            <w:r>
              <w:rPr>
                <w:szCs w:val="24"/>
                <w:lang w:val="bg-BG"/>
              </w:rPr>
              <w:t>(за едно консултирано лице)</w:t>
            </w:r>
            <w:r w:rsidR="008E7210">
              <w:rPr>
                <w:szCs w:val="24"/>
                <w:lang w:val="bg-BG"/>
              </w:rPr>
              <w:t>.</w:t>
            </w:r>
          </w:p>
          <w:p w14:paraId="19B82B08" w14:textId="77777777" w:rsidR="00D3075F" w:rsidRPr="00D3075F" w:rsidRDefault="00D3075F" w:rsidP="000A12E2">
            <w:pPr>
              <w:jc w:val="both"/>
              <w:rPr>
                <w:rFonts w:cs="Times New Roman"/>
                <w:lang w:val="bg-BG"/>
              </w:rPr>
            </w:pPr>
            <w:r w:rsidRPr="00D3075F">
              <w:rPr>
                <w:rFonts w:cs="Times New Roman"/>
                <w:lang w:val="bg-BG"/>
              </w:rPr>
              <w:t>Изчисленията на стандартните разходи ще бъда</w:t>
            </w:r>
            <w:r w:rsidR="00410FBF">
              <w:rPr>
                <w:rFonts w:cs="Times New Roman"/>
                <w:lang w:val="bg-BG"/>
              </w:rPr>
              <w:t xml:space="preserve">т извършени от външен независим </w:t>
            </w:r>
            <w:r w:rsidRPr="00D3075F">
              <w:rPr>
                <w:rFonts w:cs="Times New Roman"/>
                <w:lang w:val="bg-BG"/>
              </w:rPr>
              <w:t xml:space="preserve">изпълнител въз основа на </w:t>
            </w:r>
            <w:r w:rsidR="00410FBF">
              <w:rPr>
                <w:rFonts w:cs="Times New Roman"/>
                <w:lang w:val="bg-BG"/>
              </w:rPr>
              <w:t xml:space="preserve">предложена </w:t>
            </w:r>
            <w:r w:rsidRPr="00D3075F">
              <w:rPr>
                <w:rFonts w:cs="Times New Roman"/>
                <w:lang w:val="bg-BG"/>
              </w:rPr>
              <w:t xml:space="preserve">методика, утвърдена от УО. </w:t>
            </w:r>
            <w:bookmarkStart w:id="0" w:name="_GoBack"/>
            <w:bookmarkEnd w:id="0"/>
          </w:p>
          <w:p w14:paraId="409BB022" w14:textId="77777777" w:rsidR="00111EF4" w:rsidRDefault="00111EF4" w:rsidP="000A12E2">
            <w:pPr>
              <w:jc w:val="both"/>
              <w:rPr>
                <w:rFonts w:eastAsia="Times New Roman" w:cs="Times New Roman"/>
                <w:lang w:val="bg-BG"/>
              </w:rPr>
            </w:pPr>
          </w:p>
          <w:p w14:paraId="2FC0D3F5" w14:textId="786041EB" w:rsidR="00686CEF" w:rsidRDefault="001506B6" w:rsidP="000A12E2">
            <w:pPr>
              <w:jc w:val="both"/>
              <w:rPr>
                <w:rFonts w:eastAsia="Times New Roman" w:cs="Times New Roman"/>
                <w:lang w:val="bg-BG"/>
              </w:rPr>
            </w:pPr>
            <w:r w:rsidRPr="001506B6">
              <w:rPr>
                <w:rFonts w:eastAsia="Times New Roman" w:cs="Times New Roman"/>
                <w:lang w:val="bg-BG"/>
              </w:rPr>
              <w:t xml:space="preserve">Обосноваността на разходите, свързани с предоставяне на </w:t>
            </w:r>
            <w:r w:rsidRPr="001506B6">
              <w:rPr>
                <w:rFonts w:cs="Times New Roman"/>
                <w:lang w:val="bg-BG"/>
              </w:rPr>
              <w:t>подкрепа за разширяване на капацитета за предоставяне на консултантски услуги</w:t>
            </w:r>
            <w:r w:rsidRPr="001506B6">
              <w:rPr>
                <w:rFonts w:eastAsia="Times New Roman" w:cs="Times New Roman"/>
                <w:lang w:val="bg-BG"/>
              </w:rPr>
              <w:t xml:space="preserve"> ще се преценява на база на разписаните критерии за лимитиране на разходи до пазарната им стойност, </w:t>
            </w:r>
            <w:r w:rsidR="00FE7E2E">
              <w:rPr>
                <w:rFonts w:eastAsia="Times New Roman" w:cs="Times New Roman"/>
                <w:lang w:val="bg-BG"/>
              </w:rPr>
              <w:t xml:space="preserve">чрез сравняване на три оферти, </w:t>
            </w:r>
            <w:r w:rsidRPr="001506B6">
              <w:rPr>
                <w:rFonts w:eastAsia="Times New Roman" w:cs="Times New Roman"/>
                <w:lang w:val="bg-BG"/>
              </w:rPr>
              <w:t>използване на база данни, съдържаща референтни цени</w:t>
            </w:r>
            <w:r w:rsidR="00FE7E2E">
              <w:rPr>
                <w:rFonts w:eastAsia="Times New Roman" w:cs="Times New Roman"/>
                <w:lang w:val="bg-BG"/>
              </w:rPr>
              <w:t xml:space="preserve"> или </w:t>
            </w:r>
            <w:r w:rsidR="00FE7E2E" w:rsidRPr="00FE7E2E">
              <w:rPr>
                <w:rFonts w:eastAsia="Times New Roman" w:cs="Times New Roman"/>
                <w:lang w:val="bg-BG"/>
              </w:rPr>
              <w:t xml:space="preserve">единна ставка, определена чрез прилагане на процент към една или няколко определени категории разходи </w:t>
            </w:r>
            <w:r w:rsidRPr="00FE7E2E">
              <w:rPr>
                <w:rFonts w:eastAsia="Times New Roman" w:cs="Times New Roman"/>
                <w:lang w:val="bg-BG"/>
              </w:rPr>
              <w:t>.</w:t>
            </w:r>
            <w:r w:rsidRPr="001506B6">
              <w:rPr>
                <w:rFonts w:eastAsia="Times New Roman" w:cs="Times New Roman"/>
                <w:lang w:val="bg-BG"/>
              </w:rPr>
              <w:t xml:space="preserve"> </w:t>
            </w:r>
          </w:p>
          <w:p w14:paraId="13901C0C" w14:textId="77777777" w:rsidR="00FE7E2E" w:rsidRDefault="00FE7E2E" w:rsidP="005A3D49">
            <w:pPr>
              <w:jc w:val="both"/>
              <w:rPr>
                <w:rFonts w:eastAsia="Times New Roman" w:cs="Times New Roman"/>
                <w:lang w:val="bg-BG"/>
              </w:rPr>
            </w:pPr>
          </w:p>
          <w:p w14:paraId="1A90BB20" w14:textId="77777777" w:rsidR="00686CEF" w:rsidRPr="005A3D49" w:rsidRDefault="001506B6" w:rsidP="005A3D49">
            <w:pPr>
              <w:jc w:val="both"/>
              <w:rPr>
                <w:rFonts w:eastAsia="Times New Roman" w:cs="Times New Roman"/>
                <w:lang w:val="bg-BG"/>
              </w:rPr>
            </w:pPr>
            <w:r w:rsidRPr="001506B6">
              <w:rPr>
                <w:rFonts w:eastAsia="Times New Roman" w:cs="Times New Roman"/>
                <w:lang w:val="bg-BG"/>
              </w:rPr>
              <w:t xml:space="preserve">Допустимите оперативни разходи, предвидени за функциониране на </w:t>
            </w:r>
            <w:r w:rsidR="00686CEF">
              <w:rPr>
                <w:rFonts w:eastAsia="Times New Roman" w:cs="Times New Roman"/>
                <w:lang w:val="bg-BG"/>
              </w:rPr>
              <w:t xml:space="preserve">мобилните </w:t>
            </w:r>
            <w:r w:rsidRPr="001506B6">
              <w:rPr>
                <w:rFonts w:eastAsia="Times New Roman" w:cs="Times New Roman"/>
                <w:lang w:val="bg-BG"/>
              </w:rPr>
              <w:t xml:space="preserve">офисите във връзка с подпомагане на дейностите, свързани с разширяване на капацитета за предоставяне на консултантски услуги ще се </w:t>
            </w:r>
            <w:r>
              <w:rPr>
                <w:rFonts w:eastAsia="Times New Roman" w:cs="Times New Roman"/>
                <w:lang w:val="bg-BG"/>
              </w:rPr>
              <w:t xml:space="preserve">определя като процент от </w:t>
            </w:r>
            <w:r w:rsidRPr="00EE1987">
              <w:rPr>
                <w:rFonts w:eastAsia="Times New Roman" w:cs="Times New Roman"/>
                <w:lang w:val="bg-BG"/>
              </w:rPr>
              <w:t>разходите за персонал на годишна база.</w:t>
            </w:r>
          </w:p>
          <w:p w14:paraId="3D676808" w14:textId="16B26997" w:rsidR="00990EF9" w:rsidRPr="00467BC9" w:rsidRDefault="006063D0" w:rsidP="00467BC9">
            <w:pPr>
              <w:spacing w:before="240" w:after="240"/>
              <w:jc w:val="both"/>
              <w:rPr>
                <w:rFonts w:eastAsia="Times New Roman" w:cs="Times New Roman"/>
                <w:lang w:val="bg-BG"/>
              </w:rPr>
            </w:pPr>
            <w:r w:rsidRPr="00D905D2">
              <w:rPr>
                <w:rFonts w:eastAsia="Times New Roman" w:cs="Times New Roman"/>
                <w:lang w:val="bg-BG"/>
              </w:rPr>
              <w:t>Максималният размер на помощта за индивидуалните консултантски услуги в рамките на един консултантски пакет е 1</w:t>
            </w:r>
            <w:r w:rsidR="00655049" w:rsidRPr="00D905D2">
              <w:rPr>
                <w:rFonts w:eastAsia="Times New Roman" w:cs="Times New Roman"/>
                <w:lang w:val="bg-BG"/>
              </w:rPr>
              <w:t> </w:t>
            </w:r>
            <w:r w:rsidRPr="00D905D2">
              <w:rPr>
                <w:rFonts w:eastAsia="Times New Roman" w:cs="Times New Roman"/>
                <w:lang w:val="bg-BG"/>
              </w:rPr>
              <w:t>500</w:t>
            </w:r>
            <w:r w:rsidR="00655049" w:rsidRPr="00D905D2">
              <w:rPr>
                <w:rFonts w:eastAsia="Times New Roman" w:cs="Times New Roman"/>
                <w:lang w:val="bg-BG"/>
              </w:rPr>
              <w:t xml:space="preserve"> </w:t>
            </w:r>
            <w:r w:rsidRPr="00D905D2">
              <w:rPr>
                <w:rFonts w:eastAsia="Times New Roman" w:cs="Times New Roman"/>
                <w:lang w:val="bg-BG"/>
              </w:rPr>
              <w:t>евро.</w:t>
            </w:r>
            <w:r w:rsidRPr="006063D0">
              <w:rPr>
                <w:rFonts w:eastAsia="Times New Roman" w:cs="Times New Roman"/>
                <w:lang w:val="bg-BG"/>
              </w:rPr>
              <w:t xml:space="preserve"> </w:t>
            </w:r>
          </w:p>
        </w:tc>
      </w:tr>
    </w:tbl>
    <w:p w14:paraId="2B71B025" w14:textId="77777777" w:rsidR="005F556B" w:rsidRDefault="005F556B" w:rsidP="005F556B">
      <w:pPr>
        <w:spacing w:line="240" w:lineRule="auto"/>
        <w:jc w:val="both"/>
        <w:rPr>
          <w:b/>
          <w:lang w:val="bg-BG"/>
        </w:rPr>
      </w:pPr>
    </w:p>
    <w:p w14:paraId="437F51AF" w14:textId="77777777" w:rsidR="000A2E65" w:rsidRPr="000A2E65" w:rsidRDefault="000A2E65" w:rsidP="00252CFE">
      <w:pPr>
        <w:spacing w:line="240" w:lineRule="auto"/>
        <w:jc w:val="both"/>
        <w:rPr>
          <w:b/>
          <w:lang w:val="bg-BG"/>
        </w:rPr>
      </w:pPr>
    </w:p>
    <w:sectPr w:rsidR="000A2E65" w:rsidRPr="000A2E65" w:rsidSect="00BE7E72">
      <w:headerReference w:type="even" r:id="rId9"/>
      <w:headerReference w:type="default" r:id="rId10"/>
      <w:headerReference w:type="first" r:id="rId11"/>
      <w:pgSz w:w="11906" w:h="16838"/>
      <w:pgMar w:top="1440" w:right="1440" w:bottom="993"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66D830A" w15:done="0"/>
  <w15:commentEx w15:paraId="3248CFA8" w15:done="0"/>
  <w15:commentEx w15:paraId="2E531C4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66D830A" w16cid:durableId="236FA106"/>
  <w16cid:commentId w16cid:paraId="3248CFA8" w16cid:durableId="236FA107"/>
  <w16cid:commentId w16cid:paraId="2E531C46" w16cid:durableId="236FA10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5B3F09" w14:textId="77777777" w:rsidR="007B3E22" w:rsidRDefault="007B3E22" w:rsidP="00C46DC8">
      <w:pPr>
        <w:spacing w:after="0" w:line="240" w:lineRule="auto"/>
      </w:pPr>
      <w:r>
        <w:separator/>
      </w:r>
    </w:p>
  </w:endnote>
  <w:endnote w:type="continuationSeparator" w:id="0">
    <w:p w14:paraId="6083C070" w14:textId="77777777" w:rsidR="007B3E22" w:rsidRDefault="007B3E22" w:rsidP="00C46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E63915" w14:textId="77777777" w:rsidR="007B3E22" w:rsidRDefault="007B3E22" w:rsidP="00C46DC8">
      <w:pPr>
        <w:spacing w:after="0" w:line="240" w:lineRule="auto"/>
      </w:pPr>
      <w:r>
        <w:separator/>
      </w:r>
    </w:p>
  </w:footnote>
  <w:footnote w:type="continuationSeparator" w:id="0">
    <w:p w14:paraId="0A21346E" w14:textId="77777777" w:rsidR="007B3E22" w:rsidRDefault="007B3E22" w:rsidP="00C46D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8554C6" w14:textId="77777777" w:rsidR="006B6279" w:rsidRDefault="007B3E22">
    <w:pPr>
      <w:pStyle w:val="Header"/>
    </w:pPr>
    <w:r>
      <w:rPr>
        <w:noProof/>
      </w:rPr>
      <w:pict w14:anchorId="5053CB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076998" o:spid="_x0000_s2050" type="#_x0000_t136" style="position:absolute;margin-left:0;margin-top:0;width:424.2pt;height:212.1pt;rotation:315;z-index:-251655168;mso-position-horizontal:center;mso-position-horizontal-relative:margin;mso-position-vertical:center;mso-position-vertical-relative:margin" o:allowincell="f" fillcolor="#365f91 [2404]"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60C17" w14:textId="77777777" w:rsidR="006B6279" w:rsidRDefault="007B3E22">
    <w:pPr>
      <w:pStyle w:val="Header"/>
    </w:pPr>
    <w:r>
      <w:rPr>
        <w:noProof/>
      </w:rPr>
      <w:pict w14:anchorId="39B7D4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076999" o:spid="_x0000_s2051" type="#_x0000_t136" style="position:absolute;margin-left:0;margin-top:0;width:424.2pt;height:212.1pt;rotation:315;z-index:-251653120;mso-position-horizontal:center;mso-position-horizontal-relative:margin;mso-position-vertical:center;mso-position-vertical-relative:margin" o:allowincell="f" fillcolor="#365f91 [2404]" stroked="f">
          <v:fill opacity=".5"/>
          <v:textpath style="font-family:&quot;Calibri&quot;;font-size:1pt" string="ПРОЕКТ"/>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C696C" w14:textId="77777777" w:rsidR="006B6279" w:rsidRDefault="007B3E22">
    <w:pPr>
      <w:pStyle w:val="Header"/>
    </w:pPr>
    <w:r>
      <w:rPr>
        <w:noProof/>
      </w:rPr>
      <w:pict w14:anchorId="5C63EE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076997" o:spid="_x0000_s2049" type="#_x0000_t136" style="position:absolute;margin-left:0;margin-top:0;width:424.2pt;height:212.1pt;rotation:315;z-index:-251657216;mso-position-horizontal:center;mso-position-horizontal-relative:margin;mso-position-vertical:center;mso-position-vertical-relative:margin" o:allowincell="f" fillcolor="#365f91 [2404]"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A68"/>
    <w:multiLevelType w:val="hybridMultilevel"/>
    <w:tmpl w:val="BAC0E9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335F12"/>
    <w:multiLevelType w:val="hybridMultilevel"/>
    <w:tmpl w:val="1E6C82E0"/>
    <w:lvl w:ilvl="0" w:tplc="74069C44">
      <w:start w:val="1"/>
      <w:numFmt w:val="bullet"/>
      <w:lvlText w:val="₋"/>
      <w:lvlJc w:val="left"/>
      <w:pPr>
        <w:ind w:left="720" w:hanging="360"/>
      </w:pPr>
      <w:rPr>
        <w:rFonts w:ascii="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A371A70"/>
    <w:multiLevelType w:val="hybridMultilevel"/>
    <w:tmpl w:val="92868F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1577CFA"/>
    <w:multiLevelType w:val="hybridMultilevel"/>
    <w:tmpl w:val="B05437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20D2994"/>
    <w:multiLevelType w:val="hybridMultilevel"/>
    <w:tmpl w:val="97B0C514"/>
    <w:lvl w:ilvl="0" w:tplc="E9306B36">
      <w:numFmt w:val="bullet"/>
      <w:lvlText w:val="-"/>
      <w:lvlJc w:val="left"/>
      <w:pPr>
        <w:ind w:left="720" w:hanging="360"/>
      </w:pPr>
      <w:rPr>
        <w:rFonts w:ascii="Calibri" w:eastAsiaTheme="minorEastAsia"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2503060"/>
    <w:multiLevelType w:val="hybridMultilevel"/>
    <w:tmpl w:val="8AFED604"/>
    <w:lvl w:ilvl="0" w:tplc="AEB87DF4">
      <w:start w:val="8"/>
      <w:numFmt w:val="bullet"/>
      <w:lvlText w:val="-"/>
      <w:lvlJc w:val="left"/>
      <w:pPr>
        <w:ind w:left="720" w:hanging="360"/>
      </w:pPr>
      <w:rPr>
        <w:rFonts w:ascii="Calibri" w:eastAsiaTheme="minorEastAsia" w:hAnsi="Calibri" w:cstheme="minorBidi" w:hint="default"/>
        <w:color w:val="000000" w:themeColor="text1"/>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2B442CB"/>
    <w:multiLevelType w:val="hybridMultilevel"/>
    <w:tmpl w:val="2B967192"/>
    <w:lvl w:ilvl="0" w:tplc="9A427648">
      <w:start w:val="3"/>
      <w:numFmt w:val="bullet"/>
      <w:lvlText w:val="-"/>
      <w:lvlJc w:val="left"/>
      <w:pPr>
        <w:ind w:left="720" w:hanging="360"/>
      </w:pPr>
      <w:rPr>
        <w:rFonts w:ascii="Calibri" w:eastAsiaTheme="minorEastAsia" w:hAnsi="Calibri"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3747D93"/>
    <w:multiLevelType w:val="multilevel"/>
    <w:tmpl w:val="E27C4F3E"/>
    <w:lvl w:ilvl="0">
      <w:start w:val="1"/>
      <w:numFmt w:val="decimal"/>
      <w:lvlText w:val="%1."/>
      <w:lvlJc w:val="left"/>
      <w:pPr>
        <w:ind w:left="360" w:hanging="360"/>
      </w:pPr>
      <w:rPr>
        <w:b/>
      </w:r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6E873F2"/>
    <w:multiLevelType w:val="hybridMultilevel"/>
    <w:tmpl w:val="69D4892A"/>
    <w:lvl w:ilvl="0" w:tplc="E6A03D12">
      <w:start w:val="2"/>
      <w:numFmt w:val="bullet"/>
      <w:lvlText w:val="-"/>
      <w:lvlJc w:val="left"/>
      <w:pPr>
        <w:ind w:left="720" w:hanging="360"/>
      </w:pPr>
      <w:rPr>
        <w:rFonts w:ascii="Calibri" w:eastAsiaTheme="minorEastAsia" w:hAnsi="Calibri"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2F5C094D"/>
    <w:multiLevelType w:val="hybridMultilevel"/>
    <w:tmpl w:val="DB3290B2"/>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3A865F63"/>
    <w:multiLevelType w:val="hybridMultilevel"/>
    <w:tmpl w:val="4754D7DE"/>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40182629"/>
    <w:multiLevelType w:val="hybridMultilevel"/>
    <w:tmpl w:val="52C00828"/>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43A96A98"/>
    <w:multiLevelType w:val="hybridMultilevel"/>
    <w:tmpl w:val="0E8A43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55223430"/>
    <w:multiLevelType w:val="hybridMultilevel"/>
    <w:tmpl w:val="4754D7DE"/>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5A4D7E82"/>
    <w:multiLevelType w:val="hybridMultilevel"/>
    <w:tmpl w:val="400458CE"/>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654F4293"/>
    <w:multiLevelType w:val="hybridMultilevel"/>
    <w:tmpl w:val="FAE6CE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77414733"/>
    <w:multiLevelType w:val="hybridMultilevel"/>
    <w:tmpl w:val="56821C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787D1D22"/>
    <w:multiLevelType w:val="hybridMultilevel"/>
    <w:tmpl w:val="1362EF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7"/>
  </w:num>
  <w:num w:numId="3">
    <w:abstractNumId w:val="15"/>
  </w:num>
  <w:num w:numId="4">
    <w:abstractNumId w:val="3"/>
  </w:num>
  <w:num w:numId="5">
    <w:abstractNumId w:val="7"/>
  </w:num>
  <w:num w:numId="6">
    <w:abstractNumId w:val="16"/>
  </w:num>
  <w:num w:numId="7">
    <w:abstractNumId w:val="12"/>
  </w:num>
  <w:num w:numId="8">
    <w:abstractNumId w:val="2"/>
  </w:num>
  <w:num w:numId="9">
    <w:abstractNumId w:val="5"/>
  </w:num>
  <w:num w:numId="10">
    <w:abstractNumId w:val="10"/>
  </w:num>
  <w:num w:numId="11">
    <w:abstractNumId w:val="9"/>
  </w:num>
  <w:num w:numId="12">
    <w:abstractNumId w:val="13"/>
  </w:num>
  <w:num w:numId="13">
    <w:abstractNumId w:val="11"/>
  </w:num>
  <w:num w:numId="14">
    <w:abstractNumId w:val="14"/>
  </w:num>
  <w:num w:numId="15">
    <w:abstractNumId w:val="8"/>
  </w:num>
  <w:num w:numId="16">
    <w:abstractNumId w:val="6"/>
  </w:num>
  <w:num w:numId="17">
    <w:abstractNumId w:val="4"/>
  </w:num>
  <w:num w:numId="1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imitar Iv">
    <w15:presenceInfo w15:providerId="Windows Live" w15:userId="60c4594aefa54f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CE6"/>
    <w:rsid w:val="00021763"/>
    <w:rsid w:val="00027128"/>
    <w:rsid w:val="000410D5"/>
    <w:rsid w:val="000615B6"/>
    <w:rsid w:val="00072CAF"/>
    <w:rsid w:val="0007631E"/>
    <w:rsid w:val="00083B60"/>
    <w:rsid w:val="00091262"/>
    <w:rsid w:val="0009266A"/>
    <w:rsid w:val="000A12E2"/>
    <w:rsid w:val="000A2C65"/>
    <w:rsid w:val="000A2E65"/>
    <w:rsid w:val="000A5759"/>
    <w:rsid w:val="000E65A9"/>
    <w:rsid w:val="000F1A1A"/>
    <w:rsid w:val="000F2317"/>
    <w:rsid w:val="000F5445"/>
    <w:rsid w:val="00111EF4"/>
    <w:rsid w:val="0011493F"/>
    <w:rsid w:val="00130A1B"/>
    <w:rsid w:val="00146FF4"/>
    <w:rsid w:val="00147EC0"/>
    <w:rsid w:val="001506B6"/>
    <w:rsid w:val="00164268"/>
    <w:rsid w:val="001664DD"/>
    <w:rsid w:val="00166843"/>
    <w:rsid w:val="001759E6"/>
    <w:rsid w:val="00177B65"/>
    <w:rsid w:val="001B6834"/>
    <w:rsid w:val="001C2A90"/>
    <w:rsid w:val="001D2848"/>
    <w:rsid w:val="001D3F38"/>
    <w:rsid w:val="001E1E82"/>
    <w:rsid w:val="00201784"/>
    <w:rsid w:val="00216D60"/>
    <w:rsid w:val="0022571C"/>
    <w:rsid w:val="0023494F"/>
    <w:rsid w:val="0024588F"/>
    <w:rsid w:val="002470B2"/>
    <w:rsid w:val="00252CFE"/>
    <w:rsid w:val="00287BA1"/>
    <w:rsid w:val="00295805"/>
    <w:rsid w:val="00297977"/>
    <w:rsid w:val="002B3CA4"/>
    <w:rsid w:val="002C774F"/>
    <w:rsid w:val="002D313F"/>
    <w:rsid w:val="002E1310"/>
    <w:rsid w:val="002E576B"/>
    <w:rsid w:val="002F6A73"/>
    <w:rsid w:val="00314132"/>
    <w:rsid w:val="00322B1F"/>
    <w:rsid w:val="00323875"/>
    <w:rsid w:val="00323C4C"/>
    <w:rsid w:val="0034383F"/>
    <w:rsid w:val="00351804"/>
    <w:rsid w:val="003618FC"/>
    <w:rsid w:val="00374394"/>
    <w:rsid w:val="003812FB"/>
    <w:rsid w:val="00392350"/>
    <w:rsid w:val="003A4B84"/>
    <w:rsid w:val="003A64ED"/>
    <w:rsid w:val="003A6CE6"/>
    <w:rsid w:val="003B2B39"/>
    <w:rsid w:val="003B2C33"/>
    <w:rsid w:val="003D51F8"/>
    <w:rsid w:val="00410FBF"/>
    <w:rsid w:val="00413109"/>
    <w:rsid w:val="00413957"/>
    <w:rsid w:val="00426C92"/>
    <w:rsid w:val="00433657"/>
    <w:rsid w:val="00433AC5"/>
    <w:rsid w:val="00440223"/>
    <w:rsid w:val="00453389"/>
    <w:rsid w:val="0046113A"/>
    <w:rsid w:val="00461C84"/>
    <w:rsid w:val="00464273"/>
    <w:rsid w:val="00465D61"/>
    <w:rsid w:val="00467BC9"/>
    <w:rsid w:val="004A1C67"/>
    <w:rsid w:val="004B013C"/>
    <w:rsid w:val="004B5C67"/>
    <w:rsid w:val="004C27F1"/>
    <w:rsid w:val="004D47EE"/>
    <w:rsid w:val="004D583C"/>
    <w:rsid w:val="004F32B8"/>
    <w:rsid w:val="00516D61"/>
    <w:rsid w:val="0052608F"/>
    <w:rsid w:val="00551F8B"/>
    <w:rsid w:val="00553908"/>
    <w:rsid w:val="00567D49"/>
    <w:rsid w:val="005713C5"/>
    <w:rsid w:val="005A3D49"/>
    <w:rsid w:val="005C1410"/>
    <w:rsid w:val="005C64A0"/>
    <w:rsid w:val="005C7442"/>
    <w:rsid w:val="005D44BF"/>
    <w:rsid w:val="005E111D"/>
    <w:rsid w:val="005E3DB4"/>
    <w:rsid w:val="005E51D4"/>
    <w:rsid w:val="005F057C"/>
    <w:rsid w:val="005F40FF"/>
    <w:rsid w:val="005F556B"/>
    <w:rsid w:val="005F73A5"/>
    <w:rsid w:val="005F7C04"/>
    <w:rsid w:val="0060086E"/>
    <w:rsid w:val="00602900"/>
    <w:rsid w:val="006063D0"/>
    <w:rsid w:val="00620666"/>
    <w:rsid w:val="00655049"/>
    <w:rsid w:val="006704CF"/>
    <w:rsid w:val="00673344"/>
    <w:rsid w:val="006747CC"/>
    <w:rsid w:val="00681B6D"/>
    <w:rsid w:val="00686CEF"/>
    <w:rsid w:val="00693CFD"/>
    <w:rsid w:val="00694E56"/>
    <w:rsid w:val="006B1909"/>
    <w:rsid w:val="006B1B26"/>
    <w:rsid w:val="006B6279"/>
    <w:rsid w:val="006C6AC7"/>
    <w:rsid w:val="006D2D77"/>
    <w:rsid w:val="006E005F"/>
    <w:rsid w:val="006E2B99"/>
    <w:rsid w:val="006E2C6A"/>
    <w:rsid w:val="006E54DC"/>
    <w:rsid w:val="006F5D0F"/>
    <w:rsid w:val="007035C5"/>
    <w:rsid w:val="00715809"/>
    <w:rsid w:val="00716C9A"/>
    <w:rsid w:val="007509FC"/>
    <w:rsid w:val="00770236"/>
    <w:rsid w:val="00772B90"/>
    <w:rsid w:val="00780A63"/>
    <w:rsid w:val="00784CDD"/>
    <w:rsid w:val="007A2641"/>
    <w:rsid w:val="007A75A3"/>
    <w:rsid w:val="007B389E"/>
    <w:rsid w:val="007B3E22"/>
    <w:rsid w:val="007B4071"/>
    <w:rsid w:val="007B60C7"/>
    <w:rsid w:val="007C6B9A"/>
    <w:rsid w:val="007D1335"/>
    <w:rsid w:val="007D4B8E"/>
    <w:rsid w:val="007E0EE3"/>
    <w:rsid w:val="007E1C9F"/>
    <w:rsid w:val="007F6563"/>
    <w:rsid w:val="00817FF5"/>
    <w:rsid w:val="00833722"/>
    <w:rsid w:val="008526F1"/>
    <w:rsid w:val="008609E2"/>
    <w:rsid w:val="00876447"/>
    <w:rsid w:val="0089083F"/>
    <w:rsid w:val="00890974"/>
    <w:rsid w:val="00891D8E"/>
    <w:rsid w:val="008976FF"/>
    <w:rsid w:val="008A7C31"/>
    <w:rsid w:val="008B037F"/>
    <w:rsid w:val="008B10A8"/>
    <w:rsid w:val="008C3C8B"/>
    <w:rsid w:val="008C74DB"/>
    <w:rsid w:val="008D3A9A"/>
    <w:rsid w:val="008E5BEA"/>
    <w:rsid w:val="008E7210"/>
    <w:rsid w:val="008F03F2"/>
    <w:rsid w:val="008F05DA"/>
    <w:rsid w:val="00900747"/>
    <w:rsid w:val="00907B02"/>
    <w:rsid w:val="0091452D"/>
    <w:rsid w:val="009215F7"/>
    <w:rsid w:val="009224D3"/>
    <w:rsid w:val="00927421"/>
    <w:rsid w:val="009332EC"/>
    <w:rsid w:val="00933F51"/>
    <w:rsid w:val="00935872"/>
    <w:rsid w:val="00941407"/>
    <w:rsid w:val="00942B62"/>
    <w:rsid w:val="00950149"/>
    <w:rsid w:val="00950EC5"/>
    <w:rsid w:val="00975A3A"/>
    <w:rsid w:val="00990BE1"/>
    <w:rsid w:val="00990EF9"/>
    <w:rsid w:val="009B237B"/>
    <w:rsid w:val="009B2ED1"/>
    <w:rsid w:val="009B572F"/>
    <w:rsid w:val="009D0A17"/>
    <w:rsid w:val="009E4383"/>
    <w:rsid w:val="00A11423"/>
    <w:rsid w:val="00A20F14"/>
    <w:rsid w:val="00A65563"/>
    <w:rsid w:val="00A70C37"/>
    <w:rsid w:val="00A7340E"/>
    <w:rsid w:val="00A7344D"/>
    <w:rsid w:val="00A81952"/>
    <w:rsid w:val="00A97C16"/>
    <w:rsid w:val="00AA069F"/>
    <w:rsid w:val="00AA5E78"/>
    <w:rsid w:val="00AD7F18"/>
    <w:rsid w:val="00B04758"/>
    <w:rsid w:val="00B06918"/>
    <w:rsid w:val="00B16744"/>
    <w:rsid w:val="00B17A8F"/>
    <w:rsid w:val="00B208C9"/>
    <w:rsid w:val="00B56527"/>
    <w:rsid w:val="00B60147"/>
    <w:rsid w:val="00B81CBF"/>
    <w:rsid w:val="00B84C75"/>
    <w:rsid w:val="00B928F7"/>
    <w:rsid w:val="00B92EB3"/>
    <w:rsid w:val="00B97E11"/>
    <w:rsid w:val="00BC19F0"/>
    <w:rsid w:val="00BC2D56"/>
    <w:rsid w:val="00BD6438"/>
    <w:rsid w:val="00BE7E72"/>
    <w:rsid w:val="00C066EB"/>
    <w:rsid w:val="00C17EA6"/>
    <w:rsid w:val="00C22569"/>
    <w:rsid w:val="00C245AA"/>
    <w:rsid w:val="00C300F6"/>
    <w:rsid w:val="00C40C02"/>
    <w:rsid w:val="00C46DC8"/>
    <w:rsid w:val="00CA5A7B"/>
    <w:rsid w:val="00CC2A84"/>
    <w:rsid w:val="00D143B5"/>
    <w:rsid w:val="00D15C9E"/>
    <w:rsid w:val="00D219E2"/>
    <w:rsid w:val="00D3075F"/>
    <w:rsid w:val="00D346D3"/>
    <w:rsid w:val="00D366A0"/>
    <w:rsid w:val="00D752D4"/>
    <w:rsid w:val="00D905D2"/>
    <w:rsid w:val="00D92818"/>
    <w:rsid w:val="00DA7753"/>
    <w:rsid w:val="00DB1959"/>
    <w:rsid w:val="00DB42EB"/>
    <w:rsid w:val="00DC08EE"/>
    <w:rsid w:val="00DC1C90"/>
    <w:rsid w:val="00DC710F"/>
    <w:rsid w:val="00DD2471"/>
    <w:rsid w:val="00DD2EB7"/>
    <w:rsid w:val="00DE112E"/>
    <w:rsid w:val="00DE6D78"/>
    <w:rsid w:val="00DE7C10"/>
    <w:rsid w:val="00DE7C1B"/>
    <w:rsid w:val="00DF31CB"/>
    <w:rsid w:val="00E0768F"/>
    <w:rsid w:val="00E13B35"/>
    <w:rsid w:val="00E1551E"/>
    <w:rsid w:val="00E15F3A"/>
    <w:rsid w:val="00E30C50"/>
    <w:rsid w:val="00E354E0"/>
    <w:rsid w:val="00E428BE"/>
    <w:rsid w:val="00E45A0A"/>
    <w:rsid w:val="00E53C53"/>
    <w:rsid w:val="00E62D76"/>
    <w:rsid w:val="00E76E03"/>
    <w:rsid w:val="00E802E9"/>
    <w:rsid w:val="00E869B8"/>
    <w:rsid w:val="00EB388A"/>
    <w:rsid w:val="00EB7040"/>
    <w:rsid w:val="00EE1987"/>
    <w:rsid w:val="00EF0963"/>
    <w:rsid w:val="00EF210C"/>
    <w:rsid w:val="00F12116"/>
    <w:rsid w:val="00F124C9"/>
    <w:rsid w:val="00F21D3A"/>
    <w:rsid w:val="00F22043"/>
    <w:rsid w:val="00F35ECB"/>
    <w:rsid w:val="00F463BC"/>
    <w:rsid w:val="00F471C0"/>
    <w:rsid w:val="00F5338B"/>
    <w:rsid w:val="00F82C34"/>
    <w:rsid w:val="00F87784"/>
    <w:rsid w:val="00F965B8"/>
    <w:rsid w:val="00FA3928"/>
    <w:rsid w:val="00FB5BC3"/>
    <w:rsid w:val="00FB5FC5"/>
    <w:rsid w:val="00FE16B1"/>
    <w:rsid w:val="00FE7E2E"/>
    <w:rsid w:val="00FF68AA"/>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04B8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7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BC2D56"/>
    <w:pPr>
      <w:ind w:left="720"/>
      <w:contextualSpacing/>
    </w:pPr>
  </w:style>
  <w:style w:type="character" w:styleId="CommentReference">
    <w:name w:val="annotation reference"/>
    <w:basedOn w:val="DefaultParagraphFont"/>
    <w:uiPriority w:val="99"/>
    <w:semiHidden/>
    <w:unhideWhenUsed/>
    <w:rsid w:val="00027128"/>
    <w:rPr>
      <w:sz w:val="16"/>
      <w:szCs w:val="16"/>
    </w:rPr>
  </w:style>
  <w:style w:type="paragraph" w:styleId="CommentText">
    <w:name w:val="annotation text"/>
    <w:basedOn w:val="Normal"/>
    <w:link w:val="CommentTextChar"/>
    <w:uiPriority w:val="99"/>
    <w:semiHidden/>
    <w:unhideWhenUsed/>
    <w:rsid w:val="00027128"/>
    <w:pPr>
      <w:spacing w:line="240" w:lineRule="auto"/>
    </w:pPr>
    <w:rPr>
      <w:sz w:val="20"/>
      <w:szCs w:val="20"/>
    </w:rPr>
  </w:style>
  <w:style w:type="character" w:customStyle="1" w:styleId="CommentTextChar">
    <w:name w:val="Comment Text Char"/>
    <w:basedOn w:val="DefaultParagraphFont"/>
    <w:link w:val="CommentText"/>
    <w:uiPriority w:val="99"/>
    <w:semiHidden/>
    <w:rsid w:val="00027128"/>
    <w:rPr>
      <w:sz w:val="20"/>
      <w:szCs w:val="20"/>
    </w:rPr>
  </w:style>
  <w:style w:type="paragraph" w:styleId="CommentSubject">
    <w:name w:val="annotation subject"/>
    <w:basedOn w:val="CommentText"/>
    <w:next w:val="CommentText"/>
    <w:link w:val="CommentSubjectChar"/>
    <w:uiPriority w:val="99"/>
    <w:semiHidden/>
    <w:unhideWhenUsed/>
    <w:rsid w:val="00027128"/>
    <w:rPr>
      <w:b/>
      <w:bCs/>
    </w:rPr>
  </w:style>
  <w:style w:type="character" w:customStyle="1" w:styleId="CommentSubjectChar">
    <w:name w:val="Comment Subject Char"/>
    <w:basedOn w:val="CommentTextChar"/>
    <w:link w:val="CommentSubject"/>
    <w:uiPriority w:val="99"/>
    <w:semiHidden/>
    <w:rsid w:val="00027128"/>
    <w:rPr>
      <w:b/>
      <w:bCs/>
      <w:sz w:val="20"/>
      <w:szCs w:val="20"/>
    </w:rPr>
  </w:style>
  <w:style w:type="paragraph" w:styleId="BalloonText">
    <w:name w:val="Balloon Text"/>
    <w:basedOn w:val="Normal"/>
    <w:link w:val="BalloonTextChar"/>
    <w:uiPriority w:val="99"/>
    <w:semiHidden/>
    <w:unhideWhenUsed/>
    <w:rsid w:val="000271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128"/>
    <w:rPr>
      <w:rFonts w:ascii="Tahoma" w:hAnsi="Tahoma" w:cs="Tahoma"/>
      <w:sz w:val="16"/>
      <w:szCs w:val="16"/>
    </w:rPr>
  </w:style>
  <w:style w:type="character" w:customStyle="1" w:styleId="tlid-translation">
    <w:name w:val="tlid-translation"/>
    <w:basedOn w:val="DefaultParagraphFont"/>
    <w:rsid w:val="003B2B39"/>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9B2ED1"/>
  </w:style>
  <w:style w:type="paragraph" w:styleId="Header">
    <w:name w:val="header"/>
    <w:basedOn w:val="Normal"/>
    <w:link w:val="HeaderChar"/>
    <w:uiPriority w:val="99"/>
    <w:unhideWhenUsed/>
    <w:rsid w:val="00C46D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C46DC8"/>
  </w:style>
  <w:style w:type="paragraph" w:styleId="Footer">
    <w:name w:val="footer"/>
    <w:basedOn w:val="Normal"/>
    <w:link w:val="FooterChar"/>
    <w:uiPriority w:val="99"/>
    <w:unhideWhenUsed/>
    <w:rsid w:val="00C46D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6DC8"/>
  </w:style>
  <w:style w:type="paragraph" w:styleId="Revision">
    <w:name w:val="Revision"/>
    <w:hidden/>
    <w:uiPriority w:val="99"/>
    <w:semiHidden/>
    <w:rsid w:val="00D905D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7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BC2D56"/>
    <w:pPr>
      <w:ind w:left="720"/>
      <w:contextualSpacing/>
    </w:pPr>
  </w:style>
  <w:style w:type="character" w:styleId="CommentReference">
    <w:name w:val="annotation reference"/>
    <w:basedOn w:val="DefaultParagraphFont"/>
    <w:uiPriority w:val="99"/>
    <w:semiHidden/>
    <w:unhideWhenUsed/>
    <w:rsid w:val="00027128"/>
    <w:rPr>
      <w:sz w:val="16"/>
      <w:szCs w:val="16"/>
    </w:rPr>
  </w:style>
  <w:style w:type="paragraph" w:styleId="CommentText">
    <w:name w:val="annotation text"/>
    <w:basedOn w:val="Normal"/>
    <w:link w:val="CommentTextChar"/>
    <w:uiPriority w:val="99"/>
    <w:semiHidden/>
    <w:unhideWhenUsed/>
    <w:rsid w:val="00027128"/>
    <w:pPr>
      <w:spacing w:line="240" w:lineRule="auto"/>
    </w:pPr>
    <w:rPr>
      <w:sz w:val="20"/>
      <w:szCs w:val="20"/>
    </w:rPr>
  </w:style>
  <w:style w:type="character" w:customStyle="1" w:styleId="CommentTextChar">
    <w:name w:val="Comment Text Char"/>
    <w:basedOn w:val="DefaultParagraphFont"/>
    <w:link w:val="CommentText"/>
    <w:uiPriority w:val="99"/>
    <w:semiHidden/>
    <w:rsid w:val="00027128"/>
    <w:rPr>
      <w:sz w:val="20"/>
      <w:szCs w:val="20"/>
    </w:rPr>
  </w:style>
  <w:style w:type="paragraph" w:styleId="CommentSubject">
    <w:name w:val="annotation subject"/>
    <w:basedOn w:val="CommentText"/>
    <w:next w:val="CommentText"/>
    <w:link w:val="CommentSubjectChar"/>
    <w:uiPriority w:val="99"/>
    <w:semiHidden/>
    <w:unhideWhenUsed/>
    <w:rsid w:val="00027128"/>
    <w:rPr>
      <w:b/>
      <w:bCs/>
    </w:rPr>
  </w:style>
  <w:style w:type="character" w:customStyle="1" w:styleId="CommentSubjectChar">
    <w:name w:val="Comment Subject Char"/>
    <w:basedOn w:val="CommentTextChar"/>
    <w:link w:val="CommentSubject"/>
    <w:uiPriority w:val="99"/>
    <w:semiHidden/>
    <w:rsid w:val="00027128"/>
    <w:rPr>
      <w:b/>
      <w:bCs/>
      <w:sz w:val="20"/>
      <w:szCs w:val="20"/>
    </w:rPr>
  </w:style>
  <w:style w:type="paragraph" w:styleId="BalloonText">
    <w:name w:val="Balloon Text"/>
    <w:basedOn w:val="Normal"/>
    <w:link w:val="BalloonTextChar"/>
    <w:uiPriority w:val="99"/>
    <w:semiHidden/>
    <w:unhideWhenUsed/>
    <w:rsid w:val="000271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128"/>
    <w:rPr>
      <w:rFonts w:ascii="Tahoma" w:hAnsi="Tahoma" w:cs="Tahoma"/>
      <w:sz w:val="16"/>
      <w:szCs w:val="16"/>
    </w:rPr>
  </w:style>
  <w:style w:type="character" w:customStyle="1" w:styleId="tlid-translation">
    <w:name w:val="tlid-translation"/>
    <w:basedOn w:val="DefaultParagraphFont"/>
    <w:rsid w:val="003B2B39"/>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9B2ED1"/>
  </w:style>
  <w:style w:type="paragraph" w:styleId="Header">
    <w:name w:val="header"/>
    <w:basedOn w:val="Normal"/>
    <w:link w:val="HeaderChar"/>
    <w:uiPriority w:val="99"/>
    <w:unhideWhenUsed/>
    <w:rsid w:val="00C46D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C46DC8"/>
  </w:style>
  <w:style w:type="paragraph" w:styleId="Footer">
    <w:name w:val="footer"/>
    <w:basedOn w:val="Normal"/>
    <w:link w:val="FooterChar"/>
    <w:uiPriority w:val="99"/>
    <w:unhideWhenUsed/>
    <w:rsid w:val="00C46D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6DC8"/>
  </w:style>
  <w:style w:type="paragraph" w:styleId="Revision">
    <w:name w:val="Revision"/>
    <w:hidden/>
    <w:uiPriority w:val="99"/>
    <w:semiHidden/>
    <w:rsid w:val="00D905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782704">
      <w:bodyDiv w:val="1"/>
      <w:marLeft w:val="0"/>
      <w:marRight w:val="0"/>
      <w:marTop w:val="0"/>
      <w:marBottom w:val="0"/>
      <w:divBdr>
        <w:top w:val="none" w:sz="0" w:space="0" w:color="auto"/>
        <w:left w:val="none" w:sz="0" w:space="0" w:color="auto"/>
        <w:bottom w:val="none" w:sz="0" w:space="0" w:color="auto"/>
        <w:right w:val="none" w:sz="0" w:space="0" w:color="auto"/>
      </w:divBdr>
      <w:divsChild>
        <w:div w:id="444034352">
          <w:marLeft w:val="0"/>
          <w:marRight w:val="0"/>
          <w:marTop w:val="0"/>
          <w:marBottom w:val="0"/>
          <w:divBdr>
            <w:top w:val="none" w:sz="0" w:space="0" w:color="auto"/>
            <w:left w:val="none" w:sz="0" w:space="0" w:color="auto"/>
            <w:bottom w:val="none" w:sz="0" w:space="0" w:color="auto"/>
            <w:right w:val="none" w:sz="0" w:space="0" w:color="auto"/>
          </w:divBdr>
          <w:divsChild>
            <w:div w:id="539055891">
              <w:marLeft w:val="0"/>
              <w:marRight w:val="0"/>
              <w:marTop w:val="0"/>
              <w:marBottom w:val="0"/>
              <w:divBdr>
                <w:top w:val="none" w:sz="0" w:space="0" w:color="auto"/>
                <w:left w:val="none" w:sz="0" w:space="0" w:color="auto"/>
                <w:bottom w:val="none" w:sz="0" w:space="0" w:color="auto"/>
                <w:right w:val="none" w:sz="0" w:space="0" w:color="auto"/>
              </w:divBdr>
              <w:divsChild>
                <w:div w:id="1809782529">
                  <w:marLeft w:val="0"/>
                  <w:marRight w:val="0"/>
                  <w:marTop w:val="0"/>
                  <w:marBottom w:val="0"/>
                  <w:divBdr>
                    <w:top w:val="none" w:sz="0" w:space="0" w:color="auto"/>
                    <w:left w:val="none" w:sz="0" w:space="0" w:color="auto"/>
                    <w:bottom w:val="none" w:sz="0" w:space="0" w:color="auto"/>
                    <w:right w:val="none" w:sz="0" w:space="0" w:color="auto"/>
                  </w:divBdr>
                  <w:divsChild>
                    <w:div w:id="1506355763">
                      <w:marLeft w:val="0"/>
                      <w:marRight w:val="0"/>
                      <w:marTop w:val="0"/>
                      <w:marBottom w:val="0"/>
                      <w:divBdr>
                        <w:top w:val="none" w:sz="0" w:space="0" w:color="auto"/>
                        <w:left w:val="none" w:sz="0" w:space="0" w:color="auto"/>
                        <w:bottom w:val="none" w:sz="0" w:space="0" w:color="auto"/>
                        <w:right w:val="none" w:sz="0" w:space="0" w:color="auto"/>
                      </w:divBdr>
                      <w:divsChild>
                        <w:div w:id="360135970">
                          <w:marLeft w:val="0"/>
                          <w:marRight w:val="0"/>
                          <w:marTop w:val="0"/>
                          <w:marBottom w:val="0"/>
                          <w:divBdr>
                            <w:top w:val="none" w:sz="0" w:space="0" w:color="auto"/>
                            <w:left w:val="none" w:sz="0" w:space="0" w:color="auto"/>
                            <w:bottom w:val="none" w:sz="0" w:space="0" w:color="auto"/>
                            <w:right w:val="none" w:sz="0" w:space="0" w:color="auto"/>
                          </w:divBdr>
                          <w:divsChild>
                            <w:div w:id="875969838">
                              <w:marLeft w:val="0"/>
                              <w:marRight w:val="300"/>
                              <w:marTop w:val="180"/>
                              <w:marBottom w:val="0"/>
                              <w:divBdr>
                                <w:top w:val="none" w:sz="0" w:space="0" w:color="auto"/>
                                <w:left w:val="none" w:sz="0" w:space="0" w:color="auto"/>
                                <w:bottom w:val="none" w:sz="0" w:space="0" w:color="auto"/>
                                <w:right w:val="none" w:sz="0" w:space="0" w:color="auto"/>
                              </w:divBdr>
                              <w:divsChild>
                                <w:div w:id="101321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8873621">
          <w:marLeft w:val="0"/>
          <w:marRight w:val="0"/>
          <w:marTop w:val="0"/>
          <w:marBottom w:val="0"/>
          <w:divBdr>
            <w:top w:val="none" w:sz="0" w:space="0" w:color="auto"/>
            <w:left w:val="none" w:sz="0" w:space="0" w:color="auto"/>
            <w:bottom w:val="none" w:sz="0" w:space="0" w:color="auto"/>
            <w:right w:val="none" w:sz="0" w:space="0" w:color="auto"/>
          </w:divBdr>
          <w:divsChild>
            <w:div w:id="710419743">
              <w:marLeft w:val="0"/>
              <w:marRight w:val="0"/>
              <w:marTop w:val="0"/>
              <w:marBottom w:val="0"/>
              <w:divBdr>
                <w:top w:val="none" w:sz="0" w:space="0" w:color="auto"/>
                <w:left w:val="none" w:sz="0" w:space="0" w:color="auto"/>
                <w:bottom w:val="none" w:sz="0" w:space="0" w:color="auto"/>
                <w:right w:val="none" w:sz="0" w:space="0" w:color="auto"/>
              </w:divBdr>
              <w:divsChild>
                <w:div w:id="397829298">
                  <w:marLeft w:val="0"/>
                  <w:marRight w:val="0"/>
                  <w:marTop w:val="0"/>
                  <w:marBottom w:val="0"/>
                  <w:divBdr>
                    <w:top w:val="none" w:sz="0" w:space="0" w:color="auto"/>
                    <w:left w:val="none" w:sz="0" w:space="0" w:color="auto"/>
                    <w:bottom w:val="none" w:sz="0" w:space="0" w:color="auto"/>
                    <w:right w:val="none" w:sz="0" w:space="0" w:color="auto"/>
                  </w:divBdr>
                  <w:divsChild>
                    <w:div w:id="1444417895">
                      <w:marLeft w:val="0"/>
                      <w:marRight w:val="0"/>
                      <w:marTop w:val="0"/>
                      <w:marBottom w:val="0"/>
                      <w:divBdr>
                        <w:top w:val="none" w:sz="0" w:space="0" w:color="auto"/>
                        <w:left w:val="none" w:sz="0" w:space="0" w:color="auto"/>
                        <w:bottom w:val="none" w:sz="0" w:space="0" w:color="auto"/>
                        <w:right w:val="none" w:sz="0" w:space="0" w:color="auto"/>
                      </w:divBdr>
                      <w:divsChild>
                        <w:div w:id="193686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6155009">
      <w:bodyDiv w:val="1"/>
      <w:marLeft w:val="0"/>
      <w:marRight w:val="0"/>
      <w:marTop w:val="0"/>
      <w:marBottom w:val="0"/>
      <w:divBdr>
        <w:top w:val="none" w:sz="0" w:space="0" w:color="auto"/>
        <w:left w:val="none" w:sz="0" w:space="0" w:color="auto"/>
        <w:bottom w:val="none" w:sz="0" w:space="0" w:color="auto"/>
        <w:right w:val="none" w:sz="0" w:space="0" w:color="auto"/>
      </w:divBdr>
    </w:div>
    <w:div w:id="1465075719">
      <w:bodyDiv w:val="1"/>
      <w:marLeft w:val="0"/>
      <w:marRight w:val="0"/>
      <w:marTop w:val="0"/>
      <w:marBottom w:val="0"/>
      <w:divBdr>
        <w:top w:val="none" w:sz="0" w:space="0" w:color="auto"/>
        <w:left w:val="none" w:sz="0" w:space="0" w:color="auto"/>
        <w:bottom w:val="none" w:sz="0" w:space="0" w:color="auto"/>
        <w:right w:val="none" w:sz="0" w:space="0" w:color="auto"/>
      </w:divBdr>
    </w:div>
    <w:div w:id="1648587331">
      <w:bodyDiv w:val="1"/>
      <w:marLeft w:val="0"/>
      <w:marRight w:val="0"/>
      <w:marTop w:val="0"/>
      <w:marBottom w:val="0"/>
      <w:divBdr>
        <w:top w:val="none" w:sz="0" w:space="0" w:color="auto"/>
        <w:left w:val="none" w:sz="0" w:space="0" w:color="auto"/>
        <w:bottom w:val="none" w:sz="0" w:space="0" w:color="auto"/>
        <w:right w:val="none" w:sz="0" w:space="0" w:color="auto"/>
      </w:divBdr>
      <w:divsChild>
        <w:div w:id="1267687512">
          <w:marLeft w:val="0"/>
          <w:marRight w:val="0"/>
          <w:marTop w:val="0"/>
          <w:marBottom w:val="0"/>
          <w:divBdr>
            <w:top w:val="none" w:sz="0" w:space="0" w:color="auto"/>
            <w:left w:val="none" w:sz="0" w:space="0" w:color="auto"/>
            <w:bottom w:val="none" w:sz="0" w:space="0" w:color="auto"/>
            <w:right w:val="none" w:sz="0" w:space="0" w:color="auto"/>
          </w:divBdr>
          <w:divsChild>
            <w:div w:id="1645306979">
              <w:marLeft w:val="0"/>
              <w:marRight w:val="0"/>
              <w:marTop w:val="0"/>
              <w:marBottom w:val="0"/>
              <w:divBdr>
                <w:top w:val="none" w:sz="0" w:space="0" w:color="auto"/>
                <w:left w:val="none" w:sz="0" w:space="0" w:color="auto"/>
                <w:bottom w:val="none" w:sz="0" w:space="0" w:color="auto"/>
                <w:right w:val="none" w:sz="0" w:space="0" w:color="auto"/>
              </w:divBdr>
              <w:divsChild>
                <w:div w:id="1645502280">
                  <w:marLeft w:val="0"/>
                  <w:marRight w:val="0"/>
                  <w:marTop w:val="0"/>
                  <w:marBottom w:val="0"/>
                  <w:divBdr>
                    <w:top w:val="none" w:sz="0" w:space="0" w:color="auto"/>
                    <w:left w:val="none" w:sz="0" w:space="0" w:color="auto"/>
                    <w:bottom w:val="none" w:sz="0" w:space="0" w:color="auto"/>
                    <w:right w:val="none" w:sz="0" w:space="0" w:color="auto"/>
                  </w:divBdr>
                  <w:divsChild>
                    <w:div w:id="461926313">
                      <w:marLeft w:val="0"/>
                      <w:marRight w:val="0"/>
                      <w:marTop w:val="0"/>
                      <w:marBottom w:val="0"/>
                      <w:divBdr>
                        <w:top w:val="none" w:sz="0" w:space="0" w:color="auto"/>
                        <w:left w:val="none" w:sz="0" w:space="0" w:color="auto"/>
                        <w:bottom w:val="none" w:sz="0" w:space="0" w:color="auto"/>
                        <w:right w:val="none" w:sz="0" w:space="0" w:color="auto"/>
                      </w:divBdr>
                      <w:divsChild>
                        <w:div w:id="560092994">
                          <w:marLeft w:val="0"/>
                          <w:marRight w:val="0"/>
                          <w:marTop w:val="0"/>
                          <w:marBottom w:val="0"/>
                          <w:divBdr>
                            <w:top w:val="none" w:sz="0" w:space="0" w:color="auto"/>
                            <w:left w:val="none" w:sz="0" w:space="0" w:color="auto"/>
                            <w:bottom w:val="none" w:sz="0" w:space="0" w:color="auto"/>
                            <w:right w:val="none" w:sz="0" w:space="0" w:color="auto"/>
                          </w:divBdr>
                          <w:divsChild>
                            <w:div w:id="1639068196">
                              <w:marLeft w:val="0"/>
                              <w:marRight w:val="300"/>
                              <w:marTop w:val="180"/>
                              <w:marBottom w:val="0"/>
                              <w:divBdr>
                                <w:top w:val="none" w:sz="0" w:space="0" w:color="auto"/>
                                <w:left w:val="none" w:sz="0" w:space="0" w:color="auto"/>
                                <w:bottom w:val="none" w:sz="0" w:space="0" w:color="auto"/>
                                <w:right w:val="none" w:sz="0" w:space="0" w:color="auto"/>
                              </w:divBdr>
                              <w:divsChild>
                                <w:div w:id="48689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8762417">
          <w:marLeft w:val="0"/>
          <w:marRight w:val="0"/>
          <w:marTop w:val="0"/>
          <w:marBottom w:val="0"/>
          <w:divBdr>
            <w:top w:val="none" w:sz="0" w:space="0" w:color="auto"/>
            <w:left w:val="none" w:sz="0" w:space="0" w:color="auto"/>
            <w:bottom w:val="none" w:sz="0" w:space="0" w:color="auto"/>
            <w:right w:val="none" w:sz="0" w:space="0" w:color="auto"/>
          </w:divBdr>
          <w:divsChild>
            <w:div w:id="1233199972">
              <w:marLeft w:val="0"/>
              <w:marRight w:val="0"/>
              <w:marTop w:val="0"/>
              <w:marBottom w:val="0"/>
              <w:divBdr>
                <w:top w:val="none" w:sz="0" w:space="0" w:color="auto"/>
                <w:left w:val="none" w:sz="0" w:space="0" w:color="auto"/>
                <w:bottom w:val="none" w:sz="0" w:space="0" w:color="auto"/>
                <w:right w:val="none" w:sz="0" w:space="0" w:color="auto"/>
              </w:divBdr>
              <w:divsChild>
                <w:div w:id="245309374">
                  <w:marLeft w:val="0"/>
                  <w:marRight w:val="0"/>
                  <w:marTop w:val="0"/>
                  <w:marBottom w:val="0"/>
                  <w:divBdr>
                    <w:top w:val="none" w:sz="0" w:space="0" w:color="auto"/>
                    <w:left w:val="none" w:sz="0" w:space="0" w:color="auto"/>
                    <w:bottom w:val="none" w:sz="0" w:space="0" w:color="auto"/>
                    <w:right w:val="none" w:sz="0" w:space="0" w:color="auto"/>
                  </w:divBdr>
                  <w:divsChild>
                    <w:div w:id="265963872">
                      <w:marLeft w:val="0"/>
                      <w:marRight w:val="0"/>
                      <w:marTop w:val="0"/>
                      <w:marBottom w:val="0"/>
                      <w:divBdr>
                        <w:top w:val="none" w:sz="0" w:space="0" w:color="auto"/>
                        <w:left w:val="none" w:sz="0" w:space="0" w:color="auto"/>
                        <w:bottom w:val="none" w:sz="0" w:space="0" w:color="auto"/>
                        <w:right w:val="none" w:sz="0" w:space="0" w:color="auto"/>
                      </w:divBdr>
                      <w:divsChild>
                        <w:div w:id="78638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7782385">
      <w:bodyDiv w:val="1"/>
      <w:marLeft w:val="0"/>
      <w:marRight w:val="0"/>
      <w:marTop w:val="0"/>
      <w:marBottom w:val="0"/>
      <w:divBdr>
        <w:top w:val="none" w:sz="0" w:space="0" w:color="auto"/>
        <w:left w:val="none" w:sz="0" w:space="0" w:color="auto"/>
        <w:bottom w:val="none" w:sz="0" w:space="0" w:color="auto"/>
        <w:right w:val="none" w:sz="0" w:space="0" w:color="auto"/>
      </w:divBdr>
      <w:divsChild>
        <w:div w:id="546331948">
          <w:marLeft w:val="0"/>
          <w:marRight w:val="0"/>
          <w:marTop w:val="0"/>
          <w:marBottom w:val="0"/>
          <w:divBdr>
            <w:top w:val="none" w:sz="0" w:space="0" w:color="auto"/>
            <w:left w:val="none" w:sz="0" w:space="0" w:color="auto"/>
            <w:bottom w:val="none" w:sz="0" w:space="0" w:color="auto"/>
            <w:right w:val="none" w:sz="0" w:space="0" w:color="auto"/>
          </w:divBdr>
          <w:divsChild>
            <w:div w:id="819929148">
              <w:marLeft w:val="0"/>
              <w:marRight w:val="0"/>
              <w:marTop w:val="0"/>
              <w:marBottom w:val="0"/>
              <w:divBdr>
                <w:top w:val="none" w:sz="0" w:space="0" w:color="auto"/>
                <w:left w:val="none" w:sz="0" w:space="0" w:color="auto"/>
                <w:bottom w:val="none" w:sz="0" w:space="0" w:color="auto"/>
                <w:right w:val="none" w:sz="0" w:space="0" w:color="auto"/>
              </w:divBdr>
              <w:divsChild>
                <w:div w:id="1198471887">
                  <w:marLeft w:val="0"/>
                  <w:marRight w:val="0"/>
                  <w:marTop w:val="0"/>
                  <w:marBottom w:val="0"/>
                  <w:divBdr>
                    <w:top w:val="none" w:sz="0" w:space="0" w:color="auto"/>
                    <w:left w:val="none" w:sz="0" w:space="0" w:color="auto"/>
                    <w:bottom w:val="none" w:sz="0" w:space="0" w:color="auto"/>
                    <w:right w:val="none" w:sz="0" w:space="0" w:color="auto"/>
                  </w:divBdr>
                  <w:divsChild>
                    <w:div w:id="410546199">
                      <w:marLeft w:val="0"/>
                      <w:marRight w:val="0"/>
                      <w:marTop w:val="0"/>
                      <w:marBottom w:val="0"/>
                      <w:divBdr>
                        <w:top w:val="none" w:sz="0" w:space="0" w:color="auto"/>
                        <w:left w:val="none" w:sz="0" w:space="0" w:color="auto"/>
                        <w:bottom w:val="none" w:sz="0" w:space="0" w:color="auto"/>
                        <w:right w:val="none" w:sz="0" w:space="0" w:color="auto"/>
                      </w:divBdr>
                      <w:divsChild>
                        <w:div w:id="1163157568">
                          <w:marLeft w:val="0"/>
                          <w:marRight w:val="0"/>
                          <w:marTop w:val="0"/>
                          <w:marBottom w:val="0"/>
                          <w:divBdr>
                            <w:top w:val="none" w:sz="0" w:space="0" w:color="auto"/>
                            <w:left w:val="none" w:sz="0" w:space="0" w:color="auto"/>
                            <w:bottom w:val="none" w:sz="0" w:space="0" w:color="auto"/>
                            <w:right w:val="none" w:sz="0" w:space="0" w:color="auto"/>
                          </w:divBdr>
                          <w:divsChild>
                            <w:div w:id="485440691">
                              <w:marLeft w:val="0"/>
                              <w:marRight w:val="300"/>
                              <w:marTop w:val="180"/>
                              <w:marBottom w:val="0"/>
                              <w:divBdr>
                                <w:top w:val="none" w:sz="0" w:space="0" w:color="auto"/>
                                <w:left w:val="none" w:sz="0" w:space="0" w:color="auto"/>
                                <w:bottom w:val="none" w:sz="0" w:space="0" w:color="auto"/>
                                <w:right w:val="none" w:sz="0" w:space="0" w:color="auto"/>
                              </w:divBdr>
                              <w:divsChild>
                                <w:div w:id="93868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773392">
          <w:marLeft w:val="0"/>
          <w:marRight w:val="0"/>
          <w:marTop w:val="0"/>
          <w:marBottom w:val="0"/>
          <w:divBdr>
            <w:top w:val="none" w:sz="0" w:space="0" w:color="auto"/>
            <w:left w:val="none" w:sz="0" w:space="0" w:color="auto"/>
            <w:bottom w:val="none" w:sz="0" w:space="0" w:color="auto"/>
            <w:right w:val="none" w:sz="0" w:space="0" w:color="auto"/>
          </w:divBdr>
          <w:divsChild>
            <w:div w:id="2050915108">
              <w:marLeft w:val="0"/>
              <w:marRight w:val="0"/>
              <w:marTop w:val="0"/>
              <w:marBottom w:val="0"/>
              <w:divBdr>
                <w:top w:val="none" w:sz="0" w:space="0" w:color="auto"/>
                <w:left w:val="none" w:sz="0" w:space="0" w:color="auto"/>
                <w:bottom w:val="none" w:sz="0" w:space="0" w:color="auto"/>
                <w:right w:val="none" w:sz="0" w:space="0" w:color="auto"/>
              </w:divBdr>
              <w:divsChild>
                <w:div w:id="1470442602">
                  <w:marLeft w:val="0"/>
                  <w:marRight w:val="0"/>
                  <w:marTop w:val="0"/>
                  <w:marBottom w:val="0"/>
                  <w:divBdr>
                    <w:top w:val="none" w:sz="0" w:space="0" w:color="auto"/>
                    <w:left w:val="none" w:sz="0" w:space="0" w:color="auto"/>
                    <w:bottom w:val="none" w:sz="0" w:space="0" w:color="auto"/>
                    <w:right w:val="none" w:sz="0" w:space="0" w:color="auto"/>
                  </w:divBdr>
                  <w:divsChild>
                    <w:div w:id="2127311404">
                      <w:marLeft w:val="0"/>
                      <w:marRight w:val="0"/>
                      <w:marTop w:val="0"/>
                      <w:marBottom w:val="0"/>
                      <w:divBdr>
                        <w:top w:val="none" w:sz="0" w:space="0" w:color="auto"/>
                        <w:left w:val="none" w:sz="0" w:space="0" w:color="auto"/>
                        <w:bottom w:val="none" w:sz="0" w:space="0" w:color="auto"/>
                        <w:right w:val="none" w:sz="0" w:space="0" w:color="auto"/>
                      </w:divBdr>
                      <w:divsChild>
                        <w:div w:id="33858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FF448-8B33-41C0-B559-BBAB5CD42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3077</Words>
  <Characters>17541</Characters>
  <Application>Microsoft Office Word</Application>
  <DocSecurity>0</DocSecurity>
  <Lines>146</Lines>
  <Paragraphs>41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n0ak95</Company>
  <LinksUpToDate>false</LinksUpToDate>
  <CharactersWithSpaces>20577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Svetoslav Tsekov</dc:creator>
  <cp:lastModifiedBy>n0ak95</cp:lastModifiedBy>
  <cp:revision>6</cp:revision>
  <cp:lastPrinted>2020-11-11T09:42:00Z</cp:lastPrinted>
  <dcterms:created xsi:type="dcterms:W3CDTF">2020-12-01T13:12:00Z</dcterms:created>
  <dcterms:modified xsi:type="dcterms:W3CDTF">2020-12-01T13:49:00Z</dcterms:modified>
</cp:coreProperties>
</file>