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CD94F" w14:textId="368B9E68" w:rsidR="00B54587" w:rsidRPr="00B54587" w:rsidRDefault="00BF15F0" w:rsidP="00BF15F0">
      <w:pPr>
        <w:spacing w:after="0" w:line="360" w:lineRule="auto"/>
        <w:ind w:right="425" w:firstLine="708"/>
        <w:jc w:val="center"/>
        <w:rPr>
          <w:rFonts w:cstheme="minorHAnsi"/>
          <w:lang w:val="bg-BG"/>
        </w:rPr>
      </w:pPr>
      <w:r>
        <w:rPr>
          <w:rFonts w:cstheme="minorHAnsi"/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14:paraId="7C461401" w14:textId="77777777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14:paraId="6D300CB1" w14:textId="77777777" w:rsidR="007F6563" w:rsidRDefault="007F6563" w:rsidP="002E576B">
            <w:pPr>
              <w:spacing w:after="200" w:line="276" w:lineRule="auto"/>
              <w:jc w:val="center"/>
              <w:rPr>
                <w:b/>
              </w:rPr>
            </w:pPr>
          </w:p>
          <w:p w14:paraId="30F6CDF0" w14:textId="6E91ACDA" w:rsidR="002E576B" w:rsidRDefault="002E576B" w:rsidP="002D5586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/</w:t>
            </w:r>
            <w:r w:rsidR="002D5586">
              <w:rPr>
                <w:b/>
                <w:lang w:val="bg-BG"/>
              </w:rPr>
              <w:t>Инвестиции в предприятия</w:t>
            </w:r>
            <w:r>
              <w:rPr>
                <w:b/>
                <w:lang w:val="bg-BG"/>
              </w:rPr>
              <w:t>/</w:t>
            </w:r>
          </w:p>
          <w:p w14:paraId="0AA7D634" w14:textId="6CE8F51C" w:rsidR="00BF15F0" w:rsidRPr="00B54587" w:rsidRDefault="00BF15F0" w:rsidP="00BF15F0">
            <w:pPr>
              <w:spacing w:line="360" w:lineRule="auto"/>
              <w:ind w:right="425"/>
              <w:jc w:val="both"/>
              <w:rPr>
                <w:rFonts w:eastAsia="Times New Roman" w:cstheme="minorHAnsi"/>
                <w:sz w:val="24"/>
                <w:szCs w:val="24"/>
                <w:lang w:val="bg-BG" w:eastAsia="bg-BG"/>
              </w:rPr>
            </w:pPr>
            <w:r w:rsidRPr="00B54587">
              <w:rPr>
                <w:rFonts w:eastAsia="Times New Roman" w:cstheme="minorHAnsi"/>
                <w:sz w:val="24"/>
                <w:szCs w:val="24"/>
                <w:lang w:val="bg-BG" w:eastAsia="bg-BG"/>
              </w:rPr>
              <w:t xml:space="preserve">Интервенцията цели подобряването на общите резултати на винарските предприятията и адаптирането им към изискванията на пазара, както и повишаване на тяхната конкурентоспособност. С оглед постигането на тази цел се предвижда изпълнението на дейности, насочени към изпълнението на инвестиции за подобряване на материални и нематериални активи – съоръжения за преработка и/или инфраструктура на предприятията в </w:t>
            </w:r>
            <w:proofErr w:type="spellStart"/>
            <w:r w:rsidRPr="00B54587">
              <w:rPr>
                <w:rFonts w:eastAsia="Times New Roman" w:cstheme="minorHAnsi"/>
                <w:sz w:val="24"/>
                <w:szCs w:val="24"/>
                <w:lang w:val="bg-BG" w:eastAsia="bg-BG"/>
              </w:rPr>
              <w:t>лозаро</w:t>
            </w:r>
            <w:proofErr w:type="spellEnd"/>
            <w:r w:rsidRPr="00B54587">
              <w:rPr>
                <w:rFonts w:eastAsia="Times New Roman" w:cstheme="minorHAnsi"/>
                <w:sz w:val="24"/>
                <w:szCs w:val="24"/>
                <w:lang w:val="bg-BG" w:eastAsia="bg-BG"/>
              </w:rPr>
              <w:t xml:space="preserve">-винарския сектор, строително-монтажни работи за подобряване на производствения капацитет на предприятието и неговите структури, както и на средствата за предлагане на пазара. Осъществяваните инвестиции ще допринесат и за повишаване на устойчивостта на процесите във винопроизводството, както и повишаване на глобалната енергийна ефективност. </w:t>
            </w:r>
          </w:p>
          <w:p w14:paraId="6763D743" w14:textId="623DC88A" w:rsidR="00BF15F0" w:rsidRPr="002E576B" w:rsidRDefault="00BF15F0" w:rsidP="002B310C">
            <w:pPr>
              <w:spacing w:line="360" w:lineRule="auto"/>
              <w:ind w:right="425" w:firstLine="708"/>
              <w:jc w:val="both"/>
              <w:rPr>
                <w:b/>
                <w:lang w:val="bg-BG"/>
              </w:rPr>
            </w:pPr>
            <w:r w:rsidRPr="00B54587">
              <w:rPr>
                <w:rFonts w:eastAsia="Times New Roman" w:cstheme="minorHAnsi"/>
                <w:sz w:val="24"/>
                <w:szCs w:val="24"/>
                <w:lang w:val="bg-BG" w:eastAsia="bg-BG"/>
              </w:rPr>
              <w:t xml:space="preserve">Към началото на 2018 г. в България са регистрирани и функционират 260 винарски предприятия с общ производствен капацитет 5 833 483 хектолитра. В последните години се наблюдават по-силно изразени колебания и вариации в количествата произвеждано вино в България, като се отчита спад в количествата произвеждано вино със защитено наименование на произход, продиктувано в голяма степен и от потребителските предпочитания и платежоспособност. По-силен интерес сред винопроизводителите, представлява производството на регионални вина със защитено географско указание. Въпреки, че ЗГУ е форма на гарантиране на качество, все пак тази група вина са от по-ниския ценови диапазон. Традиционно високо е производството на сортови вина без ЗНП и ЗГУ и други вина без ЗГУ и ЗНП, които представляват и най-голямата група от произвеждани у нас вина. Подобряването на технологичната база и системите за управление, както и възможността за осигуряване на подходящо отлежаване и съхранение на произвежданото вино, ще позволи повишаване на устойчивостта на производството, по-добър контрол над технологичния процес и подобряване на адаптивността към пазарното търсене. Това от своя страна ще доведе до цялостно повишение на конкурентоспособността на производството. В допълнение към </w:t>
            </w:r>
            <w:r w:rsidRPr="00B54587">
              <w:rPr>
                <w:rFonts w:eastAsia="Times New Roman" w:cstheme="minorHAnsi"/>
                <w:sz w:val="24"/>
                <w:szCs w:val="24"/>
                <w:lang w:val="bg-BG" w:eastAsia="bg-BG"/>
              </w:rPr>
              <w:lastRenderedPageBreak/>
              <w:t>това, възможността за технологично обновление ще подобри използването на енергия в предприятията, управлението на отпадъците и други, което ще доведе до икономия на енергия, и ще повиши цялостната енергийна ефективност и устойчивост на процесите. Осигуряването на устойчивост е и сред стратегическите цели на интервенцията.</w:t>
            </w:r>
          </w:p>
        </w:tc>
      </w:tr>
    </w:tbl>
    <w:p w14:paraId="277A756F" w14:textId="77777777"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14:paraId="3E8F05D5" w14:textId="77777777" w:rsidTr="00252CFE">
        <w:tc>
          <w:tcPr>
            <w:tcW w:w="2943" w:type="dxa"/>
            <w:shd w:val="clear" w:color="auto" w:fill="B8CCE4" w:themeFill="accent1" w:themeFillTint="66"/>
          </w:tcPr>
          <w:p w14:paraId="1FF7DB99" w14:textId="77777777"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14:paraId="02B03FDF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ЕФГЗ</w:t>
            </w:r>
          </w:p>
        </w:tc>
      </w:tr>
      <w:tr w:rsidR="002E576B" w14:paraId="687D788C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0FDFA296" w14:textId="77777777"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14:paraId="116D15AF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20E58F1A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секторна</w:t>
            </w:r>
          </w:p>
          <w:p w14:paraId="21AF9896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19F64C66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30868CB2" w14:textId="77777777"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34D0497A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359FABBB" w14:textId="77777777" w:rsidR="002E576B" w:rsidRDefault="002D5586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България/национална</w:t>
            </w:r>
          </w:p>
          <w:p w14:paraId="498BF9AD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0827C342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18DDA3C6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14:paraId="09E097AF" w14:textId="0797258D" w:rsidR="002E576B" w:rsidRDefault="002D5586" w:rsidP="002D5586">
            <w:pPr>
              <w:jc w:val="center"/>
              <w:rPr>
                <w:lang w:val="bg-BG"/>
              </w:rPr>
            </w:pPr>
            <w:r w:rsidRPr="00E302F4">
              <w:rPr>
                <w:b/>
                <w:bCs/>
                <w:lang w:val="bg-BG"/>
              </w:rPr>
              <w:t>Специфична цел 2</w:t>
            </w:r>
            <w:r w:rsidR="00E302F4" w:rsidRPr="00E302F4">
              <w:rPr>
                <w:b/>
                <w:bCs/>
                <w:lang w:val="bg-BG"/>
              </w:rPr>
              <w:t>:</w:t>
            </w:r>
            <w:r w:rsidR="00E302F4">
              <w:rPr>
                <w:lang w:val="bg-BG"/>
              </w:rPr>
              <w:t xml:space="preserve"> </w:t>
            </w:r>
            <w:r w:rsidR="00E302F4" w:rsidRPr="00E302F4">
              <w:rPr>
                <w:lang w:val="bg-BG"/>
              </w:rPr>
              <w:t>Засилване на пазарната ориентация и повишаване на конкурентоспособността, включително поставяне на по-голям акцент върху научните изследвания, технологиите и цифровизацията;</w:t>
            </w:r>
            <w:r>
              <w:rPr>
                <w:lang w:val="bg-BG"/>
              </w:rPr>
              <w:t xml:space="preserve"> </w:t>
            </w:r>
            <w:r w:rsidR="00270ABF" w:rsidRPr="00E302F4">
              <w:rPr>
                <w:b/>
                <w:bCs/>
                <w:lang w:val="bg-BG"/>
              </w:rPr>
              <w:t>Потребност 8</w:t>
            </w:r>
            <w:r w:rsidR="00E302F4" w:rsidRPr="00E302F4">
              <w:rPr>
                <w:b/>
                <w:bCs/>
                <w:lang w:val="bg-BG"/>
              </w:rPr>
              <w:t>:</w:t>
            </w:r>
            <w:r w:rsidR="00E302F4">
              <w:t xml:space="preserve"> </w:t>
            </w:r>
            <w:r w:rsidR="00E302F4" w:rsidRPr="00E302F4">
              <w:rPr>
                <w:lang w:val="bg-BG"/>
              </w:rPr>
              <w:t xml:space="preserve">Повишаване на конкурентоспособността на производителите и преработвателите в </w:t>
            </w:r>
            <w:proofErr w:type="spellStart"/>
            <w:r w:rsidR="00E302F4" w:rsidRPr="00E302F4">
              <w:rPr>
                <w:lang w:val="bg-BG"/>
              </w:rPr>
              <w:t>лозаро</w:t>
            </w:r>
            <w:proofErr w:type="spellEnd"/>
            <w:r w:rsidR="00E302F4" w:rsidRPr="00E302F4">
              <w:rPr>
                <w:lang w:val="bg-BG"/>
              </w:rPr>
              <w:t>-винарския сектор, модернизация на стопанствата и предприятията за производство на вино. Стимулиране на експортната ориентация и подобряване на структурата в сектора.</w:t>
            </w:r>
            <w:r>
              <w:rPr>
                <w:lang w:val="bg-BG"/>
              </w:rPr>
              <w:br/>
            </w:r>
            <w:r w:rsidRPr="009D0BAB">
              <w:rPr>
                <w:b/>
                <w:bCs/>
                <w:lang w:val="bg-BG"/>
              </w:rPr>
              <w:t>Секторен приоритет:</w:t>
            </w:r>
            <w:r>
              <w:rPr>
                <w:lang w:val="bg-BG"/>
              </w:rPr>
              <w:t xml:space="preserve"> П</w:t>
            </w:r>
            <w:r w:rsidRPr="002D5586">
              <w:rPr>
                <w:lang w:val="bg-BG"/>
              </w:rPr>
              <w:t>одобряване на общите резултати на винарските предприятията и адаптиране към изискванията на пазара, както и повишаване на тяхната конкурентоспособност.</w:t>
            </w:r>
          </w:p>
        </w:tc>
      </w:tr>
      <w:tr w:rsidR="002E576B" w14:paraId="3BA564EB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787A74AB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14:paraId="0CDABF15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3EE13EF4" w14:textId="77777777" w:rsidR="002E576B" w:rsidRPr="002D5586" w:rsidRDefault="002D5586" w:rsidP="002E57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R.9 - </w:t>
            </w:r>
            <w:r w:rsidRPr="002D5586">
              <w:rPr>
                <w:lang w:val="en-US"/>
              </w:rPr>
              <w:t xml:space="preserve">Farm </w:t>
            </w:r>
            <w:proofErr w:type="spellStart"/>
            <w:r w:rsidRPr="002D5586">
              <w:rPr>
                <w:lang w:val="en-US"/>
              </w:rPr>
              <w:t>modernisation</w:t>
            </w:r>
            <w:proofErr w:type="spellEnd"/>
          </w:p>
          <w:p w14:paraId="6238E490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  <w:tr w:rsidR="002E576B" w14:paraId="4C985598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531D67D5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14:paraId="2A2535C4" w14:textId="77777777" w:rsidR="002E576B" w:rsidRDefault="002E576B" w:rsidP="002E576B">
            <w:pPr>
              <w:jc w:val="center"/>
              <w:rPr>
                <w:lang w:val="bg-BG"/>
              </w:rPr>
            </w:pPr>
          </w:p>
          <w:p w14:paraId="708C5C71" w14:textId="77777777" w:rsidR="002D5586" w:rsidRPr="002D5586" w:rsidRDefault="002D5586" w:rsidP="002D5586">
            <w:pPr>
              <w:rPr>
                <w:lang w:val="bg-BG"/>
              </w:rPr>
            </w:pPr>
            <w:r w:rsidRPr="002D5586">
              <w:rPr>
                <w:lang w:val="bg-BG"/>
              </w:rPr>
              <w:t>•</w:t>
            </w:r>
            <w:r w:rsidRPr="002D5586">
              <w:rPr>
                <w:lang w:val="bg-BG"/>
              </w:rPr>
              <w:tab/>
              <w:t xml:space="preserve">Еднолични търговци и юридически лица винопроизводители, вписани в лозарския регистър. </w:t>
            </w:r>
          </w:p>
          <w:p w14:paraId="53C35CC0" w14:textId="77777777" w:rsidR="002E576B" w:rsidRDefault="002D5586" w:rsidP="002D5586">
            <w:pPr>
              <w:rPr>
                <w:lang w:val="bg-BG"/>
              </w:rPr>
            </w:pPr>
            <w:r w:rsidRPr="002D5586">
              <w:rPr>
                <w:lang w:val="bg-BG"/>
              </w:rPr>
              <w:t>•</w:t>
            </w:r>
            <w:r w:rsidRPr="002D5586">
              <w:rPr>
                <w:lang w:val="bg-BG"/>
              </w:rPr>
              <w:tab/>
              <w:t>Организации и асоциации на винопроизводители или междубраншови организации</w:t>
            </w:r>
          </w:p>
          <w:p w14:paraId="08CA1BC7" w14:textId="77777777"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</w:tbl>
    <w:p w14:paraId="0B1879D2" w14:textId="77777777" w:rsidR="002E576B" w:rsidRDefault="002E576B" w:rsidP="002E576B">
      <w:pPr>
        <w:jc w:val="center"/>
      </w:pPr>
    </w:p>
    <w:p w14:paraId="45061959" w14:textId="77777777"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14:paraId="3C666EAB" w14:textId="77777777" w:rsidTr="005F556B">
        <w:tc>
          <w:tcPr>
            <w:tcW w:w="9242" w:type="dxa"/>
          </w:tcPr>
          <w:p w14:paraId="16073DAE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Допустими за подпомагане дейности и разходи са:</w:t>
            </w:r>
          </w:p>
          <w:p w14:paraId="2ED60797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1.</w:t>
            </w:r>
            <w:r w:rsidRPr="002D5586">
              <w:rPr>
                <w:lang w:val="bg-BG"/>
              </w:rPr>
              <w:tab/>
              <w:t>Закупуване или закупуване на лизинг на нови машини и оборудване, включително и на компютърен софтуер по отношение на:</w:t>
            </w:r>
          </w:p>
          <w:p w14:paraId="63EDFB5A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</w:t>
            </w:r>
            <w:r w:rsidRPr="002D5586">
              <w:rPr>
                <w:lang w:val="bg-BG"/>
              </w:rPr>
              <w:tab/>
              <w:t>машини/оборудване за преработката на грозде;</w:t>
            </w:r>
          </w:p>
          <w:p w14:paraId="3BD0A12F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</w:t>
            </w:r>
            <w:r w:rsidRPr="002D5586">
              <w:rPr>
                <w:lang w:val="bg-BG"/>
              </w:rPr>
              <w:tab/>
              <w:t>оборудване за контрол на ферментацията, оборудване за обработка на вино и гроздова мъст;</w:t>
            </w:r>
          </w:p>
          <w:p w14:paraId="4DC45AB8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</w:t>
            </w:r>
            <w:r w:rsidRPr="002D5586">
              <w:rPr>
                <w:lang w:val="bg-BG"/>
              </w:rPr>
              <w:tab/>
              <w:t>оборудване за контрол на температурата;</w:t>
            </w:r>
          </w:p>
          <w:p w14:paraId="00D92C19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</w:t>
            </w:r>
            <w:r w:rsidRPr="002D5586">
              <w:rPr>
                <w:lang w:val="bg-BG"/>
              </w:rPr>
              <w:tab/>
              <w:t>оборудване за преместване на виното в избените помещения;</w:t>
            </w:r>
          </w:p>
          <w:p w14:paraId="267D7A19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</w:t>
            </w:r>
            <w:r w:rsidRPr="002D5586">
              <w:rPr>
                <w:lang w:val="bg-BG"/>
              </w:rPr>
              <w:tab/>
              <w:t>оборудване за технология, свързана с пенливи вина;</w:t>
            </w:r>
          </w:p>
          <w:p w14:paraId="36C1E1B5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</w:t>
            </w:r>
            <w:r w:rsidRPr="002D5586">
              <w:rPr>
                <w:lang w:val="bg-BG"/>
              </w:rPr>
              <w:tab/>
              <w:t>оборудване за бутилиране, етикетиране, опаковане;</w:t>
            </w:r>
          </w:p>
          <w:p w14:paraId="46FCACD1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lastRenderedPageBreak/>
              <w:t>-</w:t>
            </w:r>
            <w:r w:rsidRPr="002D5586">
              <w:rPr>
                <w:lang w:val="bg-BG"/>
              </w:rPr>
              <w:tab/>
              <w:t>оборудване за управление на отпадните води;</w:t>
            </w:r>
          </w:p>
          <w:p w14:paraId="667E97CE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</w:t>
            </w:r>
            <w:r w:rsidRPr="002D5586">
              <w:rPr>
                <w:lang w:val="bg-BG"/>
              </w:rPr>
              <w:tab/>
              <w:t>оборудване на инфраструктурата на избата:</w:t>
            </w:r>
          </w:p>
          <w:p w14:paraId="2192976C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тръбни линии, тръбопровод, различни мрежи (кислород, азот, вода, SO2 и др.);</w:t>
            </w:r>
          </w:p>
          <w:p w14:paraId="0FC7DF0E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монтаж и помощни съоръжения;</w:t>
            </w:r>
          </w:p>
          <w:p w14:paraId="01C4E73E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автоматични системи;</w:t>
            </w:r>
          </w:p>
          <w:p w14:paraId="79E7F01D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</w:t>
            </w:r>
            <w:r w:rsidRPr="002D5586">
              <w:rPr>
                <w:lang w:val="bg-BG"/>
              </w:rPr>
              <w:tab/>
              <w:t>оборудване за съхранение, смесване, грижа и стареене на виното:</w:t>
            </w:r>
          </w:p>
          <w:p w14:paraId="51F38A63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бъчви за ферментация, съхранение и стареене на виното, в т.ч. и термо-регулиращи бъчви;</w:t>
            </w:r>
          </w:p>
          <w:p w14:paraId="0710E07E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резервоари от неръждаема стомана за винопроизводство и съхранение на вино – стационарни и подвижни;</w:t>
            </w:r>
          </w:p>
          <w:p w14:paraId="2D810429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пластмасови резервоари за винопроизводство и съхранение на вино (сертифицирани за хранителни цели);</w:t>
            </w:r>
          </w:p>
          <w:p w14:paraId="49897030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 xml:space="preserve">възстановяване на стоманобетонни съоръжения за съхранение на </w:t>
            </w:r>
            <w:proofErr w:type="spellStart"/>
            <w:r w:rsidRPr="002D5586">
              <w:rPr>
                <w:lang w:val="bg-BG"/>
              </w:rPr>
              <w:t>лозаро</w:t>
            </w:r>
            <w:proofErr w:type="spellEnd"/>
            <w:r w:rsidRPr="002D5586">
              <w:rPr>
                <w:lang w:val="bg-BG"/>
              </w:rPr>
              <w:t>-винарски продукти чрез полагане на вътрешно покритие от типа епоксидна смола или неръждаема стомана;</w:t>
            </w:r>
          </w:p>
          <w:p w14:paraId="38A1AC5E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 xml:space="preserve">оборудване за избено помещение за ферментация, съхранение и стареене на виното – стелажи, контейнери, </w:t>
            </w:r>
            <w:proofErr w:type="spellStart"/>
            <w:r w:rsidRPr="002D5586">
              <w:rPr>
                <w:lang w:val="bg-BG"/>
              </w:rPr>
              <w:t>хумидизатори</w:t>
            </w:r>
            <w:proofErr w:type="spellEnd"/>
            <w:r w:rsidRPr="002D5586">
              <w:rPr>
                <w:lang w:val="bg-BG"/>
              </w:rPr>
              <w:t xml:space="preserve">, </w:t>
            </w:r>
            <w:proofErr w:type="spellStart"/>
            <w:r w:rsidRPr="002D5586">
              <w:rPr>
                <w:lang w:val="bg-BG"/>
              </w:rPr>
              <w:t>микрооксиженация</w:t>
            </w:r>
            <w:proofErr w:type="spellEnd"/>
            <w:r w:rsidRPr="002D5586">
              <w:rPr>
                <w:lang w:val="bg-BG"/>
              </w:rPr>
              <w:t xml:space="preserve"> (</w:t>
            </w:r>
            <w:proofErr w:type="spellStart"/>
            <w:r w:rsidRPr="002D5586">
              <w:rPr>
                <w:lang w:val="bg-BG"/>
              </w:rPr>
              <w:t>микрооксиженатори</w:t>
            </w:r>
            <w:proofErr w:type="spellEnd"/>
            <w:r w:rsidRPr="002D5586">
              <w:rPr>
                <w:lang w:val="bg-BG"/>
              </w:rPr>
              <w:t>);</w:t>
            </w:r>
          </w:p>
          <w:p w14:paraId="2D5E5E34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модулна система за позициониране на бъчви;</w:t>
            </w:r>
          </w:p>
          <w:p w14:paraId="1850B261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автоматизирана стелажна система за съхранение на бутилирани вина.</w:t>
            </w:r>
          </w:p>
          <w:p w14:paraId="6AD803A2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2. Строително-монтажни работи за изграждане, надстрояване, пристрояване и/или реконструкция на сгради, предназначени за:</w:t>
            </w:r>
          </w:p>
          <w:p w14:paraId="7C105A3B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  производство на вино (от обработка на гроздето до бутилиране и етикетиране на виното в изба);</w:t>
            </w:r>
          </w:p>
          <w:p w14:paraId="1A62775B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 контрол на качеството на виното – анализиращи лаборатории;</w:t>
            </w:r>
          </w:p>
          <w:p w14:paraId="4E89A384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 съхранение на виното – складове;</w:t>
            </w:r>
          </w:p>
          <w:p w14:paraId="1152E768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 предлагане на пазара на вино:</w:t>
            </w:r>
          </w:p>
          <w:p w14:paraId="34843C33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</w:r>
            <w:proofErr w:type="spellStart"/>
            <w:r w:rsidRPr="002D5586">
              <w:rPr>
                <w:lang w:val="bg-BG"/>
              </w:rPr>
              <w:t>винотеки</w:t>
            </w:r>
            <w:proofErr w:type="spellEnd"/>
            <w:r w:rsidRPr="002D5586">
              <w:rPr>
                <w:lang w:val="bg-BG"/>
              </w:rPr>
              <w:t>;</w:t>
            </w:r>
          </w:p>
          <w:p w14:paraId="50064BF0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изложбени зали;</w:t>
            </w:r>
          </w:p>
          <w:p w14:paraId="1C9C271B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o</w:t>
            </w:r>
            <w:r w:rsidRPr="002D5586">
              <w:rPr>
                <w:lang w:val="bg-BG"/>
              </w:rPr>
              <w:tab/>
              <w:t>фиксирани места за продажби (на дребно) в стопанството (на територията на предприятието);</w:t>
            </w:r>
          </w:p>
          <w:p w14:paraId="2D950662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- подобряване на инфраструктурата в предприятието.</w:t>
            </w:r>
          </w:p>
          <w:p w14:paraId="4922B3B2" w14:textId="77777777" w:rsidR="002D5586" w:rsidRPr="002D5586" w:rsidRDefault="002D5586" w:rsidP="002D5586">
            <w:pPr>
              <w:jc w:val="both"/>
              <w:rPr>
                <w:lang w:val="bg-BG"/>
              </w:rPr>
            </w:pPr>
          </w:p>
          <w:p w14:paraId="53548230" w14:textId="77777777" w:rsidR="005F556B" w:rsidRDefault="002D5586" w:rsidP="002D5586">
            <w:pPr>
              <w:jc w:val="both"/>
              <w:rPr>
                <w:lang w:val="bg-BG"/>
              </w:rPr>
            </w:pPr>
            <w:r w:rsidRPr="002D5586">
              <w:rPr>
                <w:lang w:val="bg-BG"/>
              </w:rPr>
              <w:t>3. Общи разходи, свързани с разходите, посочени в т. 1 и 2, като хонорари на инженери и консултанти, предпроектни проучвания, придобиване на патентни права и лицензи и строителен надзор.</w:t>
            </w:r>
          </w:p>
          <w:p w14:paraId="6C135310" w14:textId="77777777" w:rsidR="005F556B" w:rsidRDefault="005F556B" w:rsidP="005F556B">
            <w:pPr>
              <w:jc w:val="both"/>
              <w:rPr>
                <w:lang w:val="bg-BG"/>
              </w:rPr>
            </w:pPr>
          </w:p>
        </w:tc>
      </w:tr>
    </w:tbl>
    <w:p w14:paraId="40B078A7" w14:textId="77777777" w:rsidR="005F556B" w:rsidRDefault="005F556B" w:rsidP="005F556B">
      <w:pPr>
        <w:jc w:val="both"/>
        <w:rPr>
          <w:lang w:val="bg-BG"/>
        </w:rPr>
      </w:pPr>
    </w:p>
    <w:p w14:paraId="4D117309" w14:textId="77777777"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14:paraId="31770E57" w14:textId="77777777"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503AE956" w14:textId="77777777" w:rsidTr="005F556B">
        <w:tc>
          <w:tcPr>
            <w:tcW w:w="9242" w:type="dxa"/>
          </w:tcPr>
          <w:p w14:paraId="3F6DF2ED" w14:textId="77777777" w:rsidR="005F556B" w:rsidRPr="008C7E00" w:rsidRDefault="008C7E00" w:rsidP="005F556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N/A</w:t>
            </w:r>
          </w:p>
          <w:p w14:paraId="780D4756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307694E5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7F166167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14:paraId="18A3B278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14:paraId="1AD0582C" w14:textId="77777777" w:rsidTr="005F556B">
        <w:tc>
          <w:tcPr>
            <w:tcW w:w="9242" w:type="dxa"/>
          </w:tcPr>
          <w:p w14:paraId="5B02576B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03E09C0F" w14:textId="77777777" w:rsidR="005F556B" w:rsidRDefault="008C7E00" w:rsidP="00F041F5">
            <w:pPr>
              <w:jc w:val="both"/>
              <w:rPr>
                <w:lang w:val="bg-BG"/>
              </w:rPr>
            </w:pPr>
            <w:r w:rsidRPr="008C7E00">
              <w:rPr>
                <w:lang w:val="bg-BG"/>
              </w:rPr>
              <w:lastRenderedPageBreak/>
              <w:t xml:space="preserve">Допустими за подпомагане са винарски предприятия от </w:t>
            </w:r>
            <w:proofErr w:type="spellStart"/>
            <w:r w:rsidRPr="008C7E00">
              <w:rPr>
                <w:lang w:val="bg-BG"/>
              </w:rPr>
              <w:t>лозаро</w:t>
            </w:r>
            <w:proofErr w:type="spellEnd"/>
            <w:r w:rsidRPr="008C7E00">
              <w:rPr>
                <w:lang w:val="bg-BG"/>
              </w:rPr>
              <w:t xml:space="preserve">-винарския сектор, които са вписани в лозарския регистър, както и организации на винопроизводители, асоциации на два или повече производителя или междубраншови организации. </w:t>
            </w:r>
          </w:p>
          <w:p w14:paraId="5ACFAC69" w14:textId="77777777" w:rsidR="00C02A8F" w:rsidRPr="00C02A8F" w:rsidRDefault="00C02A8F" w:rsidP="00F041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Допустими за подпомагане са: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"/>
              <w:gridCol w:w="8853"/>
            </w:tblGrid>
            <w:tr w:rsidR="00C02A8F" w:rsidRPr="00C02A8F" w14:paraId="3B63E2CD" w14:textId="77777777" w:rsidTr="00C02A8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C16247D" w14:textId="77777777" w:rsidR="00C02A8F" w:rsidRPr="00C02A8F" w:rsidRDefault="00C02A8F" w:rsidP="00C02A8F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lang w:val="bg-BG"/>
                    </w:rPr>
                  </w:pPr>
                  <w:r w:rsidRPr="00C02A8F">
                    <w:rPr>
                      <w:rFonts w:eastAsia="Times New Roman" w:cstheme="minorHAnsi"/>
                      <w:lang w:val="bg-BG"/>
                    </w:rPr>
                    <w:t>а)</w:t>
                  </w:r>
                </w:p>
              </w:tc>
              <w:tc>
                <w:tcPr>
                  <w:tcW w:w="0" w:type="auto"/>
                  <w:hideMark/>
                </w:tcPr>
                <w:p w14:paraId="2882C247" w14:textId="77777777" w:rsidR="007239EE" w:rsidRPr="00C02A8F" w:rsidRDefault="00C02A8F" w:rsidP="007239EE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lang w:val="bg-BG"/>
                    </w:rPr>
                  </w:pPr>
                  <w:r w:rsidRPr="00C02A8F">
                    <w:rPr>
                      <w:rFonts w:eastAsia="Times New Roman" w:cstheme="minorHAnsi"/>
                      <w:lang w:val="bg-BG"/>
                    </w:rPr>
                    <w:t xml:space="preserve"> ясно определени дейности и свързаните с тях операции, като са описани инвестиционните намерения и свързаните разходи;</w:t>
                  </w:r>
                </w:p>
              </w:tc>
            </w:tr>
          </w:tbl>
          <w:p w14:paraId="0200B77B" w14:textId="77777777" w:rsidR="00C02A8F" w:rsidRPr="00C02A8F" w:rsidRDefault="00C02A8F" w:rsidP="00C02A8F">
            <w:pPr>
              <w:rPr>
                <w:rFonts w:eastAsia="Times New Roman" w:cstheme="minorHAnsi"/>
                <w:vanish/>
                <w:lang w:val="bg-BG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"/>
              <w:gridCol w:w="8728"/>
            </w:tblGrid>
            <w:tr w:rsidR="00C02A8F" w:rsidRPr="00C02A8F" w14:paraId="1829DE75" w14:textId="77777777" w:rsidTr="007239EE">
              <w:trPr>
                <w:tblCellSpacing w:w="0" w:type="dxa"/>
              </w:trPr>
              <w:tc>
                <w:tcPr>
                  <w:tcW w:w="165" w:type="pct"/>
                  <w:hideMark/>
                </w:tcPr>
                <w:p w14:paraId="708B9776" w14:textId="77777777" w:rsidR="00C02A8F" w:rsidRPr="00C02A8F" w:rsidRDefault="00C02A8F" w:rsidP="00C02A8F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lang w:val="bg-BG"/>
                    </w:rPr>
                  </w:pPr>
                  <w:r w:rsidRPr="00C02A8F">
                    <w:rPr>
                      <w:rFonts w:eastAsia="Times New Roman" w:cstheme="minorHAnsi"/>
                      <w:lang w:val="bg-BG"/>
                    </w:rPr>
                    <w:t>б)</w:t>
                  </w:r>
                </w:p>
              </w:tc>
              <w:tc>
                <w:tcPr>
                  <w:tcW w:w="0" w:type="auto"/>
                  <w:hideMark/>
                </w:tcPr>
                <w:p w14:paraId="363E8966" w14:textId="77777777" w:rsidR="00C02A8F" w:rsidRPr="00C02A8F" w:rsidRDefault="00C02A8F" w:rsidP="00C02A8F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lang w:val="bg-BG"/>
                    </w:rPr>
                  </w:pPr>
                  <w:r w:rsidRPr="00C02A8F">
                    <w:rPr>
                      <w:rFonts w:eastAsia="Times New Roman" w:cstheme="minorHAnsi"/>
                      <w:lang w:val="bg-BG"/>
                    </w:rPr>
                    <w:t>разходи, които не превишават обичайните пазарни цени;</w:t>
                  </w:r>
                </w:p>
              </w:tc>
            </w:tr>
          </w:tbl>
          <w:p w14:paraId="1947DE29" w14:textId="77777777" w:rsidR="00C02A8F" w:rsidRPr="00C02A8F" w:rsidRDefault="00C02A8F" w:rsidP="00C02A8F">
            <w:pPr>
              <w:rPr>
                <w:rFonts w:eastAsia="Times New Roman" w:cstheme="minorHAnsi"/>
                <w:vanish/>
                <w:lang w:val="bg-BG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"/>
              <w:gridCol w:w="8853"/>
            </w:tblGrid>
            <w:tr w:rsidR="00C02A8F" w:rsidRPr="00C02A8F" w14:paraId="5ACDC34F" w14:textId="77777777" w:rsidTr="00C02A8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5229273" w14:textId="77777777" w:rsidR="00C02A8F" w:rsidRPr="00C02A8F" w:rsidRDefault="00C02A8F" w:rsidP="00C02A8F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lang w:val="bg-BG"/>
                    </w:rPr>
                  </w:pPr>
                  <w:r w:rsidRPr="00C02A8F">
                    <w:rPr>
                      <w:rFonts w:eastAsia="Times New Roman" w:cstheme="minorHAnsi"/>
                      <w:lang w:val="bg-BG"/>
                    </w:rPr>
                    <w:t>в)</w:t>
                  </w:r>
                </w:p>
              </w:tc>
              <w:tc>
                <w:tcPr>
                  <w:tcW w:w="0" w:type="auto"/>
                  <w:hideMark/>
                </w:tcPr>
                <w:p w14:paraId="4A593186" w14:textId="77777777" w:rsidR="00C02A8F" w:rsidRPr="00C02A8F" w:rsidRDefault="00C02A8F" w:rsidP="00C02A8F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lang w:val="bg-BG"/>
                    </w:rPr>
                  </w:pPr>
                  <w:r w:rsidRPr="00C02A8F">
                    <w:rPr>
                      <w:rFonts w:eastAsia="Times New Roman" w:cstheme="minorHAnsi"/>
                      <w:lang w:val="bg-BG"/>
                    </w:rPr>
                    <w:t xml:space="preserve"> </w:t>
                  </w:r>
                  <w:proofErr w:type="spellStart"/>
                  <w:r w:rsidRPr="00C02A8F">
                    <w:rPr>
                      <w:rFonts w:eastAsia="Times New Roman" w:cstheme="minorHAnsi"/>
                      <w:lang w:val="bg-BG"/>
                    </w:rPr>
                    <w:t>бенефициери</w:t>
                  </w:r>
                  <w:proofErr w:type="spellEnd"/>
                  <w:r w:rsidRPr="00C02A8F">
                    <w:rPr>
                      <w:rFonts w:eastAsia="Times New Roman" w:cstheme="minorHAnsi"/>
                      <w:lang w:val="bg-BG"/>
                    </w:rPr>
                    <w:t xml:space="preserve"> с достатъчен технически и финансов ресурс, за да се гарантира, че операцията се изпълнява ефективно и че кандидатстващото предприятие не е в затруднение;</w:t>
                  </w:r>
                </w:p>
              </w:tc>
            </w:tr>
          </w:tbl>
          <w:p w14:paraId="22CAA18A" w14:textId="77777777" w:rsidR="00C02A8F" w:rsidRPr="00C02A8F" w:rsidRDefault="00C02A8F" w:rsidP="00C02A8F">
            <w:pPr>
              <w:rPr>
                <w:rFonts w:eastAsia="Times New Roman" w:cstheme="minorHAnsi"/>
                <w:vanish/>
                <w:lang w:val="bg-BG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"/>
              <w:gridCol w:w="8883"/>
            </w:tblGrid>
            <w:tr w:rsidR="00C02A8F" w:rsidRPr="00C02A8F" w14:paraId="653467A7" w14:textId="77777777" w:rsidTr="00C02A8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2A3FDEE" w14:textId="77777777" w:rsidR="00C02A8F" w:rsidRPr="00C02A8F" w:rsidRDefault="00C02A8F" w:rsidP="00C02A8F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lang w:val="bg-BG"/>
                    </w:rPr>
                  </w:pPr>
                  <w:r w:rsidRPr="00C02A8F">
                    <w:rPr>
                      <w:rFonts w:eastAsia="Times New Roman" w:cstheme="minorHAnsi"/>
                      <w:lang w:val="bg-BG"/>
                    </w:rPr>
                    <w:t>г)</w:t>
                  </w:r>
                </w:p>
              </w:tc>
              <w:tc>
                <w:tcPr>
                  <w:tcW w:w="0" w:type="auto"/>
                  <w:hideMark/>
                </w:tcPr>
                <w:p w14:paraId="78516248" w14:textId="77777777" w:rsidR="00C02A8F" w:rsidRPr="00C02A8F" w:rsidRDefault="00C02A8F" w:rsidP="00C02A8F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lang w:val="bg-BG"/>
                    </w:rPr>
                  </w:pPr>
                  <w:r>
                    <w:rPr>
                      <w:rFonts w:eastAsia="Times New Roman" w:cstheme="minorHAnsi"/>
                      <w:lang w:val="bg-BG"/>
                    </w:rPr>
                    <w:t xml:space="preserve"> </w:t>
                  </w:r>
                  <w:r w:rsidRPr="00C02A8F">
                    <w:rPr>
                      <w:rFonts w:eastAsia="Times New Roman" w:cstheme="minorHAnsi"/>
                      <w:lang w:val="bg-BG"/>
                    </w:rPr>
                    <w:t>дейности, които съответстват с поставените цели за подобряването на цялостните характеристики на съоръженията за преработка или предлагане на пазара и тяхното приспособяване към изискванията на пазара, както и в повишаването на тяхната конкурентоспособност.</w:t>
                  </w:r>
                </w:p>
              </w:tc>
            </w:tr>
          </w:tbl>
          <w:p w14:paraId="2679697B" w14:textId="77777777" w:rsidR="00F041F5" w:rsidRDefault="00F041F5" w:rsidP="00F041F5">
            <w:pPr>
              <w:jc w:val="both"/>
              <w:rPr>
                <w:b/>
                <w:lang w:val="bg-BG"/>
              </w:rPr>
            </w:pPr>
          </w:p>
        </w:tc>
      </w:tr>
    </w:tbl>
    <w:p w14:paraId="45D34436" w14:textId="77777777" w:rsidR="005F556B" w:rsidRDefault="005F556B" w:rsidP="005F556B">
      <w:pPr>
        <w:spacing w:line="240" w:lineRule="auto"/>
        <w:jc w:val="both"/>
        <w:rPr>
          <w:b/>
        </w:rPr>
      </w:pPr>
    </w:p>
    <w:p w14:paraId="54EC963F" w14:textId="77777777" w:rsidR="00B92EB3" w:rsidRDefault="00B92EB3" w:rsidP="005F556B">
      <w:pPr>
        <w:spacing w:line="240" w:lineRule="auto"/>
        <w:jc w:val="both"/>
        <w:rPr>
          <w:b/>
        </w:rPr>
      </w:pPr>
    </w:p>
    <w:p w14:paraId="134CC56F" w14:textId="77777777"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14:paraId="033EDEF0" w14:textId="77777777"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14:paraId="07621752" w14:textId="77777777" w:rsidTr="00B92EB3">
        <w:tc>
          <w:tcPr>
            <w:tcW w:w="9242" w:type="dxa"/>
          </w:tcPr>
          <w:p w14:paraId="1DFB45BA" w14:textId="77777777" w:rsidR="00B92EB3" w:rsidRPr="00641842" w:rsidRDefault="00B92EB3" w:rsidP="005F556B">
            <w:pPr>
              <w:jc w:val="both"/>
              <w:rPr>
                <w:i/>
                <w:lang w:val="bg-BG"/>
              </w:rPr>
            </w:pPr>
          </w:p>
          <w:p w14:paraId="4BAEAE50" w14:textId="77777777" w:rsidR="00B92EB3" w:rsidRPr="00641842" w:rsidRDefault="00641842" w:rsidP="005F556B">
            <w:pPr>
              <w:jc w:val="both"/>
              <w:rPr>
                <w:lang w:val="bg-BG"/>
              </w:rPr>
            </w:pPr>
            <w:r w:rsidRPr="00641842">
              <w:rPr>
                <w:lang w:val="bg-BG"/>
              </w:rPr>
              <w:t>Параграф 11 от Приложение 2 към Споразумението за селското стопанство на СТО („зелена кутия“)</w:t>
            </w:r>
          </w:p>
        </w:tc>
      </w:tr>
    </w:tbl>
    <w:p w14:paraId="5925599D" w14:textId="77777777"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14:paraId="08EBB80D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14:paraId="5600804C" w14:textId="77777777"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14:paraId="6C46B893" w14:textId="77777777"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12C9D892" w14:textId="77777777" w:rsidTr="005F556B">
        <w:tc>
          <w:tcPr>
            <w:tcW w:w="9242" w:type="dxa"/>
          </w:tcPr>
          <w:p w14:paraId="7023DEDA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2B29505A" w14:textId="77777777" w:rsidR="00130A1B" w:rsidRPr="0005350A" w:rsidRDefault="00F530E5" w:rsidP="005F556B">
            <w:pPr>
              <w:jc w:val="both"/>
              <w:rPr>
                <w:rFonts w:cstheme="minorHAnsi"/>
                <w:lang w:val="bg-BG"/>
              </w:rPr>
            </w:pPr>
            <w:r w:rsidRPr="0005350A">
              <w:rPr>
                <w:rFonts w:cstheme="minorHAnsi"/>
                <w:lang w:val="bg-BG"/>
              </w:rPr>
              <w:t>Подпомагането е в размер на</w:t>
            </w:r>
            <w:r w:rsidR="00DB312B" w:rsidRPr="0005350A">
              <w:rPr>
                <w:rFonts w:cstheme="minorHAnsi"/>
                <w:lang w:val="bg-BG"/>
              </w:rPr>
              <w:t>:</w:t>
            </w:r>
          </w:p>
          <w:p w14:paraId="6AFC499C" w14:textId="77777777" w:rsidR="00DB312B" w:rsidRPr="0005350A" w:rsidRDefault="00DB312B" w:rsidP="00DB312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</w:pPr>
            <w:r w:rsidRPr="0005350A"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  <w:t>- до 50 на сто от стойността на действителните разходи за осъществяване на допустимите инвестиционни дейности за микро-, малки и средни предприятия по смисъла на Препоръка 2003/361/ЕО на Комисията относно дефиницията на микро-, малки и средни предприятия;</w:t>
            </w:r>
          </w:p>
          <w:p w14:paraId="6BA0D95C" w14:textId="77777777" w:rsidR="00DB312B" w:rsidRPr="0005350A" w:rsidRDefault="00DB312B" w:rsidP="00DB312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</w:pPr>
            <w:r w:rsidRPr="0005350A"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  <w:t>- до 25 на сто от действително направените разходи за предприятия с по-малко от 750 служители или с оборот, по-малък от 200 милиона евро;</w:t>
            </w:r>
          </w:p>
          <w:p w14:paraId="14BF89A6" w14:textId="77777777" w:rsidR="00DB312B" w:rsidRPr="0005350A" w:rsidRDefault="00DB312B" w:rsidP="00DB312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</w:pPr>
            <w:r w:rsidRPr="0005350A"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  <w:t xml:space="preserve">- до 15 на сто от действително направените допустими разходи за предприятия с над 750 </w:t>
            </w:r>
            <w:r w:rsidRPr="0005350A"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  <w:lastRenderedPageBreak/>
              <w:t>служители или с оборот над 200 милиона евро.</w:t>
            </w:r>
          </w:p>
          <w:p w14:paraId="13105616" w14:textId="77777777" w:rsidR="00DB312B" w:rsidRPr="0005350A" w:rsidRDefault="00DB312B" w:rsidP="00DB312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</w:pPr>
          </w:p>
          <w:p w14:paraId="74C346FB" w14:textId="77777777" w:rsidR="00DB312B" w:rsidRPr="0005350A" w:rsidRDefault="00DB312B" w:rsidP="00DB312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highlight w:val="white"/>
                <w:shd w:val="clear" w:color="auto" w:fill="FEFEFE"/>
                <w:lang w:val="bg-BG" w:eastAsia="bg-BG"/>
              </w:rPr>
            </w:pPr>
            <w:r w:rsidRPr="0005350A">
              <w:rPr>
                <w:rFonts w:eastAsia="Times New Roman" w:cstheme="minorHAnsi"/>
                <w:shd w:val="clear" w:color="auto" w:fill="FEFEFE"/>
                <w:lang w:val="bg-BG" w:eastAsia="bg-BG"/>
              </w:rPr>
              <w:t>Разходите се възстановяват на база три независими оферти</w:t>
            </w:r>
          </w:p>
          <w:p w14:paraId="028705D8" w14:textId="77777777" w:rsidR="00DB312B" w:rsidRPr="00A11C79" w:rsidRDefault="00DB312B" w:rsidP="005F556B">
            <w:pPr>
              <w:jc w:val="both"/>
              <w:rPr>
                <w:lang w:val="bg-BG"/>
              </w:rPr>
            </w:pPr>
          </w:p>
          <w:p w14:paraId="10F7F049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64861E6C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 w:rsidSect="007674E9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0955"/>
    <w:multiLevelType w:val="hybridMultilevel"/>
    <w:tmpl w:val="BFF81CCA"/>
    <w:lvl w:ilvl="0" w:tplc="F9CA47B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CE6"/>
    <w:rsid w:val="00027128"/>
    <w:rsid w:val="0005350A"/>
    <w:rsid w:val="00070FCC"/>
    <w:rsid w:val="000A2E65"/>
    <w:rsid w:val="000E06EF"/>
    <w:rsid w:val="00130A1B"/>
    <w:rsid w:val="00166843"/>
    <w:rsid w:val="001759E6"/>
    <w:rsid w:val="00186326"/>
    <w:rsid w:val="0021754B"/>
    <w:rsid w:val="00252CFE"/>
    <w:rsid w:val="00270ABF"/>
    <w:rsid w:val="0029327C"/>
    <w:rsid w:val="002B310C"/>
    <w:rsid w:val="002D5586"/>
    <w:rsid w:val="002E576B"/>
    <w:rsid w:val="00323C4C"/>
    <w:rsid w:val="0033594E"/>
    <w:rsid w:val="00364C4D"/>
    <w:rsid w:val="003A6CE6"/>
    <w:rsid w:val="003B2B39"/>
    <w:rsid w:val="00413957"/>
    <w:rsid w:val="00440223"/>
    <w:rsid w:val="00442CE4"/>
    <w:rsid w:val="0046113A"/>
    <w:rsid w:val="004D47EE"/>
    <w:rsid w:val="004D583C"/>
    <w:rsid w:val="004E63AB"/>
    <w:rsid w:val="004F7071"/>
    <w:rsid w:val="00595B4A"/>
    <w:rsid w:val="00597B26"/>
    <w:rsid w:val="005F556B"/>
    <w:rsid w:val="0062468E"/>
    <w:rsid w:val="00641842"/>
    <w:rsid w:val="006C3C28"/>
    <w:rsid w:val="007239EE"/>
    <w:rsid w:val="007674E9"/>
    <w:rsid w:val="007E22E7"/>
    <w:rsid w:val="007F6563"/>
    <w:rsid w:val="00831F84"/>
    <w:rsid w:val="00890974"/>
    <w:rsid w:val="008A7C31"/>
    <w:rsid w:val="008C7E00"/>
    <w:rsid w:val="008F05DA"/>
    <w:rsid w:val="00906EF0"/>
    <w:rsid w:val="0091452D"/>
    <w:rsid w:val="00950149"/>
    <w:rsid w:val="00950EC5"/>
    <w:rsid w:val="009A65E0"/>
    <w:rsid w:val="009D0BAB"/>
    <w:rsid w:val="009D29BA"/>
    <w:rsid w:val="00A11C79"/>
    <w:rsid w:val="00A20F14"/>
    <w:rsid w:val="00A5117F"/>
    <w:rsid w:val="00B04758"/>
    <w:rsid w:val="00B20329"/>
    <w:rsid w:val="00B54587"/>
    <w:rsid w:val="00B74049"/>
    <w:rsid w:val="00B92EB3"/>
    <w:rsid w:val="00BA7323"/>
    <w:rsid w:val="00BB7D45"/>
    <w:rsid w:val="00BC12FC"/>
    <w:rsid w:val="00BC2D56"/>
    <w:rsid w:val="00BD6438"/>
    <w:rsid w:val="00BF15F0"/>
    <w:rsid w:val="00C02A8F"/>
    <w:rsid w:val="00D92818"/>
    <w:rsid w:val="00DB1959"/>
    <w:rsid w:val="00DB312B"/>
    <w:rsid w:val="00DB42EB"/>
    <w:rsid w:val="00E302F4"/>
    <w:rsid w:val="00E72DB5"/>
    <w:rsid w:val="00E76E03"/>
    <w:rsid w:val="00E869B8"/>
    <w:rsid w:val="00F041F5"/>
    <w:rsid w:val="00F22043"/>
    <w:rsid w:val="00F530E5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0DE87"/>
  <w15:docId w15:val="{032C5D6D-1084-47F5-88BE-91A28683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paragraph" w:styleId="NormalWeb">
    <w:name w:val="Normal (Web)"/>
    <w:basedOn w:val="Normal"/>
    <w:uiPriority w:val="99"/>
    <w:semiHidden/>
    <w:unhideWhenUsed/>
    <w:rsid w:val="0076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483C9-3C27-406E-9C4A-B925BD6C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Kalina Tuteva</cp:lastModifiedBy>
  <cp:revision>14</cp:revision>
  <dcterms:created xsi:type="dcterms:W3CDTF">2020-10-20T14:13:00Z</dcterms:created>
  <dcterms:modified xsi:type="dcterms:W3CDTF">2020-11-17T14:20:00Z</dcterms:modified>
</cp:coreProperties>
</file>