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B0E20" w14:textId="17E6C52A" w:rsidR="002E576B" w:rsidRDefault="00E54246" w:rsidP="002E576B">
      <w:pPr>
        <w:jc w:val="center"/>
        <w:rPr>
          <w:lang w:val="bg-BG"/>
        </w:rPr>
      </w:pPr>
      <w:r>
        <w:rPr>
          <w:lang w:val="bg-BG"/>
        </w:rPr>
        <w:t>Име на интервенцията: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E576B" w14:paraId="72405773" w14:textId="77777777" w:rsidTr="007F6563">
        <w:trPr>
          <w:trHeight w:val="622"/>
        </w:trPr>
        <w:tc>
          <w:tcPr>
            <w:tcW w:w="9242" w:type="dxa"/>
            <w:shd w:val="clear" w:color="auto" w:fill="B8CCE4" w:themeFill="accent1" w:themeFillTint="66"/>
          </w:tcPr>
          <w:p w14:paraId="03C9E7D3" w14:textId="77777777" w:rsidR="007F6563" w:rsidRDefault="007F6563" w:rsidP="002E576B">
            <w:pPr>
              <w:spacing w:after="200" w:line="276" w:lineRule="auto"/>
              <w:jc w:val="center"/>
              <w:rPr>
                <w:b/>
              </w:rPr>
            </w:pPr>
          </w:p>
          <w:p w14:paraId="2A616227" w14:textId="77777777" w:rsidR="002E576B" w:rsidRDefault="002E576B" w:rsidP="00155AC0">
            <w:pPr>
              <w:spacing w:after="200"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/</w:t>
            </w:r>
            <w:bookmarkStart w:id="0" w:name="_Hlk55816636"/>
            <w:r w:rsidR="00155AC0">
              <w:rPr>
                <w:b/>
                <w:lang w:val="bg-BG"/>
              </w:rPr>
              <w:t>Популяризиране в трети държави</w:t>
            </w:r>
            <w:bookmarkEnd w:id="0"/>
            <w:r>
              <w:rPr>
                <w:b/>
                <w:lang w:val="bg-BG"/>
              </w:rPr>
              <w:t>/</w:t>
            </w:r>
          </w:p>
          <w:p w14:paraId="55E8C005" w14:textId="77777777" w:rsidR="00E54246" w:rsidRDefault="00E54246" w:rsidP="00E54246">
            <w:pPr>
              <w:jc w:val="both"/>
              <w:rPr>
                <w:lang w:val="bg-BG"/>
              </w:rPr>
            </w:pPr>
            <w:r w:rsidRPr="00A36BE2">
              <w:rPr>
                <w:lang w:val="bg-BG"/>
              </w:rPr>
              <w:t xml:space="preserve">Основна цел на </w:t>
            </w:r>
            <w:r>
              <w:rPr>
                <w:lang w:val="bg-BG"/>
              </w:rPr>
              <w:t>интервенцията</w:t>
            </w:r>
            <w:r w:rsidRPr="00A36BE2">
              <w:rPr>
                <w:lang w:val="bg-BG"/>
              </w:rPr>
              <w:t xml:space="preserve"> е повишаване на конкурентоспособността и износа на качествени (със ЗНП, ЗГУ и сортови) и биологични български вина на пазарите на трети страни. Мярката обхваща дейности за информиране и популяризиране на качествени вина с цел повишаване на търсенето на целевите пазари. Мярката е приложима за вина със защитено наименование за произход (ЗНП), защитено географско указание (ЗГУ), сортови вина без ЗГУ/ЗНП и сертифицирани биологични вина. Стратегията, насочена към популяризирането на вина със ЗНП, ЗГУ и сортови вина без ЗНП и ЗГУ в трети страни</w:t>
            </w:r>
            <w:r>
              <w:rPr>
                <w:lang w:val="bg-BG"/>
              </w:rPr>
              <w:t>.</w:t>
            </w:r>
          </w:p>
          <w:p w14:paraId="5D1B5B27" w14:textId="77777777" w:rsidR="00E54246" w:rsidRDefault="00E54246" w:rsidP="00E54246">
            <w:pPr>
              <w:jc w:val="both"/>
              <w:rPr>
                <w:lang w:val="bg-BG"/>
              </w:rPr>
            </w:pPr>
            <w:r w:rsidRPr="008C76DC">
              <w:rPr>
                <w:lang w:val="bg-BG"/>
              </w:rPr>
              <w:t>Определянето на целеви пазари, за прилагане на мярката, се базира на няколко основни фактора: 1) размер на вноса – в количествено и стойностно изражение, на вина в страни, извън ЕС; 2) съществуващи и традиционни търговски връзки за внос на българско вино; 3) темп на развитие и потенциал на пазарите на третите страни; 4) интерес от страна на българските винопроизводители. За целеви трети страни са определени: Китай, Япония, Хонг Конг, Тайван, Сингапур, Виетнам, Тайланд, Малайзия, Алжир, Русия, Беларус, САЩ, Канада, Мексико и Бразилия.</w:t>
            </w:r>
          </w:p>
          <w:p w14:paraId="7D84D11D" w14:textId="77777777" w:rsidR="00E54246" w:rsidRDefault="00E54246" w:rsidP="00E54246">
            <w:pPr>
              <w:jc w:val="both"/>
              <w:rPr>
                <w:lang w:val="bg-BG"/>
              </w:rPr>
            </w:pPr>
            <w:r w:rsidRPr="00F20CE2">
              <w:rPr>
                <w:lang w:val="bg-BG"/>
              </w:rPr>
              <w:t xml:space="preserve">През 2017 година е реализиран износ на вино на обща стойност 66,643  млн. лв. Той е по-нисък от средния реализиран износ в последния петгодишен период, който е на стойност около 80 млн. лв., но е по-висок от реализирания през 2016 година износ на стойност 64,855 млн. лв. Ръст в стойността на износа се наблюдава при всички групи вина – при пенливите вина стойността на </w:t>
            </w:r>
            <w:proofErr w:type="spellStart"/>
            <w:r w:rsidRPr="00F20CE2">
              <w:rPr>
                <w:lang w:val="bg-BG"/>
              </w:rPr>
              <w:t>изно</w:t>
            </w:r>
            <w:proofErr w:type="spellEnd"/>
            <w:r w:rsidRPr="00F20CE2">
              <w:rPr>
                <w:lang w:val="bg-BG"/>
              </w:rPr>
              <w:t>-са през 2017 година е 754 733 лв. спрямо 671 866 лв. през 2016. При бутилира-</w:t>
            </w:r>
            <w:proofErr w:type="spellStart"/>
            <w:r w:rsidRPr="00F20CE2">
              <w:rPr>
                <w:lang w:val="bg-BG"/>
              </w:rPr>
              <w:t>ните</w:t>
            </w:r>
            <w:proofErr w:type="spellEnd"/>
            <w:r w:rsidRPr="00F20CE2">
              <w:rPr>
                <w:lang w:val="bg-BG"/>
              </w:rPr>
              <w:t>, които заемат най-голям дял в износа на вино, стойността на износа през 2017 г. е 53,027 млн. лв. по-висока от стойността през 2016, но по-ниска от предходните години. При наливните вина също има ръст спрямо 2016 година, но все пак не може да бъде достигната стойността на износа от 2015.</w:t>
            </w:r>
          </w:p>
          <w:p w14:paraId="53FBD96D" w14:textId="77777777" w:rsidR="00E54246" w:rsidRDefault="00E54246" w:rsidP="00E54246">
            <w:p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За 2018 годин</w:t>
            </w:r>
            <w:r w:rsidRPr="00A36BE2">
              <w:rPr>
                <w:szCs w:val="24"/>
                <w:lang w:val="bg-BG"/>
              </w:rPr>
              <w:t>а</w:t>
            </w:r>
            <w:r>
              <w:rPr>
                <w:szCs w:val="24"/>
                <w:lang w:val="bg-BG"/>
              </w:rPr>
              <w:t xml:space="preserve"> по</w:t>
            </w:r>
            <w:r w:rsidRPr="00A36BE2">
              <w:rPr>
                <w:szCs w:val="24"/>
                <w:lang w:val="bg-BG"/>
              </w:rPr>
              <w:t xml:space="preserve"> „Популяризиране на пазарите на трети държави” са подписани 4 договора</w:t>
            </w:r>
            <w:r>
              <w:rPr>
                <w:szCs w:val="24"/>
                <w:lang w:val="bg-BG"/>
              </w:rPr>
              <w:t xml:space="preserve">, </w:t>
            </w:r>
            <w:r w:rsidRPr="00A36BE2">
              <w:rPr>
                <w:szCs w:val="24"/>
                <w:lang w:val="bg-BG"/>
              </w:rPr>
              <w:t xml:space="preserve">общият размер на одобрените разходи за период от три години е 4 599 693,82 лв., като 2 874 808,64 лв. са от ЕФГЗ (50%) и 1 724 885,18 лв. са </w:t>
            </w:r>
            <w:r>
              <w:rPr>
                <w:szCs w:val="24"/>
                <w:lang w:val="bg-BG"/>
              </w:rPr>
              <w:t>държавна помощ</w:t>
            </w:r>
            <w:r w:rsidRPr="00A36BE2">
              <w:rPr>
                <w:szCs w:val="24"/>
                <w:lang w:val="bg-BG"/>
              </w:rPr>
              <w:t xml:space="preserve"> (30%)</w:t>
            </w:r>
            <w:r>
              <w:rPr>
                <w:szCs w:val="24"/>
                <w:lang w:val="bg-BG"/>
              </w:rPr>
              <w:t>.</w:t>
            </w:r>
          </w:p>
          <w:p w14:paraId="73CF496A" w14:textId="724ECC2D" w:rsidR="00E54246" w:rsidRPr="002E576B" w:rsidRDefault="00E54246" w:rsidP="00E54246">
            <w:pPr>
              <w:jc w:val="both"/>
              <w:rPr>
                <w:b/>
                <w:lang w:val="bg-BG"/>
              </w:rPr>
            </w:pPr>
          </w:p>
        </w:tc>
      </w:tr>
    </w:tbl>
    <w:p w14:paraId="2967BF01" w14:textId="77777777" w:rsidR="002E576B" w:rsidRDefault="002E576B" w:rsidP="002E576B">
      <w:pPr>
        <w:jc w:val="center"/>
        <w:rPr>
          <w:lang w:val="bg-BG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2E576B" w14:paraId="08EBAF83" w14:textId="77777777" w:rsidTr="00252CFE">
        <w:tc>
          <w:tcPr>
            <w:tcW w:w="2943" w:type="dxa"/>
            <w:shd w:val="clear" w:color="auto" w:fill="B8CCE4" w:themeFill="accent1" w:themeFillTint="66"/>
          </w:tcPr>
          <w:p w14:paraId="0C175651" w14:textId="77777777" w:rsidR="002E576B" w:rsidRPr="002E576B" w:rsidRDefault="002E576B" w:rsidP="002E576B">
            <w:pPr>
              <w:ind w:right="1711"/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Фонд</w:t>
            </w:r>
          </w:p>
        </w:tc>
        <w:tc>
          <w:tcPr>
            <w:tcW w:w="6379" w:type="dxa"/>
          </w:tcPr>
          <w:p w14:paraId="765729CE" w14:textId="77777777" w:rsidR="002E576B" w:rsidRDefault="002D5586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ЕФГЗ</w:t>
            </w:r>
          </w:p>
        </w:tc>
      </w:tr>
      <w:tr w:rsidR="002E576B" w14:paraId="15910545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54B8E8D0" w14:textId="77777777" w:rsidR="002E576B" w:rsidRPr="00BC2D56" w:rsidRDefault="002E576B" w:rsidP="00BC2D56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Тип на интервенцията</w:t>
            </w:r>
          </w:p>
        </w:tc>
        <w:tc>
          <w:tcPr>
            <w:tcW w:w="6379" w:type="dxa"/>
            <w:vAlign w:val="center"/>
          </w:tcPr>
          <w:p w14:paraId="54C8648E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26C67221" w14:textId="77777777" w:rsidR="002E576B" w:rsidRDefault="002D5586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секторна</w:t>
            </w:r>
          </w:p>
          <w:p w14:paraId="26152DF6" w14:textId="77777777"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  <w:tr w:rsidR="002E576B" w14:paraId="7989239E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7783E5CE" w14:textId="77777777" w:rsidR="002E576B" w:rsidRPr="00BC2D56" w:rsidRDefault="002E576B" w:rsidP="002E576B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Териториален обхват</w:t>
            </w:r>
            <w:r w:rsidR="004D47EE">
              <w:rPr>
                <w:b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14:paraId="1A140374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0CD5371C" w14:textId="77777777" w:rsidR="002E576B" w:rsidRDefault="002D5586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България/национална</w:t>
            </w:r>
          </w:p>
          <w:p w14:paraId="6AAFE8F6" w14:textId="77777777"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  <w:tr w:rsidR="002E576B" w14:paraId="54CAE22E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1D286713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027128">
              <w:rPr>
                <w:b/>
                <w:lang w:val="bg-BG"/>
              </w:rPr>
              <w:t>Свързани специфични цели и където е релевантно, секторни приоритети</w:t>
            </w:r>
          </w:p>
        </w:tc>
        <w:tc>
          <w:tcPr>
            <w:tcW w:w="6379" w:type="dxa"/>
            <w:vAlign w:val="center"/>
          </w:tcPr>
          <w:p w14:paraId="3207155A" w14:textId="123BAC43" w:rsidR="002E576B" w:rsidRDefault="000A54E5" w:rsidP="00FF71DB">
            <w:pPr>
              <w:jc w:val="center"/>
              <w:rPr>
                <w:lang w:val="bg-BG"/>
              </w:rPr>
            </w:pPr>
            <w:r w:rsidRPr="00E302F4">
              <w:rPr>
                <w:b/>
                <w:bCs/>
                <w:lang w:val="bg-BG"/>
              </w:rPr>
              <w:t>Специфична цел 2:</w:t>
            </w:r>
            <w:r>
              <w:rPr>
                <w:lang w:val="bg-BG"/>
              </w:rPr>
              <w:t xml:space="preserve"> </w:t>
            </w:r>
            <w:r w:rsidRPr="00E302F4">
              <w:rPr>
                <w:lang w:val="bg-BG"/>
              </w:rPr>
              <w:t>Засилване на пазарната ориентация и повишаване на конкурентоспособността, включително поставяне на по-голям акцент върху научните изследвания, технологиите и цифровизацията;</w:t>
            </w:r>
            <w:r>
              <w:rPr>
                <w:lang w:val="bg-BG"/>
              </w:rPr>
              <w:t xml:space="preserve"> </w:t>
            </w:r>
            <w:r w:rsidRPr="00E302F4">
              <w:rPr>
                <w:b/>
                <w:bCs/>
                <w:lang w:val="bg-BG"/>
              </w:rPr>
              <w:t>Потребност 8:</w:t>
            </w:r>
            <w:r>
              <w:t xml:space="preserve"> </w:t>
            </w:r>
            <w:r w:rsidRPr="00E302F4">
              <w:rPr>
                <w:lang w:val="bg-BG"/>
              </w:rPr>
              <w:t xml:space="preserve">Повишаване на конкурентоспособността на производителите и преработвателите в </w:t>
            </w:r>
            <w:proofErr w:type="spellStart"/>
            <w:r w:rsidRPr="00E302F4">
              <w:rPr>
                <w:lang w:val="bg-BG"/>
              </w:rPr>
              <w:t>лозаро</w:t>
            </w:r>
            <w:proofErr w:type="spellEnd"/>
            <w:r w:rsidRPr="00E302F4">
              <w:rPr>
                <w:lang w:val="bg-BG"/>
              </w:rPr>
              <w:t>-винарския сектор, модернизация на стопанствата и предприятията за производство на вино. Стимулиране на експортната ориентация и подобряване на структурата в сектора.</w:t>
            </w:r>
            <w:r>
              <w:rPr>
                <w:lang w:val="bg-BG"/>
              </w:rPr>
              <w:br/>
            </w:r>
            <w:r w:rsidR="002D5586">
              <w:rPr>
                <w:lang w:val="bg-BG"/>
              </w:rPr>
              <w:br/>
            </w:r>
            <w:r w:rsidR="002D5586">
              <w:rPr>
                <w:lang w:val="bg-BG"/>
              </w:rPr>
              <w:lastRenderedPageBreak/>
              <w:t xml:space="preserve">Секторен приоритет: </w:t>
            </w:r>
            <w:r w:rsidR="00FF71DB" w:rsidRPr="00FF71DB">
              <w:rPr>
                <w:lang w:val="bg-BG"/>
              </w:rPr>
              <w:t>повишаване на конкурентоспособността</w:t>
            </w:r>
            <w:r w:rsidR="00FF71DB">
              <w:rPr>
                <w:lang w:val="bg-BG"/>
              </w:rPr>
              <w:t xml:space="preserve"> на българското винопроизводство и на</w:t>
            </w:r>
            <w:r w:rsidR="00FF71DB" w:rsidRPr="00FF71DB">
              <w:rPr>
                <w:lang w:val="bg-BG"/>
              </w:rPr>
              <w:t xml:space="preserve"> износа на </w:t>
            </w:r>
            <w:r w:rsidR="00FF71DB">
              <w:rPr>
                <w:lang w:val="bg-BG"/>
              </w:rPr>
              <w:t>качествени</w:t>
            </w:r>
            <w:r w:rsidR="00FF71DB" w:rsidRPr="00FF71DB">
              <w:rPr>
                <w:lang w:val="bg-BG"/>
              </w:rPr>
              <w:t xml:space="preserve"> вина </w:t>
            </w:r>
            <w:r w:rsidR="00FF71DB">
              <w:rPr>
                <w:lang w:val="bg-BG"/>
              </w:rPr>
              <w:t>към</w:t>
            </w:r>
            <w:r w:rsidR="00FF71DB" w:rsidRPr="00FF71DB">
              <w:rPr>
                <w:lang w:val="bg-BG"/>
              </w:rPr>
              <w:t xml:space="preserve"> трети страни</w:t>
            </w:r>
            <w:r w:rsidR="000076E8">
              <w:rPr>
                <w:lang w:val="bg-BG"/>
              </w:rPr>
              <w:t>;</w:t>
            </w:r>
            <w:r w:rsidR="00FF71DB">
              <w:rPr>
                <w:lang w:val="bg-BG"/>
              </w:rPr>
              <w:t xml:space="preserve"> популяризиране на качествените вината (ЗГУ, ЗНП, сортови вина без ЗГУ/ЗНП и биологично произведени вина)</w:t>
            </w:r>
          </w:p>
        </w:tc>
      </w:tr>
      <w:tr w:rsidR="002E576B" w14:paraId="59513E80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0653D94E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lastRenderedPageBreak/>
              <w:t>Индикатори за резултат</w:t>
            </w:r>
            <w:r w:rsidR="00F22043">
              <w:rPr>
                <w:b/>
                <w:lang w:val="bg-BG"/>
              </w:rPr>
              <w:t xml:space="preserve"> 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(</w:t>
            </w:r>
            <w:r w:rsidR="00F22043" w:rsidRPr="00F22043">
              <w:rPr>
                <w:b/>
                <w:i/>
                <w:sz w:val="20"/>
                <w:szCs w:val="20"/>
                <w:lang w:val="bg-BG"/>
              </w:rPr>
              <w:t>най-малко един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)</w:t>
            </w:r>
          </w:p>
        </w:tc>
        <w:tc>
          <w:tcPr>
            <w:tcW w:w="6379" w:type="dxa"/>
            <w:vAlign w:val="center"/>
          </w:tcPr>
          <w:p w14:paraId="59C4299A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557CCF7D" w14:textId="77777777" w:rsidR="002E576B" w:rsidRPr="002D5586" w:rsidRDefault="002D5586" w:rsidP="002E57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R.9</w:t>
            </w:r>
            <w:r w:rsidR="00FF71DB">
              <w:rPr>
                <w:lang w:val="bg-BG"/>
              </w:rPr>
              <w:t>а</w:t>
            </w:r>
            <w:r>
              <w:rPr>
                <w:lang w:val="en-US"/>
              </w:rPr>
              <w:t xml:space="preserve"> - </w:t>
            </w:r>
            <w:r w:rsidR="00FF71DB" w:rsidRPr="00FF71DB">
              <w:rPr>
                <w:lang w:val="en-US"/>
              </w:rPr>
              <w:t>Promoting intern</w:t>
            </w:r>
            <w:r w:rsidR="00FF71DB">
              <w:rPr>
                <w:lang w:val="en-US"/>
              </w:rPr>
              <w:t>ationally EU agri-food products</w:t>
            </w:r>
          </w:p>
          <w:p w14:paraId="3030C062" w14:textId="77777777"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  <w:tr w:rsidR="002E576B" w14:paraId="00B06B30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1CD7989B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Допустими бенефициенти</w:t>
            </w:r>
          </w:p>
        </w:tc>
        <w:tc>
          <w:tcPr>
            <w:tcW w:w="6379" w:type="dxa"/>
            <w:vAlign w:val="center"/>
          </w:tcPr>
          <w:p w14:paraId="16063F90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08C13535" w14:textId="77777777" w:rsidR="00FF71DB" w:rsidRPr="00FF71DB" w:rsidRDefault="00FF71DB" w:rsidP="00FF71D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432"/>
              <w:jc w:val="both"/>
              <w:rPr>
                <w:rFonts w:cstheme="minorHAnsi"/>
                <w:lang w:val="bg-BG" w:eastAsia="bg-BG"/>
              </w:rPr>
            </w:pPr>
            <w:r w:rsidRPr="00FF71DB">
              <w:rPr>
                <w:rFonts w:cstheme="minorHAnsi"/>
                <w:lang w:val="bg-BG" w:eastAsia="bg-BG"/>
              </w:rPr>
              <w:t xml:space="preserve">търговски дружества, работещи основно в </w:t>
            </w:r>
            <w:proofErr w:type="spellStart"/>
            <w:r w:rsidRPr="00FF71DB">
              <w:rPr>
                <w:rFonts w:cstheme="minorHAnsi"/>
                <w:lang w:val="bg-BG" w:eastAsia="bg-BG"/>
              </w:rPr>
              <w:t>лозаро</w:t>
            </w:r>
            <w:proofErr w:type="spellEnd"/>
            <w:r w:rsidRPr="00FF71DB">
              <w:rPr>
                <w:rFonts w:cstheme="minorHAnsi"/>
                <w:lang w:val="bg-BG" w:eastAsia="bg-BG"/>
              </w:rPr>
              <w:t>-винарския сектор;</w:t>
            </w:r>
          </w:p>
          <w:p w14:paraId="7722E713" w14:textId="77777777" w:rsidR="00FF71DB" w:rsidRPr="00FF71DB" w:rsidRDefault="00FF71DB" w:rsidP="00FF71D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432"/>
              <w:jc w:val="both"/>
              <w:rPr>
                <w:rFonts w:cstheme="minorHAnsi"/>
                <w:lang w:val="bg-BG" w:eastAsia="bg-BG"/>
              </w:rPr>
            </w:pPr>
            <w:r w:rsidRPr="00FF71DB">
              <w:rPr>
                <w:rFonts w:cstheme="minorHAnsi"/>
                <w:lang w:val="bg-BG" w:eastAsia="bg-BG"/>
              </w:rPr>
              <w:t xml:space="preserve">професионални организации, работещи основно в </w:t>
            </w:r>
            <w:proofErr w:type="spellStart"/>
            <w:r w:rsidRPr="00FF71DB">
              <w:rPr>
                <w:rFonts w:cstheme="minorHAnsi"/>
                <w:lang w:val="bg-BG" w:eastAsia="bg-BG"/>
              </w:rPr>
              <w:t>лозаро</w:t>
            </w:r>
            <w:proofErr w:type="spellEnd"/>
            <w:r w:rsidRPr="00FF71DB">
              <w:rPr>
                <w:rFonts w:cstheme="minorHAnsi"/>
                <w:lang w:val="bg-BG" w:eastAsia="bg-BG"/>
              </w:rPr>
              <w:t>-винарския сектор;</w:t>
            </w:r>
          </w:p>
          <w:p w14:paraId="1107C648" w14:textId="77777777" w:rsidR="00FF71DB" w:rsidRPr="00FF71DB" w:rsidRDefault="00FF71DB" w:rsidP="00FF71D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432"/>
              <w:jc w:val="both"/>
              <w:rPr>
                <w:rFonts w:cstheme="minorHAnsi"/>
                <w:shd w:val="clear" w:color="auto" w:fill="FEFEFE"/>
                <w:lang w:val="bg-BG"/>
              </w:rPr>
            </w:pPr>
            <w:r>
              <w:rPr>
                <w:rFonts w:cstheme="minorHAnsi"/>
                <w:shd w:val="clear" w:color="auto" w:fill="FEFEFE"/>
                <w:lang w:val="bg-BG"/>
              </w:rPr>
              <w:t xml:space="preserve">признати </w:t>
            </w:r>
            <w:r w:rsidRPr="00FF71DB">
              <w:rPr>
                <w:rFonts w:cstheme="minorHAnsi"/>
                <w:shd w:val="clear" w:color="auto" w:fill="FEFEFE"/>
                <w:lang w:val="bg-BG"/>
              </w:rPr>
              <w:t>организации на винопроизводители и асоциации на ор</w:t>
            </w:r>
            <w:r>
              <w:rPr>
                <w:rFonts w:cstheme="minorHAnsi"/>
                <w:shd w:val="clear" w:color="auto" w:fill="FEFEFE"/>
                <w:lang w:val="bg-BG"/>
              </w:rPr>
              <w:t>ганизации на винопроизводители;</w:t>
            </w:r>
          </w:p>
          <w:p w14:paraId="724E6DBA" w14:textId="77777777" w:rsidR="00FF71DB" w:rsidRPr="00FF71DB" w:rsidRDefault="00FF71DB" w:rsidP="00FF71D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432"/>
              <w:jc w:val="both"/>
              <w:rPr>
                <w:rFonts w:cstheme="minorHAnsi"/>
                <w:shd w:val="clear" w:color="auto" w:fill="FEFEFE"/>
                <w:lang w:val="bg-BG"/>
              </w:rPr>
            </w:pPr>
            <w:r w:rsidRPr="00FF71DB">
              <w:rPr>
                <w:rFonts w:cstheme="minorHAnsi"/>
                <w:shd w:val="clear" w:color="auto" w:fill="FEFEFE"/>
                <w:lang w:val="bg-BG"/>
              </w:rPr>
              <w:t>междупрофесионални организации;</w:t>
            </w:r>
          </w:p>
          <w:p w14:paraId="45D473E7" w14:textId="77777777" w:rsidR="00FF71DB" w:rsidRPr="00FF71DB" w:rsidRDefault="00FF71DB" w:rsidP="00FF71D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432"/>
              <w:jc w:val="both"/>
              <w:rPr>
                <w:rFonts w:eastAsia="Times New Roman" w:cstheme="minorHAnsi"/>
                <w:b/>
                <w:lang w:val="bg-BG" w:eastAsia="bg-BG"/>
              </w:rPr>
            </w:pPr>
            <w:r>
              <w:rPr>
                <w:rFonts w:cstheme="minorHAnsi"/>
                <w:lang w:val="bg-BG" w:eastAsia="bg-BG"/>
              </w:rPr>
              <w:t>публични органи</w:t>
            </w:r>
            <w:r w:rsidRPr="00FF71DB">
              <w:rPr>
                <w:rFonts w:cstheme="minorHAnsi"/>
                <w:lang w:val="bg-BG" w:eastAsia="bg-BG"/>
              </w:rPr>
              <w:t xml:space="preserve"> </w:t>
            </w:r>
          </w:p>
          <w:p w14:paraId="026F3E29" w14:textId="77777777" w:rsidR="002E576B" w:rsidRDefault="002E576B" w:rsidP="00DC3E22">
            <w:pPr>
              <w:jc w:val="center"/>
              <w:rPr>
                <w:lang w:val="bg-BG"/>
              </w:rPr>
            </w:pPr>
          </w:p>
        </w:tc>
      </w:tr>
    </w:tbl>
    <w:p w14:paraId="0B0CBE13" w14:textId="77777777" w:rsidR="002E576B" w:rsidRDefault="002E576B" w:rsidP="002E576B">
      <w:pPr>
        <w:jc w:val="center"/>
      </w:pPr>
    </w:p>
    <w:p w14:paraId="02E49AC5" w14:textId="77777777" w:rsidR="005F556B" w:rsidRPr="0046113A" w:rsidRDefault="004D583C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Описание на дизайна на</w:t>
      </w:r>
      <w:r w:rsidR="008A7C31" w:rsidRPr="0046113A">
        <w:rPr>
          <w:b/>
          <w:lang w:val="bg-BG"/>
        </w:rPr>
        <w:t xml:space="preserve"> </w:t>
      </w:r>
      <w:r w:rsidRPr="0046113A">
        <w:rPr>
          <w:b/>
          <w:lang w:val="bg-BG"/>
        </w:rPr>
        <w:t xml:space="preserve">интервенцията;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F556B" w14:paraId="12800D8C" w14:textId="77777777" w:rsidTr="005F556B">
        <w:tc>
          <w:tcPr>
            <w:tcW w:w="9242" w:type="dxa"/>
          </w:tcPr>
          <w:p w14:paraId="17121CF1" w14:textId="77777777" w:rsidR="000606DF" w:rsidRPr="000606DF" w:rsidRDefault="000606DF" w:rsidP="000606DF">
            <w:pPr>
              <w:ind w:right="432" w:firstLine="708"/>
              <w:jc w:val="both"/>
              <w:rPr>
                <w:rFonts w:eastAsia="Times New Roman" w:cstheme="minorHAnsi"/>
                <w:lang w:val="bg-BG" w:eastAsia="bg-BG"/>
              </w:rPr>
            </w:pPr>
            <w:r w:rsidRPr="000606DF">
              <w:rPr>
                <w:rFonts w:eastAsia="Times New Roman" w:cstheme="minorHAnsi"/>
                <w:lang w:val="bg-BG" w:eastAsia="bg-BG"/>
              </w:rPr>
              <w:t xml:space="preserve">С оглед постигане на поставените цели като допустими се определят следните дейности и свързаните с тях разходи: </w:t>
            </w:r>
          </w:p>
          <w:p w14:paraId="2CECF704" w14:textId="77777777" w:rsidR="000606DF" w:rsidRPr="000606DF" w:rsidRDefault="000606DF" w:rsidP="000606DF">
            <w:pPr>
              <w:pStyle w:val="ListParagraph"/>
              <w:numPr>
                <w:ilvl w:val="0"/>
                <w:numId w:val="7"/>
              </w:numPr>
              <w:ind w:right="432"/>
              <w:jc w:val="both"/>
              <w:rPr>
                <w:rFonts w:eastAsia="Times New Roman" w:cstheme="minorHAnsi"/>
                <w:lang w:val="bg-BG" w:eastAsia="bg-BG"/>
              </w:rPr>
            </w:pPr>
            <w:r w:rsidRPr="000606DF">
              <w:rPr>
                <w:rFonts w:eastAsia="Times New Roman" w:cstheme="minorHAnsi"/>
                <w:lang w:val="bg-BG" w:eastAsia="bg-BG"/>
              </w:rPr>
              <w:t xml:space="preserve">връзки с обществеността, мерки за популяризиране или реклама, по-специално такива, които изтъкват предимствата на продуктите, произведени в Европейския съюз, най-вече от гледна точка на качеството, безопасността на храните или грижата за околната среда, например: рекламни кампании разходи за режисура, персонал, разходи за изработка на клипове, до три на брой, с максимална продължителност 30 секунди), </w:t>
            </w:r>
            <w:proofErr w:type="spellStart"/>
            <w:r w:rsidRPr="000606DF">
              <w:rPr>
                <w:rFonts w:eastAsia="Times New Roman" w:cstheme="minorHAnsi"/>
                <w:lang w:val="bg-BG" w:eastAsia="bg-BG"/>
              </w:rPr>
              <w:t>субтитиране</w:t>
            </w:r>
            <w:proofErr w:type="spellEnd"/>
            <w:r w:rsidRPr="000606DF">
              <w:rPr>
                <w:rFonts w:eastAsia="Times New Roman" w:cstheme="minorHAnsi"/>
                <w:lang w:val="bg-BG" w:eastAsia="bg-BG"/>
              </w:rPr>
              <w:t xml:space="preserve">, </w:t>
            </w:r>
            <w:proofErr w:type="spellStart"/>
            <w:r w:rsidRPr="000606DF">
              <w:rPr>
                <w:rFonts w:eastAsia="Times New Roman" w:cstheme="minorHAnsi"/>
                <w:lang w:val="bg-BG" w:eastAsia="bg-BG"/>
              </w:rPr>
              <w:t>мастер</w:t>
            </w:r>
            <w:proofErr w:type="spellEnd"/>
            <w:r w:rsidRPr="000606DF">
              <w:rPr>
                <w:rFonts w:eastAsia="Times New Roman" w:cstheme="minorHAnsi"/>
                <w:lang w:val="bg-BG" w:eastAsia="bg-BG"/>
              </w:rPr>
              <w:t xml:space="preserve"> копие, рекламни материали (закупуване и </w:t>
            </w:r>
            <w:proofErr w:type="spellStart"/>
            <w:r w:rsidRPr="000606DF">
              <w:rPr>
                <w:rFonts w:eastAsia="Times New Roman" w:cstheme="minorHAnsi"/>
                <w:lang w:val="bg-BG" w:eastAsia="bg-BG"/>
              </w:rPr>
              <w:t>брандиране</w:t>
            </w:r>
            <w:proofErr w:type="spellEnd"/>
            <w:r w:rsidRPr="000606DF">
              <w:rPr>
                <w:rFonts w:eastAsia="Times New Roman" w:cstheme="minorHAnsi"/>
                <w:lang w:val="bg-BG" w:eastAsia="bg-BG"/>
              </w:rPr>
              <w:t>), печатни рекламни издания (дизайн, езиково адаптиране, отпечатване), рекламни дейности в търговски обекти, организиране на срещи с вносители, дистрибутори и други търговци, както и на посещения в България на заинтересовани представители от трети държави, дегустации - представяне на продукта, организиране на посещения на мероприятия, фестивали, винени туристически дестинации и дегустации в България, провеждане на дегустации в трети държави, уебсайтове за популяризиране и разпространение на информация.</w:t>
            </w:r>
          </w:p>
          <w:p w14:paraId="19CD3099" w14:textId="77777777" w:rsidR="000606DF" w:rsidRPr="000606DF" w:rsidRDefault="000606DF" w:rsidP="000606DF">
            <w:pPr>
              <w:pStyle w:val="ListParagraph"/>
              <w:numPr>
                <w:ilvl w:val="0"/>
                <w:numId w:val="7"/>
              </w:numPr>
              <w:ind w:right="432"/>
              <w:jc w:val="both"/>
              <w:rPr>
                <w:rFonts w:eastAsia="Times New Roman" w:cstheme="minorHAnsi"/>
                <w:lang w:val="bg-BG" w:eastAsia="bg-BG"/>
              </w:rPr>
            </w:pPr>
            <w:r w:rsidRPr="000606DF">
              <w:rPr>
                <w:rFonts w:eastAsia="Times New Roman" w:cstheme="minorHAnsi"/>
                <w:lang w:val="bg-BG" w:eastAsia="bg-BG"/>
              </w:rPr>
              <w:t>участия в мероприятия, панаири и изложения с международна значимост - панаири и международни изложби, секторни или общи, насочени към специалистите или потребителите - разходи за такса за участие, наем на пространство, конструкция на щанд, персонал на щанд – до 2 лица(помощен персонал на щанд), наемане на техника, такса за обслужване, складиране и транспорт на продукти, както и разходи за самолетни билети, хотелско настаняване и изхранване на посетители от България.</w:t>
            </w:r>
          </w:p>
          <w:p w14:paraId="6FCE28F5" w14:textId="77777777" w:rsidR="000606DF" w:rsidRPr="000606DF" w:rsidRDefault="000606DF" w:rsidP="000606DF">
            <w:pPr>
              <w:pStyle w:val="ListParagraph"/>
              <w:numPr>
                <w:ilvl w:val="0"/>
                <w:numId w:val="7"/>
              </w:numPr>
              <w:ind w:right="432"/>
              <w:jc w:val="both"/>
              <w:rPr>
                <w:rFonts w:eastAsia="Times New Roman" w:cstheme="minorHAnsi"/>
                <w:lang w:val="bg-BG" w:eastAsia="bg-BG"/>
              </w:rPr>
            </w:pPr>
            <w:r w:rsidRPr="000606DF">
              <w:rPr>
                <w:rFonts w:eastAsia="Times New Roman" w:cstheme="minorHAnsi"/>
                <w:lang w:val="bg-BG" w:eastAsia="bg-BG"/>
              </w:rPr>
              <w:t xml:space="preserve">организиране и провеждане на действия, свързани с информационни кампании, по-специално относно режимите на ЕС, отнасящи се до наименованията за произход, географските указания и биологичното производство - разходи за организиране на дегустации в трети страни – разходи за мостри, наем на помещение, наем на техника, хонорар на </w:t>
            </w:r>
            <w:proofErr w:type="spellStart"/>
            <w:r w:rsidRPr="000606DF">
              <w:rPr>
                <w:rFonts w:eastAsia="Times New Roman" w:cstheme="minorHAnsi"/>
                <w:lang w:val="bg-BG" w:eastAsia="bg-BG"/>
              </w:rPr>
              <w:t>сомелиер</w:t>
            </w:r>
            <w:proofErr w:type="spellEnd"/>
            <w:r w:rsidRPr="000606DF">
              <w:rPr>
                <w:rFonts w:eastAsia="Times New Roman" w:cstheme="minorHAnsi"/>
                <w:lang w:val="bg-BG" w:eastAsia="bg-BG"/>
              </w:rPr>
              <w:t xml:space="preserve">, хонорар на говорители, осигуряване на кетъринг, разходи за </w:t>
            </w:r>
            <w:r w:rsidRPr="000606DF">
              <w:rPr>
                <w:rFonts w:eastAsia="Times New Roman" w:cstheme="minorHAnsi"/>
                <w:lang w:val="bg-BG" w:eastAsia="bg-BG"/>
              </w:rPr>
              <w:lastRenderedPageBreak/>
              <w:t>складиране и транспорт на продуктите. Дейността се изпълнява само паралелно с провеждане на изложения.</w:t>
            </w:r>
          </w:p>
          <w:p w14:paraId="530634DE" w14:textId="77777777" w:rsidR="000606DF" w:rsidRPr="000606DF" w:rsidRDefault="000606DF" w:rsidP="000606DF">
            <w:pPr>
              <w:pStyle w:val="ListParagraph"/>
              <w:numPr>
                <w:ilvl w:val="0"/>
                <w:numId w:val="7"/>
              </w:numPr>
              <w:ind w:right="432"/>
              <w:jc w:val="both"/>
              <w:rPr>
                <w:rFonts w:eastAsia="Times New Roman" w:cstheme="minorHAnsi"/>
                <w:lang w:val="bg-BG" w:eastAsia="bg-BG"/>
              </w:rPr>
            </w:pPr>
            <w:r w:rsidRPr="000606DF">
              <w:rPr>
                <w:rFonts w:eastAsia="Times New Roman" w:cstheme="minorHAnsi"/>
                <w:lang w:val="bg-BG" w:eastAsia="bg-BG"/>
              </w:rPr>
              <w:t>във връзка с изпълнение на дейностите - разходи за мостри, които не надвишават 10 на сто от разходите на конкретната дейност;</w:t>
            </w:r>
          </w:p>
          <w:p w14:paraId="3026F7D9" w14:textId="77777777" w:rsidR="000606DF" w:rsidRPr="000606DF" w:rsidRDefault="000606DF" w:rsidP="000606DF">
            <w:pPr>
              <w:pStyle w:val="ListParagraph"/>
              <w:numPr>
                <w:ilvl w:val="0"/>
                <w:numId w:val="7"/>
              </w:numPr>
              <w:ind w:right="432"/>
              <w:jc w:val="both"/>
              <w:rPr>
                <w:rFonts w:eastAsia="Times New Roman" w:cstheme="minorHAnsi"/>
                <w:lang w:val="bg-BG" w:eastAsia="bg-BG"/>
              </w:rPr>
            </w:pPr>
            <w:r w:rsidRPr="000606DF">
              <w:rPr>
                <w:rFonts w:eastAsia="Times New Roman" w:cstheme="minorHAnsi"/>
                <w:lang w:val="bg-BG" w:eastAsia="bg-BG"/>
              </w:rPr>
              <w:t>във връзка с извършване на административни дейности - разходи за заплати на персонала, както и разходи за възнаграждения на лица, наети по граждански договори, разходи за управление на проекта, които не следва да надвишават 4 на сто от общата сума на одобрените и извършени дейности.</w:t>
            </w:r>
          </w:p>
          <w:p w14:paraId="61FF1972" w14:textId="77777777" w:rsidR="005F556B" w:rsidRDefault="005F556B" w:rsidP="005F556B">
            <w:pPr>
              <w:jc w:val="both"/>
              <w:rPr>
                <w:lang w:val="bg-BG"/>
              </w:rPr>
            </w:pPr>
          </w:p>
        </w:tc>
      </w:tr>
    </w:tbl>
    <w:p w14:paraId="5594733F" w14:textId="77777777" w:rsidR="005F556B" w:rsidRDefault="005F556B" w:rsidP="005F556B">
      <w:pPr>
        <w:jc w:val="both"/>
        <w:rPr>
          <w:lang w:val="bg-BG"/>
        </w:rPr>
      </w:pPr>
    </w:p>
    <w:p w14:paraId="3B162B5A" w14:textId="77777777" w:rsidR="00BC2D56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Идентифициране на съответните базови елементи (напр. </w:t>
      </w:r>
      <w:r w:rsidR="004D47EE" w:rsidRPr="0046113A">
        <w:rPr>
          <w:b/>
          <w:lang w:val="bg-BG"/>
        </w:rPr>
        <w:t xml:space="preserve">съответните </w:t>
      </w:r>
      <w:r w:rsidRPr="0046113A">
        <w:rPr>
          <w:b/>
          <w:lang w:val="bg-BG"/>
        </w:rPr>
        <w:t>GAEC или нормативно установени изисквания за управление (SMR), където е приложимо, и обяснение за това как ангажиментите надхвърлят задължителните изисквания:</w:t>
      </w:r>
    </w:p>
    <w:p w14:paraId="5C89F203" w14:textId="77777777" w:rsidR="005F556B" w:rsidRPr="00BC2D56" w:rsidRDefault="00BC2D56" w:rsidP="005F556B">
      <w:pPr>
        <w:spacing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/за интервенции в областта на околната среда и климата, артикулацията с изискванията за условност трябва да показват, че практиките се допълват и не се припокриват/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F556B" w:rsidRPr="00027128" w14:paraId="44D85847" w14:textId="77777777" w:rsidTr="005F556B">
        <w:tc>
          <w:tcPr>
            <w:tcW w:w="9242" w:type="dxa"/>
          </w:tcPr>
          <w:p w14:paraId="33164085" w14:textId="77777777" w:rsidR="005F556B" w:rsidRPr="008C7E00" w:rsidRDefault="008C7E00" w:rsidP="005F556B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N/A</w:t>
            </w:r>
          </w:p>
          <w:p w14:paraId="77B60993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  <w:p w14:paraId="1D9A55C0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</w:tc>
      </w:tr>
    </w:tbl>
    <w:p w14:paraId="3ABF781B" w14:textId="77777777" w:rsidR="005F556B" w:rsidRDefault="005F556B" w:rsidP="005F556B">
      <w:pPr>
        <w:spacing w:line="240" w:lineRule="auto"/>
        <w:jc w:val="both"/>
        <w:rPr>
          <w:b/>
          <w:lang w:val="bg-BG"/>
        </w:rPr>
      </w:pPr>
    </w:p>
    <w:p w14:paraId="5E6F7541" w14:textId="77777777"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Условия за допустимост: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F556B" w14:paraId="19A0E628" w14:textId="77777777" w:rsidTr="005F556B">
        <w:tc>
          <w:tcPr>
            <w:tcW w:w="9242" w:type="dxa"/>
          </w:tcPr>
          <w:p w14:paraId="74F22975" w14:textId="77777777" w:rsidR="00D728C5" w:rsidRPr="00D728C5" w:rsidRDefault="00D728C5" w:rsidP="00D728C5">
            <w:pPr>
              <w:ind w:right="432" w:firstLine="708"/>
              <w:jc w:val="both"/>
              <w:rPr>
                <w:rFonts w:eastAsia="Times New Roman" w:cstheme="minorHAnsi"/>
                <w:lang w:val="bg-BG" w:eastAsia="bg-BG"/>
              </w:rPr>
            </w:pPr>
            <w:r w:rsidRPr="00D728C5">
              <w:rPr>
                <w:rFonts w:eastAsia="Times New Roman" w:cstheme="minorHAnsi"/>
                <w:lang w:val="bg-BG" w:eastAsia="bg-BG"/>
              </w:rPr>
              <w:t>Финансово подпомагане по мярката е допустимо при спазване на следните изисквания:</w:t>
            </w:r>
          </w:p>
          <w:p w14:paraId="092D6E76" w14:textId="77777777" w:rsidR="00D728C5" w:rsidRPr="00D728C5" w:rsidRDefault="00D728C5" w:rsidP="00D728C5">
            <w:pPr>
              <w:pStyle w:val="ListParagraph"/>
              <w:numPr>
                <w:ilvl w:val="0"/>
                <w:numId w:val="9"/>
              </w:numPr>
              <w:ind w:right="432"/>
              <w:jc w:val="both"/>
              <w:rPr>
                <w:rFonts w:eastAsia="Times New Roman" w:cstheme="minorHAnsi"/>
                <w:lang w:val="bg-BG" w:eastAsia="bg-BG"/>
              </w:rPr>
            </w:pPr>
            <w:r w:rsidRPr="00D728C5">
              <w:rPr>
                <w:rFonts w:eastAsia="Times New Roman" w:cstheme="minorHAnsi"/>
                <w:lang w:val="bg-BG" w:eastAsia="bg-BG"/>
              </w:rPr>
              <w:t xml:space="preserve">операциите и свързаните с тях действия са ясно определени, като са описани дейностите по популяризиране и са включени очакваните разходи; </w:t>
            </w:r>
          </w:p>
          <w:p w14:paraId="2EF34935" w14:textId="77777777" w:rsidR="00D728C5" w:rsidRPr="00D728C5" w:rsidRDefault="00D728C5" w:rsidP="00D728C5">
            <w:pPr>
              <w:pStyle w:val="ListParagraph"/>
              <w:numPr>
                <w:ilvl w:val="0"/>
                <w:numId w:val="9"/>
              </w:numPr>
              <w:ind w:right="432"/>
              <w:jc w:val="both"/>
              <w:rPr>
                <w:rFonts w:eastAsia="Times New Roman" w:cstheme="minorHAnsi"/>
                <w:lang w:val="bg-BG" w:eastAsia="bg-BG"/>
              </w:rPr>
            </w:pPr>
            <w:r w:rsidRPr="00D728C5">
              <w:rPr>
                <w:rFonts w:eastAsia="Times New Roman" w:cstheme="minorHAnsi"/>
                <w:lang w:val="bg-BG" w:eastAsia="bg-BG"/>
              </w:rPr>
              <w:t>има гаранции, че предложените разходи на операцията не превишават обичайните пазарни цени;</w:t>
            </w:r>
          </w:p>
          <w:p w14:paraId="464C53C4" w14:textId="77777777" w:rsidR="00D728C5" w:rsidRPr="00D728C5" w:rsidRDefault="00D728C5" w:rsidP="00D728C5">
            <w:pPr>
              <w:pStyle w:val="ListParagraph"/>
              <w:numPr>
                <w:ilvl w:val="0"/>
                <w:numId w:val="9"/>
              </w:numPr>
              <w:ind w:right="432"/>
              <w:jc w:val="both"/>
              <w:rPr>
                <w:rFonts w:eastAsia="Times New Roman" w:cstheme="minorHAnsi"/>
                <w:lang w:val="bg-BG" w:eastAsia="bg-BG"/>
              </w:rPr>
            </w:pPr>
            <w:r w:rsidRPr="00D728C5">
              <w:rPr>
                <w:rFonts w:eastAsia="Times New Roman" w:cstheme="minorHAnsi"/>
                <w:lang w:val="bg-BG" w:eastAsia="bg-BG"/>
              </w:rPr>
              <w:t xml:space="preserve">има гаранции, че </w:t>
            </w:r>
            <w:proofErr w:type="spellStart"/>
            <w:r w:rsidRPr="00D728C5">
              <w:rPr>
                <w:rFonts w:eastAsia="Times New Roman" w:cstheme="minorHAnsi"/>
                <w:lang w:val="bg-BG" w:eastAsia="bg-BG"/>
              </w:rPr>
              <w:t>бенефициерите</w:t>
            </w:r>
            <w:proofErr w:type="spellEnd"/>
            <w:r w:rsidRPr="00D728C5">
              <w:rPr>
                <w:rFonts w:eastAsia="Times New Roman" w:cstheme="minorHAnsi"/>
                <w:lang w:val="bg-BG" w:eastAsia="bg-BG"/>
              </w:rPr>
              <w:t xml:space="preserve"> имат достъп до достатъчен технически капацитет, за да се справят със специфичните ограничения в търговията с трети държави, и имат достатъчни ресурси за гарантиране на възможно най-ефективно изпълнение на мярката; </w:t>
            </w:r>
          </w:p>
          <w:p w14:paraId="7936540D" w14:textId="77777777" w:rsidR="00D728C5" w:rsidRPr="00D728C5" w:rsidRDefault="00D728C5" w:rsidP="00D728C5">
            <w:pPr>
              <w:pStyle w:val="ListParagraph"/>
              <w:numPr>
                <w:ilvl w:val="0"/>
                <w:numId w:val="9"/>
              </w:numPr>
              <w:ind w:right="432"/>
              <w:jc w:val="both"/>
              <w:rPr>
                <w:rFonts w:eastAsia="Times New Roman" w:cstheme="minorHAnsi"/>
                <w:lang w:val="bg-BG" w:eastAsia="bg-BG"/>
              </w:rPr>
            </w:pPr>
            <w:proofErr w:type="spellStart"/>
            <w:r w:rsidRPr="00D728C5">
              <w:rPr>
                <w:rFonts w:eastAsia="Times New Roman" w:cstheme="minorHAnsi"/>
                <w:lang w:val="bg-BG" w:eastAsia="bg-BG"/>
              </w:rPr>
              <w:t>бенефициерите</w:t>
            </w:r>
            <w:proofErr w:type="spellEnd"/>
            <w:r w:rsidRPr="00D728C5">
              <w:rPr>
                <w:rFonts w:eastAsia="Times New Roman" w:cstheme="minorHAnsi"/>
                <w:lang w:val="bg-BG" w:eastAsia="bg-BG"/>
              </w:rPr>
              <w:t xml:space="preserve"> са представили доказателства за наличието на достатъчно продукти в качествено и количествено отношение за задоволяването на пазарното търсене в дългосрочен план след операцията по популяризиране; </w:t>
            </w:r>
          </w:p>
          <w:p w14:paraId="34436C5C" w14:textId="77777777" w:rsidR="00F041F5" w:rsidRPr="00D728C5" w:rsidRDefault="00D728C5" w:rsidP="00D728C5">
            <w:pPr>
              <w:pStyle w:val="ListParagraph"/>
              <w:numPr>
                <w:ilvl w:val="0"/>
                <w:numId w:val="9"/>
              </w:numPr>
              <w:jc w:val="both"/>
              <w:rPr>
                <w:b/>
                <w:lang w:val="bg-BG"/>
              </w:rPr>
            </w:pPr>
            <w:r w:rsidRPr="00D728C5">
              <w:rPr>
                <w:rFonts w:eastAsia="Times New Roman" w:cstheme="minorHAnsi"/>
                <w:lang w:val="bg-BG" w:eastAsia="bg-BG"/>
              </w:rPr>
              <w:t>има съответствие между предложените стратегии и поставените цели и вероятното въздействие и успеха в увеличаването на търсенето на въпросните продукти.</w:t>
            </w:r>
            <w:r w:rsidRPr="00D728C5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</w:t>
            </w:r>
          </w:p>
        </w:tc>
      </w:tr>
    </w:tbl>
    <w:p w14:paraId="4CAA531D" w14:textId="77777777" w:rsidR="005F556B" w:rsidRDefault="005F556B" w:rsidP="005F556B">
      <w:pPr>
        <w:spacing w:line="240" w:lineRule="auto"/>
        <w:jc w:val="both"/>
        <w:rPr>
          <w:b/>
        </w:rPr>
      </w:pPr>
    </w:p>
    <w:p w14:paraId="7098510F" w14:textId="77777777" w:rsidR="00876856" w:rsidRPr="00FD104B" w:rsidRDefault="00876856" w:rsidP="00876856">
      <w:pPr>
        <w:spacing w:line="240" w:lineRule="auto"/>
        <w:ind w:left="360"/>
        <w:jc w:val="both"/>
        <w:rPr>
          <w:b/>
          <w:lang w:val="bg-BG"/>
        </w:rPr>
      </w:pPr>
      <w:r>
        <w:rPr>
          <w:b/>
          <w:lang w:val="bg-BG"/>
        </w:rPr>
        <w:t xml:space="preserve">4. </w:t>
      </w:r>
      <w:r w:rsidRPr="00FD104B">
        <w:rPr>
          <w:b/>
          <w:lang w:val="bg-BG"/>
        </w:rPr>
        <w:t>Съвместимост на интервенцията със споразумението на СТО за селското стопанство:</w:t>
      </w:r>
    </w:p>
    <w:p w14:paraId="1E6AAEFA" w14:textId="77777777" w:rsidR="00876856" w:rsidRDefault="00876856" w:rsidP="00876856">
      <w:pPr>
        <w:spacing w:line="240" w:lineRule="auto"/>
        <w:jc w:val="both"/>
        <w:rPr>
          <w:i/>
          <w:lang w:val="bg-BG"/>
        </w:rPr>
      </w:pPr>
      <w:r>
        <w:rPr>
          <w:i/>
          <w:lang w:val="bg-BG"/>
        </w:rPr>
        <w:t>/</w:t>
      </w:r>
      <w:r w:rsidRPr="00B92EB3">
        <w:rPr>
          <w:i/>
          <w:lang w:val="bg-BG"/>
        </w:rPr>
        <w:t xml:space="preserve">За всяка интервенция, която </w:t>
      </w:r>
      <w:r w:rsidRPr="00B92EB3">
        <w:rPr>
          <w:i/>
          <w:u w:val="single"/>
          <w:lang w:val="bg-BG"/>
        </w:rPr>
        <w:t>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регламент</w:t>
      </w:r>
      <w:r>
        <w:rPr>
          <w:i/>
          <w:lang w:val="bg-BG"/>
        </w:rPr>
        <w:t>а за Стратегическите планове по ОСП</w:t>
      </w:r>
      <w:r w:rsidRPr="00B92EB3">
        <w:rPr>
          <w:i/>
          <w:lang w:val="bg-BG"/>
        </w:rPr>
        <w:t xml:space="preserve">, </w:t>
      </w:r>
      <w:r>
        <w:rPr>
          <w:i/>
          <w:lang w:val="bg-BG"/>
        </w:rPr>
        <w:t xml:space="preserve">следва да се опише </w:t>
      </w:r>
      <w:r w:rsidRPr="00B92EB3">
        <w:rPr>
          <w:i/>
          <w:lang w:val="bg-BG"/>
        </w:rPr>
        <w:t>как тя спазва съответните разпоредби на приложение 2 към Споразумението на СТО за селското</w:t>
      </w:r>
      <w:r>
        <w:rPr>
          <w:i/>
          <w:lang w:val="bg-BG"/>
        </w:rPr>
        <w:t xml:space="preserve"> стопанство (както е посочено в член 10</w:t>
      </w:r>
      <w:r w:rsidRPr="00B92EB3">
        <w:rPr>
          <w:i/>
          <w:lang w:val="bg-BG"/>
        </w:rPr>
        <w:t xml:space="preserve"> и в приложение II към </w:t>
      </w:r>
      <w:r>
        <w:rPr>
          <w:i/>
          <w:lang w:val="bg-BG"/>
        </w:rPr>
        <w:t>същия</w:t>
      </w:r>
      <w:r w:rsidRPr="00B92EB3">
        <w:rPr>
          <w:i/>
          <w:lang w:val="bg-BG"/>
        </w:rPr>
        <w:t xml:space="preserve"> регламент</w:t>
      </w:r>
      <w:r>
        <w:rPr>
          <w:i/>
          <w:lang w:val="bg-BG"/>
        </w:rPr>
        <w:t>).</w:t>
      </w:r>
      <w:r w:rsidRPr="00B92EB3">
        <w:rPr>
          <w:i/>
          <w:lang w:val="bg-BG"/>
        </w:rPr>
        <w:t xml:space="preserve"> За всяка интервенция, която </w:t>
      </w:r>
      <w:r w:rsidRPr="00B92EB3">
        <w:rPr>
          <w:i/>
          <w:u w:val="single"/>
          <w:lang w:val="bg-BG"/>
        </w:rPr>
        <w:t>не 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настоящия регламент, как спазва съответните разпоредби на член 6.5 или приложение 2 към Споразумението на СТО за селското стопанство</w:t>
      </w:r>
      <w:r>
        <w:rPr>
          <w:i/>
          <w:lang w:val="bg-BG"/>
        </w:rPr>
        <w:t>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76856" w:rsidRPr="00027128" w14:paraId="29949D15" w14:textId="77777777" w:rsidTr="008E0CC1">
        <w:tc>
          <w:tcPr>
            <w:tcW w:w="9242" w:type="dxa"/>
          </w:tcPr>
          <w:p w14:paraId="7DC7707A" w14:textId="77777777" w:rsidR="00876856" w:rsidRPr="00641842" w:rsidRDefault="00876856" w:rsidP="008E0CC1">
            <w:pPr>
              <w:jc w:val="both"/>
              <w:rPr>
                <w:i/>
                <w:lang w:val="bg-BG"/>
              </w:rPr>
            </w:pPr>
          </w:p>
          <w:p w14:paraId="6732F958" w14:textId="77777777" w:rsidR="00876856" w:rsidRPr="00641842" w:rsidRDefault="00876856" w:rsidP="008E0CC1">
            <w:pPr>
              <w:jc w:val="both"/>
              <w:rPr>
                <w:lang w:val="bg-BG"/>
              </w:rPr>
            </w:pPr>
            <w:r w:rsidRPr="00641842">
              <w:rPr>
                <w:lang w:val="bg-BG"/>
              </w:rPr>
              <w:lastRenderedPageBreak/>
              <w:t xml:space="preserve">Параграф </w:t>
            </w:r>
            <w:r>
              <w:rPr>
                <w:lang w:val="en-US"/>
              </w:rPr>
              <w:t>2</w:t>
            </w:r>
            <w:r w:rsidRPr="00641842">
              <w:rPr>
                <w:lang w:val="bg-BG"/>
              </w:rPr>
              <w:t xml:space="preserve"> от Приложение 2 към Споразумението за селското стопанство на СТО („зелена кутия“)</w:t>
            </w:r>
          </w:p>
        </w:tc>
      </w:tr>
    </w:tbl>
    <w:p w14:paraId="455AE8A0" w14:textId="77777777" w:rsidR="00876856" w:rsidRPr="00B92EB3" w:rsidRDefault="00876856" w:rsidP="00876856">
      <w:pPr>
        <w:spacing w:line="240" w:lineRule="auto"/>
        <w:jc w:val="both"/>
        <w:rPr>
          <w:i/>
          <w:lang w:val="bg-BG"/>
        </w:rPr>
      </w:pPr>
    </w:p>
    <w:p w14:paraId="4B9B0C3B" w14:textId="77777777" w:rsidR="00876856" w:rsidRPr="00FD104B" w:rsidRDefault="00876856" w:rsidP="00876856">
      <w:pPr>
        <w:spacing w:line="240" w:lineRule="auto"/>
        <w:ind w:left="360"/>
        <w:jc w:val="both"/>
        <w:rPr>
          <w:b/>
          <w:lang w:val="bg-BG"/>
        </w:rPr>
      </w:pPr>
      <w:r>
        <w:rPr>
          <w:b/>
          <w:lang w:val="bg-BG"/>
        </w:rPr>
        <w:t xml:space="preserve">5. </w:t>
      </w:r>
      <w:r w:rsidRPr="00FD104B">
        <w:rPr>
          <w:b/>
          <w:lang w:val="bg-BG"/>
        </w:rPr>
        <w:t>Нива на подпомагане / премии 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(също и по отношение на базовите изисквания):</w:t>
      </w:r>
    </w:p>
    <w:p w14:paraId="1630FF90" w14:textId="77777777" w:rsidR="00876856" w:rsidRPr="00BC2D56" w:rsidRDefault="00876856" w:rsidP="00876856">
      <w:pPr>
        <w:spacing w:after="0"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</w:t>
      </w:r>
      <w:r w:rsidRPr="00BC2D56">
        <w:rPr>
          <w:b/>
          <w:i/>
          <w:lang w:val="bg-BG"/>
        </w:rPr>
        <w:t>информацията следва да включва:</w:t>
      </w:r>
      <w:r w:rsidRPr="00BC2D56">
        <w:rPr>
          <w:i/>
          <w:lang w:val="bg-BG"/>
        </w:rPr>
        <w:t xml:space="preserve"> формата и степента на подкрепа; методът за изчисляване на единичните суми на подпомагане и неговото сертифициране в съответствие с член 76; различните единни или средни единични суми на помощта</w:t>
      </w:r>
      <w:r>
        <w:rPr>
          <w:i/>
          <w:lang w:val="bg-BG"/>
        </w:rPr>
        <w:t xml:space="preserve"> в рамките на тази интервенция. /</w:t>
      </w:r>
    </w:p>
    <w:p w14:paraId="70C8FFC4" w14:textId="77777777" w:rsidR="00876856" w:rsidRDefault="00876856" w:rsidP="00876856">
      <w:pPr>
        <w:spacing w:line="240" w:lineRule="auto"/>
        <w:jc w:val="both"/>
        <w:rPr>
          <w:b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76856" w:rsidRPr="00027128" w14:paraId="698D37F6" w14:textId="77777777" w:rsidTr="008E0CC1">
        <w:tc>
          <w:tcPr>
            <w:tcW w:w="9242" w:type="dxa"/>
          </w:tcPr>
          <w:p w14:paraId="6A08F4D7" w14:textId="77777777" w:rsidR="00876856" w:rsidRDefault="00876856" w:rsidP="008E0CC1">
            <w:pPr>
              <w:jc w:val="both"/>
              <w:rPr>
                <w:b/>
                <w:lang w:val="bg-BG"/>
              </w:rPr>
            </w:pPr>
          </w:p>
          <w:p w14:paraId="74A5D902" w14:textId="69A8C3BD" w:rsidR="00876856" w:rsidRDefault="00876856" w:rsidP="008E0CC1">
            <w:pPr>
              <w:jc w:val="both"/>
              <w:rPr>
                <w:rFonts w:cstheme="minorHAnsi"/>
                <w:lang w:val="bg-BG"/>
              </w:rPr>
            </w:pPr>
            <w:r w:rsidRPr="007E7441">
              <w:rPr>
                <w:rFonts w:cstheme="minorHAnsi"/>
                <w:lang w:val="bg-BG"/>
              </w:rPr>
              <w:t>Максималният разм</w:t>
            </w:r>
            <w:r>
              <w:rPr>
                <w:rFonts w:cstheme="minorHAnsi"/>
                <w:lang w:val="bg-BG"/>
              </w:rPr>
              <w:t>ер на финансовата помощ е до 50</w:t>
            </w:r>
            <w:r w:rsidRPr="007E7441">
              <w:rPr>
                <w:rFonts w:cstheme="minorHAnsi"/>
                <w:lang w:val="bg-BG"/>
              </w:rPr>
              <w:t xml:space="preserve">% от стойността на допустимите разходи за осъществяване на дейностите. </w:t>
            </w:r>
            <w:r>
              <w:rPr>
                <w:rFonts w:cstheme="minorHAnsi"/>
                <w:lang w:val="bg-BG"/>
              </w:rPr>
              <w:br/>
              <w:t xml:space="preserve">Към помощта от ЕФГЗ може да бъде отпусната държавна помощ в размер на до 30% </w:t>
            </w:r>
            <w:r w:rsidRPr="007E7441">
              <w:rPr>
                <w:rFonts w:cstheme="minorHAnsi"/>
                <w:lang w:val="bg-BG"/>
              </w:rPr>
              <w:t>от стойността на допустимите разходи</w:t>
            </w:r>
            <w:r>
              <w:rPr>
                <w:rFonts w:cstheme="minorHAnsi"/>
                <w:lang w:val="bg-BG"/>
              </w:rPr>
              <w:t>.</w:t>
            </w:r>
          </w:p>
          <w:p w14:paraId="19831A10" w14:textId="77777777" w:rsidR="00876856" w:rsidRDefault="00876856" w:rsidP="008E0CC1">
            <w:pPr>
              <w:jc w:val="both"/>
              <w:rPr>
                <w:rFonts w:cstheme="minorHAnsi"/>
                <w:lang w:val="bg-BG"/>
              </w:rPr>
            </w:pPr>
            <w:r>
              <w:rPr>
                <w:rFonts w:cstheme="minorHAnsi"/>
                <w:lang w:val="bg-BG"/>
              </w:rPr>
              <w:t>Кандидатите осигуряват процентът самоучастие до 100%</w:t>
            </w:r>
            <w:r>
              <w:t xml:space="preserve"> </w:t>
            </w:r>
            <w:r w:rsidRPr="007E7441">
              <w:rPr>
                <w:rFonts w:cstheme="minorHAnsi"/>
                <w:lang w:val="bg-BG"/>
              </w:rPr>
              <w:t>от стойността на допустимите разходи</w:t>
            </w:r>
            <w:r>
              <w:rPr>
                <w:rFonts w:cstheme="minorHAnsi"/>
                <w:lang w:val="bg-BG"/>
              </w:rPr>
              <w:t>.</w:t>
            </w:r>
          </w:p>
          <w:p w14:paraId="558BA6DC" w14:textId="77777777" w:rsidR="00876856" w:rsidRDefault="00876856" w:rsidP="008E0CC1">
            <w:pPr>
              <w:jc w:val="both"/>
              <w:rPr>
                <w:b/>
                <w:lang w:val="bg-BG"/>
              </w:rPr>
            </w:pPr>
          </w:p>
        </w:tc>
      </w:tr>
    </w:tbl>
    <w:p w14:paraId="3D435D6C" w14:textId="77777777" w:rsidR="00B92EB3" w:rsidRDefault="00B92EB3" w:rsidP="005F556B">
      <w:pPr>
        <w:spacing w:line="240" w:lineRule="auto"/>
        <w:jc w:val="both"/>
        <w:rPr>
          <w:b/>
        </w:rPr>
      </w:pPr>
    </w:p>
    <w:sectPr w:rsidR="00B92E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C6A68"/>
    <w:multiLevelType w:val="hybridMultilevel"/>
    <w:tmpl w:val="BAC0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732A3"/>
    <w:multiLevelType w:val="hybridMultilevel"/>
    <w:tmpl w:val="468249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018A5"/>
    <w:multiLevelType w:val="hybridMultilevel"/>
    <w:tmpl w:val="55CE4FC2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eastAsia="Symbol" w:hAnsi="Symbol" w:hint="default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1A75C6"/>
    <w:multiLevelType w:val="hybridMultilevel"/>
    <w:tmpl w:val="E59899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63C58CB"/>
    <w:multiLevelType w:val="hybridMultilevel"/>
    <w:tmpl w:val="3390A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12F5B"/>
    <w:multiLevelType w:val="hybridMultilevel"/>
    <w:tmpl w:val="A5FC292C"/>
    <w:lvl w:ilvl="0" w:tplc="62502D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40953"/>
    <w:multiLevelType w:val="hybridMultilevel"/>
    <w:tmpl w:val="D7EADEA4"/>
    <w:lvl w:ilvl="0" w:tplc="0402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880E10A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D51757"/>
    <w:multiLevelType w:val="hybridMultilevel"/>
    <w:tmpl w:val="99B65F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7D1D22"/>
    <w:multiLevelType w:val="hybridMultilevel"/>
    <w:tmpl w:val="468249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E6"/>
    <w:rsid w:val="000076E8"/>
    <w:rsid w:val="00027128"/>
    <w:rsid w:val="0005350A"/>
    <w:rsid w:val="000606DF"/>
    <w:rsid w:val="00061B49"/>
    <w:rsid w:val="00066084"/>
    <w:rsid w:val="000A2E65"/>
    <w:rsid w:val="000A54E5"/>
    <w:rsid w:val="00130A1B"/>
    <w:rsid w:val="00155AC0"/>
    <w:rsid w:val="00166843"/>
    <w:rsid w:val="001759E6"/>
    <w:rsid w:val="00186326"/>
    <w:rsid w:val="0021754B"/>
    <w:rsid w:val="00222AE5"/>
    <w:rsid w:val="002428D2"/>
    <w:rsid w:val="00252CFE"/>
    <w:rsid w:val="002750D8"/>
    <w:rsid w:val="002D5586"/>
    <w:rsid w:val="002E576B"/>
    <w:rsid w:val="00323C4C"/>
    <w:rsid w:val="0033594E"/>
    <w:rsid w:val="00364C4D"/>
    <w:rsid w:val="003A6CE6"/>
    <w:rsid w:val="003B2B39"/>
    <w:rsid w:val="00413957"/>
    <w:rsid w:val="00440223"/>
    <w:rsid w:val="00442CE4"/>
    <w:rsid w:val="0046113A"/>
    <w:rsid w:val="004D47EE"/>
    <w:rsid w:val="004D583C"/>
    <w:rsid w:val="004D721D"/>
    <w:rsid w:val="004E63AB"/>
    <w:rsid w:val="005700BB"/>
    <w:rsid w:val="005F556B"/>
    <w:rsid w:val="00641842"/>
    <w:rsid w:val="006C3C28"/>
    <w:rsid w:val="006C6730"/>
    <w:rsid w:val="007239EE"/>
    <w:rsid w:val="00783E38"/>
    <w:rsid w:val="007B6EB8"/>
    <w:rsid w:val="007E22E7"/>
    <w:rsid w:val="007E7441"/>
    <w:rsid w:val="007F6563"/>
    <w:rsid w:val="00831F84"/>
    <w:rsid w:val="00876856"/>
    <w:rsid w:val="00890974"/>
    <w:rsid w:val="008A7C31"/>
    <w:rsid w:val="008C76DC"/>
    <w:rsid w:val="008C7E00"/>
    <w:rsid w:val="008F05DA"/>
    <w:rsid w:val="0091452D"/>
    <w:rsid w:val="009372CC"/>
    <w:rsid w:val="00950149"/>
    <w:rsid w:val="00950EC5"/>
    <w:rsid w:val="009D29BA"/>
    <w:rsid w:val="00A11C79"/>
    <w:rsid w:val="00A20F14"/>
    <w:rsid w:val="00A36BE2"/>
    <w:rsid w:val="00AC394A"/>
    <w:rsid w:val="00AD4D20"/>
    <w:rsid w:val="00AF7166"/>
    <w:rsid w:val="00B04758"/>
    <w:rsid w:val="00B74049"/>
    <w:rsid w:val="00B92EB3"/>
    <w:rsid w:val="00BC12FC"/>
    <w:rsid w:val="00BC2D56"/>
    <w:rsid w:val="00BD6438"/>
    <w:rsid w:val="00BF1907"/>
    <w:rsid w:val="00C02A8F"/>
    <w:rsid w:val="00C60582"/>
    <w:rsid w:val="00D728C5"/>
    <w:rsid w:val="00D92818"/>
    <w:rsid w:val="00DB1959"/>
    <w:rsid w:val="00DB312B"/>
    <w:rsid w:val="00DB42EB"/>
    <w:rsid w:val="00DC3E22"/>
    <w:rsid w:val="00E54246"/>
    <w:rsid w:val="00E6419B"/>
    <w:rsid w:val="00E76E03"/>
    <w:rsid w:val="00E869B8"/>
    <w:rsid w:val="00F041F5"/>
    <w:rsid w:val="00F20CE2"/>
    <w:rsid w:val="00F22043"/>
    <w:rsid w:val="00F530E5"/>
    <w:rsid w:val="00FB222B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0721F"/>
  <w15:docId w15:val="{032C5D6D-1084-47F5-88BE-91A286837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1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98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8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1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819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7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6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4DE5D-C18B-4B98-8250-BF5E61DDC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 Tsekov</dc:creator>
  <cp:lastModifiedBy>Kalina Tuteva</cp:lastModifiedBy>
  <cp:revision>2</cp:revision>
  <dcterms:created xsi:type="dcterms:W3CDTF">2020-11-18T08:49:00Z</dcterms:created>
  <dcterms:modified xsi:type="dcterms:W3CDTF">2020-11-18T08:49:00Z</dcterms:modified>
</cp:coreProperties>
</file>