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55E" w:rsidRPr="00184E42" w:rsidRDefault="005E255E">
      <w:pPr>
        <w:rPr>
          <w:lang w:val="bg-BG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RPr="00184E42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7F6563" w:rsidRPr="00184E42" w:rsidRDefault="007F6563" w:rsidP="002E576B">
            <w:pPr>
              <w:spacing w:after="200" w:line="276" w:lineRule="auto"/>
              <w:jc w:val="center"/>
              <w:rPr>
                <w:b/>
                <w:lang w:val="bg-BG"/>
              </w:rPr>
            </w:pPr>
          </w:p>
          <w:p w:rsidR="00C14BDF" w:rsidRPr="00184E42" w:rsidRDefault="00A2239D" w:rsidP="00A2239D">
            <w:pPr>
              <w:spacing w:after="200" w:line="276" w:lineRule="auto"/>
              <w:jc w:val="center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Биологично земеделие</w:t>
            </w:r>
          </w:p>
          <w:p w:rsidR="002E576B" w:rsidRPr="00184E42" w:rsidRDefault="00A2239D" w:rsidP="00C14BDF">
            <w:pPr>
              <w:spacing w:after="200" w:line="276" w:lineRule="auto"/>
              <w:jc w:val="center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 xml:space="preserve"> чл. 65 Регламент за стратегическите планове</w:t>
            </w:r>
          </w:p>
        </w:tc>
      </w:tr>
    </w:tbl>
    <w:p w:rsidR="002E576B" w:rsidRPr="00184E42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RPr="00184E42" w:rsidTr="00F13C84">
        <w:trPr>
          <w:trHeight w:val="408"/>
        </w:trPr>
        <w:tc>
          <w:tcPr>
            <w:tcW w:w="2943" w:type="dxa"/>
            <w:shd w:val="clear" w:color="auto" w:fill="B8CCE4" w:themeFill="accent1" w:themeFillTint="66"/>
          </w:tcPr>
          <w:p w:rsidR="002E576B" w:rsidRPr="00184E42" w:rsidRDefault="002E576B" w:rsidP="002E576B">
            <w:pPr>
              <w:ind w:right="1711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Pr="00184E42" w:rsidRDefault="002E576B" w:rsidP="002E576B">
            <w:pPr>
              <w:jc w:val="center"/>
              <w:rPr>
                <w:lang w:val="bg-BG"/>
              </w:rPr>
            </w:pPr>
            <w:r w:rsidRPr="00184E42">
              <w:rPr>
                <w:lang w:val="bg-BG"/>
              </w:rPr>
              <w:t>ЕЗФРСР</w:t>
            </w:r>
          </w:p>
        </w:tc>
      </w:tr>
      <w:tr w:rsidR="002E576B" w:rsidRPr="00184E42" w:rsidTr="00F13C84">
        <w:trPr>
          <w:trHeight w:val="555"/>
        </w:trPr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4E42" w:rsidRDefault="002E576B" w:rsidP="00BC2D56">
            <w:pPr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Pr="00184E42" w:rsidRDefault="00A2239D" w:rsidP="00814664">
            <w:pPr>
              <w:jc w:val="center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Биологично земеделие</w:t>
            </w:r>
          </w:p>
        </w:tc>
      </w:tr>
      <w:tr w:rsidR="002E576B" w:rsidRPr="00184E42" w:rsidTr="00F13C84">
        <w:trPr>
          <w:trHeight w:val="548"/>
        </w:trPr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4E42" w:rsidRDefault="002E576B" w:rsidP="002E576B">
            <w:pPr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Териториален обхват</w:t>
            </w:r>
            <w:r w:rsidR="004D47EE" w:rsidRPr="00184E42">
              <w:rPr>
                <w:b/>
                <w:lang w:val="bg-BG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184E42" w:rsidRDefault="0038035A" w:rsidP="0038035A">
            <w:pPr>
              <w:rPr>
                <w:lang w:val="bg-BG"/>
              </w:rPr>
            </w:pPr>
            <w:r w:rsidRPr="00184E42">
              <w:rPr>
                <w:lang w:val="bg-BG"/>
              </w:rPr>
              <w:t>На територията на цялата страна</w:t>
            </w:r>
          </w:p>
        </w:tc>
      </w:tr>
      <w:tr w:rsidR="002E576B" w:rsidRPr="00184E42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4E42" w:rsidRDefault="002E576B" w:rsidP="002E576B">
            <w:pPr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2E576B" w:rsidRPr="00184E42" w:rsidRDefault="00A2239D" w:rsidP="002A7699">
            <w:pPr>
              <w:jc w:val="both"/>
              <w:rPr>
                <w:lang w:val="bg-BG"/>
              </w:rPr>
            </w:pPr>
            <w:r w:rsidRPr="00184E42">
              <w:rPr>
                <w:b/>
                <w:lang w:val="bg-BG"/>
              </w:rPr>
              <w:t>Специфична цел 4</w:t>
            </w:r>
            <w:r w:rsidR="002A7699" w:rsidRPr="00184E42">
              <w:rPr>
                <w:lang w:val="bg-BG"/>
              </w:rPr>
              <w:t>: Допринасяне за смекчаване на последиците от изменение на климата и адаптиране към него, както и за устойчива енергия</w:t>
            </w:r>
          </w:p>
          <w:p w:rsidR="009B2569" w:rsidRPr="00184E42" w:rsidRDefault="009B2569" w:rsidP="002A7699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Специфична цел 5: Насърчаване на устойчиво развитие и ефективно управление на природните ресурси като вода, почва и въздух</w:t>
            </w:r>
          </w:p>
          <w:p w:rsidR="00A2239D" w:rsidRPr="00184E42" w:rsidRDefault="00A2239D" w:rsidP="002A7699">
            <w:pPr>
              <w:jc w:val="both"/>
              <w:rPr>
                <w:lang w:val="bg-BG"/>
              </w:rPr>
            </w:pPr>
            <w:r w:rsidRPr="00184E42">
              <w:rPr>
                <w:b/>
                <w:lang w:val="bg-BG"/>
              </w:rPr>
              <w:t>Специфична цел 6</w:t>
            </w:r>
            <w:r w:rsidR="002A7699" w:rsidRPr="00184E42">
              <w:rPr>
                <w:lang w:val="bg-BG"/>
              </w:rPr>
              <w:t>: Допринасяне за защита на биологичното разнообразие, подобряване на екосистемните услуги и опазване на местообитанията и ландшафта</w:t>
            </w:r>
          </w:p>
        </w:tc>
      </w:tr>
      <w:tr w:rsidR="002E576B" w:rsidRPr="00184E42" w:rsidTr="00AB655B">
        <w:trPr>
          <w:trHeight w:val="1542"/>
        </w:trPr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4E42" w:rsidRDefault="002E576B" w:rsidP="002E576B">
            <w:pPr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Индикатори за резултат</w:t>
            </w:r>
            <w:r w:rsidR="00F22043" w:rsidRPr="00184E42">
              <w:rPr>
                <w:b/>
                <w:lang w:val="bg-BG"/>
              </w:rPr>
              <w:t xml:space="preserve"> </w:t>
            </w:r>
            <w:r w:rsidR="00F22043" w:rsidRPr="00184E42">
              <w:rPr>
                <w:b/>
                <w:sz w:val="20"/>
                <w:szCs w:val="20"/>
                <w:lang w:val="bg-BG"/>
              </w:rPr>
              <w:t>(</w:t>
            </w:r>
            <w:r w:rsidR="00F22043" w:rsidRPr="00184E42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184E42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Pr="00184E42" w:rsidRDefault="002E576B" w:rsidP="002E576B">
            <w:pPr>
              <w:jc w:val="center"/>
              <w:rPr>
                <w:lang w:val="bg-BG"/>
              </w:rPr>
            </w:pPr>
          </w:p>
          <w:p w:rsidR="002E576B" w:rsidRPr="00184E42" w:rsidRDefault="009D592C" w:rsidP="00C014A5">
            <w:pPr>
              <w:jc w:val="both"/>
              <w:rPr>
                <w:lang w:val="bg-BG"/>
              </w:rPr>
            </w:pPr>
            <w:r w:rsidRPr="00184E42">
              <w:rPr>
                <w:b/>
                <w:lang w:val="bg-BG"/>
              </w:rPr>
              <w:t>R.39</w:t>
            </w:r>
            <w:r w:rsidRPr="00184E42">
              <w:rPr>
                <w:lang w:val="bg-BG"/>
              </w:rPr>
              <w:t xml:space="preserve"> </w:t>
            </w:r>
            <w:r w:rsidR="004B2C02" w:rsidRPr="00184E42">
              <w:rPr>
                <w:lang w:val="bg-BG"/>
              </w:rPr>
              <w:t>Биологично земеделие: дял от използваната земеделска площ (ИЗП), подкрепен от ОСП за поддържане или преход към биологично земеделие</w:t>
            </w:r>
          </w:p>
          <w:p w:rsidR="000A40E2" w:rsidRPr="00184E42" w:rsidRDefault="00400282" w:rsidP="000A40E2">
            <w:pPr>
              <w:jc w:val="both"/>
              <w:rPr>
                <w:lang w:val="bg-BG"/>
              </w:rPr>
            </w:pPr>
            <w:r w:rsidRPr="00184E42">
              <w:rPr>
                <w:b/>
                <w:lang w:val="bg-BG"/>
              </w:rPr>
              <w:t>R.36</w:t>
            </w:r>
            <w:r w:rsidRPr="00184E42">
              <w:rPr>
                <w:lang w:val="bg-BG"/>
              </w:rPr>
              <w:t xml:space="preserve"> Ограничаване на употребата на антибиотици: дял на </w:t>
            </w:r>
            <w:r w:rsidR="00263926" w:rsidRPr="00184E42">
              <w:rPr>
                <w:lang w:val="bg-BG"/>
              </w:rPr>
              <w:t>ЖЕ</w:t>
            </w:r>
            <w:r w:rsidRPr="00184E42">
              <w:rPr>
                <w:lang w:val="bg-BG"/>
              </w:rPr>
              <w:t>, засегнати от подкрепяни действия за ограничаване на употр</w:t>
            </w:r>
            <w:r w:rsidR="00263926" w:rsidRPr="00184E42">
              <w:rPr>
                <w:lang w:val="bg-BG"/>
              </w:rPr>
              <w:t>ебата на антибиотици (превенция/</w:t>
            </w:r>
            <w:r w:rsidRPr="00184E42">
              <w:rPr>
                <w:lang w:val="bg-BG"/>
              </w:rPr>
              <w:t>намаляване)</w:t>
            </w:r>
          </w:p>
          <w:p w:rsidR="00DB64D7" w:rsidRPr="00184E42" w:rsidRDefault="000A40E2" w:rsidP="00322B29">
            <w:pPr>
              <w:jc w:val="both"/>
              <w:rPr>
                <w:lang w:val="bg-BG"/>
              </w:rPr>
            </w:pPr>
            <w:r w:rsidRPr="00184E42">
              <w:rPr>
                <w:b/>
                <w:lang w:val="bg-BG"/>
              </w:rPr>
              <w:t>R.37</w:t>
            </w:r>
            <w:r w:rsidRPr="00184E42">
              <w:rPr>
                <w:lang w:val="bg-BG"/>
              </w:rPr>
              <w:t xml:space="preserve">  </w:t>
            </w:r>
            <w:r w:rsidR="00263926" w:rsidRPr="00184E42">
              <w:rPr>
                <w:lang w:val="bg-BG"/>
              </w:rPr>
              <w:t>Устойчиво използване на пестициди: дял на използваната земеделска площ (ИЗП), засегната от подпомогнати специфични действия, които водят до устойчиво използване на пестициди с цел намаляване на рисковете и въздействието на пестицидите</w:t>
            </w:r>
          </w:p>
        </w:tc>
      </w:tr>
      <w:tr w:rsidR="002E576B" w:rsidRPr="00184E42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184E42" w:rsidRDefault="002E576B" w:rsidP="002E576B">
            <w:pPr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Pr="00184E42" w:rsidRDefault="002E576B" w:rsidP="002E576B">
            <w:pPr>
              <w:jc w:val="center"/>
              <w:rPr>
                <w:lang w:val="bg-BG"/>
              </w:rPr>
            </w:pPr>
          </w:p>
          <w:p w:rsidR="00FE23C6" w:rsidRPr="00184E42" w:rsidRDefault="00FE23C6" w:rsidP="000A1876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З</w:t>
            </w:r>
            <w:r w:rsidR="00A2239D" w:rsidRPr="00184E42">
              <w:rPr>
                <w:lang w:val="bg-BG"/>
              </w:rPr>
              <w:t>емеделски стопанин</w:t>
            </w:r>
            <w:r w:rsidR="000A1876" w:rsidRPr="00184E42">
              <w:rPr>
                <w:lang w:val="bg-BG"/>
              </w:rPr>
              <w:t>, който и</w:t>
            </w:r>
            <w:r w:rsidR="001F0C9C" w:rsidRPr="00184E42">
              <w:rPr>
                <w:szCs w:val="24"/>
                <w:lang w:val="bg-BG"/>
              </w:rPr>
              <w:t>мат сключен договор с Контролиращо лице за биологично производство</w:t>
            </w:r>
            <w:r w:rsidR="001F0C9C" w:rsidRPr="00184E42">
              <w:rPr>
                <w:lang w:val="bg-BG"/>
              </w:rPr>
              <w:t xml:space="preserve"> не по</w:t>
            </w:r>
            <w:r w:rsidRPr="00184E42">
              <w:rPr>
                <w:lang w:val="bg-BG"/>
              </w:rPr>
              <w:t>-късно от 31 декември на годината предхождаща годината на кандидатстване</w:t>
            </w:r>
            <w:r w:rsidR="004A4AED" w:rsidRPr="00184E42">
              <w:rPr>
                <w:lang w:val="bg-BG"/>
              </w:rPr>
              <w:t xml:space="preserve"> въз основа на наличните данни в регистъра на биологичните оператори към тази дата.</w:t>
            </w:r>
          </w:p>
        </w:tc>
      </w:tr>
    </w:tbl>
    <w:p w:rsidR="002E576B" w:rsidRPr="00184E42" w:rsidRDefault="002E576B" w:rsidP="002E576B">
      <w:pPr>
        <w:jc w:val="center"/>
        <w:rPr>
          <w:lang w:val="bg-BG"/>
        </w:rPr>
      </w:pPr>
    </w:p>
    <w:p w:rsidR="005F556B" w:rsidRPr="00184E42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t>Описание на дизайна на</w:t>
      </w:r>
      <w:r w:rsidR="008A7C31" w:rsidRPr="00184E42">
        <w:rPr>
          <w:b/>
          <w:lang w:val="bg-BG"/>
        </w:rPr>
        <w:t xml:space="preserve"> </w:t>
      </w:r>
      <w:r w:rsidRPr="00184E42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184E42" w:rsidTr="00597F48">
        <w:tc>
          <w:tcPr>
            <w:tcW w:w="0" w:type="auto"/>
          </w:tcPr>
          <w:p w:rsidR="006B691C" w:rsidRPr="00184E42" w:rsidRDefault="006B691C" w:rsidP="006B691C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Биологичното производство е съвкупна система за управление на земеделието и производство на храни, в която се съчетават:</w:t>
            </w:r>
          </w:p>
          <w:p w:rsidR="006B691C" w:rsidRPr="00184E42" w:rsidRDefault="006B691C" w:rsidP="006B691C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най-добри практики по отношение опазване на околната среда;</w:t>
            </w:r>
          </w:p>
          <w:p w:rsidR="006B691C" w:rsidRPr="00184E42" w:rsidRDefault="006B691C" w:rsidP="006B691C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висока степен на биологично разнообразие;</w:t>
            </w:r>
          </w:p>
          <w:p w:rsidR="006B691C" w:rsidRPr="00184E42" w:rsidRDefault="006B691C" w:rsidP="006B691C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опазване на природните ресурси;</w:t>
            </w:r>
          </w:p>
          <w:p w:rsidR="006B691C" w:rsidRPr="00184E42" w:rsidRDefault="006B691C" w:rsidP="006B691C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прилагане на високи стандарти за благосъстояние на животните;</w:t>
            </w:r>
          </w:p>
          <w:p w:rsidR="006B691C" w:rsidRPr="00184E42" w:rsidRDefault="006B691C" w:rsidP="006B691C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lastRenderedPageBreak/>
              <w:t>производствен метод, съобразен с предпочитанията на някои потребители към продукти, произведени чрез използване на естествени вещества и процеси.</w:t>
            </w:r>
          </w:p>
          <w:p w:rsidR="006B691C" w:rsidRPr="00184E42" w:rsidRDefault="006B691C" w:rsidP="006B691C">
            <w:pPr>
              <w:pStyle w:val="ListParagraph"/>
              <w:jc w:val="both"/>
              <w:rPr>
                <w:lang w:val="bg-BG"/>
              </w:rPr>
            </w:pPr>
          </w:p>
          <w:p w:rsidR="008C25A4" w:rsidRPr="00184E42" w:rsidRDefault="008C25A4" w:rsidP="005F556B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Чрез прилагане на интервенцията се цели да се подпомогнат земеделските стопани, които искат да прилагат методите на биологичното земеделие в техните стопанства, като по този начин да се </w:t>
            </w:r>
            <w:r w:rsidR="00F13C84" w:rsidRPr="00184E42">
              <w:rPr>
                <w:lang w:val="bg-BG"/>
              </w:rPr>
              <w:t>покрият разликите в допълнителните разходи и пропуснатите приходи при биологичния начин на отглеждане на земеделската продукция, сравнени с конвенционалните методи на производство.</w:t>
            </w:r>
          </w:p>
          <w:p w:rsidR="00F13C84" w:rsidRPr="00184E42" w:rsidRDefault="00F13C84" w:rsidP="005F556B">
            <w:pPr>
              <w:jc w:val="both"/>
              <w:rPr>
                <w:lang w:val="bg-BG"/>
              </w:rPr>
            </w:pPr>
          </w:p>
          <w:p w:rsidR="005F556B" w:rsidRPr="00184E42" w:rsidRDefault="008C25A4" w:rsidP="00BC72C3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Очаква се интервенцията да доведе до положителен ефект и принос към устойчивото развитие на селските райони, като допринася за околната среда и смекчаването на последиците от изменението на климата и подкрепата на малки и средни ферми, повечето от които са семейни. </w:t>
            </w:r>
            <w:r w:rsidR="00BC72C3" w:rsidRPr="00184E42">
              <w:rPr>
                <w:lang w:val="bg-BG"/>
              </w:rPr>
              <w:t>П</w:t>
            </w:r>
            <w:r w:rsidRPr="00184E42">
              <w:rPr>
                <w:lang w:val="bg-BG"/>
              </w:rPr>
              <w:t xml:space="preserve">редвид факта, че повечето биологични производители предпочитат да развиват къси вериги на доставки, се очаква също да допринесе за социалната съгласуваност на селските райони. Дейностите по интервенцията ще допринесат и за постигането на целите на </w:t>
            </w:r>
            <w:r w:rsidR="005C055F" w:rsidRPr="00184E42">
              <w:rPr>
                <w:lang w:val="bg-BG"/>
              </w:rPr>
              <w:t xml:space="preserve">Стратегия на ЕС за биологичното разнообразие до 2030 г. </w:t>
            </w:r>
            <w:r w:rsidRPr="00184E42">
              <w:rPr>
                <w:lang w:val="bg-BG"/>
              </w:rPr>
              <w:t xml:space="preserve">и да </w:t>
            </w:r>
            <w:r w:rsidR="00797AC6" w:rsidRPr="00184E42">
              <w:rPr>
                <w:lang w:val="bg-BG"/>
              </w:rPr>
              <w:t>удовлетвори</w:t>
            </w:r>
            <w:r w:rsidRPr="00184E42">
              <w:rPr>
                <w:lang w:val="bg-BG"/>
              </w:rPr>
              <w:t xml:space="preserve"> заложените цели в стратегията от </w:t>
            </w:r>
            <w:r w:rsidR="00BC72C3" w:rsidRPr="00184E42">
              <w:rPr>
                <w:lang w:val="bg-BG"/>
              </w:rPr>
              <w:t>„Фермата до трапезат</w:t>
            </w:r>
            <w:r w:rsidRPr="00184E42">
              <w:rPr>
                <w:lang w:val="bg-BG"/>
              </w:rPr>
              <w:t>а“.</w:t>
            </w:r>
          </w:p>
          <w:p w:rsidR="006E7AFC" w:rsidRPr="00184E42" w:rsidRDefault="006E7AFC" w:rsidP="006E7AFC">
            <w:pPr>
              <w:jc w:val="both"/>
              <w:rPr>
                <w:lang w:val="bg-BG"/>
              </w:rPr>
            </w:pPr>
          </w:p>
          <w:p w:rsidR="00797AC6" w:rsidRPr="00184E42" w:rsidRDefault="00DC41DA" w:rsidP="006E7AFC">
            <w:p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По и</w:t>
            </w:r>
            <w:r w:rsidR="001034D6" w:rsidRPr="00184E42">
              <w:rPr>
                <w:szCs w:val="24"/>
                <w:lang w:val="bg-BG"/>
              </w:rPr>
              <w:t>нтервенция</w:t>
            </w:r>
            <w:r w:rsidRPr="00184E42">
              <w:rPr>
                <w:szCs w:val="24"/>
                <w:lang w:val="bg-BG"/>
              </w:rPr>
              <w:t xml:space="preserve"> „Биологично земеделие“</w:t>
            </w:r>
            <w:r w:rsidR="001034D6" w:rsidRPr="00184E42">
              <w:rPr>
                <w:szCs w:val="24"/>
                <w:lang w:val="bg-BG"/>
              </w:rPr>
              <w:t xml:space="preserve"> ще се подпомагат на територията на цялата страна, земеделски стопани, чиито стопанства са в период на преход или са преминали периода на преход</w:t>
            </w:r>
            <w:r w:rsidR="00797AC6" w:rsidRPr="00184E42">
              <w:rPr>
                <w:szCs w:val="24"/>
                <w:lang w:val="bg-BG"/>
              </w:rPr>
              <w:t>, развиващи земеделска дейност в следните направления:</w:t>
            </w:r>
          </w:p>
          <w:p w:rsidR="00797AC6" w:rsidRPr="00184E42" w:rsidRDefault="00797AC6" w:rsidP="00AB655B">
            <w:pPr>
              <w:pStyle w:val="ListParagraph"/>
              <w:numPr>
                <w:ilvl w:val="0"/>
                <w:numId w:val="13"/>
              </w:num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Биологично растениевъдство</w:t>
            </w:r>
          </w:p>
          <w:p w:rsidR="00797AC6" w:rsidRPr="00184E42" w:rsidRDefault="00797AC6" w:rsidP="00AB655B">
            <w:pPr>
              <w:pStyle w:val="ListParagraph"/>
              <w:numPr>
                <w:ilvl w:val="0"/>
                <w:numId w:val="13"/>
              </w:num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Биологично пчеларство</w:t>
            </w:r>
          </w:p>
          <w:p w:rsidR="00793330" w:rsidRPr="00184E42" w:rsidRDefault="00793330" w:rsidP="00AB655B">
            <w:pPr>
              <w:pStyle w:val="ListParagraph"/>
              <w:numPr>
                <w:ilvl w:val="0"/>
                <w:numId w:val="13"/>
              </w:num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Биологично животновъдство</w:t>
            </w:r>
          </w:p>
          <w:p w:rsidR="002433B3" w:rsidRPr="00184E42" w:rsidRDefault="00263926" w:rsidP="00263926">
            <w:p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 xml:space="preserve">Ангажиментите са за период от пет години, като съществува вариант за </w:t>
            </w:r>
            <w:r w:rsidR="004A4AED" w:rsidRPr="00184E42">
              <w:rPr>
                <w:szCs w:val="24"/>
                <w:lang w:val="bg-BG"/>
              </w:rPr>
              <w:t xml:space="preserve">ежегодно </w:t>
            </w:r>
            <w:r w:rsidRPr="00184E42">
              <w:rPr>
                <w:szCs w:val="24"/>
                <w:lang w:val="bg-BG"/>
              </w:rPr>
              <w:t>удължаване на срока с две допълнителни години</w:t>
            </w:r>
            <w:r w:rsidR="002433B3" w:rsidRPr="00184E42">
              <w:rPr>
                <w:szCs w:val="24"/>
                <w:lang w:val="bg-BG"/>
              </w:rPr>
              <w:t>.</w:t>
            </w:r>
            <w:r w:rsidR="000650DF" w:rsidRPr="00184E42">
              <w:rPr>
                <w:szCs w:val="24"/>
                <w:lang w:val="bg-BG"/>
              </w:rPr>
              <w:t xml:space="preserve"> </w:t>
            </w:r>
            <w:r w:rsidR="002433B3" w:rsidRPr="00184E42">
              <w:rPr>
                <w:szCs w:val="24"/>
                <w:lang w:val="bg-BG"/>
              </w:rPr>
              <w:t>Площта за извършване на дейности по направление „Биологично растениевъдство“ може да бъде намалена с не повече от 10 %, като всяка година поне 90 % от площта по направлението се припокрива географски с площта, за която има поет ангажимент.</w:t>
            </w:r>
          </w:p>
          <w:p w:rsidR="002433B3" w:rsidRPr="00184E42" w:rsidRDefault="006E7AFC" w:rsidP="006E7AFC">
            <w:pPr>
              <w:spacing w:after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Подпомагането</w:t>
            </w:r>
            <w:r w:rsidR="00DC41DA" w:rsidRPr="00184E42">
              <w:rPr>
                <w:szCs w:val="24"/>
                <w:lang w:val="bg-BG"/>
              </w:rPr>
              <w:t xml:space="preserve"> по тази интервенция </w:t>
            </w:r>
            <w:r w:rsidRPr="00184E42">
              <w:rPr>
                <w:szCs w:val="24"/>
                <w:lang w:val="bg-BG"/>
              </w:rPr>
              <w:t xml:space="preserve">се предоставя под формата на годишни плащания на хектар </w:t>
            </w:r>
            <w:r w:rsidR="00797AC6" w:rsidRPr="00184E42">
              <w:rPr>
                <w:szCs w:val="24"/>
                <w:lang w:val="bg-BG"/>
              </w:rPr>
              <w:t>земеделска земя</w:t>
            </w:r>
            <w:r w:rsidR="004A4AED" w:rsidRPr="00184E42">
              <w:rPr>
                <w:szCs w:val="24"/>
                <w:lang w:val="bg-BG"/>
              </w:rPr>
              <w:t xml:space="preserve"> в направленията „Биологично растениевъдство“ и „Биологично животновъдство“. Размеръ</w:t>
            </w:r>
            <w:r w:rsidR="002433B3" w:rsidRPr="00184E42">
              <w:rPr>
                <w:szCs w:val="24"/>
                <w:lang w:val="bg-BG"/>
              </w:rPr>
              <w:t>т на хектарите в направлението „Б</w:t>
            </w:r>
            <w:r w:rsidR="004A4AED" w:rsidRPr="00184E42">
              <w:rPr>
                <w:szCs w:val="24"/>
                <w:lang w:val="bg-BG"/>
              </w:rPr>
              <w:t>иологично животновъдство</w:t>
            </w:r>
            <w:r w:rsidR="002433B3" w:rsidRPr="00184E42">
              <w:rPr>
                <w:szCs w:val="24"/>
                <w:lang w:val="bg-BG"/>
              </w:rPr>
              <w:t>“</w:t>
            </w:r>
            <w:r w:rsidR="004A4AED" w:rsidRPr="00184E42">
              <w:rPr>
                <w:szCs w:val="24"/>
                <w:lang w:val="bg-BG"/>
              </w:rPr>
              <w:t xml:space="preserve"> се определя при съотношение 0,5 ЖЕ/ 1 ха. </w:t>
            </w:r>
            <w:r w:rsidR="00C23582" w:rsidRPr="00184E42">
              <w:rPr>
                <w:szCs w:val="24"/>
                <w:lang w:val="bg-BG"/>
              </w:rPr>
              <w:t xml:space="preserve">Размерът на ЖЕ се формира въз основа на възрастта на отглежданите  животни (към крайната дата на кампания). </w:t>
            </w:r>
            <w:r w:rsidR="004A4AED" w:rsidRPr="00184E42">
              <w:rPr>
                <w:szCs w:val="24"/>
                <w:lang w:val="bg-BG"/>
              </w:rPr>
              <w:t xml:space="preserve">Финансовата помощ по направление „Биологично пчеларство“ се формира въз основа на броя на </w:t>
            </w:r>
            <w:r w:rsidR="008C2AEC" w:rsidRPr="00184E42">
              <w:rPr>
                <w:szCs w:val="24"/>
                <w:lang w:val="bg-BG"/>
              </w:rPr>
              <w:t xml:space="preserve">отглежданите </w:t>
            </w:r>
            <w:r w:rsidR="004A4AED" w:rsidRPr="00184E42">
              <w:rPr>
                <w:szCs w:val="24"/>
                <w:lang w:val="bg-BG"/>
              </w:rPr>
              <w:t xml:space="preserve">пчелните семейства. </w:t>
            </w:r>
          </w:p>
          <w:p w:rsidR="005C055F" w:rsidRPr="00184E42" w:rsidRDefault="004B60C9" w:rsidP="005C055F">
            <w:pPr>
              <w:spacing w:after="240"/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Задължително </w:t>
            </w:r>
            <w:r w:rsidR="00445D7D" w:rsidRPr="00184E42">
              <w:rPr>
                <w:lang w:val="bg-BG"/>
              </w:rPr>
              <w:t>бенефициентите по интервенцията</w:t>
            </w:r>
            <w:r w:rsidRPr="00184E42">
              <w:rPr>
                <w:lang w:val="bg-BG"/>
              </w:rPr>
              <w:t xml:space="preserve">, трябва да </w:t>
            </w:r>
            <w:r w:rsidR="005C055F" w:rsidRPr="00184E42">
              <w:rPr>
                <w:lang w:val="bg-BG"/>
              </w:rPr>
              <w:t xml:space="preserve">спазват изискванията на </w:t>
            </w:r>
            <w:r w:rsidR="00B11F50" w:rsidRPr="00184E42">
              <w:rPr>
                <w:lang w:val="bg-BG"/>
              </w:rPr>
              <w:t xml:space="preserve">Регламент (ЕС) </w:t>
            </w:r>
            <w:r w:rsidR="003E3F25" w:rsidRPr="00184E42">
              <w:rPr>
                <w:lang w:val="bg-BG"/>
              </w:rPr>
              <w:t>848</w:t>
            </w:r>
            <w:r w:rsidR="00B11F50" w:rsidRPr="00184E42">
              <w:rPr>
                <w:lang w:val="bg-BG"/>
              </w:rPr>
              <w:t>/2018</w:t>
            </w:r>
            <w:r w:rsidR="003E3F25" w:rsidRPr="00184E42">
              <w:rPr>
                <w:lang w:val="bg-BG"/>
              </w:rPr>
              <w:t xml:space="preserve"> </w:t>
            </w:r>
            <w:r w:rsidR="008C2AEC" w:rsidRPr="00184E42">
              <w:rPr>
                <w:lang w:val="bg-BG"/>
              </w:rPr>
              <w:t xml:space="preserve">г. </w:t>
            </w:r>
            <w:r w:rsidR="003E3F25" w:rsidRPr="00184E42">
              <w:rPr>
                <w:lang w:val="bg-BG"/>
              </w:rPr>
              <w:t xml:space="preserve">относно биологичното производство и етикетирането на биологични продукти </w:t>
            </w:r>
            <w:r w:rsidR="005C055F" w:rsidRPr="00184E42">
              <w:rPr>
                <w:lang w:val="bg-BG"/>
              </w:rPr>
              <w:t>и да имат сключен договор с Контролиращо лице за биологично производство, одобр</w:t>
            </w:r>
            <w:r w:rsidR="008C2AEC" w:rsidRPr="00184E42">
              <w:rPr>
                <w:lang w:val="bg-BG"/>
              </w:rPr>
              <w:t xml:space="preserve">ено от министъра на земеделието, </w:t>
            </w:r>
            <w:r w:rsidR="005C055F" w:rsidRPr="00184E42">
              <w:rPr>
                <w:lang w:val="bg-BG"/>
              </w:rPr>
              <w:t>храните</w:t>
            </w:r>
            <w:r w:rsidR="008C2AEC" w:rsidRPr="00184E42">
              <w:rPr>
                <w:lang w:val="bg-BG"/>
              </w:rPr>
              <w:t xml:space="preserve"> и горите</w:t>
            </w:r>
            <w:r w:rsidR="005C055F" w:rsidRPr="00184E42">
              <w:rPr>
                <w:lang w:val="bg-BG"/>
              </w:rPr>
              <w:t>, за преминаване към и/или продължаване на управлението в съответствие с правилата за биологично производство</w:t>
            </w:r>
            <w:r w:rsidR="00B11F50" w:rsidRPr="00184E42">
              <w:rPr>
                <w:lang w:val="bg-BG"/>
              </w:rPr>
              <w:t>.</w:t>
            </w:r>
            <w:r w:rsidR="005C055F" w:rsidRPr="00184E42">
              <w:rPr>
                <w:lang w:val="bg-BG"/>
              </w:rPr>
              <w:t xml:space="preserve"> Всички парцели на блока в земеделското стопанство трябва да бъдат в преход към биологично производство и/или вече да са преминали периода на преход. Всички животни в стопанството</w:t>
            </w:r>
            <w:r w:rsidRPr="00184E42">
              <w:rPr>
                <w:lang w:val="bg-BG"/>
              </w:rPr>
              <w:t xml:space="preserve">, както и пчелните </w:t>
            </w:r>
            <w:r w:rsidR="00322B29" w:rsidRPr="00184E42">
              <w:rPr>
                <w:lang w:val="bg-BG"/>
              </w:rPr>
              <w:t>семейства</w:t>
            </w:r>
            <w:r w:rsidR="005C055F" w:rsidRPr="00184E42">
              <w:rPr>
                <w:lang w:val="bg-BG"/>
              </w:rPr>
              <w:t xml:space="preserve"> </w:t>
            </w:r>
            <w:r w:rsidR="008C2AEC" w:rsidRPr="00184E42">
              <w:rPr>
                <w:lang w:val="bg-BG"/>
              </w:rPr>
              <w:t xml:space="preserve">е </w:t>
            </w:r>
            <w:r w:rsidR="005C055F" w:rsidRPr="00184E42">
              <w:rPr>
                <w:lang w:val="bg-BG"/>
              </w:rPr>
              <w:t>необходимо да са под контрола на контролиращото лице</w:t>
            </w:r>
            <w:r w:rsidR="00322B29" w:rsidRPr="00184E42">
              <w:rPr>
                <w:lang w:val="bg-BG"/>
              </w:rPr>
              <w:t>.</w:t>
            </w:r>
          </w:p>
          <w:p w:rsidR="005C055F" w:rsidRPr="00184E42" w:rsidRDefault="001034D6" w:rsidP="005C055F">
            <w:pPr>
              <w:spacing w:after="240"/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Д</w:t>
            </w:r>
            <w:r w:rsidR="00DC41DA" w:rsidRPr="00184E42">
              <w:rPr>
                <w:lang w:val="bg-BG"/>
              </w:rPr>
              <w:t xml:space="preserve">о края </w:t>
            </w:r>
            <w:r w:rsidR="005C055F" w:rsidRPr="00184E42">
              <w:rPr>
                <w:lang w:val="bg-BG"/>
              </w:rPr>
              <w:t xml:space="preserve">на прилагане на дейността поне веднъж да получат сертификат за съответствие на произведената от него растителна или животинска продукция с правилата на биологичното </w:t>
            </w:r>
            <w:r w:rsidR="005C055F" w:rsidRPr="00184E42">
              <w:rPr>
                <w:lang w:val="bg-BG"/>
              </w:rPr>
              <w:lastRenderedPageBreak/>
              <w:t xml:space="preserve">производство и да докажат реализация на </w:t>
            </w:r>
            <w:r w:rsidR="00D95324" w:rsidRPr="00184E42">
              <w:rPr>
                <w:lang w:val="bg-BG"/>
              </w:rPr>
              <w:t>биологичн</w:t>
            </w:r>
            <w:r w:rsidR="00BB529C" w:rsidRPr="00184E42">
              <w:rPr>
                <w:lang w:val="bg-BG"/>
              </w:rPr>
              <w:t>и</w:t>
            </w:r>
            <w:r w:rsidR="00D95324" w:rsidRPr="00184E42">
              <w:rPr>
                <w:lang w:val="bg-BG"/>
              </w:rPr>
              <w:t xml:space="preserve"> продукт</w:t>
            </w:r>
            <w:r w:rsidR="00BB529C" w:rsidRPr="00184E42">
              <w:rPr>
                <w:lang w:val="bg-BG"/>
              </w:rPr>
              <w:t>и от дейностите подпомагани по интервенцията</w:t>
            </w:r>
            <w:r w:rsidR="00E61E86" w:rsidRPr="00184E42">
              <w:rPr>
                <w:lang w:val="bg-BG"/>
              </w:rPr>
              <w:t xml:space="preserve"> </w:t>
            </w:r>
            <w:r w:rsidR="005C055F" w:rsidRPr="00184E42">
              <w:rPr>
                <w:lang w:val="bg-BG"/>
              </w:rPr>
              <w:t>от стопанството</w:t>
            </w:r>
            <w:r w:rsidR="00D76BA8" w:rsidRPr="00184E42">
              <w:rPr>
                <w:lang w:val="bg-BG"/>
              </w:rPr>
              <w:t xml:space="preserve">, </w:t>
            </w:r>
            <w:r w:rsidR="00445D7D" w:rsidRPr="00184E42">
              <w:rPr>
                <w:lang w:val="bg-BG"/>
              </w:rPr>
              <w:t>с което е поет многогодишен ангажимент.</w:t>
            </w:r>
            <w:r w:rsidR="00C02422" w:rsidRPr="00184E42">
              <w:rPr>
                <w:lang w:val="bg-BG"/>
              </w:rPr>
              <w:t xml:space="preserve"> </w:t>
            </w:r>
          </w:p>
          <w:p w:rsidR="00B11F50" w:rsidRPr="00184E42" w:rsidRDefault="00184E42" w:rsidP="005C055F">
            <w:pPr>
              <w:spacing w:after="240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r w:rsidR="009B5378" w:rsidRPr="00184E42">
              <w:rPr>
                <w:lang w:val="bg-BG"/>
              </w:rPr>
              <w:t>андидати</w:t>
            </w:r>
            <w:r>
              <w:rPr>
                <w:lang w:val="bg-BG"/>
              </w:rPr>
              <w:t>,</w:t>
            </w:r>
            <w:r w:rsidR="009B5378" w:rsidRPr="00184E42">
              <w:rPr>
                <w:lang w:val="bg-BG"/>
              </w:rPr>
              <w:t xml:space="preserve"> преминали </w:t>
            </w:r>
            <w:r w:rsidRPr="00184E42">
              <w:rPr>
                <w:lang w:val="bg-BG"/>
              </w:rPr>
              <w:t>периода</w:t>
            </w:r>
            <w:r w:rsidR="009B5378" w:rsidRPr="00184E42">
              <w:rPr>
                <w:lang w:val="bg-BG"/>
              </w:rPr>
              <w:t xml:space="preserve"> на преход и поддържащи практиките на </w:t>
            </w:r>
            <w:r w:rsidR="00263926" w:rsidRPr="00184E42">
              <w:rPr>
                <w:lang w:val="bg-BG"/>
              </w:rPr>
              <w:t>б</w:t>
            </w:r>
            <w:r w:rsidR="009B5378" w:rsidRPr="00184E42">
              <w:rPr>
                <w:lang w:val="bg-BG"/>
              </w:rPr>
              <w:t xml:space="preserve">иологичното </w:t>
            </w:r>
            <w:r w:rsidR="00D76BA8" w:rsidRPr="00184E42">
              <w:rPr>
                <w:lang w:val="bg-BG"/>
              </w:rPr>
              <w:t xml:space="preserve">производство, </w:t>
            </w:r>
            <w:r w:rsidR="009B5378" w:rsidRPr="00184E42">
              <w:rPr>
                <w:lang w:val="bg-BG"/>
              </w:rPr>
              <w:t>следва да разполагат със сертификат за произведена продукция за всяка година, за която е предоставено финансово подпомагане по линия на ЕЗФРСР</w:t>
            </w:r>
            <w:r w:rsidR="00B11F50" w:rsidRPr="00184E42">
              <w:rPr>
                <w:lang w:val="bg-BG"/>
              </w:rPr>
              <w:t>.</w:t>
            </w:r>
          </w:p>
          <w:p w:rsidR="005C055F" w:rsidRPr="00184E42" w:rsidRDefault="00445D7D" w:rsidP="005C055F">
            <w:pPr>
              <w:spacing w:after="240"/>
              <w:jc w:val="both"/>
              <w:rPr>
                <w:highlight w:val="yellow"/>
                <w:lang w:val="bg-BG"/>
              </w:rPr>
            </w:pPr>
            <w:r w:rsidRPr="00184E42">
              <w:rPr>
                <w:lang w:val="bg-BG"/>
              </w:rPr>
              <w:t>Д</w:t>
            </w:r>
            <w:r w:rsidR="005C055F" w:rsidRPr="00184E42">
              <w:rPr>
                <w:lang w:val="bg-BG"/>
              </w:rPr>
              <w:t xml:space="preserve">о края на втората година от </w:t>
            </w:r>
            <w:r w:rsidR="00F13C84" w:rsidRPr="00184E42">
              <w:rPr>
                <w:lang w:val="bg-BG"/>
              </w:rPr>
              <w:t>многогодишния</w:t>
            </w:r>
            <w:r w:rsidR="005C055F" w:rsidRPr="00184E42">
              <w:rPr>
                <w:lang w:val="bg-BG"/>
              </w:rPr>
              <w:t xml:space="preserve"> ангажимент кандидатът трябва да премине </w:t>
            </w:r>
            <w:proofErr w:type="spellStart"/>
            <w:r w:rsidR="005C055F" w:rsidRPr="00184E42">
              <w:rPr>
                <w:lang w:val="bg-BG"/>
              </w:rPr>
              <w:t>агроекологично</w:t>
            </w:r>
            <w:proofErr w:type="spellEnd"/>
            <w:r w:rsidR="005C055F" w:rsidRPr="00184E42">
              <w:rPr>
                <w:lang w:val="bg-BG"/>
              </w:rPr>
              <w:t xml:space="preserve"> или биологично обучение</w:t>
            </w:r>
            <w:r w:rsidR="00A042ED" w:rsidRPr="00184E42">
              <w:rPr>
                <w:lang w:val="bg-BG"/>
              </w:rPr>
              <w:t>.</w:t>
            </w:r>
            <w:r w:rsidR="005C055F" w:rsidRPr="00184E42">
              <w:rPr>
                <w:lang w:val="bg-BG"/>
              </w:rPr>
              <w:t xml:space="preserve"> </w:t>
            </w:r>
            <w:r w:rsidR="00D76BA8" w:rsidRPr="00184E42">
              <w:rPr>
                <w:lang w:val="bg-BG"/>
              </w:rPr>
              <w:t>К</w:t>
            </w:r>
            <w:r w:rsidR="005C055F" w:rsidRPr="00184E42">
              <w:rPr>
                <w:lang w:val="bg-BG"/>
              </w:rPr>
              <w:t>андидати</w:t>
            </w:r>
            <w:r w:rsidR="00D76BA8" w:rsidRPr="00184E42">
              <w:rPr>
                <w:lang w:val="bg-BG"/>
              </w:rPr>
              <w:t>,</w:t>
            </w:r>
            <w:r w:rsidR="00793330" w:rsidRPr="00184E42">
              <w:rPr>
                <w:lang w:val="bg-BG"/>
              </w:rPr>
              <w:t xml:space="preserve"> </w:t>
            </w:r>
            <w:r w:rsidR="00FD5CD7" w:rsidRPr="00184E42">
              <w:rPr>
                <w:lang w:val="bg-BG"/>
              </w:rPr>
              <w:t>полу</w:t>
            </w:r>
            <w:r w:rsidR="00793330" w:rsidRPr="00184E42">
              <w:rPr>
                <w:lang w:val="bg-BG"/>
              </w:rPr>
              <w:t>чили</w:t>
            </w:r>
            <w:r w:rsidR="00FD5CD7" w:rsidRPr="00184E42">
              <w:rPr>
                <w:lang w:val="bg-BG"/>
              </w:rPr>
              <w:t xml:space="preserve"> сертификат за биологични</w:t>
            </w:r>
            <w:r w:rsidR="00B11F50" w:rsidRPr="00184E42">
              <w:rPr>
                <w:lang w:val="bg-BG"/>
              </w:rPr>
              <w:t xml:space="preserve"> </w:t>
            </w:r>
            <w:r w:rsidR="00FD5CD7" w:rsidRPr="00184E42">
              <w:rPr>
                <w:lang w:val="bg-BG"/>
              </w:rPr>
              <w:t xml:space="preserve"> продукти </w:t>
            </w:r>
            <w:r w:rsidR="00B11F50" w:rsidRPr="00184E42">
              <w:rPr>
                <w:lang w:val="bg-BG"/>
              </w:rPr>
              <w:t>към датата на кандидатстване</w:t>
            </w:r>
            <w:r w:rsidR="00973103" w:rsidRPr="00184E42">
              <w:rPr>
                <w:lang w:val="bg-BG"/>
              </w:rPr>
              <w:t xml:space="preserve"> или за такива </w:t>
            </w:r>
            <w:r w:rsidR="00D76BA8" w:rsidRPr="00184E42">
              <w:rPr>
                <w:lang w:val="bg-BG"/>
              </w:rPr>
              <w:t>изпълнили многогодишен ангажимент по мярка 11 „Биологично земеделие“ от</w:t>
            </w:r>
            <w:r w:rsidR="00973103" w:rsidRPr="00184E42">
              <w:rPr>
                <w:lang w:val="bg-BG"/>
              </w:rPr>
              <w:t xml:space="preserve"> ПРСР 2014-2020 </w:t>
            </w:r>
            <w:r w:rsidR="00B11F50" w:rsidRPr="00184E42">
              <w:rPr>
                <w:lang w:val="bg-BG"/>
              </w:rPr>
              <w:t xml:space="preserve"> </w:t>
            </w:r>
            <w:r w:rsidR="00FD5CD7" w:rsidRPr="00184E42">
              <w:rPr>
                <w:lang w:val="bg-BG"/>
              </w:rPr>
              <w:t>не е необходимо да преминава</w:t>
            </w:r>
            <w:r w:rsidR="00B11F50" w:rsidRPr="00184E42">
              <w:rPr>
                <w:lang w:val="bg-BG"/>
              </w:rPr>
              <w:t>т</w:t>
            </w:r>
            <w:r w:rsidR="00FD5CD7" w:rsidRPr="00184E42">
              <w:rPr>
                <w:lang w:val="bg-BG"/>
              </w:rPr>
              <w:t xml:space="preserve"> обучение</w:t>
            </w:r>
            <w:r w:rsidR="00B11F50" w:rsidRPr="00184E42">
              <w:rPr>
                <w:lang w:val="bg-BG"/>
              </w:rPr>
              <w:t>.</w:t>
            </w:r>
            <w:r w:rsidRPr="00184E42">
              <w:rPr>
                <w:lang w:val="bg-BG"/>
              </w:rPr>
              <w:t xml:space="preserve"> </w:t>
            </w:r>
          </w:p>
          <w:p w:rsidR="000810A0" w:rsidRPr="00184E42" w:rsidRDefault="000810A0" w:rsidP="000810A0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Размерът на подпомагане в направление „Биологично растениевъдство“ се определя въз основа на групи земеделски култури: </w:t>
            </w:r>
          </w:p>
          <w:p w:rsidR="000810A0" w:rsidRPr="00184E42" w:rsidRDefault="000810A0" w:rsidP="000810A0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полски култури, включително фуражни;</w:t>
            </w:r>
          </w:p>
          <w:p w:rsidR="000810A0" w:rsidRPr="00184E42" w:rsidRDefault="000810A0" w:rsidP="000810A0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постоянно затревени площи;</w:t>
            </w:r>
          </w:p>
          <w:p w:rsidR="000810A0" w:rsidRPr="00184E42" w:rsidRDefault="000810A0" w:rsidP="000810A0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трайни насаждения, овощни култури и лозя ;</w:t>
            </w:r>
          </w:p>
          <w:p w:rsidR="000810A0" w:rsidRPr="00184E42" w:rsidRDefault="000810A0" w:rsidP="000810A0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ароматни и медицински растения;</w:t>
            </w:r>
          </w:p>
          <w:p w:rsidR="000810A0" w:rsidRPr="00184E42" w:rsidRDefault="000810A0" w:rsidP="000810A0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зеленчукови култури</w:t>
            </w:r>
          </w:p>
          <w:p w:rsidR="000810A0" w:rsidRPr="00184E42" w:rsidRDefault="000810A0" w:rsidP="000810A0">
            <w:pPr>
              <w:jc w:val="both"/>
              <w:rPr>
                <w:lang w:val="bg-BG"/>
              </w:rPr>
            </w:pPr>
          </w:p>
          <w:p w:rsidR="000810A0" w:rsidRPr="00184E42" w:rsidRDefault="000810A0" w:rsidP="000810A0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За дейностите от направление „Биологично растениевъдство“, с изключение на групата на постоянно затревените площи, </w:t>
            </w:r>
            <w:r w:rsidR="003E661D" w:rsidRPr="00184E42">
              <w:rPr>
                <w:lang w:val="bg-BG"/>
              </w:rPr>
              <w:t xml:space="preserve">финансовото </w:t>
            </w:r>
            <w:r w:rsidRPr="00184E42">
              <w:rPr>
                <w:lang w:val="bg-BG"/>
              </w:rPr>
              <w:t>подпомагането се определя въз основа на дегресивни ставки на база заявения размер на площи от съответната група култури</w:t>
            </w:r>
            <w:r w:rsidR="00787A88" w:rsidRPr="00184E42">
              <w:rPr>
                <w:lang w:val="bg-BG"/>
              </w:rPr>
              <w:t xml:space="preserve"> в стопанството</w:t>
            </w:r>
            <w:r w:rsidR="003E661D" w:rsidRPr="00184E42">
              <w:rPr>
                <w:lang w:val="bg-BG"/>
              </w:rPr>
              <w:t>. И</w:t>
            </w:r>
            <w:r w:rsidRPr="00184E42">
              <w:rPr>
                <w:lang w:val="bg-BG"/>
              </w:rPr>
              <w:t xml:space="preserve">зчисленията </w:t>
            </w:r>
            <w:r w:rsidRPr="00184E42">
              <w:rPr>
                <w:color w:val="000000"/>
                <w:lang w:val="bg-BG"/>
              </w:rPr>
              <w:t xml:space="preserve">се извършват </w:t>
            </w:r>
            <w:r w:rsidR="001007FC" w:rsidRPr="00184E42">
              <w:rPr>
                <w:color w:val="000000"/>
                <w:lang w:val="bg-BG"/>
              </w:rPr>
              <w:t>на база</w:t>
            </w:r>
            <w:r w:rsidRPr="00184E42">
              <w:rPr>
                <w:color w:val="000000"/>
                <w:lang w:val="bg-BG"/>
              </w:rPr>
              <w:t xml:space="preserve"> средния размер на нивата на плащане към декларирани площи, определени</w:t>
            </w:r>
            <w:r w:rsidR="001007FC" w:rsidRPr="00184E42">
              <w:rPr>
                <w:color w:val="000000"/>
                <w:lang w:val="bg-BG"/>
              </w:rPr>
              <w:t xml:space="preserve"> </w:t>
            </w:r>
            <w:r w:rsidRPr="00184E42">
              <w:rPr>
                <w:lang w:val="bg-BG"/>
              </w:rPr>
              <w:t>както следва:</w:t>
            </w:r>
          </w:p>
          <w:p w:rsidR="003E661D" w:rsidRPr="00184E42" w:rsidRDefault="003E661D" w:rsidP="000810A0">
            <w:pPr>
              <w:jc w:val="both"/>
              <w:rPr>
                <w:highlight w:val="yellow"/>
                <w:lang w:val="bg-BG"/>
              </w:rPr>
            </w:pPr>
          </w:p>
          <w:p w:rsidR="003E661D" w:rsidRPr="00184E42" w:rsidRDefault="003E661D" w:rsidP="003E661D">
            <w:pPr>
              <w:jc w:val="both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Биологично растениевъдство</w:t>
            </w:r>
            <w:r w:rsidRPr="00184E42">
              <w:rPr>
                <w:lang w:val="bg-BG"/>
              </w:rPr>
              <w:t xml:space="preserve"> </w:t>
            </w:r>
            <w:r w:rsidRPr="00184E42">
              <w:rPr>
                <w:b/>
                <w:lang w:val="bg-BG"/>
              </w:rPr>
              <w:t>по отделни групи (за преход или биологични):</w:t>
            </w:r>
          </w:p>
          <w:p w:rsidR="003E661D" w:rsidRPr="00184E42" w:rsidRDefault="003E661D" w:rsidP="003E661D">
            <w:pPr>
              <w:jc w:val="both"/>
              <w:rPr>
                <w:lang w:val="bg-BG"/>
              </w:rPr>
            </w:pPr>
          </w:p>
          <w:tbl>
            <w:tblPr>
              <w:tblW w:w="5807" w:type="dxa"/>
              <w:tblLook w:val="04A0" w:firstRow="1" w:lastRow="0" w:firstColumn="1" w:lastColumn="0" w:noHBand="0" w:noVBand="1"/>
            </w:tblPr>
            <w:tblGrid>
              <w:gridCol w:w="3964"/>
              <w:gridCol w:w="1843"/>
            </w:tblGrid>
            <w:tr w:rsidR="003E661D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E661D" w:rsidRPr="00184E42" w:rsidRDefault="003E661D" w:rsidP="003E661D">
                  <w:pPr>
                    <w:spacing w:after="0" w:line="240" w:lineRule="auto"/>
                    <w:jc w:val="center"/>
                    <w:rPr>
                      <w:b/>
                      <w:lang w:val="bg-BG"/>
                    </w:rPr>
                  </w:pPr>
                  <w:r w:rsidRPr="00184E42">
                    <w:rPr>
                      <w:b/>
                      <w:lang w:val="bg-BG"/>
                    </w:rPr>
                    <w:t>Размер на площите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E661D" w:rsidRPr="00184E42" w:rsidRDefault="003E661D" w:rsidP="00F10C99">
                  <w:pPr>
                    <w:spacing w:after="0" w:line="240" w:lineRule="auto"/>
                    <w:jc w:val="center"/>
                    <w:rPr>
                      <w:b/>
                      <w:lang w:val="bg-BG"/>
                    </w:rPr>
                  </w:pPr>
                  <w:r w:rsidRPr="00184E42">
                    <w:rPr>
                      <w:b/>
                      <w:lang w:val="bg-BG"/>
                    </w:rPr>
                    <w:t>Ставка</w:t>
                  </w:r>
                </w:p>
              </w:tc>
            </w:tr>
            <w:tr w:rsidR="003E661D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до 50 ха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100%</w:t>
                  </w:r>
                </w:p>
              </w:tc>
            </w:tr>
            <w:tr w:rsidR="003E661D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от 50.01 ха. до  65 ха.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50%</w:t>
                  </w:r>
                </w:p>
              </w:tc>
            </w:tr>
            <w:tr w:rsidR="003E661D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над  65.01 ха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661D" w:rsidRPr="00184E42" w:rsidRDefault="003E661D" w:rsidP="00F10C99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10%</w:t>
                  </w:r>
                </w:p>
              </w:tc>
            </w:tr>
          </w:tbl>
          <w:p w:rsidR="000810A0" w:rsidRPr="00184E42" w:rsidRDefault="000810A0" w:rsidP="000810A0">
            <w:pPr>
              <w:jc w:val="both"/>
              <w:rPr>
                <w:highlight w:val="yellow"/>
                <w:lang w:val="bg-BG"/>
              </w:rPr>
            </w:pPr>
          </w:p>
          <w:p w:rsidR="003E661D" w:rsidRPr="00184E42" w:rsidRDefault="003E661D" w:rsidP="003E661D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За дейностите от направление „Биологично пчеларство“, финансовото подпомагане се формира на база на броя на отглежданите пчелни семейства </w:t>
            </w:r>
            <w:r w:rsidR="001007FC" w:rsidRPr="00184E42">
              <w:rPr>
                <w:lang w:val="bg-BG"/>
              </w:rPr>
              <w:t xml:space="preserve">в стопанството </w:t>
            </w:r>
            <w:r w:rsidRPr="00184E42">
              <w:rPr>
                <w:lang w:val="bg-BG"/>
              </w:rPr>
              <w:t xml:space="preserve">въз основа на дегресивни ставки. Изчисленията </w:t>
            </w:r>
            <w:r w:rsidRPr="00184E42">
              <w:rPr>
                <w:color w:val="000000"/>
                <w:lang w:val="bg-BG"/>
              </w:rPr>
              <w:t xml:space="preserve">се извършват </w:t>
            </w:r>
            <w:r w:rsidR="001007FC" w:rsidRPr="00184E42">
              <w:rPr>
                <w:color w:val="000000"/>
                <w:lang w:val="bg-BG"/>
              </w:rPr>
              <w:t>на база</w:t>
            </w:r>
            <w:r w:rsidRPr="00184E42">
              <w:rPr>
                <w:color w:val="000000"/>
                <w:lang w:val="bg-BG"/>
              </w:rPr>
              <w:t xml:space="preserve"> средния размер на нивата на плащане към декларирания брой пчелни семейства, определени </w:t>
            </w:r>
            <w:r w:rsidRPr="00184E42">
              <w:rPr>
                <w:lang w:val="bg-BG"/>
              </w:rPr>
              <w:t>както следва:</w:t>
            </w:r>
          </w:p>
          <w:p w:rsidR="003E4D34" w:rsidRPr="00184E42" w:rsidRDefault="003E4D34" w:rsidP="00597F48">
            <w:pPr>
              <w:jc w:val="both"/>
              <w:rPr>
                <w:lang w:val="bg-BG"/>
              </w:rPr>
            </w:pPr>
          </w:p>
          <w:p w:rsidR="002960DA" w:rsidRPr="00184E42" w:rsidRDefault="002338C1" w:rsidP="00597F48">
            <w:pPr>
              <w:jc w:val="both"/>
              <w:rPr>
                <w:b/>
                <w:lang w:val="bg-BG"/>
              </w:rPr>
            </w:pPr>
            <w:r w:rsidRPr="00184E42">
              <w:rPr>
                <w:b/>
                <w:lang w:val="bg-BG"/>
              </w:rPr>
              <w:t>Биологично пчеларство:</w:t>
            </w:r>
          </w:p>
          <w:tbl>
            <w:tblPr>
              <w:tblW w:w="5807" w:type="dxa"/>
              <w:tblLook w:val="04A0" w:firstRow="1" w:lastRow="0" w:firstColumn="1" w:lastColumn="0" w:noHBand="0" w:noVBand="1"/>
            </w:tblPr>
            <w:tblGrid>
              <w:gridCol w:w="3964"/>
              <w:gridCol w:w="1843"/>
            </w:tblGrid>
            <w:tr w:rsidR="003E661D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E661D" w:rsidRPr="00184E42" w:rsidRDefault="003E661D" w:rsidP="002338C1">
                  <w:pPr>
                    <w:spacing w:after="0" w:line="240" w:lineRule="auto"/>
                    <w:jc w:val="both"/>
                    <w:rPr>
                      <w:b/>
                      <w:lang w:val="bg-BG"/>
                    </w:rPr>
                  </w:pPr>
                  <w:r w:rsidRPr="00184E42">
                    <w:rPr>
                      <w:b/>
                      <w:lang w:val="bg-BG"/>
                    </w:rPr>
                    <w:t>Отглеждани пчелни семейства /бр./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E661D" w:rsidRPr="00184E42" w:rsidRDefault="003E661D" w:rsidP="00E709D4">
                  <w:pPr>
                    <w:spacing w:after="0" w:line="240" w:lineRule="auto"/>
                    <w:jc w:val="center"/>
                    <w:rPr>
                      <w:b/>
                      <w:lang w:val="bg-BG"/>
                    </w:rPr>
                  </w:pPr>
                  <w:r w:rsidRPr="00184E42">
                    <w:rPr>
                      <w:b/>
                      <w:lang w:val="bg-BG"/>
                    </w:rPr>
                    <w:t>Ставка</w:t>
                  </w:r>
                </w:p>
              </w:tc>
            </w:tr>
            <w:tr w:rsidR="00B05C55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5C55" w:rsidRPr="00184E42" w:rsidRDefault="00B05C55" w:rsidP="002338C1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до 150 пчелни семейства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05C55" w:rsidRPr="00184E42" w:rsidRDefault="00B05C55" w:rsidP="00E709D4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100%</w:t>
                  </w:r>
                </w:p>
              </w:tc>
            </w:tr>
            <w:tr w:rsidR="00B05C55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5C55" w:rsidRPr="00184E42" w:rsidRDefault="00B05C55" w:rsidP="003E4D34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 xml:space="preserve">от 151 до </w:t>
                  </w:r>
                  <w:r w:rsidR="003E4D34" w:rsidRPr="00184E42">
                    <w:rPr>
                      <w:lang w:val="bg-BG"/>
                    </w:rPr>
                    <w:t xml:space="preserve">500 </w:t>
                  </w:r>
                  <w:r w:rsidRPr="00184E42">
                    <w:rPr>
                      <w:lang w:val="bg-BG"/>
                    </w:rPr>
                    <w:t>пчелни семейства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05C55" w:rsidRPr="00184E42" w:rsidRDefault="00B05C55" w:rsidP="00E709D4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50%</w:t>
                  </w:r>
                </w:p>
              </w:tc>
            </w:tr>
            <w:tr w:rsidR="00B05C55" w:rsidRPr="00184E42" w:rsidTr="003E661D">
              <w:trPr>
                <w:trHeight w:val="315"/>
              </w:trPr>
              <w:tc>
                <w:tcPr>
                  <w:tcW w:w="3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5C55" w:rsidRPr="00184E42" w:rsidRDefault="00B05C55" w:rsidP="009D3188">
                  <w:pPr>
                    <w:spacing w:after="0" w:line="240" w:lineRule="auto"/>
                    <w:jc w:val="both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 xml:space="preserve">над </w:t>
                  </w:r>
                  <w:r w:rsidR="00B51A64" w:rsidRPr="00184E42">
                    <w:rPr>
                      <w:lang w:val="bg-BG"/>
                    </w:rPr>
                    <w:t>50</w:t>
                  </w:r>
                  <w:r w:rsidR="009D3188" w:rsidRPr="00184E42">
                    <w:rPr>
                      <w:lang w:val="bg-BG"/>
                    </w:rPr>
                    <w:t>1</w:t>
                  </w:r>
                  <w:r w:rsidR="00437990" w:rsidRPr="00184E42">
                    <w:rPr>
                      <w:lang w:val="bg-BG"/>
                    </w:rPr>
                    <w:t xml:space="preserve"> </w:t>
                  </w:r>
                  <w:r w:rsidRPr="00184E42">
                    <w:rPr>
                      <w:lang w:val="bg-BG"/>
                    </w:rPr>
                    <w:t>пчелни семейства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05C55" w:rsidRPr="00184E42" w:rsidRDefault="00B05C55" w:rsidP="00E709D4">
                  <w:pPr>
                    <w:spacing w:after="0" w:line="240" w:lineRule="auto"/>
                    <w:jc w:val="center"/>
                    <w:rPr>
                      <w:lang w:val="bg-BG"/>
                    </w:rPr>
                  </w:pPr>
                  <w:r w:rsidRPr="00184E42">
                    <w:rPr>
                      <w:lang w:val="bg-BG"/>
                    </w:rPr>
                    <w:t>10%</w:t>
                  </w:r>
                </w:p>
              </w:tc>
            </w:tr>
          </w:tbl>
          <w:p w:rsidR="002338C1" w:rsidRPr="00184E42" w:rsidRDefault="002338C1" w:rsidP="00597F48">
            <w:pPr>
              <w:jc w:val="both"/>
              <w:rPr>
                <w:lang w:val="bg-BG"/>
              </w:rPr>
            </w:pPr>
          </w:p>
          <w:p w:rsidR="002960DA" w:rsidRPr="00184E42" w:rsidRDefault="003E4D34" w:rsidP="00597F48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Допустими за подпомагане постоянно затревени площи по направление "Биологично растениевъдство" са площи, за които е спазена гъстота с отглеждани биологични </w:t>
            </w:r>
            <w:r w:rsidR="00CB49E9" w:rsidRPr="00184E42">
              <w:rPr>
                <w:rStyle w:val="legaldocreferenceopened1"/>
                <w:color w:val="auto"/>
                <w:lang w:val="bg-BG"/>
              </w:rPr>
              <w:t>пасищни селскостопански животни</w:t>
            </w:r>
            <w:r w:rsidR="00CB49E9" w:rsidRPr="00184E42">
              <w:rPr>
                <w:lang w:val="bg-BG"/>
              </w:rPr>
              <w:t xml:space="preserve"> </w:t>
            </w:r>
            <w:r w:rsidRPr="00184E42">
              <w:rPr>
                <w:lang w:val="bg-BG"/>
              </w:rPr>
              <w:t xml:space="preserve">в съотношение минимум </w:t>
            </w:r>
            <w:r w:rsidRPr="00184E42">
              <w:rPr>
                <w:szCs w:val="24"/>
                <w:lang w:val="bg-BG"/>
              </w:rPr>
              <w:t>0,5 ЖЕ/ 1 ха</w:t>
            </w:r>
            <w:r w:rsidRPr="00184E42">
              <w:rPr>
                <w:lang w:val="bg-BG"/>
              </w:rPr>
              <w:t>.</w:t>
            </w:r>
          </w:p>
          <w:p w:rsidR="003E661D" w:rsidRPr="00184E42" w:rsidRDefault="003E661D" w:rsidP="00597F48">
            <w:pPr>
              <w:jc w:val="both"/>
              <w:rPr>
                <w:lang w:val="bg-BG"/>
              </w:rPr>
            </w:pPr>
          </w:p>
          <w:p w:rsidR="001007FC" w:rsidRPr="00184E42" w:rsidRDefault="001007FC" w:rsidP="00597F48">
            <w:pPr>
              <w:jc w:val="both"/>
              <w:rPr>
                <w:lang w:val="bg-BG"/>
              </w:rPr>
            </w:pPr>
          </w:p>
          <w:p w:rsidR="00597F48" w:rsidRPr="00184E42" w:rsidRDefault="00CB49E9" w:rsidP="00597F48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lastRenderedPageBreak/>
              <w:t>В направление „Биологично животновъдство“  подпомагането е з</w:t>
            </w:r>
            <w:r w:rsidR="00597F48" w:rsidRPr="00184E42">
              <w:rPr>
                <w:lang w:val="bg-BG"/>
              </w:rPr>
              <w:t>а животни от основното стадо (без приплодите) от следните групи</w:t>
            </w:r>
            <w:r w:rsidR="00D76BA8" w:rsidRPr="00184E42">
              <w:rPr>
                <w:lang w:val="bg-BG"/>
              </w:rPr>
              <w:t>, приравнени към земеделски култури – постоянно-затревени площи, фуражни култури и люцерна</w:t>
            </w:r>
            <w:r w:rsidR="00C23582" w:rsidRPr="00184E42">
              <w:rPr>
                <w:lang w:val="bg-BG"/>
              </w:rPr>
              <w:t xml:space="preserve"> – 0,5 ЖЕ/</w:t>
            </w:r>
            <w:r w:rsidR="003E4D34" w:rsidRPr="00184E42">
              <w:rPr>
                <w:lang w:val="bg-BG"/>
              </w:rPr>
              <w:t xml:space="preserve"> 1 </w:t>
            </w:r>
            <w:r w:rsidR="00C23582" w:rsidRPr="00184E42">
              <w:rPr>
                <w:lang w:val="bg-BG"/>
              </w:rPr>
              <w:t>ха</w:t>
            </w:r>
            <w:r w:rsidR="00597F48" w:rsidRPr="00184E42">
              <w:rPr>
                <w:lang w:val="bg-BG"/>
              </w:rPr>
              <w:t>:</w:t>
            </w:r>
          </w:p>
          <w:p w:rsidR="00597F48" w:rsidRPr="00184E42" w:rsidRDefault="00597F48" w:rsidP="00597F48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едри преживни животни (млечни крави и биволици), отглеждани за мляко;</w:t>
            </w:r>
          </w:p>
          <w:p w:rsidR="00597F48" w:rsidRPr="00184E42" w:rsidRDefault="00597F48" w:rsidP="00597F48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едри преживни животни (месодайни крави и биволици), отглеждани за месо;</w:t>
            </w:r>
          </w:p>
          <w:p w:rsidR="00597F48" w:rsidRPr="00184E42" w:rsidRDefault="00597F48" w:rsidP="00597F48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дребни преживни животни (овце-майки и  кози- майки), отглеждани за комбинирано производство (мляко и месо).</w:t>
            </w:r>
          </w:p>
          <w:p w:rsidR="00D95324" w:rsidRPr="00184E42" w:rsidRDefault="00D95324" w:rsidP="00D74585">
            <w:pPr>
              <w:jc w:val="both"/>
              <w:rPr>
                <w:lang w:val="bg-BG"/>
              </w:rPr>
            </w:pPr>
          </w:p>
          <w:p w:rsidR="00EE3CC9" w:rsidRPr="00184E42" w:rsidRDefault="00322CEF" w:rsidP="003E3F25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В съответствие с чл. 89 от </w:t>
            </w:r>
            <w:r w:rsidR="001C2A0F" w:rsidRPr="00184E42">
              <w:rPr>
                <w:lang w:val="bg-BG"/>
              </w:rPr>
              <w:t xml:space="preserve">Регламент за </w:t>
            </w:r>
            <w:r w:rsidR="00A042ED" w:rsidRPr="00184E42">
              <w:rPr>
                <w:lang w:val="bg-BG"/>
              </w:rPr>
              <w:t>с</w:t>
            </w:r>
            <w:r w:rsidR="001C2A0F" w:rsidRPr="00184E42">
              <w:rPr>
                <w:lang w:val="bg-BG"/>
              </w:rPr>
              <w:t>тратегическите планове</w:t>
            </w:r>
            <w:r w:rsidR="00A042ED" w:rsidRPr="00184E42">
              <w:rPr>
                <w:lang w:val="bg-BG"/>
              </w:rPr>
              <w:t xml:space="preserve"> </w:t>
            </w:r>
            <w:r w:rsidRPr="00184E42">
              <w:rPr>
                <w:lang w:val="bg-BG"/>
              </w:rPr>
              <w:t xml:space="preserve">може да се приложи процент на вариация за дейностите от всяко направления на  интервенцията. </w:t>
            </w:r>
            <w:r w:rsidR="005C358F" w:rsidRPr="00184E42">
              <w:rPr>
                <w:lang w:val="bg-BG"/>
              </w:rPr>
              <w:t xml:space="preserve">На всеки 2 години нивата на подпомагане </w:t>
            </w:r>
            <w:r w:rsidR="004F3C5C" w:rsidRPr="00184E42">
              <w:rPr>
                <w:lang w:val="bg-BG"/>
              </w:rPr>
              <w:t xml:space="preserve">могат </w:t>
            </w:r>
            <w:r w:rsidR="005C358F" w:rsidRPr="00184E42">
              <w:rPr>
                <w:lang w:val="bg-BG"/>
              </w:rPr>
              <w:t>да бъдат актуализирани.</w:t>
            </w:r>
          </w:p>
        </w:tc>
      </w:tr>
    </w:tbl>
    <w:p w:rsidR="005F556B" w:rsidRPr="00184E42" w:rsidRDefault="005F556B" w:rsidP="005F556B">
      <w:pPr>
        <w:jc w:val="both"/>
        <w:rPr>
          <w:lang w:val="bg-BG"/>
        </w:rPr>
      </w:pPr>
    </w:p>
    <w:p w:rsidR="00BC2D56" w:rsidRPr="00184E42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184E42">
        <w:rPr>
          <w:b/>
          <w:lang w:val="bg-BG"/>
        </w:rPr>
        <w:t xml:space="preserve">съответните </w:t>
      </w:r>
      <w:r w:rsidRPr="00184E42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184E42" w:rsidRDefault="00BC2D56" w:rsidP="005F556B">
      <w:pPr>
        <w:spacing w:line="240" w:lineRule="auto"/>
        <w:jc w:val="both"/>
        <w:rPr>
          <w:i/>
          <w:lang w:val="bg-BG"/>
        </w:rPr>
      </w:pPr>
      <w:r w:rsidRPr="00184E42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184E42" w:rsidTr="005F556B">
        <w:tc>
          <w:tcPr>
            <w:tcW w:w="9242" w:type="dxa"/>
          </w:tcPr>
          <w:p w:rsidR="005F556B" w:rsidRPr="00184E42" w:rsidRDefault="00D466EF" w:rsidP="005F556B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Земеделските стопани следва да спазват Законовите изисквания за управление (ЗИУ), съгласно законодателството на Съюза и стандартите на ДЗЕС.</w:t>
            </w:r>
          </w:p>
          <w:p w:rsidR="00C82B55" w:rsidRPr="00184E42" w:rsidRDefault="00C82B55" w:rsidP="005F556B">
            <w:pPr>
              <w:jc w:val="both"/>
              <w:rPr>
                <w:lang w:val="bg-BG"/>
              </w:rPr>
            </w:pPr>
          </w:p>
          <w:p w:rsidR="00D466EF" w:rsidRPr="00184E42" w:rsidRDefault="00D466EF" w:rsidP="005F556B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Плащанията на земеделските стопани,</w:t>
            </w:r>
            <w:r w:rsidR="004B60C9" w:rsidRPr="00184E42">
              <w:rPr>
                <w:lang w:val="bg-BG"/>
              </w:rPr>
              <w:t xml:space="preserve"> които доброволно поемат многогодишен ангажимент по интервенцията и</w:t>
            </w:r>
            <w:r w:rsidRPr="00184E42">
              <w:rPr>
                <w:lang w:val="bg-BG"/>
              </w:rPr>
              <w:t xml:space="preserve"> ще се отпускат само в случаите в които</w:t>
            </w:r>
            <w:r w:rsidR="004B60C9" w:rsidRPr="00184E42">
              <w:rPr>
                <w:lang w:val="bg-BG"/>
              </w:rPr>
              <w:t xml:space="preserve"> земеделските стопани прилагат практики, които</w:t>
            </w:r>
            <w:r w:rsidRPr="00184E42">
              <w:rPr>
                <w:lang w:val="bg-BG"/>
              </w:rPr>
              <w:t>:</w:t>
            </w:r>
          </w:p>
          <w:p w:rsidR="00D466EF" w:rsidRPr="00184E42" w:rsidRDefault="00D466EF" w:rsidP="00D466E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Надхвърлят законоустановените </w:t>
            </w:r>
            <w:r w:rsidR="00184E42" w:rsidRPr="00184E42">
              <w:rPr>
                <w:lang w:val="bg-BG"/>
              </w:rPr>
              <w:t>изисквания</w:t>
            </w:r>
            <w:r w:rsidRPr="00184E42">
              <w:rPr>
                <w:lang w:val="bg-BG"/>
              </w:rPr>
              <w:t xml:space="preserve"> за управление и стандартите за добро земеделско и екологично състояние;</w:t>
            </w:r>
          </w:p>
          <w:p w:rsidR="00D466EF" w:rsidRPr="00184E42" w:rsidRDefault="00D466EF" w:rsidP="00D466E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Надхвърлят минималните изисквания за използване на торове и ПРЗ, хуманно отношение към животните, както и задължителни изисквания, установени в националното и в правото на Съюза;</w:t>
            </w:r>
          </w:p>
          <w:p w:rsidR="00D466EF" w:rsidRPr="00184E42" w:rsidRDefault="00D466EF" w:rsidP="00D466E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Надхвърлят условията установени за поддръжка на земеделските площи съгласно чл. 4, параграф  1, буква а) от Регламент за Стратегическите планове;</w:t>
            </w:r>
          </w:p>
          <w:p w:rsidR="005F556B" w:rsidRPr="00184E42" w:rsidRDefault="00A01564" w:rsidP="005F556B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Прилагат дейности различни от </w:t>
            </w:r>
            <w:proofErr w:type="spellStart"/>
            <w:r w:rsidRPr="00184E42">
              <w:rPr>
                <w:lang w:val="bg-BG"/>
              </w:rPr>
              <w:t>еко-схемите</w:t>
            </w:r>
            <w:proofErr w:type="spellEnd"/>
            <w:r w:rsidRPr="00184E42">
              <w:rPr>
                <w:lang w:val="bg-BG"/>
              </w:rPr>
              <w:t xml:space="preserve"> </w:t>
            </w:r>
            <w:r w:rsidR="006E7AFC" w:rsidRPr="00184E42">
              <w:rPr>
                <w:lang w:val="bg-BG"/>
              </w:rPr>
              <w:t>за</w:t>
            </w:r>
            <w:r w:rsidRPr="00184E42">
              <w:rPr>
                <w:lang w:val="bg-BG"/>
              </w:rPr>
              <w:t xml:space="preserve"> които се отпускат плащания по чл.28 от Регламент за стратегическите планове</w:t>
            </w:r>
            <w:r w:rsidR="00E05D63" w:rsidRPr="00184E42">
              <w:rPr>
                <w:lang w:val="bg-BG"/>
              </w:rPr>
              <w:t>.</w:t>
            </w:r>
          </w:p>
          <w:p w:rsidR="003E3F25" w:rsidRPr="00184E42" w:rsidRDefault="003E3F25" w:rsidP="003E3F25">
            <w:pPr>
              <w:pStyle w:val="ListParagraph"/>
              <w:jc w:val="both"/>
              <w:rPr>
                <w:lang w:val="bg-BG"/>
              </w:rPr>
            </w:pPr>
          </w:p>
        </w:tc>
      </w:tr>
    </w:tbl>
    <w:p w:rsidR="005E255E" w:rsidRPr="00184E42" w:rsidRDefault="005E255E" w:rsidP="005E255E">
      <w:pPr>
        <w:pStyle w:val="ListParagraph"/>
        <w:spacing w:line="240" w:lineRule="auto"/>
        <w:jc w:val="both"/>
        <w:rPr>
          <w:b/>
          <w:lang w:val="bg-BG"/>
        </w:rPr>
      </w:pPr>
    </w:p>
    <w:p w:rsidR="005F556B" w:rsidRPr="00184E42" w:rsidRDefault="005F556B" w:rsidP="00F3411C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t>Условия за допустимост:</w:t>
      </w:r>
    </w:p>
    <w:p w:rsidR="00F3411C" w:rsidRPr="00184E42" w:rsidRDefault="00F3411C" w:rsidP="00F3411C">
      <w:pPr>
        <w:pStyle w:val="ListParagraph"/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184E42" w:rsidTr="005F556B">
        <w:tc>
          <w:tcPr>
            <w:tcW w:w="9242" w:type="dxa"/>
          </w:tcPr>
          <w:p w:rsidR="00F83409" w:rsidRPr="00184E42" w:rsidRDefault="006E7AFC" w:rsidP="007F0D28">
            <w:pPr>
              <w:pStyle w:val="norm"/>
              <w:shd w:val="clear" w:color="auto" w:fill="FFFFFF"/>
              <w:spacing w:before="12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184E4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 xml:space="preserve">Земеделските стопани, кандидатстващи за подпомагане по тази </w:t>
            </w:r>
            <w:r w:rsidR="00141055" w:rsidRPr="00184E4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интервенция</w:t>
            </w:r>
            <w:r w:rsidRPr="00184E4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, трябва да имат сключен договор с контролиращо лице за биологично производство, за преминаване към и/или продължаване на управлението в съответствие с правилата за биологично производство.</w:t>
            </w:r>
            <w:r w:rsidR="007F0D28" w:rsidRPr="00184E42">
              <w:rPr>
                <w:color w:val="000000"/>
                <w:shd w:val="clear" w:color="auto" w:fill="FFFFFF"/>
              </w:rPr>
              <w:t xml:space="preserve"> </w:t>
            </w:r>
          </w:p>
          <w:p w:rsidR="007F0D28" w:rsidRPr="00184E42" w:rsidRDefault="007F0D28" w:rsidP="007F0D28">
            <w:pPr>
              <w:pStyle w:val="norm"/>
              <w:shd w:val="clear" w:color="auto" w:fill="FFFFFF"/>
              <w:spacing w:before="120" w:beforeAutospacing="0" w:after="0" w:afterAutospacing="0"/>
              <w:jc w:val="both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Цялото стопанство </w:t>
            </w:r>
            <w:r w:rsidR="00F83409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с което се поема ангажимента, трябва да </w:t>
            </w:r>
            <w:r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се управлява в съответствие с приложимите за биологичното производство изисквания в чл.</w:t>
            </w:r>
            <w:r w:rsidR="00F83409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9 от </w:t>
            </w:r>
            <w:r w:rsidR="003E3F25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Регламент (Е</w:t>
            </w:r>
            <w:r w:rsidR="00C93516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С</w:t>
            </w:r>
            <w:r w:rsidR="003E3F25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) 848</w:t>
            </w:r>
            <w:r w:rsidR="00C93516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/2018</w:t>
            </w:r>
            <w:r w:rsidR="003E3F25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относно биологичното производство и етикетирането на биологични продукти</w:t>
            </w:r>
            <w:r w:rsidR="00F83409"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, а именно -  „с</w:t>
            </w:r>
            <w:r w:rsidRPr="00184E42"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shd w:val="clear" w:color="auto" w:fill="FFFFFF"/>
                <w:lang w:eastAsia="en-US"/>
              </w:rPr>
              <w:t>топанство може да се раздели на ясно и ефективно обособени производствени единици за биологично производство, за преход към биологично производство и за небиологично производство, при условие че по отношение на производствените единици за небиологично производство:</w:t>
            </w:r>
          </w:p>
          <w:p w:rsidR="007F0D28" w:rsidRPr="00184E42" w:rsidRDefault="007F0D28" w:rsidP="004E01BB">
            <w:pPr>
              <w:shd w:val="clear" w:color="auto" w:fill="FFFFFF"/>
              <w:ind w:left="567"/>
              <w:jc w:val="both"/>
              <w:rPr>
                <w:color w:val="000000"/>
                <w:shd w:val="clear" w:color="auto" w:fill="FFFFFF"/>
                <w:lang w:val="bg-BG"/>
              </w:rPr>
            </w:pPr>
            <w:r w:rsidRPr="00184E42">
              <w:rPr>
                <w:color w:val="000000"/>
                <w:shd w:val="clear" w:color="auto" w:fill="FFFFFF"/>
                <w:lang w:val="bg-BG"/>
              </w:rPr>
              <w:lastRenderedPageBreak/>
              <w:t>а) отглежданите животни са от различни видове;</w:t>
            </w:r>
          </w:p>
          <w:p w:rsidR="007F0D28" w:rsidRPr="00184E42" w:rsidRDefault="007F0D28" w:rsidP="004E01BB">
            <w:pPr>
              <w:shd w:val="clear" w:color="auto" w:fill="FFFFFF"/>
              <w:ind w:left="567"/>
              <w:jc w:val="both"/>
              <w:rPr>
                <w:color w:val="000000"/>
                <w:shd w:val="clear" w:color="auto" w:fill="FFFFFF"/>
                <w:lang w:val="bg-BG"/>
              </w:rPr>
            </w:pPr>
            <w:r w:rsidRPr="00184E42">
              <w:rPr>
                <w:color w:val="000000"/>
                <w:shd w:val="clear" w:color="auto" w:fill="FFFFFF"/>
                <w:lang w:val="bg-BG"/>
              </w:rPr>
              <w:t>б) растенията са от различни, лесно разграничими сортове.</w:t>
            </w:r>
            <w:r w:rsidR="00F83409" w:rsidRPr="00184E42">
              <w:rPr>
                <w:color w:val="000000"/>
                <w:shd w:val="clear" w:color="auto" w:fill="FFFFFF"/>
                <w:lang w:val="bg-BG"/>
              </w:rPr>
              <w:t>“</w:t>
            </w:r>
          </w:p>
          <w:p w:rsidR="006E7AFC" w:rsidRPr="00184E42" w:rsidRDefault="006E7AFC" w:rsidP="00141055">
            <w:pPr>
              <w:spacing w:before="240"/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Бенефициентите по биологично пчеларство и биологично животновъдство в преход се вписват в системата за идентификация на животните по чл. 30, ал. 2, т. 3 от ЗПЗП.</w:t>
            </w:r>
          </w:p>
          <w:p w:rsidR="00141055" w:rsidRPr="00184E42" w:rsidRDefault="00141055" w:rsidP="00141055">
            <w:pPr>
              <w:jc w:val="both"/>
              <w:rPr>
                <w:szCs w:val="24"/>
                <w:lang w:val="bg-BG"/>
              </w:rPr>
            </w:pPr>
          </w:p>
          <w:p w:rsidR="006E7AFC" w:rsidRPr="00184E42" w:rsidRDefault="006E7AFC" w:rsidP="00141055">
            <w:pPr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Земеделските стопани трябва да притежават минимум 0,5 ха, за да кандидатстват за подпомагане за биологично растениевъдство. Изключения с</w:t>
            </w:r>
            <w:r w:rsidR="00F83409" w:rsidRPr="00184E42">
              <w:rPr>
                <w:szCs w:val="24"/>
                <w:lang w:val="bg-BG"/>
              </w:rPr>
              <w:t>е допускат за  култивирани гъби,</w:t>
            </w:r>
            <w:r w:rsidRPr="00184E42">
              <w:rPr>
                <w:szCs w:val="24"/>
                <w:lang w:val="bg-BG"/>
              </w:rPr>
              <w:t xml:space="preserve"> оранжерийни култури</w:t>
            </w:r>
            <w:r w:rsidR="00F83409" w:rsidRPr="00184E42">
              <w:rPr>
                <w:szCs w:val="24"/>
                <w:lang w:val="bg-BG"/>
              </w:rPr>
              <w:t>,</w:t>
            </w:r>
            <w:r w:rsidRPr="00184E42">
              <w:rPr>
                <w:szCs w:val="24"/>
                <w:lang w:val="bg-BG"/>
              </w:rPr>
              <w:t xml:space="preserve"> посевен и посадъчен материал – 0,1 ха.</w:t>
            </w:r>
          </w:p>
          <w:p w:rsidR="005E255E" w:rsidRPr="00184E42" w:rsidRDefault="005E255E" w:rsidP="00AC39F0">
            <w:pPr>
              <w:jc w:val="both"/>
              <w:rPr>
                <w:szCs w:val="24"/>
                <w:lang w:val="bg-BG"/>
              </w:rPr>
            </w:pPr>
          </w:p>
          <w:p w:rsidR="00AC39F0" w:rsidRPr="00184E42" w:rsidRDefault="006E7AFC" w:rsidP="00AC39F0">
            <w:pPr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>Земеделските стопани трябва да притежават</w:t>
            </w:r>
            <w:r w:rsidR="007F0D28" w:rsidRPr="00184E42">
              <w:rPr>
                <w:szCs w:val="24"/>
                <w:lang w:val="bg-BG"/>
              </w:rPr>
              <w:t xml:space="preserve"> и да отглеждат в периода на </w:t>
            </w:r>
            <w:r w:rsidR="00C93516" w:rsidRPr="00184E42">
              <w:rPr>
                <w:szCs w:val="24"/>
                <w:lang w:val="bg-BG"/>
              </w:rPr>
              <w:t>многогодишния ангажимент</w:t>
            </w:r>
            <w:r w:rsidRPr="00184E42">
              <w:rPr>
                <w:szCs w:val="24"/>
                <w:lang w:val="bg-BG"/>
              </w:rPr>
              <w:t xml:space="preserve"> минимум 20 пчелни семейства, за да кандидатстват за подпомагане за биологично пчеларство</w:t>
            </w:r>
            <w:r w:rsidR="007F0D28" w:rsidRPr="00184E42">
              <w:rPr>
                <w:szCs w:val="24"/>
                <w:lang w:val="bg-BG"/>
              </w:rPr>
              <w:t>.</w:t>
            </w:r>
            <w:r w:rsidR="005D0223" w:rsidRPr="00184E42">
              <w:rPr>
                <w:szCs w:val="24"/>
                <w:lang w:val="bg-BG"/>
              </w:rPr>
              <w:t xml:space="preserve"> </w:t>
            </w:r>
          </w:p>
          <w:p w:rsidR="00C23582" w:rsidRPr="00184E42" w:rsidRDefault="00556158" w:rsidP="00556158">
            <w:pPr>
              <w:jc w:val="both"/>
              <w:rPr>
                <w:color w:val="000000"/>
                <w:shd w:val="clear" w:color="auto" w:fill="FFFFFF"/>
                <w:lang w:val="bg-BG"/>
              </w:rPr>
            </w:pPr>
            <w:r w:rsidRPr="00184E42">
              <w:rPr>
                <w:lang w:val="bg-BG"/>
              </w:rPr>
              <w:t xml:space="preserve">Максималният срок, който може да се получава финансово подпомагане за дейности за преход към биологично производство в направлението биологично растениевъдство е 2 години от началото на година на поемане на ангажимента.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>След изтичане на 2-те години от ангажимента, финансова помощ за п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 xml:space="preserve">лощите може да се получава само, ако се поддържат като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 xml:space="preserve"> биологични. </w:t>
            </w:r>
          </w:p>
          <w:p w:rsidR="00AF4CA2" w:rsidRPr="00184E42" w:rsidRDefault="00AF4CA2" w:rsidP="00556158">
            <w:pPr>
              <w:jc w:val="both"/>
              <w:rPr>
                <w:color w:val="000000"/>
                <w:shd w:val="clear" w:color="auto" w:fill="FFFFFF"/>
                <w:lang w:val="bg-BG"/>
              </w:rPr>
            </w:pPr>
          </w:p>
          <w:p w:rsidR="00556158" w:rsidRPr="00184E42" w:rsidRDefault="00CB49E9" w:rsidP="00556158">
            <w:pPr>
              <w:jc w:val="both"/>
              <w:rPr>
                <w:color w:val="FF0000"/>
                <w:shd w:val="clear" w:color="auto" w:fill="FFFFFF"/>
                <w:lang w:val="bg-BG"/>
              </w:rPr>
            </w:pPr>
            <w:r w:rsidRPr="00184E42">
              <w:rPr>
                <w:color w:val="000000"/>
                <w:shd w:val="clear" w:color="auto" w:fill="FFFFFF"/>
                <w:lang w:val="bg-BG"/>
              </w:rPr>
              <w:t>За п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 xml:space="preserve">лощи в преход към биологично производство, заети от многогодишни култури още през първата година на кандидатстване,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 xml:space="preserve">земеделските стопани 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 xml:space="preserve">могат да получават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 xml:space="preserve">подпомагане 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 xml:space="preserve">за срок не по-дълъг от 3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 xml:space="preserve">последователни 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 xml:space="preserve">години от </w:t>
            </w:r>
            <w:r w:rsidRPr="00184E42">
              <w:rPr>
                <w:color w:val="000000"/>
                <w:shd w:val="clear" w:color="auto" w:fill="FFFFFF"/>
                <w:lang w:val="bg-BG"/>
              </w:rPr>
              <w:t xml:space="preserve">началото на </w:t>
            </w:r>
            <w:r w:rsidR="00C23582" w:rsidRPr="00184E42">
              <w:rPr>
                <w:color w:val="000000"/>
                <w:shd w:val="clear" w:color="auto" w:fill="FFFFFF"/>
                <w:lang w:val="bg-BG"/>
              </w:rPr>
              <w:t>поетия ангажимент.</w:t>
            </w:r>
          </w:p>
          <w:p w:rsidR="00F83409" w:rsidRPr="00184E42" w:rsidRDefault="00F83409" w:rsidP="00556158">
            <w:pPr>
              <w:jc w:val="both"/>
              <w:rPr>
                <w:color w:val="000000"/>
                <w:shd w:val="clear" w:color="auto" w:fill="FFFFFF"/>
                <w:lang w:val="bg-BG"/>
              </w:rPr>
            </w:pPr>
          </w:p>
          <w:p w:rsidR="00556158" w:rsidRPr="00184E42" w:rsidRDefault="00556158" w:rsidP="00556158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Максималният срок, който може да се получава финансово подпомагане за дейности в периода на преход към биологично производство в направлението биологично животновъдство и биологично пчеларство е 1 година от началото на годината на поетия ангажимент.</w:t>
            </w:r>
          </w:p>
          <w:p w:rsidR="00F83409" w:rsidRPr="00184E42" w:rsidRDefault="00F83409" w:rsidP="00556158">
            <w:pPr>
              <w:jc w:val="both"/>
              <w:rPr>
                <w:lang w:val="bg-BG"/>
              </w:rPr>
            </w:pPr>
          </w:p>
          <w:p w:rsidR="00F83409" w:rsidRPr="00184E42" w:rsidRDefault="005D0223" w:rsidP="00556158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След изтичането на посочените срокове до края на поетия 5 годишен ангажимент земеделският стопанин може да получава подпомагане само за </w:t>
            </w:r>
            <w:r w:rsidR="00C23582" w:rsidRPr="00184E42">
              <w:rPr>
                <w:lang w:val="bg-BG"/>
              </w:rPr>
              <w:t xml:space="preserve">дейности по </w:t>
            </w:r>
            <w:r w:rsidR="00A20A33" w:rsidRPr="00184E42">
              <w:rPr>
                <w:lang w:val="bg-BG"/>
              </w:rPr>
              <w:t>поддържане</w:t>
            </w:r>
            <w:r w:rsidR="00C23582" w:rsidRPr="00184E42">
              <w:rPr>
                <w:lang w:val="bg-BG"/>
              </w:rPr>
              <w:t xml:space="preserve"> на биологичното производство. </w:t>
            </w:r>
          </w:p>
          <w:p w:rsidR="00AF4CA2" w:rsidRPr="00184E42" w:rsidRDefault="00AF4CA2" w:rsidP="00556158">
            <w:pPr>
              <w:jc w:val="both"/>
              <w:rPr>
                <w:lang w:val="bg-BG"/>
              </w:rPr>
            </w:pPr>
          </w:p>
          <w:p w:rsidR="00556158" w:rsidRPr="00184E42" w:rsidRDefault="00556158" w:rsidP="00556158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>Площи</w:t>
            </w:r>
            <w:r w:rsidR="00A20A33" w:rsidRPr="00184E42">
              <w:rPr>
                <w:lang w:val="bg-BG"/>
              </w:rPr>
              <w:t>те</w:t>
            </w:r>
            <w:r w:rsidRPr="00184E42">
              <w:rPr>
                <w:lang w:val="bg-BG"/>
              </w:rPr>
              <w:t>, животни</w:t>
            </w:r>
            <w:r w:rsidR="00A20A33" w:rsidRPr="00184E42">
              <w:rPr>
                <w:lang w:val="bg-BG"/>
              </w:rPr>
              <w:t>те</w:t>
            </w:r>
            <w:r w:rsidRPr="00184E42">
              <w:rPr>
                <w:lang w:val="bg-BG"/>
              </w:rPr>
              <w:t xml:space="preserve"> и пчелни</w:t>
            </w:r>
            <w:r w:rsidR="00A20A33" w:rsidRPr="00184E42">
              <w:rPr>
                <w:lang w:val="bg-BG"/>
              </w:rPr>
              <w:t>те</w:t>
            </w:r>
            <w:r w:rsidRPr="00184E42">
              <w:rPr>
                <w:lang w:val="bg-BG"/>
              </w:rPr>
              <w:t xml:space="preserve"> семейства, преминал</w:t>
            </w:r>
            <w:r w:rsidR="00A20A33" w:rsidRPr="00184E42">
              <w:rPr>
                <w:lang w:val="bg-BG"/>
              </w:rPr>
              <w:t>и</w:t>
            </w:r>
            <w:r w:rsidRPr="00184E42">
              <w:rPr>
                <w:lang w:val="bg-BG"/>
              </w:rPr>
              <w:t xml:space="preserve"> периодите на преход</w:t>
            </w:r>
            <w:r w:rsidR="00A20A33" w:rsidRPr="00184E42">
              <w:rPr>
                <w:lang w:val="bg-BG"/>
              </w:rPr>
              <w:t>,</w:t>
            </w:r>
            <w:r w:rsidRPr="00184E42">
              <w:rPr>
                <w:lang w:val="bg-BG"/>
              </w:rPr>
              <w:t xml:space="preserve"> и</w:t>
            </w:r>
            <w:r w:rsidR="00A20A33" w:rsidRPr="00184E42">
              <w:rPr>
                <w:lang w:val="bg-BG"/>
              </w:rPr>
              <w:t xml:space="preserve"> за които земеделският стопанин е</w:t>
            </w:r>
            <w:r w:rsidR="00437990" w:rsidRPr="00184E42">
              <w:rPr>
                <w:lang w:val="bg-BG"/>
              </w:rPr>
              <w:t xml:space="preserve"> </w:t>
            </w:r>
            <w:r w:rsidRPr="00184E42">
              <w:rPr>
                <w:lang w:val="bg-BG"/>
              </w:rPr>
              <w:t xml:space="preserve">получил сертификати за биологична продукция в периода 2014-2020 г., както и тези площи, включени в „Биологични слой“ </w:t>
            </w:r>
            <w:r w:rsidR="00A20A33" w:rsidRPr="00184E42">
              <w:rPr>
                <w:lang w:val="bg-BG"/>
              </w:rPr>
              <w:t xml:space="preserve">в неговото стопанство </w:t>
            </w:r>
            <w:r w:rsidR="00AD4C26" w:rsidRPr="00184E42">
              <w:rPr>
                <w:lang w:val="bg-BG"/>
              </w:rPr>
              <w:t>през</w:t>
            </w:r>
            <w:r w:rsidRPr="00184E42">
              <w:rPr>
                <w:lang w:val="bg-BG"/>
              </w:rPr>
              <w:t xml:space="preserve"> 2019 и 2020 </w:t>
            </w:r>
            <w:r w:rsidR="00A20A33" w:rsidRPr="00184E42">
              <w:rPr>
                <w:lang w:val="bg-BG"/>
              </w:rPr>
              <w:t>г.</w:t>
            </w:r>
            <w:r w:rsidR="00AD4C26" w:rsidRPr="00184E42">
              <w:rPr>
                <w:lang w:val="bg-BG"/>
              </w:rPr>
              <w:t xml:space="preserve">, </w:t>
            </w:r>
            <w:r w:rsidRPr="00184E42">
              <w:rPr>
                <w:lang w:val="bg-BG"/>
              </w:rPr>
              <w:t>не могат да бъдат подпомагани за дейности за преход към биологично производство.</w:t>
            </w:r>
          </w:p>
          <w:p w:rsidR="00556158" w:rsidRPr="00184E42" w:rsidRDefault="00556158" w:rsidP="00556158">
            <w:pPr>
              <w:jc w:val="both"/>
              <w:rPr>
                <w:lang w:val="bg-BG"/>
              </w:rPr>
            </w:pPr>
          </w:p>
          <w:p w:rsidR="00556158" w:rsidRPr="00184E42" w:rsidRDefault="00556158" w:rsidP="00556158">
            <w:pPr>
              <w:jc w:val="both"/>
              <w:rPr>
                <w:szCs w:val="24"/>
                <w:lang w:val="bg-BG"/>
              </w:rPr>
            </w:pPr>
            <w:r w:rsidRPr="00184E42">
              <w:rPr>
                <w:lang w:val="bg-BG"/>
              </w:rPr>
              <w:t xml:space="preserve">Площите, включени в интервенцията следва да са регистрирани в ИСАК и да отговарят на определението за земеделска площ, като в </w:t>
            </w:r>
            <w:r w:rsidRPr="00184E42">
              <w:rPr>
                <w:color w:val="000000"/>
                <w:lang w:val="bg-BG"/>
              </w:rPr>
              <w:t xml:space="preserve">системата за идентификация на земеделските парцели </w:t>
            </w:r>
            <w:r w:rsidR="00AD4C26" w:rsidRPr="00184E42">
              <w:rPr>
                <w:color w:val="000000"/>
                <w:lang w:val="bg-BG"/>
              </w:rPr>
              <w:t>допустимите</w:t>
            </w:r>
            <w:r w:rsidR="00A93235" w:rsidRPr="00184E42">
              <w:rPr>
                <w:color w:val="000000"/>
                <w:lang w:val="bg-BG"/>
              </w:rPr>
              <w:t xml:space="preserve"> площи попадат в </w:t>
            </w:r>
            <w:r w:rsidRPr="00184E42">
              <w:rPr>
                <w:color w:val="000000"/>
                <w:lang w:val="bg-BG"/>
              </w:rPr>
              <w:t>специализиран слой "Площи, допустими за подпомагане", който включва площите, допустими за подпомагане в рамките на всеки физически блок</w:t>
            </w:r>
            <w:r w:rsidR="00E405F0" w:rsidRPr="00184E42">
              <w:rPr>
                <w:color w:val="000000"/>
                <w:lang w:val="bg-BG"/>
              </w:rPr>
              <w:t>.</w:t>
            </w:r>
          </w:p>
          <w:p w:rsidR="00556158" w:rsidRPr="00184E42" w:rsidRDefault="00556158" w:rsidP="00AC39F0">
            <w:pPr>
              <w:jc w:val="both"/>
              <w:rPr>
                <w:szCs w:val="24"/>
                <w:lang w:val="bg-BG"/>
              </w:rPr>
            </w:pPr>
          </w:p>
          <w:p w:rsidR="006E7AFC" w:rsidRPr="00184E42" w:rsidRDefault="006E7AFC" w:rsidP="00AC39F0">
            <w:pPr>
              <w:jc w:val="both"/>
              <w:rPr>
                <w:szCs w:val="24"/>
                <w:lang w:val="bg-BG"/>
              </w:rPr>
            </w:pPr>
            <w:r w:rsidRPr="00184E42">
              <w:rPr>
                <w:szCs w:val="24"/>
                <w:lang w:val="bg-BG"/>
              </w:rPr>
              <w:t xml:space="preserve">Всички бенефициенти по </w:t>
            </w:r>
            <w:r w:rsidR="00AC39F0" w:rsidRPr="00184E42">
              <w:rPr>
                <w:szCs w:val="24"/>
                <w:lang w:val="bg-BG"/>
              </w:rPr>
              <w:t>интервенцията</w:t>
            </w:r>
            <w:r w:rsidRPr="00184E42">
              <w:rPr>
                <w:szCs w:val="24"/>
                <w:lang w:val="bg-BG"/>
              </w:rPr>
              <w:t xml:space="preserve"> </w:t>
            </w:r>
            <w:r w:rsidR="00AC39F0" w:rsidRPr="00184E42">
              <w:rPr>
                <w:szCs w:val="24"/>
                <w:lang w:val="bg-BG"/>
              </w:rPr>
              <w:t xml:space="preserve">следва да спазват Законовите изисквания за управление (ЗИУ), съгласно законодателството на Съюза и стандартите на ДЗЕС. </w:t>
            </w:r>
            <w:r w:rsidRPr="00184E42">
              <w:rPr>
                <w:szCs w:val="24"/>
                <w:lang w:val="bg-BG"/>
              </w:rPr>
              <w:t xml:space="preserve">В случай на изменения или промени в съответните задължителни стандарти, условията и изискванията за получаване на </w:t>
            </w:r>
            <w:r w:rsidR="00223D91" w:rsidRPr="00184E42">
              <w:rPr>
                <w:szCs w:val="24"/>
                <w:lang w:val="bg-BG"/>
              </w:rPr>
              <w:t>много</w:t>
            </w:r>
            <w:r w:rsidR="00AD4C26" w:rsidRPr="00184E42">
              <w:rPr>
                <w:szCs w:val="24"/>
                <w:lang w:val="bg-BG"/>
              </w:rPr>
              <w:t>го</w:t>
            </w:r>
            <w:r w:rsidR="00223D91" w:rsidRPr="00184E42">
              <w:rPr>
                <w:szCs w:val="24"/>
                <w:lang w:val="bg-BG"/>
              </w:rPr>
              <w:t>дишни</w:t>
            </w:r>
            <w:r w:rsidR="001C526D" w:rsidRPr="00184E42">
              <w:rPr>
                <w:szCs w:val="24"/>
                <w:lang w:val="bg-BG"/>
              </w:rPr>
              <w:t xml:space="preserve"> </w:t>
            </w:r>
            <w:r w:rsidRPr="00184E42">
              <w:rPr>
                <w:szCs w:val="24"/>
                <w:lang w:val="bg-BG"/>
              </w:rPr>
              <w:t xml:space="preserve">плащания ще бъдат приведени в съответствие. Ако бенефициентът не приема тези изменения, задължението му се прекратява и в съответствие с </w:t>
            </w:r>
            <w:r w:rsidR="00973103" w:rsidRPr="00184E42">
              <w:rPr>
                <w:szCs w:val="24"/>
                <w:lang w:val="bg-BG"/>
              </w:rPr>
              <w:t>параграф</w:t>
            </w:r>
            <w:r w:rsidRPr="00184E42">
              <w:rPr>
                <w:szCs w:val="24"/>
                <w:lang w:val="bg-BG"/>
              </w:rPr>
              <w:t xml:space="preserve"> </w:t>
            </w:r>
            <w:r w:rsidR="00973103" w:rsidRPr="00184E42">
              <w:rPr>
                <w:szCs w:val="24"/>
                <w:lang w:val="bg-BG"/>
              </w:rPr>
              <w:t>8</w:t>
            </w:r>
            <w:r w:rsidR="00AC39F0" w:rsidRPr="00184E42">
              <w:rPr>
                <w:szCs w:val="24"/>
                <w:lang w:val="bg-BG"/>
              </w:rPr>
              <w:t>а</w:t>
            </w:r>
            <w:r w:rsidR="00973103" w:rsidRPr="00184E42">
              <w:rPr>
                <w:szCs w:val="24"/>
                <w:lang w:val="bg-BG"/>
              </w:rPr>
              <w:t xml:space="preserve"> на чл. 65</w:t>
            </w:r>
            <w:r w:rsidRPr="00184E42">
              <w:rPr>
                <w:szCs w:val="24"/>
                <w:lang w:val="bg-BG"/>
              </w:rPr>
              <w:t xml:space="preserve"> </w:t>
            </w:r>
            <w:r w:rsidR="00973103" w:rsidRPr="00184E42">
              <w:rPr>
                <w:szCs w:val="24"/>
                <w:lang w:val="bg-BG"/>
              </w:rPr>
              <w:t>от</w:t>
            </w:r>
            <w:r w:rsidRPr="00184E42">
              <w:rPr>
                <w:szCs w:val="24"/>
                <w:lang w:val="bg-BG"/>
              </w:rPr>
              <w:t xml:space="preserve"> Регламент </w:t>
            </w:r>
            <w:r w:rsidR="00A042ED" w:rsidRPr="00184E42">
              <w:rPr>
                <w:szCs w:val="24"/>
                <w:lang w:val="bg-BG"/>
              </w:rPr>
              <w:t>за</w:t>
            </w:r>
            <w:r w:rsidR="00AC39F0" w:rsidRPr="00184E42">
              <w:rPr>
                <w:szCs w:val="24"/>
                <w:lang w:val="bg-BG"/>
              </w:rPr>
              <w:t xml:space="preserve"> </w:t>
            </w:r>
            <w:r w:rsidR="00A042ED" w:rsidRPr="00184E42">
              <w:rPr>
                <w:szCs w:val="24"/>
                <w:lang w:val="bg-BG"/>
              </w:rPr>
              <w:t>стратегическите планове</w:t>
            </w:r>
            <w:r w:rsidR="00AD4C26" w:rsidRPr="00184E42">
              <w:rPr>
                <w:szCs w:val="24"/>
                <w:lang w:val="bg-BG"/>
              </w:rPr>
              <w:t>,</w:t>
            </w:r>
            <w:r w:rsidR="00A042ED" w:rsidRPr="00184E42">
              <w:rPr>
                <w:szCs w:val="24"/>
                <w:lang w:val="bg-BG"/>
              </w:rPr>
              <w:t xml:space="preserve"> </w:t>
            </w:r>
            <w:r w:rsidR="001C526D" w:rsidRPr="00184E42">
              <w:rPr>
                <w:szCs w:val="24"/>
                <w:lang w:val="bg-BG"/>
              </w:rPr>
              <w:t xml:space="preserve">и </w:t>
            </w:r>
            <w:r w:rsidRPr="00184E42">
              <w:rPr>
                <w:szCs w:val="24"/>
                <w:lang w:val="bg-BG"/>
              </w:rPr>
              <w:t>няма да се изисква възстановяване на плащанията.</w:t>
            </w:r>
          </w:p>
          <w:p w:rsidR="007F0D28" w:rsidRPr="00184E42" w:rsidRDefault="007F0D28" w:rsidP="00AC39F0">
            <w:pPr>
              <w:jc w:val="both"/>
              <w:rPr>
                <w:b/>
                <w:lang w:val="bg-BG"/>
              </w:rPr>
            </w:pPr>
          </w:p>
        </w:tc>
      </w:tr>
    </w:tbl>
    <w:p w:rsidR="00AD4C26" w:rsidRPr="00184E42" w:rsidRDefault="00AD4C26" w:rsidP="00AD4C26">
      <w:pPr>
        <w:tabs>
          <w:tab w:val="left" w:pos="3218"/>
        </w:tabs>
        <w:spacing w:line="240" w:lineRule="auto"/>
        <w:jc w:val="both"/>
        <w:rPr>
          <w:b/>
          <w:lang w:val="bg-BG"/>
        </w:rPr>
      </w:pPr>
    </w:p>
    <w:p w:rsidR="00F3411C" w:rsidRPr="00184E42" w:rsidRDefault="00AD4C26" w:rsidP="00AD4C26">
      <w:pPr>
        <w:tabs>
          <w:tab w:val="left" w:pos="3218"/>
        </w:tabs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lastRenderedPageBreak/>
        <w:tab/>
      </w:r>
    </w:p>
    <w:p w:rsidR="00B92EB3" w:rsidRPr="00184E42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Pr="00184E42" w:rsidRDefault="00B92EB3" w:rsidP="005F556B">
      <w:pPr>
        <w:spacing w:line="240" w:lineRule="auto"/>
        <w:jc w:val="both"/>
        <w:rPr>
          <w:i/>
          <w:lang w:val="bg-BG"/>
        </w:rPr>
      </w:pPr>
      <w:r w:rsidRPr="00184E42">
        <w:rPr>
          <w:i/>
          <w:lang w:val="bg-BG"/>
        </w:rPr>
        <w:t xml:space="preserve">/За всяка интервенция, която </w:t>
      </w:r>
      <w:r w:rsidRPr="00184E42">
        <w:rPr>
          <w:i/>
          <w:u w:val="single"/>
          <w:lang w:val="bg-BG"/>
        </w:rPr>
        <w:t>се</w:t>
      </w:r>
      <w:r w:rsidRPr="00184E42">
        <w:rPr>
          <w:i/>
          <w:lang w:val="bg-BG"/>
        </w:rPr>
        <w:t xml:space="preserve"> основава на видовете интервенции, изброени в приложение II към регламента за Стратегическите планове по ОСП, следва да се опише как тя спазва съответните разпоредби на приложение 2 към Споразумението на СТО за селското стопанство (както е посочено в член 10 и в приложение II към същия регламент). За всяка интервенция, която </w:t>
      </w:r>
      <w:r w:rsidRPr="00184E42">
        <w:rPr>
          <w:i/>
          <w:u w:val="single"/>
          <w:lang w:val="bg-BG"/>
        </w:rPr>
        <w:t>не се</w:t>
      </w:r>
      <w:r w:rsidRPr="00184E42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184E42" w:rsidTr="00B92EB3">
        <w:tc>
          <w:tcPr>
            <w:tcW w:w="9242" w:type="dxa"/>
          </w:tcPr>
          <w:p w:rsidR="00B92EB3" w:rsidRPr="00184E42" w:rsidRDefault="005673A1" w:rsidP="005F556B">
            <w:pPr>
              <w:jc w:val="both"/>
              <w:rPr>
                <w:lang w:val="bg-BG"/>
              </w:rPr>
            </w:pPr>
            <w:r w:rsidRPr="00184E42">
              <w:rPr>
                <w:lang w:val="bg-BG"/>
              </w:rPr>
              <w:t xml:space="preserve">Интервенцията отговаря на критериите на параграф </w:t>
            </w:r>
            <w:r w:rsidR="00C014A5" w:rsidRPr="00184E42">
              <w:rPr>
                <w:lang w:val="bg-BG"/>
              </w:rPr>
              <w:t>12</w:t>
            </w:r>
            <w:r w:rsidRPr="00184E42">
              <w:rPr>
                <w:lang w:val="bg-BG"/>
              </w:rPr>
              <w:t xml:space="preserve"> от приложение 2 към Споразумението на СТО за селското стопанство (Зелена кутия), посочени в приложение II към регламентa за СП.</w:t>
            </w:r>
          </w:p>
        </w:tc>
      </w:tr>
    </w:tbl>
    <w:p w:rsidR="005F556B" w:rsidRPr="00184E42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184E42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184E42">
        <w:rPr>
          <w:b/>
          <w:lang w:val="bg-BG"/>
        </w:rPr>
        <w:t>(</w:t>
      </w:r>
      <w:r w:rsidRPr="00184E42">
        <w:rPr>
          <w:b/>
          <w:lang w:val="bg-BG"/>
        </w:rPr>
        <w:t>също и по отношение на базовите изисквания</w:t>
      </w:r>
      <w:r w:rsidR="00950149" w:rsidRPr="00184E42">
        <w:rPr>
          <w:b/>
          <w:lang w:val="bg-BG"/>
        </w:rPr>
        <w:t>)</w:t>
      </w:r>
      <w:r w:rsidRPr="00184E42">
        <w:rPr>
          <w:b/>
          <w:lang w:val="bg-BG"/>
        </w:rPr>
        <w:t>:</w:t>
      </w:r>
    </w:p>
    <w:p w:rsidR="00BC2D56" w:rsidRPr="00184E42" w:rsidRDefault="00BC2D56" w:rsidP="00BC2D56">
      <w:pPr>
        <w:spacing w:after="0" w:line="240" w:lineRule="auto"/>
        <w:jc w:val="both"/>
        <w:rPr>
          <w:i/>
          <w:lang w:val="bg-BG"/>
        </w:rPr>
      </w:pPr>
      <w:r w:rsidRPr="00184E42">
        <w:rPr>
          <w:i/>
          <w:lang w:val="bg-BG"/>
        </w:rPr>
        <w:t>/</w:t>
      </w:r>
      <w:r w:rsidRPr="00184E42">
        <w:rPr>
          <w:b/>
          <w:i/>
          <w:lang w:val="bg-BG"/>
        </w:rPr>
        <w:t>информацията следва да включва:</w:t>
      </w:r>
      <w:r w:rsidRPr="00184E42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 w:rsidRPr="00184E42">
        <w:rPr>
          <w:i/>
          <w:lang w:val="bg-BG"/>
        </w:rPr>
        <w:t xml:space="preserve"> в рамките на тази интервенция. /</w:t>
      </w:r>
    </w:p>
    <w:p w:rsidR="00BC2D56" w:rsidRPr="00184E42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184E42" w:rsidTr="005F556B">
        <w:tc>
          <w:tcPr>
            <w:tcW w:w="9242" w:type="dxa"/>
          </w:tcPr>
          <w:p w:rsidR="005F556B" w:rsidRPr="00184E42" w:rsidRDefault="005F556B" w:rsidP="005F556B">
            <w:pPr>
              <w:jc w:val="both"/>
              <w:rPr>
                <w:b/>
                <w:lang w:val="bg-BG"/>
              </w:rPr>
            </w:pPr>
          </w:p>
          <w:p w:rsidR="00130A1B" w:rsidRPr="00184E42" w:rsidRDefault="00130A1B" w:rsidP="005F556B">
            <w:pPr>
              <w:jc w:val="both"/>
              <w:rPr>
                <w:b/>
                <w:lang w:val="bg-BG"/>
              </w:rPr>
            </w:pPr>
          </w:p>
          <w:p w:rsidR="005F556B" w:rsidRPr="00184E42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:rsidR="005F556B" w:rsidRPr="00184E42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RPr="00184E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7A56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3E" w:rsidRDefault="003C0D3E" w:rsidP="00B52571">
      <w:pPr>
        <w:spacing w:after="0" w:line="240" w:lineRule="auto"/>
      </w:pPr>
      <w:r>
        <w:separator/>
      </w:r>
    </w:p>
  </w:endnote>
  <w:endnote w:type="continuationSeparator" w:id="0">
    <w:p w:rsidR="003C0D3E" w:rsidRDefault="003C0D3E" w:rsidP="00B5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30" w:rsidRDefault="00B171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357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0BC6" w:rsidRDefault="00B40B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1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0BC6" w:rsidRDefault="00B40B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30" w:rsidRDefault="00B171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3E" w:rsidRDefault="003C0D3E" w:rsidP="00B52571">
      <w:pPr>
        <w:spacing w:after="0" w:line="240" w:lineRule="auto"/>
      </w:pPr>
      <w:r>
        <w:separator/>
      </w:r>
    </w:p>
  </w:footnote>
  <w:footnote w:type="continuationSeparator" w:id="0">
    <w:p w:rsidR="003C0D3E" w:rsidRDefault="003C0D3E" w:rsidP="00B5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30" w:rsidRDefault="00B171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04066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30" w:rsidRDefault="00B171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04067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30" w:rsidRDefault="00B171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904065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236DD"/>
    <w:multiLevelType w:val="hybridMultilevel"/>
    <w:tmpl w:val="C68A3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46E2E"/>
    <w:multiLevelType w:val="hybridMultilevel"/>
    <w:tmpl w:val="A1001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B075C"/>
    <w:multiLevelType w:val="hybridMultilevel"/>
    <w:tmpl w:val="42AE83CA"/>
    <w:lvl w:ilvl="0" w:tplc="EB8E4C0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912568"/>
    <w:multiLevelType w:val="hybridMultilevel"/>
    <w:tmpl w:val="417A6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915F2"/>
    <w:multiLevelType w:val="hybridMultilevel"/>
    <w:tmpl w:val="97901EF0"/>
    <w:lvl w:ilvl="0" w:tplc="50702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D05A2"/>
    <w:multiLevelType w:val="hybridMultilevel"/>
    <w:tmpl w:val="A970C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01160"/>
    <w:multiLevelType w:val="hybridMultilevel"/>
    <w:tmpl w:val="683AF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46C4C"/>
    <w:multiLevelType w:val="hybridMultilevel"/>
    <w:tmpl w:val="C3A2981E"/>
    <w:lvl w:ilvl="0" w:tplc="0402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5DB41A95"/>
    <w:multiLevelType w:val="hybridMultilevel"/>
    <w:tmpl w:val="00063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230642"/>
    <w:multiLevelType w:val="hybridMultilevel"/>
    <w:tmpl w:val="72230642"/>
    <w:lvl w:ilvl="0" w:tplc="7D489D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7004B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BC71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C8EC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28A04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B65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7AFA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32BA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A8BB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72230643"/>
    <w:multiLevelType w:val="hybridMultilevel"/>
    <w:tmpl w:val="72230643"/>
    <w:lvl w:ilvl="0" w:tplc="F21A50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E8286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A2ADF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CC25D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2A9D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5647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F2A7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C686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96A0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73F126D3"/>
    <w:multiLevelType w:val="hybridMultilevel"/>
    <w:tmpl w:val="45788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3"/>
  </w:num>
  <w:num w:numId="5">
    <w:abstractNumId w:val="1"/>
  </w:num>
  <w:num w:numId="6">
    <w:abstractNumId w:val="10"/>
  </w:num>
  <w:num w:numId="7">
    <w:abstractNumId w:val="11"/>
  </w:num>
  <w:num w:numId="8">
    <w:abstractNumId w:val="12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ydia">
    <w15:presenceInfo w15:providerId="Windows Live" w15:userId="f94504b800c692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27128"/>
    <w:rsid w:val="00034BA3"/>
    <w:rsid w:val="00053028"/>
    <w:rsid w:val="000650DF"/>
    <w:rsid w:val="000703FB"/>
    <w:rsid w:val="000810A0"/>
    <w:rsid w:val="000A1876"/>
    <w:rsid w:val="000A2E65"/>
    <w:rsid w:val="000A40E2"/>
    <w:rsid w:val="000B313A"/>
    <w:rsid w:val="000C0EC2"/>
    <w:rsid w:val="000E1BFD"/>
    <w:rsid w:val="001007FC"/>
    <w:rsid w:val="00101BA9"/>
    <w:rsid w:val="001034D6"/>
    <w:rsid w:val="00130A1B"/>
    <w:rsid w:val="00135563"/>
    <w:rsid w:val="00141055"/>
    <w:rsid w:val="00166843"/>
    <w:rsid w:val="0017387C"/>
    <w:rsid w:val="001759E6"/>
    <w:rsid w:val="00184E42"/>
    <w:rsid w:val="001B593F"/>
    <w:rsid w:val="001C2A0F"/>
    <w:rsid w:val="001C526D"/>
    <w:rsid w:val="001C60A4"/>
    <w:rsid w:val="001F0C9C"/>
    <w:rsid w:val="001F219F"/>
    <w:rsid w:val="00223D91"/>
    <w:rsid w:val="00231910"/>
    <w:rsid w:val="002338C1"/>
    <w:rsid w:val="002433B3"/>
    <w:rsid w:val="00252685"/>
    <w:rsid w:val="00252CFE"/>
    <w:rsid w:val="00263926"/>
    <w:rsid w:val="00266911"/>
    <w:rsid w:val="002960DA"/>
    <w:rsid w:val="002A7699"/>
    <w:rsid w:val="002E576B"/>
    <w:rsid w:val="00322B29"/>
    <w:rsid w:val="00322CEF"/>
    <w:rsid w:val="00323C4C"/>
    <w:rsid w:val="0036444B"/>
    <w:rsid w:val="0038035A"/>
    <w:rsid w:val="00383C77"/>
    <w:rsid w:val="003A6CE6"/>
    <w:rsid w:val="003B2B39"/>
    <w:rsid w:val="003C0D3E"/>
    <w:rsid w:val="003E3F25"/>
    <w:rsid w:val="003E4D34"/>
    <w:rsid w:val="003E661D"/>
    <w:rsid w:val="003E682A"/>
    <w:rsid w:val="003F2F12"/>
    <w:rsid w:val="00400202"/>
    <w:rsid w:val="00400282"/>
    <w:rsid w:val="00401576"/>
    <w:rsid w:val="00413957"/>
    <w:rsid w:val="00437990"/>
    <w:rsid w:val="00440223"/>
    <w:rsid w:val="00445D7D"/>
    <w:rsid w:val="0046113A"/>
    <w:rsid w:val="004712BF"/>
    <w:rsid w:val="004A4AED"/>
    <w:rsid w:val="004A5F70"/>
    <w:rsid w:val="004B2C02"/>
    <w:rsid w:val="004B60C9"/>
    <w:rsid w:val="004D47EE"/>
    <w:rsid w:val="004D583C"/>
    <w:rsid w:val="004D58B3"/>
    <w:rsid w:val="004E01BB"/>
    <w:rsid w:val="004F3C5C"/>
    <w:rsid w:val="004F7934"/>
    <w:rsid w:val="00530578"/>
    <w:rsid w:val="00556158"/>
    <w:rsid w:val="005673A1"/>
    <w:rsid w:val="005954AA"/>
    <w:rsid w:val="00597F48"/>
    <w:rsid w:val="005B50A3"/>
    <w:rsid w:val="005C055F"/>
    <w:rsid w:val="005C358F"/>
    <w:rsid w:val="005D0223"/>
    <w:rsid w:val="005E255E"/>
    <w:rsid w:val="005F556B"/>
    <w:rsid w:val="00602032"/>
    <w:rsid w:val="00605E0D"/>
    <w:rsid w:val="00645480"/>
    <w:rsid w:val="00646896"/>
    <w:rsid w:val="00691516"/>
    <w:rsid w:val="006B691C"/>
    <w:rsid w:val="006D475C"/>
    <w:rsid w:val="006E46B9"/>
    <w:rsid w:val="006E7AFC"/>
    <w:rsid w:val="00787A88"/>
    <w:rsid w:val="00793330"/>
    <w:rsid w:val="00797AC6"/>
    <w:rsid w:val="007B5BAB"/>
    <w:rsid w:val="007F0D28"/>
    <w:rsid w:val="007F6563"/>
    <w:rsid w:val="008055FF"/>
    <w:rsid w:val="00814664"/>
    <w:rsid w:val="00870828"/>
    <w:rsid w:val="00890974"/>
    <w:rsid w:val="008A7C31"/>
    <w:rsid w:val="008C25A4"/>
    <w:rsid w:val="008C2AEC"/>
    <w:rsid w:val="008C6FC8"/>
    <w:rsid w:val="008F05DA"/>
    <w:rsid w:val="00911268"/>
    <w:rsid w:val="0091452D"/>
    <w:rsid w:val="00915065"/>
    <w:rsid w:val="00950149"/>
    <w:rsid w:val="00950EC5"/>
    <w:rsid w:val="0095658F"/>
    <w:rsid w:val="00973103"/>
    <w:rsid w:val="009802AD"/>
    <w:rsid w:val="0098225C"/>
    <w:rsid w:val="009B2569"/>
    <w:rsid w:val="009B5378"/>
    <w:rsid w:val="009D3188"/>
    <w:rsid w:val="009D592C"/>
    <w:rsid w:val="009E39D0"/>
    <w:rsid w:val="00A01564"/>
    <w:rsid w:val="00A042ED"/>
    <w:rsid w:val="00A20A33"/>
    <w:rsid w:val="00A20F14"/>
    <w:rsid w:val="00A2239D"/>
    <w:rsid w:val="00A458F1"/>
    <w:rsid w:val="00A46153"/>
    <w:rsid w:val="00A51C56"/>
    <w:rsid w:val="00A730A3"/>
    <w:rsid w:val="00A87242"/>
    <w:rsid w:val="00A93235"/>
    <w:rsid w:val="00A941A2"/>
    <w:rsid w:val="00AB655B"/>
    <w:rsid w:val="00AC39F0"/>
    <w:rsid w:val="00AD4C26"/>
    <w:rsid w:val="00AE2103"/>
    <w:rsid w:val="00AF4CA2"/>
    <w:rsid w:val="00B04758"/>
    <w:rsid w:val="00B05C55"/>
    <w:rsid w:val="00B11F50"/>
    <w:rsid w:val="00B17130"/>
    <w:rsid w:val="00B40BC6"/>
    <w:rsid w:val="00B51A64"/>
    <w:rsid w:val="00B52571"/>
    <w:rsid w:val="00B703D2"/>
    <w:rsid w:val="00B92EB3"/>
    <w:rsid w:val="00BB17C0"/>
    <w:rsid w:val="00BB20A3"/>
    <w:rsid w:val="00BB529C"/>
    <w:rsid w:val="00BC2D56"/>
    <w:rsid w:val="00BC72C3"/>
    <w:rsid w:val="00BD6438"/>
    <w:rsid w:val="00C014A5"/>
    <w:rsid w:val="00C02422"/>
    <w:rsid w:val="00C14BDF"/>
    <w:rsid w:val="00C20E7A"/>
    <w:rsid w:val="00C23582"/>
    <w:rsid w:val="00C45CED"/>
    <w:rsid w:val="00C5615C"/>
    <w:rsid w:val="00C82B55"/>
    <w:rsid w:val="00C93516"/>
    <w:rsid w:val="00CB49E9"/>
    <w:rsid w:val="00CC3F37"/>
    <w:rsid w:val="00CD1DC2"/>
    <w:rsid w:val="00D4247A"/>
    <w:rsid w:val="00D42F9F"/>
    <w:rsid w:val="00D466EF"/>
    <w:rsid w:val="00D61581"/>
    <w:rsid w:val="00D74585"/>
    <w:rsid w:val="00D76BA8"/>
    <w:rsid w:val="00D83D88"/>
    <w:rsid w:val="00D91148"/>
    <w:rsid w:val="00D92818"/>
    <w:rsid w:val="00D95324"/>
    <w:rsid w:val="00DB1959"/>
    <w:rsid w:val="00DB42EB"/>
    <w:rsid w:val="00DB64D7"/>
    <w:rsid w:val="00DC41DA"/>
    <w:rsid w:val="00DF3E87"/>
    <w:rsid w:val="00E0469C"/>
    <w:rsid w:val="00E05D63"/>
    <w:rsid w:val="00E12564"/>
    <w:rsid w:val="00E405F0"/>
    <w:rsid w:val="00E42E49"/>
    <w:rsid w:val="00E46ED1"/>
    <w:rsid w:val="00E5386F"/>
    <w:rsid w:val="00E61E86"/>
    <w:rsid w:val="00E709D4"/>
    <w:rsid w:val="00E75DF8"/>
    <w:rsid w:val="00E76E03"/>
    <w:rsid w:val="00E772A6"/>
    <w:rsid w:val="00E869B8"/>
    <w:rsid w:val="00E93296"/>
    <w:rsid w:val="00EE3CC9"/>
    <w:rsid w:val="00EE3E2F"/>
    <w:rsid w:val="00F0501B"/>
    <w:rsid w:val="00F13C84"/>
    <w:rsid w:val="00F22043"/>
    <w:rsid w:val="00F23D44"/>
    <w:rsid w:val="00F30259"/>
    <w:rsid w:val="00F3411C"/>
    <w:rsid w:val="00F40E14"/>
    <w:rsid w:val="00F74E1D"/>
    <w:rsid w:val="00F83409"/>
    <w:rsid w:val="00FD5CD7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customStyle="1" w:styleId="norm">
    <w:name w:val="norm"/>
    <w:basedOn w:val="Normal"/>
    <w:rsid w:val="007F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zh-TW"/>
    </w:rPr>
  </w:style>
  <w:style w:type="paragraph" w:styleId="Revision">
    <w:name w:val="Revision"/>
    <w:hidden/>
    <w:uiPriority w:val="99"/>
    <w:semiHidden/>
    <w:rsid w:val="00C5615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F3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25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571"/>
  </w:style>
  <w:style w:type="paragraph" w:styleId="Footer">
    <w:name w:val="footer"/>
    <w:basedOn w:val="Normal"/>
    <w:link w:val="FooterChar"/>
    <w:uiPriority w:val="99"/>
    <w:unhideWhenUsed/>
    <w:rsid w:val="00B525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571"/>
  </w:style>
  <w:style w:type="character" w:customStyle="1" w:styleId="legaldocreferenceopened1">
    <w:name w:val="legaldocreferenceopened1"/>
    <w:basedOn w:val="DefaultParagraphFont"/>
    <w:rsid w:val="00CB49E9"/>
    <w:rPr>
      <w:i w:val="0"/>
      <w:iCs w:val="0"/>
      <w:strike w:val="0"/>
      <w:dstrike w:val="0"/>
      <w:color w:val="84008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customStyle="1" w:styleId="norm">
    <w:name w:val="norm"/>
    <w:basedOn w:val="Normal"/>
    <w:rsid w:val="007F0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zh-TW"/>
    </w:rPr>
  </w:style>
  <w:style w:type="paragraph" w:styleId="Revision">
    <w:name w:val="Revision"/>
    <w:hidden/>
    <w:uiPriority w:val="99"/>
    <w:semiHidden/>
    <w:rsid w:val="00C5615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F3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25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571"/>
  </w:style>
  <w:style w:type="paragraph" w:styleId="Footer">
    <w:name w:val="footer"/>
    <w:basedOn w:val="Normal"/>
    <w:link w:val="FooterChar"/>
    <w:uiPriority w:val="99"/>
    <w:unhideWhenUsed/>
    <w:rsid w:val="00B525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571"/>
  </w:style>
  <w:style w:type="character" w:customStyle="1" w:styleId="legaldocreferenceopened1">
    <w:name w:val="legaldocreferenceopened1"/>
    <w:basedOn w:val="DefaultParagraphFont"/>
    <w:rsid w:val="00CB49E9"/>
    <w:rPr>
      <w:i w:val="0"/>
      <w:iCs w:val="0"/>
      <w:strike w:val="0"/>
      <w:dstrike w:val="0"/>
      <w:color w:val="84008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9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0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8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0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34D4-B947-4097-B5D7-1761AD83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Sevgin Ahmed</cp:lastModifiedBy>
  <cp:revision>5</cp:revision>
  <cp:lastPrinted>2020-10-14T10:33:00Z</cp:lastPrinted>
  <dcterms:created xsi:type="dcterms:W3CDTF">2020-11-03T14:16:00Z</dcterms:created>
  <dcterms:modified xsi:type="dcterms:W3CDTF">2020-11-04T17:40:00Z</dcterms:modified>
</cp:coreProperties>
</file>