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12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храните и горите.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7.3</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29/04/2020 - 15:08:10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12</w:t>
        </w:r>
        <w:r>
          <w:fldChar w:fldCharType="end"/>
        </w:r>
      </w:hyperlink>
    </w:p>
    <w:p>
      <w:pPr>
        <w:pStyle w:val="TOC2"/>
        <w:rPr>
          <w:rFonts w:ascii="Calibri" w:hAnsi="Calibr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12</w:t>
        </w:r>
        <w:r>
          <w:fldChar w:fldCharType="end"/>
        </w:r>
      </w:hyperlink>
    </w:p>
    <w:p>
      <w:pPr>
        <w:pStyle w:val="TOC3"/>
        <w:rPr>
          <w:rFonts w:ascii="Calibri" w:hAnsi="Calibr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12</w:t>
        </w:r>
        <w:r>
          <w:fldChar w:fldCharType="end"/>
        </w:r>
      </w:hyperlink>
    </w:p>
    <w:p>
      <w:pPr>
        <w:pStyle w:val="TOC3"/>
        <w:rPr>
          <w:rFonts w:ascii="Calibri" w:hAnsi="Calibr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12</w:t>
        </w:r>
        <w:r>
          <w:fldChar w:fldCharType="end"/>
        </w:r>
      </w:hyperlink>
    </w:p>
    <w:p>
      <w:pPr>
        <w:pStyle w:val="TOC3"/>
        <w:rPr>
          <w:rFonts w:ascii="Calibri" w:hAnsi="Calibr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12</w:t>
        </w:r>
        <w:r>
          <w:fldChar w:fldCharType="end"/>
        </w:r>
      </w:hyperlink>
    </w:p>
    <w:p>
      <w:pPr>
        <w:pStyle w:val="TOC3"/>
        <w:rPr>
          <w:rFonts w:ascii="Calibri" w:hAnsi="Calibr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12</w:t>
        </w:r>
        <w:r>
          <w:fldChar w:fldCharType="end"/>
        </w:r>
      </w:hyperlink>
    </w:p>
    <w:p>
      <w:pPr>
        <w:pStyle w:val="TOC3"/>
        <w:rPr>
          <w:rFonts w:ascii="Calibri" w:hAnsi="Calibr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13</w:t>
        </w:r>
        <w:r>
          <w:fldChar w:fldCharType="end"/>
        </w:r>
      </w:hyperlink>
    </w:p>
    <w:p>
      <w:pPr>
        <w:pStyle w:val="TOC1"/>
        <w:rPr>
          <w:rFonts w:ascii="Calibri" w:hAnsi="Calibr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36</w:t>
        </w:r>
        <w:r>
          <w:fldChar w:fldCharType="end"/>
        </w:r>
      </w:hyperlink>
    </w:p>
    <w:p>
      <w:pPr>
        <w:pStyle w:val="TOC2"/>
        <w:rPr>
          <w:rFonts w:ascii="Calibri" w:hAnsi="Calibr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36</w:t>
        </w:r>
        <w:r>
          <w:fldChar w:fldCharType="end"/>
        </w:r>
      </w:hyperlink>
    </w:p>
    <w:p>
      <w:pPr>
        <w:pStyle w:val="TOC2"/>
        <w:rPr>
          <w:rFonts w:ascii="Calibri" w:hAnsi="Calibr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36</w:t>
        </w:r>
        <w:r>
          <w:fldChar w:fldCharType="end"/>
        </w:r>
      </w:hyperlink>
    </w:p>
    <w:p>
      <w:pPr>
        <w:pStyle w:val="TOC1"/>
        <w:rPr>
          <w:rFonts w:ascii="Calibri" w:hAnsi="Calibr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37</w:t>
        </w:r>
        <w:r>
          <w:fldChar w:fldCharType="end"/>
        </w:r>
      </w:hyperlink>
    </w:p>
    <w:p>
      <w:pPr>
        <w:pStyle w:val="TOC2"/>
        <w:rPr>
          <w:rFonts w:ascii="Calibri" w:hAnsi="Calibr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37</w:t>
        </w:r>
        <w:r>
          <w:fldChar w:fldCharType="end"/>
        </w:r>
      </w:hyperlink>
    </w:p>
    <w:p>
      <w:pPr>
        <w:pStyle w:val="TOC2"/>
        <w:rPr>
          <w:rFonts w:ascii="Calibri" w:hAnsi="Calibr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39</w:t>
        </w:r>
        <w:r>
          <w:fldChar w:fldCharType="end"/>
        </w:r>
      </w:hyperlink>
    </w:p>
    <w:p>
      <w:pPr>
        <w:pStyle w:val="TOC3"/>
        <w:rPr>
          <w:rFonts w:ascii="Calibri" w:hAnsi="Calibr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40</w:t>
        </w:r>
        <w:r>
          <w:fldChar w:fldCharType="end"/>
        </w:r>
      </w:hyperlink>
    </w:p>
    <w:p>
      <w:pPr>
        <w:pStyle w:val="TOC3"/>
        <w:rPr>
          <w:rFonts w:ascii="Calibri" w:hAnsi="Calibr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40</w:t>
        </w:r>
        <w:r>
          <w:fldChar w:fldCharType="end"/>
        </w:r>
      </w:hyperlink>
    </w:p>
    <w:p>
      <w:pPr>
        <w:pStyle w:val="TOC3"/>
        <w:rPr>
          <w:rFonts w:ascii="Calibri" w:hAnsi="Calibr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41</w:t>
        </w:r>
        <w:r>
          <w:fldChar w:fldCharType="end"/>
        </w:r>
      </w:hyperlink>
    </w:p>
    <w:p>
      <w:pPr>
        <w:pStyle w:val="TOC3"/>
        <w:rPr>
          <w:rFonts w:ascii="Calibri" w:hAnsi="Calibr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41</w:t>
        </w:r>
        <w:r>
          <w:fldChar w:fldCharType="end"/>
        </w:r>
      </w:hyperlink>
    </w:p>
    <w:p>
      <w:pPr>
        <w:pStyle w:val="TOC3"/>
        <w:rPr>
          <w:rFonts w:ascii="Calibri" w:hAnsi="Calibr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42</w:t>
        </w:r>
        <w:r>
          <w:fldChar w:fldCharType="end"/>
        </w:r>
      </w:hyperlink>
    </w:p>
    <w:p>
      <w:pPr>
        <w:pStyle w:val="TOC3"/>
        <w:rPr>
          <w:rFonts w:ascii="Calibri" w:hAnsi="Calibr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42</w:t>
        </w:r>
        <w:r>
          <w:fldChar w:fldCharType="end"/>
        </w:r>
      </w:hyperlink>
    </w:p>
    <w:p>
      <w:pPr>
        <w:pStyle w:val="TOC3"/>
        <w:rPr>
          <w:rFonts w:ascii="Calibri" w:hAnsi="Calibr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43</w:t>
        </w:r>
        <w:r>
          <w:fldChar w:fldCharType="end"/>
        </w:r>
      </w:hyperlink>
    </w:p>
    <w:p>
      <w:pPr>
        <w:pStyle w:val="TOC3"/>
        <w:rPr>
          <w:rFonts w:ascii="Calibri" w:hAnsi="Calibr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43</w:t>
        </w:r>
        <w:r>
          <w:fldChar w:fldCharType="end"/>
        </w:r>
      </w:hyperlink>
    </w:p>
    <w:p>
      <w:pPr>
        <w:pStyle w:val="TOC3"/>
        <w:rPr>
          <w:rFonts w:ascii="Calibri" w:hAnsi="Calibr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44</w:t>
        </w:r>
        <w:r>
          <w:fldChar w:fldCharType="end"/>
        </w:r>
      </w:hyperlink>
    </w:p>
    <w:p>
      <w:pPr>
        <w:pStyle w:val="TOC3"/>
        <w:rPr>
          <w:rFonts w:ascii="Calibri" w:hAnsi="Calibr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44</w:t>
        </w:r>
        <w:r>
          <w:fldChar w:fldCharType="end"/>
        </w:r>
      </w:hyperlink>
    </w:p>
    <w:p>
      <w:pPr>
        <w:pStyle w:val="TOC3"/>
        <w:rPr>
          <w:rFonts w:ascii="Calibri" w:hAnsi="Calibr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45</w:t>
        </w:r>
        <w:r>
          <w:fldChar w:fldCharType="end"/>
        </w:r>
      </w:hyperlink>
    </w:p>
    <w:p>
      <w:pPr>
        <w:pStyle w:val="TOC3"/>
        <w:rPr>
          <w:rFonts w:ascii="Calibri" w:hAnsi="Calibr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46</w:t>
        </w:r>
        <w:r>
          <w:fldChar w:fldCharType="end"/>
        </w:r>
      </w:hyperlink>
    </w:p>
    <w:p>
      <w:pPr>
        <w:pStyle w:val="TOC3"/>
        <w:rPr>
          <w:rFonts w:ascii="Calibri" w:hAnsi="Calibr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46</w:t>
        </w:r>
        <w:r>
          <w:fldChar w:fldCharType="end"/>
        </w:r>
      </w:hyperlink>
    </w:p>
    <w:p>
      <w:pPr>
        <w:pStyle w:val="TOC3"/>
        <w:rPr>
          <w:rFonts w:ascii="Calibri" w:hAnsi="Calibr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46</w:t>
        </w:r>
        <w:r>
          <w:fldChar w:fldCharType="end"/>
        </w:r>
      </w:hyperlink>
    </w:p>
    <w:p>
      <w:pPr>
        <w:pStyle w:val="TOC3"/>
        <w:rPr>
          <w:rFonts w:ascii="Calibri" w:hAnsi="Calibr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47</w:t>
        </w:r>
        <w:r>
          <w:fldChar w:fldCharType="end"/>
        </w:r>
      </w:hyperlink>
    </w:p>
    <w:p>
      <w:pPr>
        <w:pStyle w:val="TOC3"/>
        <w:rPr>
          <w:rFonts w:ascii="Calibri" w:hAnsi="Calibr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47</w:t>
        </w:r>
        <w:r>
          <w:fldChar w:fldCharType="end"/>
        </w:r>
      </w:hyperlink>
    </w:p>
    <w:p>
      <w:pPr>
        <w:pStyle w:val="TOC3"/>
        <w:rPr>
          <w:rFonts w:ascii="Calibri" w:hAnsi="Calibr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48</w:t>
        </w:r>
        <w:r>
          <w:fldChar w:fldCharType="end"/>
        </w:r>
      </w:hyperlink>
    </w:p>
    <w:p>
      <w:pPr>
        <w:pStyle w:val="TOC3"/>
        <w:rPr>
          <w:rFonts w:ascii="Calibri" w:hAnsi="Calibr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48</w:t>
        </w:r>
        <w:r>
          <w:fldChar w:fldCharType="end"/>
        </w:r>
      </w:hyperlink>
    </w:p>
    <w:p>
      <w:pPr>
        <w:pStyle w:val="TOC3"/>
        <w:rPr>
          <w:rFonts w:ascii="Calibri" w:hAnsi="Calibr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49</w:t>
        </w:r>
        <w:r>
          <w:fldChar w:fldCharType="end"/>
        </w:r>
      </w:hyperlink>
    </w:p>
    <w:p>
      <w:pPr>
        <w:pStyle w:val="TOC3"/>
        <w:rPr>
          <w:rFonts w:ascii="Calibri" w:hAnsi="Calibr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49</w:t>
        </w:r>
        <w:r>
          <w:fldChar w:fldCharType="end"/>
        </w:r>
      </w:hyperlink>
    </w:p>
    <w:p>
      <w:pPr>
        <w:pStyle w:val="TOC3"/>
        <w:rPr>
          <w:rFonts w:ascii="Calibri" w:hAnsi="Calibr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50</w:t>
        </w:r>
        <w:r>
          <w:fldChar w:fldCharType="end"/>
        </w:r>
      </w:hyperlink>
    </w:p>
    <w:p>
      <w:pPr>
        <w:pStyle w:val="TOC3"/>
        <w:rPr>
          <w:rFonts w:ascii="Calibri" w:hAnsi="Calibr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50</w:t>
        </w:r>
        <w:r>
          <w:fldChar w:fldCharType="end"/>
        </w:r>
      </w:hyperlink>
    </w:p>
    <w:p>
      <w:pPr>
        <w:pStyle w:val="TOC3"/>
        <w:rPr>
          <w:rFonts w:ascii="Calibri" w:hAnsi="Calibr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51</w:t>
        </w:r>
        <w:r>
          <w:fldChar w:fldCharType="end"/>
        </w:r>
      </w:hyperlink>
    </w:p>
    <w:p>
      <w:pPr>
        <w:pStyle w:val="TOC3"/>
        <w:rPr>
          <w:rFonts w:ascii="Calibri" w:hAnsi="Calibr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51</w:t>
        </w:r>
        <w:r>
          <w:fldChar w:fldCharType="end"/>
        </w:r>
      </w:hyperlink>
    </w:p>
    <w:p>
      <w:pPr>
        <w:pStyle w:val="TOC2"/>
        <w:rPr>
          <w:rFonts w:ascii="Calibri" w:hAnsi="Calibr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52</w:t>
        </w:r>
        <w:r>
          <w:fldChar w:fldCharType="end"/>
        </w:r>
      </w:hyperlink>
    </w:p>
    <w:p>
      <w:pPr>
        <w:pStyle w:val="TOC1"/>
        <w:rPr>
          <w:rFonts w:ascii="Calibri" w:hAnsi="Calibr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53</w:t>
        </w:r>
        <w:r>
          <w:fldChar w:fldCharType="end"/>
        </w:r>
      </w:hyperlink>
    </w:p>
    <w:p>
      <w:pPr>
        <w:pStyle w:val="TOC2"/>
        <w:rPr>
          <w:rFonts w:ascii="Calibri" w:hAnsi="Calibr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53</w:t>
        </w:r>
        <w:r>
          <w:fldChar w:fldCharType="end"/>
        </w:r>
      </w:hyperlink>
    </w:p>
    <w:p>
      <w:pPr>
        <w:pStyle w:val="TOC3"/>
        <w:rPr>
          <w:rFonts w:ascii="Calibri" w:hAnsi="Calibr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53</w:t>
        </w:r>
        <w:r>
          <w:fldChar w:fldCharType="end"/>
        </w:r>
      </w:hyperlink>
    </w:p>
    <w:p>
      <w:pPr>
        <w:pStyle w:val="TOC3"/>
        <w:rPr>
          <w:rFonts w:ascii="Calibri" w:hAnsi="Calibr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65</w:t>
        </w:r>
        <w:r>
          <w:fldChar w:fldCharType="end"/>
        </w:r>
      </w:hyperlink>
    </w:p>
    <w:p>
      <w:pPr>
        <w:pStyle w:val="TOC3"/>
        <w:rPr>
          <w:rFonts w:ascii="Calibri" w:hAnsi="Calibr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67</w:t>
        </w:r>
        <w:r>
          <w:fldChar w:fldCharType="end"/>
        </w:r>
      </w:hyperlink>
    </w:p>
    <w:p>
      <w:pPr>
        <w:pStyle w:val="TOC3"/>
        <w:rPr>
          <w:rFonts w:ascii="Calibri" w:hAnsi="Calibr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69</w:t>
        </w:r>
        <w:r>
          <w:fldChar w:fldCharType="end"/>
        </w:r>
      </w:hyperlink>
    </w:p>
    <w:p>
      <w:pPr>
        <w:pStyle w:val="TOC3"/>
        <w:rPr>
          <w:rFonts w:ascii="Calibri" w:hAnsi="Calibr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70</w:t>
        </w:r>
        <w:r>
          <w:fldChar w:fldCharType="end"/>
        </w:r>
      </w:hyperlink>
    </w:p>
    <w:p>
      <w:pPr>
        <w:pStyle w:val="TOC3"/>
        <w:rPr>
          <w:rFonts w:ascii="Calibri" w:hAnsi="Calibr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72</w:t>
        </w:r>
        <w:r>
          <w:fldChar w:fldCharType="end"/>
        </w:r>
      </w:hyperlink>
    </w:p>
    <w:p>
      <w:pPr>
        <w:pStyle w:val="TOC3"/>
        <w:rPr>
          <w:rFonts w:ascii="Calibri" w:hAnsi="Calibr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81</w:t>
        </w:r>
        <w:r>
          <w:fldChar w:fldCharType="end"/>
        </w:r>
      </w:hyperlink>
    </w:p>
    <w:p>
      <w:pPr>
        <w:pStyle w:val="TOC2"/>
        <w:rPr>
          <w:rFonts w:ascii="Calibri" w:hAnsi="Calibr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82</w:t>
        </w:r>
        <w:r>
          <w:fldChar w:fldCharType="end"/>
        </w:r>
      </w:hyperlink>
    </w:p>
    <w:p>
      <w:pPr>
        <w:pStyle w:val="TOC3"/>
        <w:rPr>
          <w:rFonts w:ascii="Calibri" w:hAnsi="Calibr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86</w:t>
        </w:r>
        <w:r>
          <w:fldChar w:fldCharType="end"/>
        </w:r>
      </w:hyperlink>
    </w:p>
    <w:p>
      <w:pPr>
        <w:pStyle w:val="TOC3"/>
        <w:rPr>
          <w:rFonts w:ascii="Calibri" w:hAnsi="Calibr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87</w:t>
        </w:r>
        <w:r>
          <w:fldChar w:fldCharType="end"/>
        </w:r>
      </w:hyperlink>
    </w:p>
    <w:p>
      <w:pPr>
        <w:pStyle w:val="TOC3"/>
        <w:rPr>
          <w:rFonts w:ascii="Calibri" w:hAnsi="Calibr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88</w:t>
        </w:r>
        <w:r>
          <w:fldChar w:fldCharType="end"/>
        </w:r>
      </w:hyperlink>
    </w:p>
    <w:p>
      <w:pPr>
        <w:pStyle w:val="TOC3"/>
        <w:rPr>
          <w:rFonts w:ascii="Calibri" w:hAnsi="Calibr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90</w:t>
        </w:r>
        <w:r>
          <w:fldChar w:fldCharType="end"/>
        </w:r>
      </w:hyperlink>
    </w:p>
    <w:p>
      <w:pPr>
        <w:pStyle w:val="TOC3"/>
        <w:rPr>
          <w:rFonts w:ascii="Calibri" w:hAnsi="Calibr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90</w:t>
        </w:r>
        <w:r>
          <w:fldChar w:fldCharType="end"/>
        </w:r>
      </w:hyperlink>
    </w:p>
    <w:p>
      <w:pPr>
        <w:pStyle w:val="TOC3"/>
        <w:rPr>
          <w:rFonts w:ascii="Calibri" w:hAnsi="Calibr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92</w:t>
        </w:r>
        <w:r>
          <w:fldChar w:fldCharType="end"/>
        </w:r>
      </w:hyperlink>
    </w:p>
    <w:p>
      <w:pPr>
        <w:pStyle w:val="TOC3"/>
        <w:rPr>
          <w:rFonts w:ascii="Calibri" w:hAnsi="Calibr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93</w:t>
        </w:r>
        <w:r>
          <w:fldChar w:fldCharType="end"/>
        </w:r>
      </w:hyperlink>
    </w:p>
    <w:p>
      <w:pPr>
        <w:pStyle w:val="TOC3"/>
        <w:rPr>
          <w:rFonts w:ascii="Calibri" w:hAnsi="Calibr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94</w:t>
        </w:r>
        <w:r>
          <w:fldChar w:fldCharType="end"/>
        </w:r>
      </w:hyperlink>
    </w:p>
    <w:p>
      <w:pPr>
        <w:pStyle w:val="TOC3"/>
        <w:rPr>
          <w:rFonts w:ascii="Calibri" w:hAnsi="Calibr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95</w:t>
        </w:r>
        <w:r>
          <w:fldChar w:fldCharType="end"/>
        </w:r>
      </w:hyperlink>
    </w:p>
    <w:p>
      <w:pPr>
        <w:pStyle w:val="TOC3"/>
        <w:rPr>
          <w:rFonts w:ascii="Calibri" w:hAnsi="Calibr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96</w:t>
        </w:r>
        <w:r>
          <w:fldChar w:fldCharType="end"/>
        </w:r>
      </w:hyperlink>
    </w:p>
    <w:p>
      <w:pPr>
        <w:pStyle w:val="TOC3"/>
        <w:rPr>
          <w:rFonts w:ascii="Calibri" w:hAnsi="Calibr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96</w:t>
        </w:r>
        <w:r>
          <w:fldChar w:fldCharType="end"/>
        </w:r>
      </w:hyperlink>
    </w:p>
    <w:p>
      <w:pPr>
        <w:pStyle w:val="TOC3"/>
        <w:rPr>
          <w:rFonts w:ascii="Calibri" w:hAnsi="Calibr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97</w:t>
        </w:r>
        <w:r>
          <w:fldChar w:fldCharType="end"/>
        </w:r>
      </w:hyperlink>
    </w:p>
    <w:p>
      <w:pPr>
        <w:pStyle w:val="TOC3"/>
        <w:rPr>
          <w:rFonts w:ascii="Calibri" w:hAnsi="Calibr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98</w:t>
        </w:r>
        <w:r>
          <w:fldChar w:fldCharType="end"/>
        </w:r>
      </w:hyperlink>
    </w:p>
    <w:p>
      <w:pPr>
        <w:pStyle w:val="TOC3"/>
        <w:rPr>
          <w:rFonts w:ascii="Calibri" w:hAnsi="Calibr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99</w:t>
        </w:r>
        <w:r>
          <w:fldChar w:fldCharType="end"/>
        </w:r>
      </w:hyperlink>
    </w:p>
    <w:p>
      <w:pPr>
        <w:pStyle w:val="TOC3"/>
        <w:rPr>
          <w:rFonts w:ascii="Calibri" w:hAnsi="Calibr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100</w:t>
        </w:r>
        <w:r>
          <w:fldChar w:fldCharType="end"/>
        </w:r>
      </w:hyperlink>
    </w:p>
    <w:p>
      <w:pPr>
        <w:pStyle w:val="TOC3"/>
        <w:rPr>
          <w:rFonts w:ascii="Calibri" w:hAnsi="Calibr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100</w:t>
        </w:r>
        <w:r>
          <w:fldChar w:fldCharType="end"/>
        </w:r>
      </w:hyperlink>
    </w:p>
    <w:p>
      <w:pPr>
        <w:pStyle w:val="TOC3"/>
        <w:rPr>
          <w:rFonts w:ascii="Calibri" w:hAnsi="Calibr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101</w:t>
        </w:r>
        <w:r>
          <w:fldChar w:fldCharType="end"/>
        </w:r>
      </w:hyperlink>
    </w:p>
    <w:p>
      <w:pPr>
        <w:pStyle w:val="TOC3"/>
        <w:rPr>
          <w:rFonts w:ascii="Calibri" w:hAnsi="Calibr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102</w:t>
        </w:r>
        <w:r>
          <w:fldChar w:fldCharType="end"/>
        </w:r>
      </w:hyperlink>
    </w:p>
    <w:p>
      <w:pPr>
        <w:pStyle w:val="TOC3"/>
        <w:rPr>
          <w:rFonts w:ascii="Calibri" w:hAnsi="Calibr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103</w:t>
        </w:r>
        <w:r>
          <w:fldChar w:fldCharType="end"/>
        </w:r>
      </w:hyperlink>
    </w:p>
    <w:p>
      <w:pPr>
        <w:pStyle w:val="TOC3"/>
        <w:rPr>
          <w:rFonts w:ascii="Calibri" w:hAnsi="Calibr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104</w:t>
        </w:r>
        <w:r>
          <w:fldChar w:fldCharType="end"/>
        </w:r>
      </w:hyperlink>
    </w:p>
    <w:p>
      <w:pPr>
        <w:pStyle w:val="TOC3"/>
        <w:rPr>
          <w:rFonts w:ascii="Calibri" w:hAnsi="Calibr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104</w:t>
        </w:r>
        <w:r>
          <w:fldChar w:fldCharType="end"/>
        </w:r>
      </w:hyperlink>
    </w:p>
    <w:p>
      <w:pPr>
        <w:pStyle w:val="TOC3"/>
        <w:rPr>
          <w:rFonts w:ascii="Calibri" w:hAnsi="Calibr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105</w:t>
        </w:r>
        <w:r>
          <w:fldChar w:fldCharType="end"/>
        </w:r>
      </w:hyperlink>
    </w:p>
    <w:p>
      <w:pPr>
        <w:pStyle w:val="TOC3"/>
        <w:rPr>
          <w:rFonts w:ascii="Calibri" w:hAnsi="Calibr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106</w:t>
        </w:r>
        <w:r>
          <w:fldChar w:fldCharType="end"/>
        </w:r>
      </w:hyperlink>
    </w:p>
    <w:p>
      <w:pPr>
        <w:pStyle w:val="TOC3"/>
        <w:rPr>
          <w:rFonts w:ascii="Calibri" w:hAnsi="Calibr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106</w:t>
        </w:r>
        <w:r>
          <w:fldChar w:fldCharType="end"/>
        </w:r>
      </w:hyperlink>
    </w:p>
    <w:p>
      <w:pPr>
        <w:pStyle w:val="TOC3"/>
        <w:rPr>
          <w:rFonts w:ascii="Calibri" w:hAnsi="Calibr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107</w:t>
        </w:r>
        <w:r>
          <w:fldChar w:fldCharType="end"/>
        </w:r>
      </w:hyperlink>
    </w:p>
    <w:p>
      <w:pPr>
        <w:pStyle w:val="TOC3"/>
        <w:rPr>
          <w:rFonts w:ascii="Calibri" w:hAnsi="Calibr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108</w:t>
        </w:r>
        <w:r>
          <w:fldChar w:fldCharType="end"/>
        </w:r>
      </w:hyperlink>
    </w:p>
    <w:p>
      <w:pPr>
        <w:pStyle w:val="TOC3"/>
        <w:rPr>
          <w:rFonts w:ascii="Calibri" w:hAnsi="Calibr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108</w:t>
        </w:r>
        <w:r>
          <w:fldChar w:fldCharType="end"/>
        </w:r>
      </w:hyperlink>
    </w:p>
    <w:p>
      <w:pPr>
        <w:pStyle w:val="TOC3"/>
        <w:rPr>
          <w:rFonts w:ascii="Calibri" w:hAnsi="Calibr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109</w:t>
        </w:r>
        <w:r>
          <w:fldChar w:fldCharType="end"/>
        </w:r>
      </w:hyperlink>
    </w:p>
    <w:p>
      <w:pPr>
        <w:pStyle w:val="TOC3"/>
        <w:rPr>
          <w:rFonts w:ascii="Calibri" w:hAnsi="Calibr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110</w:t>
        </w:r>
        <w:r>
          <w:fldChar w:fldCharType="end"/>
        </w:r>
      </w:hyperlink>
    </w:p>
    <w:p>
      <w:pPr>
        <w:pStyle w:val="TOC3"/>
        <w:rPr>
          <w:rFonts w:ascii="Calibri" w:hAnsi="Calibr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110</w:t>
        </w:r>
        <w:r>
          <w:fldChar w:fldCharType="end"/>
        </w:r>
      </w:hyperlink>
    </w:p>
    <w:p>
      <w:pPr>
        <w:pStyle w:val="TOC3"/>
        <w:rPr>
          <w:rFonts w:ascii="Calibri" w:hAnsi="Calibr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110</w:t>
        </w:r>
        <w:r>
          <w:fldChar w:fldCharType="end"/>
        </w:r>
      </w:hyperlink>
    </w:p>
    <w:p>
      <w:pPr>
        <w:pStyle w:val="TOC3"/>
        <w:rPr>
          <w:rFonts w:ascii="Calibri" w:hAnsi="Calibr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111</w:t>
        </w:r>
        <w:r>
          <w:fldChar w:fldCharType="end"/>
        </w:r>
      </w:hyperlink>
    </w:p>
    <w:p>
      <w:pPr>
        <w:pStyle w:val="TOC3"/>
        <w:rPr>
          <w:rFonts w:ascii="Calibri" w:hAnsi="Calibr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112</w:t>
        </w:r>
        <w:r>
          <w:fldChar w:fldCharType="end"/>
        </w:r>
      </w:hyperlink>
    </w:p>
    <w:p>
      <w:pPr>
        <w:pStyle w:val="TOC3"/>
        <w:rPr>
          <w:rFonts w:ascii="Calibri" w:hAnsi="Calibr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113</w:t>
        </w:r>
        <w:r>
          <w:fldChar w:fldCharType="end"/>
        </w:r>
      </w:hyperlink>
    </w:p>
    <w:p>
      <w:pPr>
        <w:pStyle w:val="TOC3"/>
        <w:rPr>
          <w:rFonts w:ascii="Calibri" w:hAnsi="Calibr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113</w:t>
        </w:r>
        <w:r>
          <w:fldChar w:fldCharType="end"/>
        </w:r>
      </w:hyperlink>
    </w:p>
    <w:p>
      <w:pPr>
        <w:pStyle w:val="TOC3"/>
        <w:rPr>
          <w:rFonts w:ascii="Calibri" w:hAnsi="Calibr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114</w:t>
        </w:r>
        <w:r>
          <w:fldChar w:fldCharType="end"/>
        </w:r>
      </w:hyperlink>
    </w:p>
    <w:p>
      <w:pPr>
        <w:pStyle w:val="TOC3"/>
        <w:rPr>
          <w:rFonts w:ascii="Calibri" w:hAnsi="Calibr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114</w:t>
        </w:r>
        <w:r>
          <w:fldChar w:fldCharType="end"/>
        </w:r>
      </w:hyperlink>
    </w:p>
    <w:p>
      <w:pPr>
        <w:pStyle w:val="TOC3"/>
        <w:rPr>
          <w:rFonts w:ascii="Calibri" w:hAnsi="Calibr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115</w:t>
        </w:r>
        <w:r>
          <w:fldChar w:fldCharType="end"/>
        </w:r>
      </w:hyperlink>
    </w:p>
    <w:p>
      <w:pPr>
        <w:pStyle w:val="TOC3"/>
        <w:rPr>
          <w:rFonts w:ascii="Calibri" w:hAnsi="Calibr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115</w:t>
        </w:r>
        <w:r>
          <w:fldChar w:fldCharType="end"/>
        </w:r>
      </w:hyperlink>
    </w:p>
    <w:p>
      <w:pPr>
        <w:pStyle w:val="TOC3"/>
        <w:rPr>
          <w:rFonts w:ascii="Calibri" w:hAnsi="Calibr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116</w:t>
        </w:r>
        <w:r>
          <w:fldChar w:fldCharType="end"/>
        </w:r>
      </w:hyperlink>
    </w:p>
    <w:p>
      <w:pPr>
        <w:pStyle w:val="TOC1"/>
        <w:rPr>
          <w:rFonts w:ascii="Calibri" w:hAnsi="Calibr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118</w:t>
        </w:r>
        <w:r>
          <w:fldChar w:fldCharType="end"/>
        </w:r>
      </w:hyperlink>
    </w:p>
    <w:p>
      <w:pPr>
        <w:pStyle w:val="TOC2"/>
        <w:rPr>
          <w:rFonts w:ascii="Calibri" w:hAnsi="Calibr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118</w:t>
        </w:r>
        <w:r>
          <w:fldChar w:fldCharType="end"/>
        </w:r>
      </w:hyperlink>
    </w:p>
    <w:p>
      <w:pPr>
        <w:pStyle w:val="TOC2"/>
        <w:rPr>
          <w:rFonts w:ascii="Calibri" w:hAnsi="Calibr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124</w:t>
        </w:r>
        <w:r>
          <w:fldChar w:fldCharType="end"/>
        </w:r>
      </w:hyperlink>
    </w:p>
    <w:p>
      <w:pPr>
        <w:pStyle w:val="TOC3"/>
        <w:rPr>
          <w:rFonts w:ascii="Calibri" w:hAnsi="Calibr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124</w:t>
        </w:r>
        <w:r>
          <w:fldChar w:fldCharType="end"/>
        </w:r>
      </w:hyperlink>
    </w:p>
    <w:p>
      <w:pPr>
        <w:pStyle w:val="TOC3"/>
        <w:rPr>
          <w:rFonts w:ascii="Calibri" w:hAnsi="Calibr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125</w:t>
        </w:r>
        <w:r>
          <w:fldChar w:fldCharType="end"/>
        </w:r>
      </w:hyperlink>
    </w:p>
    <w:p>
      <w:pPr>
        <w:pStyle w:val="TOC3"/>
        <w:rPr>
          <w:rFonts w:ascii="Calibri" w:hAnsi="Calibr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127</w:t>
        </w:r>
        <w:r>
          <w:fldChar w:fldCharType="end"/>
        </w:r>
      </w:hyperlink>
    </w:p>
    <w:p>
      <w:pPr>
        <w:pStyle w:val="TOC3"/>
        <w:rPr>
          <w:rFonts w:ascii="Calibri" w:hAnsi="Calibr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129</w:t>
        </w:r>
        <w:r>
          <w:fldChar w:fldCharType="end"/>
        </w:r>
      </w:hyperlink>
    </w:p>
    <w:p>
      <w:pPr>
        <w:pStyle w:val="TOC3"/>
        <w:rPr>
          <w:rFonts w:ascii="Calibri" w:hAnsi="Calibr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133</w:t>
        </w:r>
        <w:r>
          <w:fldChar w:fldCharType="end"/>
        </w:r>
      </w:hyperlink>
    </w:p>
    <w:p>
      <w:pPr>
        <w:pStyle w:val="TOC3"/>
        <w:rPr>
          <w:rFonts w:ascii="Calibri" w:hAnsi="Calibr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137</w:t>
        </w:r>
        <w:r>
          <w:fldChar w:fldCharType="end"/>
        </w:r>
      </w:hyperlink>
    </w:p>
    <w:p>
      <w:pPr>
        <w:pStyle w:val="TOC2"/>
        <w:rPr>
          <w:rFonts w:ascii="Calibri" w:hAnsi="Calibr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140</w:t>
        </w:r>
        <w:r>
          <w:fldChar w:fldCharType="end"/>
        </w:r>
      </w:hyperlink>
    </w:p>
    <w:p>
      <w:pPr>
        <w:pStyle w:val="TOC2"/>
        <w:rPr>
          <w:rFonts w:ascii="Calibri" w:hAnsi="Calibr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143</w:t>
        </w:r>
        <w:r>
          <w:fldChar w:fldCharType="end"/>
        </w:r>
      </w:hyperlink>
    </w:p>
    <w:p>
      <w:pPr>
        <w:pStyle w:val="TOC2"/>
        <w:rPr>
          <w:rFonts w:ascii="Calibri" w:hAnsi="Calibr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145</w:t>
        </w:r>
        <w:r>
          <w:fldChar w:fldCharType="end"/>
        </w:r>
      </w:hyperlink>
    </w:p>
    <w:p>
      <w:pPr>
        <w:pStyle w:val="TOC1"/>
        <w:rPr>
          <w:rFonts w:ascii="Calibri" w:hAnsi="Calibr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149</w:t>
        </w:r>
        <w:r>
          <w:fldChar w:fldCharType="end"/>
        </w:r>
      </w:hyperlink>
    </w:p>
    <w:p>
      <w:pPr>
        <w:pStyle w:val="TOC2"/>
        <w:rPr>
          <w:rFonts w:ascii="Calibri" w:hAnsi="Calibr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149</w:t>
        </w:r>
        <w:r>
          <w:fldChar w:fldCharType="end"/>
        </w:r>
      </w:hyperlink>
    </w:p>
    <w:p>
      <w:pPr>
        <w:pStyle w:val="TOC2"/>
        <w:rPr>
          <w:rFonts w:ascii="Calibri" w:hAnsi="Calibr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150</w:t>
        </w:r>
        <w:r>
          <w:fldChar w:fldCharType="end"/>
        </w:r>
      </w:hyperlink>
    </w:p>
    <w:p>
      <w:pPr>
        <w:pStyle w:val="TOC3"/>
        <w:rPr>
          <w:rFonts w:ascii="Calibri" w:hAnsi="Calibr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176</w:t>
        </w:r>
        <w:r>
          <w:fldChar w:fldCharType="end"/>
        </w:r>
      </w:hyperlink>
    </w:p>
    <w:p>
      <w:pPr>
        <w:pStyle w:val="TOC3"/>
        <w:rPr>
          <w:rFonts w:ascii="Calibri" w:hAnsi="Calibr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179</w:t>
        </w:r>
        <w:r>
          <w:fldChar w:fldCharType="end"/>
        </w:r>
      </w:hyperlink>
    </w:p>
    <w:p>
      <w:pPr>
        <w:pStyle w:val="TOC1"/>
        <w:rPr>
          <w:rFonts w:ascii="Calibri" w:hAnsi="Calibr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183</w:t>
        </w:r>
        <w:r>
          <w:fldChar w:fldCharType="end"/>
        </w:r>
      </w:hyperlink>
    </w:p>
    <w:p>
      <w:pPr>
        <w:pStyle w:val="TOC2"/>
        <w:rPr>
          <w:rFonts w:ascii="Calibri" w:hAnsi="Calibr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183</w:t>
        </w:r>
        <w:r>
          <w:fldChar w:fldCharType="end"/>
        </w:r>
      </w:hyperlink>
    </w:p>
    <w:p>
      <w:pPr>
        <w:pStyle w:val="TOC3"/>
        <w:rPr>
          <w:rFonts w:ascii="Calibri" w:hAnsi="Calibr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187</w:t>
        </w:r>
        <w:r>
          <w:fldChar w:fldCharType="end"/>
        </w:r>
      </w:hyperlink>
    </w:p>
    <w:p>
      <w:pPr>
        <w:pStyle w:val="TOC3"/>
        <w:rPr>
          <w:rFonts w:ascii="Calibri" w:hAnsi="Calibr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187</w:t>
        </w:r>
        <w:r>
          <w:fldChar w:fldCharType="end"/>
        </w:r>
      </w:hyperlink>
    </w:p>
    <w:p>
      <w:pPr>
        <w:pStyle w:val="TOC3"/>
        <w:rPr>
          <w:rFonts w:ascii="Calibri" w:hAnsi="Calibr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188</w:t>
        </w:r>
        <w:r>
          <w:fldChar w:fldCharType="end"/>
        </w:r>
      </w:hyperlink>
    </w:p>
    <w:p>
      <w:pPr>
        <w:pStyle w:val="TOC3"/>
        <w:rPr>
          <w:rFonts w:ascii="Calibri" w:hAnsi="Calibr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188</w:t>
        </w:r>
        <w:r>
          <w:fldChar w:fldCharType="end"/>
        </w:r>
      </w:hyperlink>
    </w:p>
    <w:p>
      <w:pPr>
        <w:pStyle w:val="TOC3"/>
        <w:rPr>
          <w:rFonts w:ascii="Calibri" w:hAnsi="Calibr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189</w:t>
        </w:r>
        <w:r>
          <w:fldChar w:fldCharType="end"/>
        </w:r>
      </w:hyperlink>
    </w:p>
    <w:p>
      <w:pPr>
        <w:pStyle w:val="TOC2"/>
        <w:rPr>
          <w:rFonts w:ascii="Calibri" w:hAnsi="Calibr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190</w:t>
        </w:r>
        <w:r>
          <w:fldChar w:fldCharType="end"/>
        </w:r>
      </w:hyperlink>
    </w:p>
    <w:p>
      <w:pPr>
        <w:pStyle w:val="TOC3"/>
        <w:rPr>
          <w:rFonts w:ascii="Calibri" w:hAnsi="Calibr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190</w:t>
        </w:r>
        <w:r>
          <w:fldChar w:fldCharType="end"/>
        </w:r>
      </w:hyperlink>
    </w:p>
    <w:p>
      <w:pPr>
        <w:pStyle w:val="TOC2"/>
        <w:rPr>
          <w:rFonts w:ascii="Calibri" w:hAnsi="Calibr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191</w:t>
        </w:r>
        <w:r>
          <w:fldChar w:fldCharType="end"/>
        </w:r>
      </w:hyperlink>
    </w:p>
    <w:p>
      <w:pPr>
        <w:pStyle w:val="TOC1"/>
        <w:rPr>
          <w:rFonts w:ascii="Calibri" w:hAnsi="Calibr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192</w:t>
        </w:r>
        <w:r>
          <w:fldChar w:fldCharType="end"/>
        </w:r>
      </w:hyperlink>
    </w:p>
    <w:p>
      <w:pPr>
        <w:pStyle w:val="TOC2"/>
        <w:rPr>
          <w:rFonts w:ascii="Calibri" w:hAnsi="Calibr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192</w:t>
        </w:r>
        <w:r>
          <w:fldChar w:fldCharType="end"/>
        </w:r>
      </w:hyperlink>
    </w:p>
    <w:p>
      <w:pPr>
        <w:pStyle w:val="TOC2"/>
        <w:rPr>
          <w:rFonts w:ascii="Calibri" w:hAnsi="Calibr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206</w:t>
        </w:r>
        <w:r>
          <w:fldChar w:fldCharType="end"/>
        </w:r>
      </w:hyperlink>
    </w:p>
    <w:p>
      <w:pPr>
        <w:pStyle w:val="TOC3"/>
        <w:rPr>
          <w:rFonts w:ascii="Calibri" w:hAnsi="Calibr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206</w:t>
        </w:r>
        <w:r>
          <w:fldChar w:fldCharType="end"/>
        </w:r>
      </w:hyperlink>
    </w:p>
    <w:p>
      <w:pPr>
        <w:pStyle w:val="TOC3"/>
        <w:rPr>
          <w:rFonts w:ascii="Calibri" w:hAnsi="Calibr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226</w:t>
        </w:r>
        <w:r>
          <w:fldChar w:fldCharType="end"/>
        </w:r>
      </w:hyperlink>
    </w:p>
    <w:p>
      <w:pPr>
        <w:pStyle w:val="TOC3"/>
        <w:rPr>
          <w:rFonts w:ascii="Calibri" w:hAnsi="Calibr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255</w:t>
        </w:r>
        <w:r>
          <w:fldChar w:fldCharType="end"/>
        </w:r>
      </w:hyperlink>
    </w:p>
    <w:p>
      <w:pPr>
        <w:pStyle w:val="TOC3"/>
        <w:rPr>
          <w:rFonts w:ascii="Calibri" w:hAnsi="Calibr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329</w:t>
        </w:r>
        <w:r>
          <w:fldChar w:fldCharType="end"/>
        </w:r>
      </w:hyperlink>
    </w:p>
    <w:p>
      <w:pPr>
        <w:pStyle w:val="TOC3"/>
        <w:rPr>
          <w:rFonts w:ascii="Calibri" w:hAnsi="Calibr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344</w:t>
        </w:r>
        <w:r>
          <w:fldChar w:fldCharType="end"/>
        </w:r>
      </w:hyperlink>
    </w:p>
    <w:p>
      <w:pPr>
        <w:pStyle w:val="TOC3"/>
        <w:rPr>
          <w:rFonts w:ascii="Calibri" w:hAnsi="Calibr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399</w:t>
        </w:r>
        <w:r>
          <w:fldChar w:fldCharType="end"/>
        </w:r>
      </w:hyperlink>
    </w:p>
    <w:p>
      <w:pPr>
        <w:pStyle w:val="TOC3"/>
        <w:rPr>
          <w:rFonts w:ascii="Calibri" w:hAnsi="Calibr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432</w:t>
        </w:r>
        <w:r>
          <w:fldChar w:fldCharType="end"/>
        </w:r>
      </w:hyperlink>
    </w:p>
    <w:p>
      <w:pPr>
        <w:pStyle w:val="TOC3"/>
        <w:rPr>
          <w:rFonts w:ascii="Calibri" w:hAnsi="Calibr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475</w:t>
        </w:r>
        <w:r>
          <w:fldChar w:fldCharType="end"/>
        </w:r>
      </w:hyperlink>
    </w:p>
    <w:p>
      <w:pPr>
        <w:pStyle w:val="TOC3"/>
        <w:rPr>
          <w:rFonts w:ascii="Calibri" w:hAnsi="Calibr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488</w:t>
        </w:r>
        <w:r>
          <w:fldChar w:fldCharType="end"/>
        </w:r>
      </w:hyperlink>
    </w:p>
    <w:p>
      <w:pPr>
        <w:pStyle w:val="TOC3"/>
        <w:rPr>
          <w:rFonts w:ascii="Calibri" w:hAnsi="Calibr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538</w:t>
        </w:r>
        <w:r>
          <w:fldChar w:fldCharType="end"/>
        </w:r>
      </w:hyperlink>
    </w:p>
    <w:p>
      <w:pPr>
        <w:pStyle w:val="TOC3"/>
        <w:rPr>
          <w:rFonts w:ascii="Calibri" w:hAnsi="Calibr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562</w:t>
        </w:r>
        <w:r>
          <w:fldChar w:fldCharType="end"/>
        </w:r>
      </w:hyperlink>
    </w:p>
    <w:p>
      <w:pPr>
        <w:pStyle w:val="TOC3"/>
        <w:rPr>
          <w:rFonts w:ascii="Calibri" w:hAnsi="Calibr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581</w:t>
        </w:r>
        <w:r>
          <w:fldChar w:fldCharType="end"/>
        </w:r>
      </w:hyperlink>
    </w:p>
    <w:p>
      <w:pPr>
        <w:pStyle w:val="TOC3"/>
        <w:rPr>
          <w:rFonts w:ascii="Calibri" w:hAnsi="Calibr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597</w:t>
        </w:r>
        <w:r>
          <w:fldChar w:fldCharType="end"/>
        </w:r>
      </w:hyperlink>
    </w:p>
    <w:p>
      <w:pPr>
        <w:pStyle w:val="TOC3"/>
        <w:rPr>
          <w:rFonts w:ascii="Calibri" w:hAnsi="Calibr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612</w:t>
        </w:r>
        <w:r>
          <w:fldChar w:fldCharType="end"/>
        </w:r>
      </w:hyperlink>
    </w:p>
    <w:p>
      <w:pPr>
        <w:pStyle w:val="TOC3"/>
        <w:rPr>
          <w:rFonts w:ascii="Calibri" w:hAnsi="Calibr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635</w:t>
        </w:r>
        <w:r>
          <w:fldChar w:fldCharType="end"/>
        </w:r>
      </w:hyperlink>
    </w:p>
    <w:p>
      <w:pPr>
        <w:pStyle w:val="TOC1"/>
        <w:rPr>
          <w:rFonts w:ascii="Calibri" w:hAnsi="Calibri"/>
          <w:noProof/>
          <w:sz w:val="22"/>
        </w:rPr>
      </w:pPr>
      <w:hyperlink w:anchor="_Toc256000133"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_Toc256000133 \h </w:instrText>
        </w:r>
        <w:r>
          <w:fldChar w:fldCharType="separate"/>
        </w:r>
        <w:r>
          <w:t>678</w:t>
        </w:r>
        <w:r>
          <w:fldChar w:fldCharType="end"/>
        </w:r>
      </w:hyperlink>
    </w:p>
    <w:p>
      <w:pPr>
        <w:pStyle w:val="TOC2"/>
        <w:rPr>
          <w:rFonts w:ascii="Calibri" w:hAnsi="Calibri"/>
          <w:noProof/>
          <w:sz w:val="22"/>
        </w:rPr>
      </w:pPr>
      <w:hyperlink w:anchor="_Toc256000134" w:history="1">
        <w:r>
          <w:rPr>
            <w:rStyle w:val="Hyperlink"/>
          </w:rPr>
          <w:t>9.1.</w:t>
        </w:r>
        <w:r>
          <w:rPr>
            <w:rStyle w:val="Hyperlink"/>
          </w:rPr>
          <w:t xml:space="preserve"> </w:t>
        </w:r>
        <w:r>
          <w:rPr>
            <w:rStyle w:val="Hyperlink"/>
          </w:rPr>
          <w:t>Цели и задачи</w:t>
        </w:r>
        <w:r>
          <w:tab/>
        </w:r>
        <w:r>
          <w:fldChar w:fldCharType="begin"/>
        </w:r>
        <w:r>
          <w:instrText xml:space="preserve"> PAGEREF _Toc256000134 \h </w:instrText>
        </w:r>
        <w:r>
          <w:fldChar w:fldCharType="separate"/>
        </w:r>
        <w:r>
          <w:t>678</w:t>
        </w:r>
        <w:r>
          <w:fldChar w:fldCharType="end"/>
        </w:r>
      </w:hyperlink>
    </w:p>
    <w:p>
      <w:pPr>
        <w:pStyle w:val="TOC2"/>
        <w:rPr>
          <w:rFonts w:ascii="Calibri" w:hAnsi="Calibri"/>
          <w:noProof/>
          <w:sz w:val="22"/>
        </w:rPr>
      </w:pPr>
      <w:hyperlink w:anchor="_Toc256000135"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_Toc256000135 \h </w:instrText>
        </w:r>
        <w:r>
          <w:fldChar w:fldCharType="separate"/>
        </w:r>
        <w:r>
          <w:t>679</w:t>
        </w:r>
        <w:r>
          <w:fldChar w:fldCharType="end"/>
        </w:r>
      </w:hyperlink>
    </w:p>
    <w:p>
      <w:pPr>
        <w:pStyle w:val="TOC2"/>
        <w:rPr>
          <w:rFonts w:ascii="Calibri" w:hAnsi="Calibri"/>
          <w:noProof/>
          <w:sz w:val="22"/>
        </w:rPr>
      </w:pPr>
      <w:hyperlink w:anchor="_Toc256000136"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_Toc256000136 \h </w:instrText>
        </w:r>
        <w:r>
          <w:fldChar w:fldCharType="separate"/>
        </w:r>
        <w:r>
          <w:t>681</w:t>
        </w:r>
        <w:r>
          <w:fldChar w:fldCharType="end"/>
        </w:r>
      </w:hyperlink>
    </w:p>
    <w:p>
      <w:pPr>
        <w:pStyle w:val="TOC2"/>
        <w:rPr>
          <w:rFonts w:ascii="Calibri" w:hAnsi="Calibri"/>
          <w:noProof/>
          <w:sz w:val="22"/>
        </w:rPr>
      </w:pPr>
      <w:hyperlink w:anchor="_Toc256000137"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_Toc256000137 \h </w:instrText>
        </w:r>
        <w:r>
          <w:fldChar w:fldCharType="separate"/>
        </w:r>
        <w:r>
          <w:t>685</w:t>
        </w:r>
        <w:r>
          <w:fldChar w:fldCharType="end"/>
        </w:r>
      </w:hyperlink>
    </w:p>
    <w:p>
      <w:pPr>
        <w:pStyle w:val="TOC2"/>
        <w:rPr>
          <w:rFonts w:ascii="Calibri" w:hAnsi="Calibri"/>
          <w:noProof/>
          <w:sz w:val="22"/>
        </w:rPr>
      </w:pPr>
      <w:hyperlink w:anchor="_Toc256000138" w:history="1">
        <w:r>
          <w:rPr>
            <w:rStyle w:val="Hyperlink"/>
          </w:rPr>
          <w:t>9.5.</w:t>
        </w:r>
        <w:r>
          <w:rPr>
            <w:rStyle w:val="Hyperlink"/>
          </w:rPr>
          <w:t xml:space="preserve"> </w:t>
        </w:r>
        <w:r>
          <w:rPr>
            <w:rStyle w:val="Hyperlink"/>
          </w:rPr>
          <w:t>График</w:t>
        </w:r>
        <w:r>
          <w:tab/>
        </w:r>
        <w:r>
          <w:fldChar w:fldCharType="begin"/>
        </w:r>
        <w:r>
          <w:instrText xml:space="preserve"> PAGEREF _Toc256000138 \h </w:instrText>
        </w:r>
        <w:r>
          <w:fldChar w:fldCharType="separate"/>
        </w:r>
        <w:r>
          <w:t>687</w:t>
        </w:r>
        <w:r>
          <w:fldChar w:fldCharType="end"/>
        </w:r>
      </w:hyperlink>
    </w:p>
    <w:p>
      <w:pPr>
        <w:pStyle w:val="TOC2"/>
        <w:rPr>
          <w:rFonts w:ascii="Calibri" w:hAnsi="Calibri"/>
          <w:noProof/>
          <w:sz w:val="22"/>
        </w:rPr>
      </w:pPr>
      <w:hyperlink w:anchor="_Toc256000139" w:history="1">
        <w:r>
          <w:rPr>
            <w:rStyle w:val="Hyperlink"/>
          </w:rPr>
          <w:t>9.6.</w:t>
        </w:r>
        <w:r>
          <w:rPr>
            <w:rStyle w:val="Hyperlink"/>
          </w:rPr>
          <w:t xml:space="preserve"> </w:t>
        </w:r>
        <w:r>
          <w:rPr>
            <w:rStyle w:val="Hyperlink"/>
          </w:rPr>
          <w:t>Комуникация</w:t>
        </w:r>
        <w:r>
          <w:tab/>
        </w:r>
        <w:r>
          <w:fldChar w:fldCharType="begin"/>
        </w:r>
        <w:r>
          <w:instrText xml:space="preserve"> PAGEREF _Toc256000139 \h </w:instrText>
        </w:r>
        <w:r>
          <w:fldChar w:fldCharType="separate"/>
        </w:r>
        <w:r>
          <w:t>688</w:t>
        </w:r>
        <w:r>
          <w:fldChar w:fldCharType="end"/>
        </w:r>
      </w:hyperlink>
    </w:p>
    <w:p>
      <w:pPr>
        <w:pStyle w:val="TOC2"/>
        <w:rPr>
          <w:rFonts w:ascii="Calibri" w:hAnsi="Calibri"/>
          <w:noProof/>
          <w:sz w:val="22"/>
        </w:rPr>
      </w:pPr>
      <w:hyperlink w:anchor="_Toc256000140" w:history="1">
        <w:r>
          <w:rPr>
            <w:rStyle w:val="Hyperlink"/>
          </w:rPr>
          <w:t>9.7.</w:t>
        </w:r>
        <w:r>
          <w:rPr>
            <w:rStyle w:val="Hyperlink"/>
          </w:rPr>
          <w:t xml:space="preserve"> </w:t>
        </w:r>
        <w:r>
          <w:rPr>
            <w:rStyle w:val="Hyperlink"/>
          </w:rPr>
          <w:t>Ресурси</w:t>
        </w:r>
        <w:r>
          <w:tab/>
        </w:r>
        <w:r>
          <w:fldChar w:fldCharType="begin"/>
        </w:r>
        <w:r>
          <w:instrText xml:space="preserve"> PAGEREF _Toc256000140 \h </w:instrText>
        </w:r>
        <w:r>
          <w:fldChar w:fldCharType="separate"/>
        </w:r>
        <w:r>
          <w:t>689</w:t>
        </w:r>
        <w:r>
          <w:fldChar w:fldCharType="end"/>
        </w:r>
      </w:hyperlink>
    </w:p>
    <w:p>
      <w:pPr>
        <w:pStyle w:val="TOC1"/>
        <w:rPr>
          <w:rFonts w:ascii="Calibri" w:hAnsi="Calibri"/>
          <w:noProof/>
          <w:sz w:val="22"/>
        </w:rPr>
      </w:pPr>
      <w:hyperlink w:anchor="_Toc256000141"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_Toc256000141 \h </w:instrText>
        </w:r>
        <w:r>
          <w:fldChar w:fldCharType="separate"/>
        </w:r>
        <w:r>
          <w:t>691</w:t>
        </w:r>
        <w:r>
          <w:fldChar w:fldCharType="end"/>
        </w:r>
      </w:hyperlink>
    </w:p>
    <w:p>
      <w:pPr>
        <w:pStyle w:val="TOC2"/>
        <w:rPr>
          <w:rFonts w:ascii="Calibri" w:hAnsi="Calibri"/>
          <w:noProof/>
          <w:sz w:val="22"/>
        </w:rPr>
      </w:pPr>
      <w:hyperlink w:anchor="_Toc256000142"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_Toc256000142 \h </w:instrText>
        </w:r>
        <w:r>
          <w:fldChar w:fldCharType="separate"/>
        </w:r>
        <w:r>
          <w:t>691</w:t>
        </w:r>
        <w:r>
          <w:fldChar w:fldCharType="end"/>
        </w:r>
      </w:hyperlink>
    </w:p>
    <w:p>
      <w:pPr>
        <w:pStyle w:val="TOC2"/>
        <w:rPr>
          <w:rFonts w:ascii="Calibri" w:hAnsi="Calibri"/>
          <w:noProof/>
          <w:sz w:val="22"/>
        </w:rPr>
      </w:pPr>
      <w:hyperlink w:anchor="_Toc256000143"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_Toc256000143 \h </w:instrText>
        </w:r>
        <w:r>
          <w:fldChar w:fldCharType="separate"/>
        </w:r>
        <w:r>
          <w:t>692</w:t>
        </w:r>
        <w:r>
          <w:fldChar w:fldCharType="end"/>
        </w:r>
      </w:hyperlink>
    </w:p>
    <w:p>
      <w:pPr>
        <w:pStyle w:val="TOC2"/>
        <w:rPr>
          <w:rFonts w:ascii="Calibri" w:hAnsi="Calibri"/>
          <w:noProof/>
          <w:sz w:val="22"/>
        </w:rPr>
      </w:pPr>
      <w:hyperlink w:anchor="_Toc256000144" w:history="1">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_Toc256000144 \h </w:instrText>
        </w:r>
        <w:r>
          <w:fldChar w:fldCharType="separate"/>
        </w:r>
        <w:r>
          <w:t>693</w:t>
        </w:r>
        <w:r>
          <w:fldChar w:fldCharType="end"/>
        </w:r>
      </w:hyperlink>
    </w:p>
    <w:p>
      <w:pPr>
        <w:pStyle w:val="TOC3"/>
        <w:rPr>
          <w:rFonts w:ascii="Calibri" w:hAnsi="Calibri"/>
          <w:noProof/>
          <w:sz w:val="22"/>
        </w:rPr>
      </w:pPr>
      <w:hyperlink w:anchor="_Toc256000145"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_Toc256000145 \h </w:instrText>
        </w:r>
        <w:r>
          <w:fldChar w:fldCharType="separate"/>
        </w:r>
        <w:r>
          <w:t>693</w:t>
        </w:r>
        <w:r>
          <w:fldChar w:fldCharType="end"/>
        </w:r>
      </w:hyperlink>
    </w:p>
    <w:p>
      <w:pPr>
        <w:pStyle w:val="TOC3"/>
        <w:rPr>
          <w:rFonts w:ascii="Calibri" w:hAnsi="Calibri"/>
          <w:noProof/>
          <w:sz w:val="22"/>
        </w:rPr>
      </w:pPr>
      <w:hyperlink w:anchor="_Toc256000146"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_Toc256000146 \h </w:instrText>
        </w:r>
        <w:r>
          <w:fldChar w:fldCharType="separate"/>
        </w:r>
        <w:r>
          <w:t>695</w:t>
        </w:r>
        <w:r>
          <w:fldChar w:fldCharType="end"/>
        </w:r>
      </w:hyperlink>
    </w:p>
    <w:p>
      <w:pPr>
        <w:pStyle w:val="TOC3"/>
        <w:rPr>
          <w:rFonts w:ascii="Calibri" w:hAnsi="Calibri"/>
          <w:noProof/>
          <w:sz w:val="22"/>
        </w:rPr>
      </w:pPr>
      <w:hyperlink w:anchor="_Toc256000147"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_Toc256000147 \h </w:instrText>
        </w:r>
        <w:r>
          <w:fldChar w:fldCharType="separate"/>
        </w:r>
        <w:r>
          <w:t>697</w:t>
        </w:r>
        <w:r>
          <w:fldChar w:fldCharType="end"/>
        </w:r>
      </w:hyperlink>
    </w:p>
    <w:p>
      <w:pPr>
        <w:pStyle w:val="TOC3"/>
        <w:rPr>
          <w:rFonts w:ascii="Calibri" w:hAnsi="Calibri"/>
          <w:noProof/>
          <w:sz w:val="22"/>
        </w:rPr>
      </w:pPr>
      <w:hyperlink w:anchor="_Toc256000148"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_Toc256000148 \h </w:instrText>
        </w:r>
        <w:r>
          <w:fldChar w:fldCharType="separate"/>
        </w:r>
        <w:r>
          <w:t>699</w:t>
        </w:r>
        <w:r>
          <w:fldChar w:fldCharType="end"/>
        </w:r>
      </w:hyperlink>
    </w:p>
    <w:p>
      <w:pPr>
        <w:pStyle w:val="TOC3"/>
        <w:rPr>
          <w:rFonts w:ascii="Calibri" w:hAnsi="Calibri"/>
          <w:noProof/>
          <w:sz w:val="22"/>
        </w:rPr>
      </w:pPr>
      <w:hyperlink w:anchor="_Toc256000149"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_Toc256000149 \h </w:instrText>
        </w:r>
        <w:r>
          <w:fldChar w:fldCharType="separate"/>
        </w:r>
        <w:r>
          <w:t>700</w:t>
        </w:r>
        <w:r>
          <w:fldChar w:fldCharType="end"/>
        </w:r>
      </w:hyperlink>
    </w:p>
    <w:p>
      <w:pPr>
        <w:pStyle w:val="TOC3"/>
        <w:rPr>
          <w:rFonts w:ascii="Calibri" w:hAnsi="Calibri"/>
          <w:noProof/>
          <w:sz w:val="22"/>
        </w:rPr>
      </w:pPr>
      <w:hyperlink w:anchor="_Toc256000150"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_Toc256000150 \h </w:instrText>
        </w:r>
        <w:r>
          <w:fldChar w:fldCharType="separate"/>
        </w:r>
        <w:r>
          <w:t>702</w:t>
        </w:r>
        <w:r>
          <w:fldChar w:fldCharType="end"/>
        </w:r>
      </w:hyperlink>
    </w:p>
    <w:p>
      <w:pPr>
        <w:pStyle w:val="TOC3"/>
        <w:rPr>
          <w:rFonts w:ascii="Calibri" w:hAnsi="Calibri"/>
          <w:noProof/>
          <w:sz w:val="22"/>
        </w:rPr>
      </w:pPr>
      <w:hyperlink w:anchor="_Toc256000151"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_Toc256000151 \h </w:instrText>
        </w:r>
        <w:r>
          <w:fldChar w:fldCharType="separate"/>
        </w:r>
        <w:r>
          <w:t>703</w:t>
        </w:r>
        <w:r>
          <w:fldChar w:fldCharType="end"/>
        </w:r>
      </w:hyperlink>
    </w:p>
    <w:p>
      <w:pPr>
        <w:pStyle w:val="TOC3"/>
        <w:rPr>
          <w:rFonts w:ascii="Calibri" w:hAnsi="Calibri"/>
          <w:noProof/>
          <w:sz w:val="22"/>
        </w:rPr>
      </w:pPr>
      <w:hyperlink w:anchor="_Toc256000152"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_Toc256000152 \h </w:instrText>
        </w:r>
        <w:r>
          <w:fldChar w:fldCharType="separate"/>
        </w:r>
        <w:r>
          <w:t>705</w:t>
        </w:r>
        <w:r>
          <w:fldChar w:fldCharType="end"/>
        </w:r>
      </w:hyperlink>
    </w:p>
    <w:p>
      <w:pPr>
        <w:pStyle w:val="TOC3"/>
        <w:rPr>
          <w:rFonts w:ascii="Calibri" w:hAnsi="Calibri"/>
          <w:noProof/>
          <w:sz w:val="22"/>
        </w:rPr>
      </w:pPr>
      <w:hyperlink w:anchor="_Toc256000153"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_Toc256000153 \h </w:instrText>
        </w:r>
        <w:r>
          <w:fldChar w:fldCharType="separate"/>
        </w:r>
        <w:r>
          <w:t>707</w:t>
        </w:r>
        <w:r>
          <w:fldChar w:fldCharType="end"/>
        </w:r>
      </w:hyperlink>
    </w:p>
    <w:p>
      <w:pPr>
        <w:pStyle w:val="TOC3"/>
        <w:rPr>
          <w:rFonts w:ascii="Calibri" w:hAnsi="Calibri"/>
          <w:noProof/>
          <w:sz w:val="22"/>
        </w:rPr>
      </w:pPr>
      <w:hyperlink w:anchor="_Toc256000154"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_Toc256000154 \h </w:instrText>
        </w:r>
        <w:r>
          <w:fldChar w:fldCharType="separate"/>
        </w:r>
        <w:r>
          <w:t>709</w:t>
        </w:r>
        <w:r>
          <w:fldChar w:fldCharType="end"/>
        </w:r>
      </w:hyperlink>
    </w:p>
    <w:p>
      <w:pPr>
        <w:pStyle w:val="TOC3"/>
        <w:rPr>
          <w:rFonts w:ascii="Calibri" w:hAnsi="Calibri"/>
          <w:noProof/>
          <w:sz w:val="22"/>
        </w:rPr>
      </w:pPr>
      <w:hyperlink w:anchor="_Toc256000155"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_Toc256000155 \h </w:instrText>
        </w:r>
        <w:r>
          <w:fldChar w:fldCharType="separate"/>
        </w:r>
        <w:r>
          <w:t>711</w:t>
        </w:r>
        <w:r>
          <w:fldChar w:fldCharType="end"/>
        </w:r>
      </w:hyperlink>
    </w:p>
    <w:p>
      <w:pPr>
        <w:pStyle w:val="TOC3"/>
        <w:rPr>
          <w:rFonts w:ascii="Calibri" w:hAnsi="Calibri"/>
          <w:noProof/>
          <w:sz w:val="22"/>
        </w:rPr>
      </w:pPr>
      <w:hyperlink w:anchor="_Toc256000156"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_Toc256000156 \h </w:instrText>
        </w:r>
        <w:r>
          <w:fldChar w:fldCharType="separate"/>
        </w:r>
        <w:r>
          <w:t>713</w:t>
        </w:r>
        <w:r>
          <w:fldChar w:fldCharType="end"/>
        </w:r>
      </w:hyperlink>
    </w:p>
    <w:p>
      <w:pPr>
        <w:pStyle w:val="TOC3"/>
        <w:rPr>
          <w:rFonts w:ascii="Calibri" w:hAnsi="Calibri"/>
          <w:noProof/>
          <w:sz w:val="22"/>
        </w:rPr>
      </w:pPr>
      <w:hyperlink w:anchor="_Toc256000157"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_Toc256000157 \h </w:instrText>
        </w:r>
        <w:r>
          <w:fldChar w:fldCharType="separate"/>
        </w:r>
        <w:r>
          <w:t>715</w:t>
        </w:r>
        <w:r>
          <w:fldChar w:fldCharType="end"/>
        </w:r>
      </w:hyperlink>
    </w:p>
    <w:p>
      <w:pPr>
        <w:pStyle w:val="TOC3"/>
        <w:rPr>
          <w:rFonts w:ascii="Calibri" w:hAnsi="Calibri"/>
          <w:noProof/>
          <w:sz w:val="22"/>
        </w:rPr>
      </w:pPr>
      <w:hyperlink w:anchor="_Toc256000158"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_Toc256000158 \h </w:instrText>
        </w:r>
        <w:r>
          <w:fldChar w:fldCharType="separate"/>
        </w:r>
        <w:r>
          <w:t>716</w:t>
        </w:r>
        <w:r>
          <w:fldChar w:fldCharType="end"/>
        </w:r>
      </w:hyperlink>
    </w:p>
    <w:p>
      <w:pPr>
        <w:pStyle w:val="TOC3"/>
        <w:rPr>
          <w:rFonts w:ascii="Calibri" w:hAnsi="Calibri"/>
          <w:noProof/>
          <w:sz w:val="22"/>
        </w:rPr>
      </w:pPr>
      <w:hyperlink w:anchor="_Toc256000159"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_Toc256000159 \h </w:instrText>
        </w:r>
        <w:r>
          <w:fldChar w:fldCharType="separate"/>
        </w:r>
        <w:r>
          <w:t>718</w:t>
        </w:r>
        <w:r>
          <w:fldChar w:fldCharType="end"/>
        </w:r>
      </w:hyperlink>
    </w:p>
    <w:p>
      <w:pPr>
        <w:pStyle w:val="TOC3"/>
        <w:rPr>
          <w:rFonts w:ascii="Calibri" w:hAnsi="Calibri"/>
          <w:noProof/>
          <w:sz w:val="22"/>
        </w:rPr>
      </w:pPr>
      <w:hyperlink w:anchor="_Toc256000160"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_Toc256000160 \h </w:instrText>
        </w:r>
        <w:r>
          <w:fldChar w:fldCharType="separate"/>
        </w:r>
        <w:r>
          <w:t>720</w:t>
        </w:r>
        <w:r>
          <w:fldChar w:fldCharType="end"/>
        </w:r>
      </w:hyperlink>
    </w:p>
    <w:p>
      <w:pPr>
        <w:pStyle w:val="TOC2"/>
        <w:rPr>
          <w:rFonts w:ascii="Calibri" w:hAnsi="Calibri"/>
          <w:noProof/>
          <w:sz w:val="22"/>
        </w:rPr>
      </w:pPr>
      <w:hyperlink w:anchor="_Toc256000161"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_Toc256000161 \h </w:instrText>
        </w:r>
        <w:r>
          <w:fldChar w:fldCharType="separate"/>
        </w:r>
        <w:r>
          <w:t>721</w:t>
        </w:r>
        <w:r>
          <w:fldChar w:fldCharType="end"/>
        </w:r>
      </w:hyperlink>
    </w:p>
    <w:p>
      <w:pPr>
        <w:pStyle w:val="TOC1"/>
        <w:rPr>
          <w:rFonts w:ascii="Calibri" w:hAnsi="Calibri"/>
          <w:noProof/>
          <w:sz w:val="22"/>
        </w:rPr>
      </w:pPr>
      <w:hyperlink w:anchor="_Toc256000162"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_Toc256000162 \h </w:instrText>
        </w:r>
        <w:r>
          <w:fldChar w:fldCharType="separate"/>
        </w:r>
        <w:r>
          <w:t>723</w:t>
        </w:r>
        <w:r>
          <w:fldChar w:fldCharType="end"/>
        </w:r>
      </w:hyperlink>
    </w:p>
    <w:p>
      <w:pPr>
        <w:pStyle w:val="TOC2"/>
        <w:rPr>
          <w:rFonts w:ascii="Calibri" w:hAnsi="Calibri"/>
          <w:noProof/>
          <w:sz w:val="22"/>
        </w:rPr>
      </w:pPr>
      <w:hyperlink w:anchor="_Toc256000163"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_Toc256000163 \h </w:instrText>
        </w:r>
        <w:r>
          <w:fldChar w:fldCharType="separate"/>
        </w:r>
        <w:r>
          <w:t>723</w:t>
        </w:r>
        <w:r>
          <w:fldChar w:fldCharType="end"/>
        </w:r>
      </w:hyperlink>
    </w:p>
    <w:p>
      <w:pPr>
        <w:pStyle w:val="TOC3"/>
        <w:rPr>
          <w:rFonts w:ascii="Calibri" w:hAnsi="Calibri"/>
          <w:noProof/>
          <w:sz w:val="22"/>
        </w:rPr>
      </w:pPr>
      <w:hyperlink w:anchor="_Toc256000164"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_Toc256000164 \h </w:instrText>
        </w:r>
        <w:r>
          <w:fldChar w:fldCharType="separate"/>
        </w:r>
        <w:r>
          <w:t>723</w:t>
        </w:r>
        <w:r>
          <w:fldChar w:fldCharType="end"/>
        </w:r>
      </w:hyperlink>
    </w:p>
    <w:p>
      <w:pPr>
        <w:pStyle w:val="TOC3"/>
        <w:rPr>
          <w:rFonts w:ascii="Calibri" w:hAnsi="Calibri"/>
          <w:noProof/>
          <w:sz w:val="22"/>
        </w:rPr>
      </w:pPr>
      <w:hyperlink w:anchor="_Toc256000165"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_Toc256000165 \h </w:instrText>
        </w:r>
        <w:r>
          <w:fldChar w:fldCharType="separate"/>
        </w:r>
        <w:r>
          <w:t>726</w:t>
        </w:r>
        <w:r>
          <w:fldChar w:fldCharType="end"/>
        </w:r>
      </w:hyperlink>
    </w:p>
    <w:p>
      <w:pPr>
        <w:pStyle w:val="TOC3"/>
        <w:rPr>
          <w:rFonts w:ascii="Calibri" w:hAnsi="Calibri"/>
          <w:noProof/>
          <w:sz w:val="22"/>
        </w:rPr>
      </w:pPr>
      <w:hyperlink w:anchor="_Toc256000166"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_Toc256000166 \h </w:instrText>
        </w:r>
        <w:r>
          <w:fldChar w:fldCharType="separate"/>
        </w:r>
        <w:r>
          <w:t>730</w:t>
        </w:r>
        <w:r>
          <w:fldChar w:fldCharType="end"/>
        </w:r>
      </w:hyperlink>
    </w:p>
    <w:p>
      <w:pPr>
        <w:pStyle w:val="TOC3"/>
        <w:rPr>
          <w:rFonts w:ascii="Calibri" w:hAnsi="Calibri"/>
          <w:noProof/>
          <w:sz w:val="22"/>
        </w:rPr>
      </w:pPr>
      <w:hyperlink w:anchor="_Toc256000167"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_Toc256000167 \h </w:instrText>
        </w:r>
        <w:r>
          <w:fldChar w:fldCharType="separate"/>
        </w:r>
        <w:r>
          <w:t>733</w:t>
        </w:r>
        <w:r>
          <w:fldChar w:fldCharType="end"/>
        </w:r>
      </w:hyperlink>
    </w:p>
    <w:p>
      <w:pPr>
        <w:pStyle w:val="TOC3"/>
        <w:rPr>
          <w:rFonts w:ascii="Calibri" w:hAnsi="Calibri"/>
          <w:noProof/>
          <w:sz w:val="22"/>
        </w:rPr>
      </w:pPr>
      <w:hyperlink w:anchor="_Toc256000168"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_Toc256000168 \h </w:instrText>
        </w:r>
        <w:r>
          <w:fldChar w:fldCharType="separate"/>
        </w:r>
        <w:r>
          <w:t>738</w:t>
        </w:r>
        <w:r>
          <w:fldChar w:fldCharType="end"/>
        </w:r>
      </w:hyperlink>
    </w:p>
    <w:p>
      <w:pPr>
        <w:pStyle w:val="TOC3"/>
        <w:rPr>
          <w:rFonts w:ascii="Calibri" w:hAnsi="Calibri"/>
          <w:noProof/>
          <w:sz w:val="22"/>
        </w:rPr>
      </w:pPr>
      <w:hyperlink w:anchor="_Toc256000169"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_Toc256000169 \h </w:instrText>
        </w:r>
        <w:r>
          <w:fldChar w:fldCharType="separate"/>
        </w:r>
        <w:r>
          <w:t>744</w:t>
        </w:r>
        <w:r>
          <w:fldChar w:fldCharType="end"/>
        </w:r>
      </w:hyperlink>
    </w:p>
    <w:p>
      <w:pPr>
        <w:pStyle w:val="TOC2"/>
        <w:rPr>
          <w:rFonts w:ascii="Calibri" w:hAnsi="Calibri"/>
          <w:noProof/>
          <w:sz w:val="22"/>
        </w:rPr>
      </w:pPr>
      <w:hyperlink w:anchor="_Toc256000170"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_Toc256000170 \h </w:instrText>
        </w:r>
        <w:r>
          <w:fldChar w:fldCharType="separate"/>
        </w:r>
        <w:r>
          <w:t>749</w:t>
        </w:r>
        <w:r>
          <w:fldChar w:fldCharType="end"/>
        </w:r>
      </w:hyperlink>
    </w:p>
    <w:p>
      <w:pPr>
        <w:pStyle w:val="TOC2"/>
        <w:rPr>
          <w:rFonts w:ascii="Calibri" w:hAnsi="Calibri"/>
          <w:noProof/>
          <w:sz w:val="22"/>
        </w:rPr>
      </w:pPr>
      <w:hyperlink w:anchor="_Toc256000171"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_Toc256000171 \h </w:instrText>
        </w:r>
        <w:r>
          <w:fldChar w:fldCharType="separate"/>
        </w:r>
        <w:r>
          <w:t>753</w:t>
        </w:r>
        <w:r>
          <w:fldChar w:fldCharType="end"/>
        </w:r>
      </w:hyperlink>
    </w:p>
    <w:p>
      <w:pPr>
        <w:pStyle w:val="TOC2"/>
        <w:rPr>
          <w:rFonts w:ascii="Calibri" w:hAnsi="Calibri"/>
          <w:noProof/>
          <w:sz w:val="22"/>
        </w:rPr>
      </w:pPr>
      <w:hyperlink w:anchor="_Toc256000172"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_Toc256000172 \h </w:instrText>
        </w:r>
        <w:r>
          <w:fldChar w:fldCharType="separate"/>
        </w:r>
        <w:r>
          <w:t>756</w:t>
        </w:r>
        <w:r>
          <w:fldChar w:fldCharType="end"/>
        </w:r>
      </w:hyperlink>
    </w:p>
    <w:p>
      <w:pPr>
        <w:pStyle w:val="TOC3"/>
        <w:rPr>
          <w:rFonts w:ascii="Calibri" w:hAnsi="Calibri"/>
          <w:noProof/>
          <w:sz w:val="22"/>
        </w:rPr>
      </w:pPr>
      <w:hyperlink w:anchor="_Toc256000173"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_Toc256000173 \h </w:instrText>
        </w:r>
        <w:r>
          <w:fldChar w:fldCharType="separate"/>
        </w:r>
        <w:r>
          <w:t>756</w:t>
        </w:r>
        <w:r>
          <w:fldChar w:fldCharType="end"/>
        </w:r>
      </w:hyperlink>
    </w:p>
    <w:p>
      <w:pPr>
        <w:pStyle w:val="TOC3"/>
        <w:rPr>
          <w:rFonts w:ascii="Calibri" w:hAnsi="Calibri"/>
          <w:noProof/>
          <w:sz w:val="22"/>
        </w:rPr>
      </w:pPr>
      <w:hyperlink w:anchor="_Toc256000174"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_Toc256000174 \h </w:instrText>
        </w:r>
        <w:r>
          <w:fldChar w:fldCharType="separate"/>
        </w:r>
        <w:r>
          <w:t>760</w:t>
        </w:r>
        <w:r>
          <w:fldChar w:fldCharType="end"/>
        </w:r>
      </w:hyperlink>
    </w:p>
    <w:p>
      <w:pPr>
        <w:pStyle w:val="TOC2"/>
        <w:rPr>
          <w:rFonts w:ascii="Calibri" w:hAnsi="Calibri"/>
          <w:noProof/>
          <w:sz w:val="22"/>
        </w:rPr>
      </w:pPr>
      <w:hyperlink w:anchor="_Toc256000175"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_Toc256000175 \h </w:instrText>
        </w:r>
        <w:r>
          <w:fldChar w:fldCharType="separate"/>
        </w:r>
        <w:r>
          <w:t>761</w:t>
        </w:r>
        <w:r>
          <w:fldChar w:fldCharType="end"/>
        </w:r>
      </w:hyperlink>
    </w:p>
    <w:p>
      <w:pPr>
        <w:pStyle w:val="TOC1"/>
        <w:rPr>
          <w:rFonts w:ascii="Calibri" w:hAnsi="Calibri"/>
          <w:noProof/>
          <w:sz w:val="22"/>
        </w:rPr>
      </w:pPr>
      <w:hyperlink w:anchor="_Toc256000176"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_Toc256000176 \h </w:instrText>
        </w:r>
        <w:r>
          <w:fldChar w:fldCharType="separate"/>
        </w:r>
        <w:r>
          <w:t>762</w:t>
        </w:r>
        <w:r>
          <w:fldChar w:fldCharType="end"/>
        </w:r>
      </w:hyperlink>
    </w:p>
    <w:p>
      <w:pPr>
        <w:pStyle w:val="TOC2"/>
        <w:rPr>
          <w:rFonts w:ascii="Calibri" w:hAnsi="Calibri"/>
          <w:noProof/>
          <w:sz w:val="22"/>
        </w:rPr>
      </w:pPr>
      <w:hyperlink w:anchor="_Toc256000177"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_Toc256000177 \h </w:instrText>
        </w:r>
        <w:r>
          <w:fldChar w:fldCharType="separate"/>
        </w:r>
        <w:r>
          <w:t>762</w:t>
        </w:r>
        <w:r>
          <w:fldChar w:fldCharType="end"/>
        </w:r>
      </w:hyperlink>
    </w:p>
    <w:p>
      <w:pPr>
        <w:pStyle w:val="TOC2"/>
        <w:rPr>
          <w:rFonts w:ascii="Calibri" w:hAnsi="Calibri"/>
          <w:noProof/>
          <w:sz w:val="22"/>
        </w:rPr>
      </w:pPr>
      <w:hyperlink w:anchor="_Toc256000178"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_Toc256000178 \h </w:instrText>
        </w:r>
        <w:r>
          <w:fldChar w:fldCharType="separate"/>
        </w:r>
        <w:r>
          <w:t>763</w:t>
        </w:r>
        <w:r>
          <w:fldChar w:fldCharType="end"/>
        </w:r>
      </w:hyperlink>
    </w:p>
    <w:p>
      <w:pPr>
        <w:pStyle w:val="TOC2"/>
        <w:rPr>
          <w:rFonts w:ascii="Calibri" w:hAnsi="Calibri"/>
          <w:noProof/>
          <w:sz w:val="22"/>
        </w:rPr>
      </w:pPr>
      <w:hyperlink w:anchor="_Toc256000179"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_Toc256000179 \h </w:instrText>
        </w:r>
        <w:r>
          <w:fldChar w:fldCharType="separate"/>
        </w:r>
        <w:r>
          <w:t>763</w:t>
        </w:r>
        <w:r>
          <w:fldChar w:fldCharType="end"/>
        </w:r>
      </w:hyperlink>
    </w:p>
    <w:p>
      <w:pPr>
        <w:pStyle w:val="TOC2"/>
        <w:rPr>
          <w:rFonts w:ascii="Calibri" w:hAnsi="Calibri"/>
          <w:noProof/>
          <w:sz w:val="22"/>
        </w:rPr>
      </w:pPr>
      <w:hyperlink w:anchor="_Toc256000180"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_Toc256000180 \h </w:instrText>
        </w:r>
        <w:r>
          <w:fldChar w:fldCharType="separate"/>
        </w:r>
        <w:r>
          <w:t>763</w:t>
        </w:r>
        <w:r>
          <w:fldChar w:fldCharType="end"/>
        </w:r>
      </w:hyperlink>
    </w:p>
    <w:p>
      <w:pPr>
        <w:pStyle w:val="TOC2"/>
        <w:rPr>
          <w:rFonts w:ascii="Calibri" w:hAnsi="Calibri"/>
          <w:noProof/>
          <w:sz w:val="22"/>
        </w:rPr>
      </w:pPr>
      <w:hyperlink w:anchor="_Toc256000181"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_Toc256000181 \h </w:instrText>
        </w:r>
        <w:r>
          <w:fldChar w:fldCharType="separate"/>
        </w:r>
        <w:r>
          <w:t>763</w:t>
        </w:r>
        <w:r>
          <w:fldChar w:fldCharType="end"/>
        </w:r>
      </w:hyperlink>
    </w:p>
    <w:p>
      <w:pPr>
        <w:pStyle w:val="TOC2"/>
        <w:rPr>
          <w:rFonts w:ascii="Calibri" w:hAnsi="Calibri"/>
          <w:noProof/>
          <w:sz w:val="22"/>
        </w:rPr>
      </w:pPr>
      <w:hyperlink w:anchor="_Toc256000182"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_Toc256000182 \h </w:instrText>
        </w:r>
        <w:r>
          <w:fldChar w:fldCharType="separate"/>
        </w:r>
        <w:r>
          <w:t>764</w:t>
        </w:r>
        <w:r>
          <w:fldChar w:fldCharType="end"/>
        </w:r>
      </w:hyperlink>
    </w:p>
    <w:p>
      <w:pPr>
        <w:pStyle w:val="TOC2"/>
        <w:rPr>
          <w:rFonts w:ascii="Calibri" w:hAnsi="Calibri"/>
          <w:noProof/>
          <w:sz w:val="22"/>
        </w:rPr>
      </w:pPr>
      <w:hyperlink w:anchor="_Toc256000183"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_Toc256000183 \h </w:instrText>
        </w:r>
        <w:r>
          <w:fldChar w:fldCharType="separate"/>
        </w:r>
        <w:r>
          <w:t>764</w:t>
        </w:r>
        <w:r>
          <w:fldChar w:fldCharType="end"/>
        </w:r>
      </w:hyperlink>
    </w:p>
    <w:p>
      <w:pPr>
        <w:pStyle w:val="TOC2"/>
        <w:rPr>
          <w:rFonts w:ascii="Calibri" w:hAnsi="Calibri"/>
          <w:noProof/>
          <w:sz w:val="22"/>
        </w:rPr>
      </w:pPr>
      <w:hyperlink w:anchor="_Toc256000184"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_Toc256000184 \h </w:instrText>
        </w:r>
        <w:r>
          <w:fldChar w:fldCharType="separate"/>
        </w:r>
        <w:r>
          <w:t>764</w:t>
        </w:r>
        <w:r>
          <w:fldChar w:fldCharType="end"/>
        </w:r>
      </w:hyperlink>
    </w:p>
    <w:p>
      <w:pPr>
        <w:pStyle w:val="TOC2"/>
        <w:rPr>
          <w:rFonts w:ascii="Calibri" w:hAnsi="Calibri"/>
          <w:noProof/>
          <w:sz w:val="22"/>
        </w:rPr>
      </w:pPr>
      <w:hyperlink w:anchor="_Toc256000185"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_Toc256000185 \h </w:instrText>
        </w:r>
        <w:r>
          <w:fldChar w:fldCharType="separate"/>
        </w:r>
        <w:r>
          <w:t>764</w:t>
        </w:r>
        <w:r>
          <w:fldChar w:fldCharType="end"/>
        </w:r>
      </w:hyperlink>
    </w:p>
    <w:p>
      <w:pPr>
        <w:pStyle w:val="TOC2"/>
        <w:rPr>
          <w:rFonts w:ascii="Calibri" w:hAnsi="Calibri"/>
          <w:noProof/>
          <w:sz w:val="22"/>
        </w:rPr>
      </w:pPr>
      <w:hyperlink w:anchor="_Toc256000186"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_Toc256000186 \h </w:instrText>
        </w:r>
        <w:r>
          <w:fldChar w:fldCharType="separate"/>
        </w:r>
        <w:r>
          <w:t>764</w:t>
        </w:r>
        <w:r>
          <w:fldChar w:fldCharType="end"/>
        </w:r>
      </w:hyperlink>
    </w:p>
    <w:p>
      <w:pPr>
        <w:pStyle w:val="TOC2"/>
        <w:rPr>
          <w:rFonts w:ascii="Calibri" w:hAnsi="Calibri"/>
          <w:noProof/>
          <w:sz w:val="22"/>
        </w:rPr>
      </w:pPr>
      <w:hyperlink w:anchor="_Toc256000187"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_Toc256000187 \h </w:instrText>
        </w:r>
        <w:r>
          <w:fldChar w:fldCharType="separate"/>
        </w:r>
        <w:r>
          <w:t>765</w:t>
        </w:r>
        <w:r>
          <w:fldChar w:fldCharType="end"/>
        </w:r>
      </w:hyperlink>
    </w:p>
    <w:p>
      <w:pPr>
        <w:pStyle w:val="TOC2"/>
        <w:rPr>
          <w:rFonts w:ascii="Calibri" w:hAnsi="Calibri"/>
          <w:noProof/>
          <w:sz w:val="22"/>
        </w:rPr>
      </w:pPr>
      <w:hyperlink w:anchor="_Toc256000188"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_Toc256000188 \h </w:instrText>
        </w:r>
        <w:r>
          <w:fldChar w:fldCharType="separate"/>
        </w:r>
        <w:r>
          <w:t>765</w:t>
        </w:r>
        <w:r>
          <w:fldChar w:fldCharType="end"/>
        </w:r>
      </w:hyperlink>
    </w:p>
    <w:p>
      <w:pPr>
        <w:pStyle w:val="TOC2"/>
        <w:rPr>
          <w:rFonts w:ascii="Calibri" w:hAnsi="Calibri"/>
          <w:noProof/>
          <w:sz w:val="22"/>
        </w:rPr>
      </w:pPr>
      <w:hyperlink w:anchor="_Toc256000189"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_Toc256000189 \h </w:instrText>
        </w:r>
        <w:r>
          <w:fldChar w:fldCharType="separate"/>
        </w:r>
        <w:r>
          <w:t>765</w:t>
        </w:r>
        <w:r>
          <w:fldChar w:fldCharType="end"/>
        </w:r>
      </w:hyperlink>
    </w:p>
    <w:p>
      <w:pPr>
        <w:pStyle w:val="TOC2"/>
        <w:rPr>
          <w:rFonts w:ascii="Calibri" w:hAnsi="Calibri"/>
          <w:noProof/>
          <w:sz w:val="22"/>
        </w:rPr>
      </w:pPr>
      <w:hyperlink w:anchor="_Toc256000190"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_Toc256000190 \h </w:instrText>
        </w:r>
        <w:r>
          <w:fldChar w:fldCharType="separate"/>
        </w:r>
        <w:r>
          <w:t>765</w:t>
        </w:r>
        <w:r>
          <w:fldChar w:fldCharType="end"/>
        </w:r>
      </w:hyperlink>
    </w:p>
    <w:p>
      <w:pPr>
        <w:pStyle w:val="TOC2"/>
        <w:rPr>
          <w:rFonts w:ascii="Calibri" w:hAnsi="Calibri"/>
          <w:noProof/>
          <w:sz w:val="22"/>
        </w:rPr>
      </w:pPr>
      <w:hyperlink w:anchor="_Toc256000191"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_Toc256000191 \h </w:instrText>
        </w:r>
        <w:r>
          <w:fldChar w:fldCharType="separate"/>
        </w:r>
        <w:r>
          <w:t>766</w:t>
        </w:r>
        <w:r>
          <w:fldChar w:fldCharType="end"/>
        </w:r>
      </w:hyperlink>
    </w:p>
    <w:p>
      <w:pPr>
        <w:pStyle w:val="TOC2"/>
        <w:rPr>
          <w:rFonts w:ascii="Calibri" w:hAnsi="Calibri"/>
          <w:noProof/>
          <w:sz w:val="22"/>
        </w:rPr>
      </w:pPr>
      <w:hyperlink w:anchor="_Toc256000192"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_Toc256000192 \h </w:instrText>
        </w:r>
        <w:r>
          <w:fldChar w:fldCharType="separate"/>
        </w:r>
        <w:r>
          <w:t>766</w:t>
        </w:r>
        <w:r>
          <w:fldChar w:fldCharType="end"/>
        </w:r>
      </w:hyperlink>
    </w:p>
    <w:p>
      <w:pPr>
        <w:pStyle w:val="TOC1"/>
        <w:rPr>
          <w:rFonts w:ascii="Calibri" w:hAnsi="Calibri"/>
          <w:noProof/>
          <w:sz w:val="22"/>
        </w:rPr>
      </w:pPr>
      <w:hyperlink w:anchor="_Toc256000193"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_Toc256000193 \h </w:instrText>
        </w:r>
        <w:r>
          <w:fldChar w:fldCharType="separate"/>
        </w:r>
        <w:r>
          <w:t>767</w:t>
        </w:r>
        <w:r>
          <w:fldChar w:fldCharType="end"/>
        </w:r>
      </w:hyperlink>
    </w:p>
    <w:p>
      <w:pPr>
        <w:pStyle w:val="TOC2"/>
        <w:rPr>
          <w:rFonts w:ascii="Calibri" w:hAnsi="Calibri"/>
          <w:noProof/>
          <w:sz w:val="22"/>
        </w:rPr>
      </w:pPr>
      <w:hyperlink w:anchor="_Toc256000194"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_Toc256000194 \h </w:instrText>
        </w:r>
        <w:r>
          <w:fldChar w:fldCharType="separate"/>
        </w:r>
        <w:r>
          <w:t>770</w:t>
        </w:r>
        <w:r>
          <w:fldChar w:fldCharType="end"/>
        </w:r>
      </w:hyperlink>
    </w:p>
    <w:p>
      <w:pPr>
        <w:pStyle w:val="TOC2"/>
        <w:rPr>
          <w:rFonts w:ascii="Calibri" w:hAnsi="Calibri"/>
          <w:noProof/>
          <w:sz w:val="22"/>
        </w:rPr>
      </w:pPr>
      <w:hyperlink w:anchor="_Toc256000195"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_Toc256000195 \h </w:instrText>
        </w:r>
        <w:r>
          <w:fldChar w:fldCharType="separate"/>
        </w:r>
        <w:r>
          <w:t>770</w:t>
        </w:r>
        <w:r>
          <w:fldChar w:fldCharType="end"/>
        </w:r>
      </w:hyperlink>
    </w:p>
    <w:p>
      <w:pPr>
        <w:pStyle w:val="TOC2"/>
        <w:rPr>
          <w:rFonts w:ascii="Calibri" w:hAnsi="Calibri"/>
          <w:noProof/>
          <w:sz w:val="22"/>
        </w:rPr>
      </w:pPr>
      <w:hyperlink w:anchor="_Toc256000196"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_Toc256000196 \h </w:instrText>
        </w:r>
        <w:r>
          <w:fldChar w:fldCharType="separate"/>
        </w:r>
        <w:r>
          <w:t>771</w:t>
        </w:r>
        <w:r>
          <w:fldChar w:fldCharType="end"/>
        </w:r>
      </w:hyperlink>
    </w:p>
    <w:p>
      <w:pPr>
        <w:pStyle w:val="TOC2"/>
        <w:rPr>
          <w:rFonts w:ascii="Calibri" w:hAnsi="Calibri"/>
          <w:noProof/>
          <w:sz w:val="22"/>
        </w:rPr>
      </w:pPr>
      <w:hyperlink w:anchor="_Toc256000197"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_Toc256000197 \h </w:instrText>
        </w:r>
        <w:r>
          <w:fldChar w:fldCharType="separate"/>
        </w:r>
        <w:r>
          <w:t>771</w:t>
        </w:r>
        <w:r>
          <w:fldChar w:fldCharType="end"/>
        </w:r>
      </w:hyperlink>
    </w:p>
    <w:p>
      <w:pPr>
        <w:pStyle w:val="TOC2"/>
        <w:rPr>
          <w:rFonts w:ascii="Calibri" w:hAnsi="Calibri"/>
          <w:noProof/>
          <w:sz w:val="22"/>
        </w:rPr>
      </w:pPr>
      <w:hyperlink w:anchor="_Toc256000198"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_Toc256000198 \h </w:instrText>
        </w:r>
        <w:r>
          <w:fldChar w:fldCharType="separate"/>
        </w:r>
        <w:r>
          <w:t>772</w:t>
        </w:r>
        <w:r>
          <w:fldChar w:fldCharType="end"/>
        </w:r>
      </w:hyperlink>
    </w:p>
    <w:p>
      <w:pPr>
        <w:pStyle w:val="TOC2"/>
        <w:rPr>
          <w:rFonts w:ascii="Calibri" w:hAnsi="Calibri"/>
          <w:noProof/>
          <w:sz w:val="22"/>
        </w:rPr>
      </w:pPr>
      <w:hyperlink w:anchor="_Toc256000199"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_Toc256000199 \h </w:instrText>
        </w:r>
        <w:r>
          <w:fldChar w:fldCharType="separate"/>
        </w:r>
        <w:r>
          <w:t>772</w:t>
        </w:r>
        <w:r>
          <w:fldChar w:fldCharType="end"/>
        </w:r>
      </w:hyperlink>
    </w:p>
    <w:p>
      <w:pPr>
        <w:pStyle w:val="TOC2"/>
        <w:rPr>
          <w:rFonts w:ascii="Calibri" w:hAnsi="Calibri"/>
          <w:noProof/>
          <w:sz w:val="22"/>
        </w:rPr>
      </w:pPr>
      <w:hyperlink w:anchor="_Toc256000200"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_Toc256000200 \h </w:instrText>
        </w:r>
        <w:r>
          <w:fldChar w:fldCharType="separate"/>
        </w:r>
        <w:r>
          <w:t>773</w:t>
        </w:r>
        <w:r>
          <w:fldChar w:fldCharType="end"/>
        </w:r>
      </w:hyperlink>
    </w:p>
    <w:p>
      <w:pPr>
        <w:pStyle w:val="TOC2"/>
        <w:rPr>
          <w:rFonts w:ascii="Calibri" w:hAnsi="Calibri"/>
          <w:noProof/>
          <w:sz w:val="22"/>
        </w:rPr>
      </w:pPr>
      <w:hyperlink w:anchor="_Toc256000201"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_Toc256000201 \h </w:instrText>
        </w:r>
        <w:r>
          <w:fldChar w:fldCharType="separate"/>
        </w:r>
        <w:r>
          <w:t>773</w:t>
        </w:r>
        <w:r>
          <w:fldChar w:fldCharType="end"/>
        </w:r>
      </w:hyperlink>
    </w:p>
    <w:p>
      <w:pPr>
        <w:pStyle w:val="TOC2"/>
        <w:rPr>
          <w:rFonts w:ascii="Calibri" w:hAnsi="Calibri"/>
          <w:noProof/>
          <w:sz w:val="22"/>
        </w:rPr>
      </w:pPr>
      <w:hyperlink w:anchor="_Toc256000202"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_Toc256000202 \h </w:instrText>
        </w:r>
        <w:r>
          <w:fldChar w:fldCharType="separate"/>
        </w:r>
        <w:r>
          <w:t>774</w:t>
        </w:r>
        <w:r>
          <w:fldChar w:fldCharType="end"/>
        </w:r>
      </w:hyperlink>
    </w:p>
    <w:p>
      <w:pPr>
        <w:pStyle w:val="TOC2"/>
        <w:rPr>
          <w:rFonts w:ascii="Calibri" w:hAnsi="Calibri"/>
          <w:noProof/>
          <w:sz w:val="22"/>
        </w:rPr>
      </w:pPr>
      <w:hyperlink w:anchor="_Toc256000203"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_Toc256000203 \h </w:instrText>
        </w:r>
        <w:r>
          <w:fldChar w:fldCharType="separate"/>
        </w:r>
        <w:r>
          <w:t>774</w:t>
        </w:r>
        <w:r>
          <w:fldChar w:fldCharType="end"/>
        </w:r>
      </w:hyperlink>
    </w:p>
    <w:p>
      <w:pPr>
        <w:pStyle w:val="TOC2"/>
        <w:rPr>
          <w:rFonts w:ascii="Calibri" w:hAnsi="Calibri"/>
          <w:noProof/>
          <w:sz w:val="22"/>
        </w:rPr>
      </w:pPr>
      <w:hyperlink w:anchor="_Toc256000204"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_Toc256000204 \h </w:instrText>
        </w:r>
        <w:r>
          <w:fldChar w:fldCharType="separate"/>
        </w:r>
        <w:r>
          <w:t>775</w:t>
        </w:r>
        <w:r>
          <w:fldChar w:fldCharType="end"/>
        </w:r>
      </w:hyperlink>
    </w:p>
    <w:p>
      <w:pPr>
        <w:pStyle w:val="TOC2"/>
        <w:rPr>
          <w:rFonts w:ascii="Calibri" w:hAnsi="Calibri"/>
          <w:noProof/>
          <w:sz w:val="22"/>
        </w:rPr>
      </w:pPr>
      <w:hyperlink w:anchor="_Toc256000205"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_Toc256000205 \h </w:instrText>
        </w:r>
        <w:r>
          <w:fldChar w:fldCharType="separate"/>
        </w:r>
        <w:r>
          <w:t>775</w:t>
        </w:r>
        <w:r>
          <w:fldChar w:fldCharType="end"/>
        </w:r>
      </w:hyperlink>
    </w:p>
    <w:p>
      <w:pPr>
        <w:pStyle w:val="TOC2"/>
        <w:rPr>
          <w:rFonts w:ascii="Calibri" w:hAnsi="Calibri"/>
          <w:noProof/>
          <w:sz w:val="22"/>
        </w:rPr>
      </w:pPr>
      <w:hyperlink w:anchor="_Toc256000206"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_Toc256000206 \h </w:instrText>
        </w:r>
        <w:r>
          <w:fldChar w:fldCharType="separate"/>
        </w:r>
        <w:r>
          <w:t>776</w:t>
        </w:r>
        <w:r>
          <w:fldChar w:fldCharType="end"/>
        </w:r>
      </w:hyperlink>
    </w:p>
    <w:p>
      <w:pPr>
        <w:pStyle w:val="TOC2"/>
        <w:rPr>
          <w:rFonts w:ascii="Calibri" w:hAnsi="Calibri"/>
          <w:noProof/>
          <w:sz w:val="22"/>
        </w:rPr>
      </w:pPr>
      <w:hyperlink w:anchor="_Toc256000207"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_Toc256000207 \h </w:instrText>
        </w:r>
        <w:r>
          <w:fldChar w:fldCharType="separate"/>
        </w:r>
        <w:r>
          <w:t>776</w:t>
        </w:r>
        <w:r>
          <w:fldChar w:fldCharType="end"/>
        </w:r>
      </w:hyperlink>
    </w:p>
    <w:p>
      <w:pPr>
        <w:pStyle w:val="TOC2"/>
        <w:rPr>
          <w:rFonts w:ascii="Calibri" w:hAnsi="Calibri"/>
          <w:noProof/>
          <w:sz w:val="22"/>
        </w:rPr>
      </w:pPr>
      <w:hyperlink w:anchor="_Toc256000208"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_Toc256000208 \h </w:instrText>
        </w:r>
        <w:r>
          <w:fldChar w:fldCharType="separate"/>
        </w:r>
        <w:r>
          <w:t>777</w:t>
        </w:r>
        <w:r>
          <w:fldChar w:fldCharType="end"/>
        </w:r>
      </w:hyperlink>
    </w:p>
    <w:p>
      <w:pPr>
        <w:pStyle w:val="TOC2"/>
        <w:rPr>
          <w:rFonts w:ascii="Calibri" w:hAnsi="Calibri"/>
          <w:noProof/>
          <w:sz w:val="22"/>
        </w:rPr>
      </w:pPr>
      <w:hyperlink w:anchor="_Toc256000209"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_Toc256000209 \h </w:instrText>
        </w:r>
        <w:r>
          <w:fldChar w:fldCharType="separate"/>
        </w:r>
        <w:r>
          <w:t>777</w:t>
        </w:r>
        <w:r>
          <w:fldChar w:fldCharType="end"/>
        </w:r>
      </w:hyperlink>
    </w:p>
    <w:p>
      <w:pPr>
        <w:pStyle w:val="TOC2"/>
        <w:rPr>
          <w:rFonts w:ascii="Calibri" w:hAnsi="Calibri"/>
          <w:noProof/>
          <w:sz w:val="22"/>
        </w:rPr>
      </w:pPr>
      <w:hyperlink w:anchor="_Toc256000210"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_Toc256000210 \h </w:instrText>
        </w:r>
        <w:r>
          <w:fldChar w:fldCharType="separate"/>
        </w:r>
        <w:r>
          <w:t>778</w:t>
        </w:r>
        <w:r>
          <w:fldChar w:fldCharType="end"/>
        </w:r>
      </w:hyperlink>
    </w:p>
    <w:p>
      <w:pPr>
        <w:pStyle w:val="TOC2"/>
        <w:rPr>
          <w:rFonts w:ascii="Calibri" w:hAnsi="Calibri"/>
          <w:noProof/>
          <w:sz w:val="22"/>
        </w:rPr>
      </w:pPr>
      <w:hyperlink w:anchor="_Toc256000211"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_Toc256000211 \h </w:instrText>
        </w:r>
        <w:r>
          <w:fldChar w:fldCharType="separate"/>
        </w:r>
        <w:r>
          <w:t>778</w:t>
        </w:r>
        <w:r>
          <w:fldChar w:fldCharType="end"/>
        </w:r>
      </w:hyperlink>
    </w:p>
    <w:p>
      <w:pPr>
        <w:pStyle w:val="TOC2"/>
        <w:rPr>
          <w:rFonts w:ascii="Calibri" w:hAnsi="Calibri"/>
          <w:noProof/>
          <w:sz w:val="22"/>
        </w:rPr>
      </w:pPr>
      <w:hyperlink w:anchor="_Toc256000212"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_Toc256000212 \h </w:instrText>
        </w:r>
        <w:r>
          <w:fldChar w:fldCharType="separate"/>
        </w:r>
        <w:r>
          <w:t>778</w:t>
        </w:r>
        <w:r>
          <w:fldChar w:fldCharType="end"/>
        </w:r>
      </w:hyperlink>
    </w:p>
    <w:p>
      <w:pPr>
        <w:pStyle w:val="TOC2"/>
        <w:rPr>
          <w:rFonts w:ascii="Calibri" w:hAnsi="Calibri"/>
          <w:noProof/>
          <w:sz w:val="22"/>
        </w:rPr>
      </w:pPr>
      <w:hyperlink w:anchor="_Toc256000213"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_Toc256000213 \h </w:instrText>
        </w:r>
        <w:r>
          <w:fldChar w:fldCharType="separate"/>
        </w:r>
        <w:r>
          <w:t>779</w:t>
        </w:r>
        <w:r>
          <w:fldChar w:fldCharType="end"/>
        </w:r>
      </w:hyperlink>
    </w:p>
    <w:p>
      <w:pPr>
        <w:pStyle w:val="TOC2"/>
        <w:rPr>
          <w:rFonts w:ascii="Calibri" w:hAnsi="Calibri"/>
          <w:noProof/>
          <w:sz w:val="22"/>
        </w:rPr>
      </w:pPr>
      <w:hyperlink w:anchor="_Toc256000214"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_Toc256000214 \h </w:instrText>
        </w:r>
        <w:r>
          <w:fldChar w:fldCharType="separate"/>
        </w:r>
        <w:r>
          <w:t>779</w:t>
        </w:r>
        <w:r>
          <w:fldChar w:fldCharType="end"/>
        </w:r>
      </w:hyperlink>
    </w:p>
    <w:p>
      <w:pPr>
        <w:pStyle w:val="TOC2"/>
        <w:rPr>
          <w:rFonts w:ascii="Calibri" w:hAnsi="Calibri"/>
          <w:noProof/>
          <w:sz w:val="22"/>
        </w:rPr>
      </w:pPr>
      <w:hyperlink w:anchor="_Toc256000215"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_Toc256000215 \h </w:instrText>
        </w:r>
        <w:r>
          <w:fldChar w:fldCharType="separate"/>
        </w:r>
        <w:r>
          <w:t>780</w:t>
        </w:r>
        <w:r>
          <w:fldChar w:fldCharType="end"/>
        </w:r>
      </w:hyperlink>
    </w:p>
    <w:p>
      <w:pPr>
        <w:pStyle w:val="TOC1"/>
        <w:rPr>
          <w:rFonts w:ascii="Calibri" w:hAnsi="Calibri"/>
          <w:noProof/>
          <w:sz w:val="22"/>
        </w:rPr>
      </w:pPr>
      <w:hyperlink w:anchor="_Toc256000216"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_Toc256000216 \h </w:instrText>
        </w:r>
        <w:r>
          <w:fldChar w:fldCharType="separate"/>
        </w:r>
        <w:r>
          <w:t>781</w:t>
        </w:r>
        <w:r>
          <w:fldChar w:fldCharType="end"/>
        </w:r>
      </w:hyperlink>
    </w:p>
    <w:p>
      <w:pPr>
        <w:pStyle w:val="TOC2"/>
        <w:rPr>
          <w:rFonts w:ascii="Calibri" w:hAnsi="Calibri"/>
          <w:noProof/>
          <w:sz w:val="22"/>
        </w:rPr>
      </w:pPr>
      <w:hyperlink w:anchor="_Toc256000217"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_Toc256000217 \h </w:instrText>
        </w:r>
        <w:r>
          <w:fldChar w:fldCharType="separate"/>
        </w:r>
        <w:r>
          <w:t>781</w:t>
        </w:r>
        <w:r>
          <w:fldChar w:fldCharType="end"/>
        </w:r>
      </w:hyperlink>
    </w:p>
    <w:p>
      <w:pPr>
        <w:pStyle w:val="TOC3"/>
        <w:rPr>
          <w:rFonts w:ascii="Calibri" w:hAnsi="Calibri"/>
          <w:noProof/>
          <w:sz w:val="22"/>
        </w:rPr>
      </w:pPr>
      <w:hyperlink w:anchor="_Toc256000218"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_Toc256000218 \h </w:instrText>
        </w:r>
        <w:r>
          <w:fldChar w:fldCharType="separate"/>
        </w:r>
        <w:r>
          <w:t>781</w:t>
        </w:r>
        <w:r>
          <w:fldChar w:fldCharType="end"/>
        </w:r>
      </w:hyperlink>
    </w:p>
    <w:p>
      <w:pPr>
        <w:pStyle w:val="TOC3"/>
        <w:rPr>
          <w:rFonts w:ascii="Calibri" w:hAnsi="Calibri"/>
          <w:noProof/>
          <w:sz w:val="22"/>
        </w:rPr>
      </w:pPr>
      <w:hyperlink w:anchor="_Toc256000219"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_Toc256000219 \h </w:instrText>
        </w:r>
        <w:r>
          <w:fldChar w:fldCharType="separate"/>
        </w:r>
        <w:r>
          <w:t>789</w:t>
        </w:r>
        <w:r>
          <w:fldChar w:fldCharType="end"/>
        </w:r>
      </w:hyperlink>
    </w:p>
    <w:p>
      <w:pPr>
        <w:pStyle w:val="TOC2"/>
        <w:rPr>
          <w:rFonts w:ascii="Calibri" w:hAnsi="Calibri"/>
          <w:noProof/>
          <w:sz w:val="22"/>
        </w:rPr>
      </w:pPr>
      <w:hyperlink w:anchor="_Toc256000220"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_Toc256000220 \h </w:instrText>
        </w:r>
        <w:r>
          <w:fldChar w:fldCharType="separate"/>
        </w:r>
        <w:r>
          <w:t>789</w:t>
        </w:r>
        <w:r>
          <w:fldChar w:fldCharType="end"/>
        </w:r>
      </w:hyperlink>
    </w:p>
    <w:p>
      <w:pPr>
        <w:pStyle w:val="TOC1"/>
        <w:rPr>
          <w:rFonts w:ascii="Calibri" w:hAnsi="Calibri"/>
          <w:noProof/>
          <w:sz w:val="22"/>
        </w:rPr>
      </w:pPr>
      <w:hyperlink w:anchor="_Toc256000221"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_Toc256000221 \h </w:instrText>
        </w:r>
        <w:r>
          <w:fldChar w:fldCharType="separate"/>
        </w:r>
        <w:r>
          <w:t>792</w:t>
        </w:r>
        <w:r>
          <w:fldChar w:fldCharType="end"/>
        </w:r>
      </w:hyperlink>
    </w:p>
    <w:p>
      <w:pPr>
        <w:pStyle w:val="TOC2"/>
        <w:rPr>
          <w:rFonts w:ascii="Calibri" w:hAnsi="Calibri"/>
          <w:noProof/>
          <w:sz w:val="22"/>
        </w:rPr>
      </w:pPr>
      <w:hyperlink w:anchor="_Toc256000222"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_Toc256000222 \h </w:instrText>
        </w:r>
        <w:r>
          <w:fldChar w:fldCharType="separate"/>
        </w:r>
        <w:r>
          <w:t>792</w:t>
        </w:r>
        <w:r>
          <w:fldChar w:fldCharType="end"/>
        </w:r>
      </w:hyperlink>
    </w:p>
    <w:p>
      <w:pPr>
        <w:pStyle w:val="TOC3"/>
        <w:rPr>
          <w:rFonts w:ascii="Calibri" w:hAnsi="Calibri"/>
          <w:noProof/>
          <w:sz w:val="22"/>
        </w:rPr>
      </w:pPr>
      <w:hyperlink w:anchor="_Toc256000223" w:history="1">
        <w:r>
          <w:rPr>
            <w:rStyle w:val="Hyperlink"/>
          </w:rPr>
          <w:t>15.1.1.</w:t>
        </w:r>
        <w:r>
          <w:rPr>
            <w:rStyle w:val="Hyperlink"/>
          </w:rPr>
          <w:t xml:space="preserve"> </w:t>
        </w:r>
        <w:r>
          <w:rPr>
            <w:rStyle w:val="Hyperlink"/>
          </w:rPr>
          <w:t>Органи</w:t>
        </w:r>
        <w:r>
          <w:tab/>
        </w:r>
        <w:r>
          <w:fldChar w:fldCharType="begin"/>
        </w:r>
        <w:r>
          <w:instrText xml:space="preserve"> PAGEREF _Toc256000223 \h </w:instrText>
        </w:r>
        <w:r>
          <w:fldChar w:fldCharType="separate"/>
        </w:r>
        <w:r>
          <w:t>792</w:t>
        </w:r>
        <w:r>
          <w:fldChar w:fldCharType="end"/>
        </w:r>
      </w:hyperlink>
    </w:p>
    <w:p>
      <w:pPr>
        <w:pStyle w:val="TOC3"/>
        <w:rPr>
          <w:rFonts w:ascii="Calibri" w:hAnsi="Calibri"/>
          <w:noProof/>
          <w:sz w:val="22"/>
        </w:rPr>
      </w:pPr>
      <w:hyperlink w:anchor="_Toc256000224"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_Toc256000224 \h </w:instrText>
        </w:r>
        <w:r>
          <w:fldChar w:fldCharType="separate"/>
        </w:r>
        <w:r>
          <w:t>792</w:t>
        </w:r>
        <w:r>
          <w:fldChar w:fldCharType="end"/>
        </w:r>
      </w:hyperlink>
    </w:p>
    <w:p>
      <w:pPr>
        <w:pStyle w:val="TOC2"/>
        <w:rPr>
          <w:rFonts w:ascii="Calibri" w:hAnsi="Calibri"/>
          <w:noProof/>
          <w:sz w:val="22"/>
        </w:rPr>
      </w:pPr>
      <w:hyperlink w:anchor="_Toc256000225"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_Toc256000225 \h </w:instrText>
        </w:r>
        <w:r>
          <w:fldChar w:fldCharType="separate"/>
        </w:r>
        <w:r>
          <w:t>796</w:t>
        </w:r>
        <w:r>
          <w:fldChar w:fldCharType="end"/>
        </w:r>
      </w:hyperlink>
    </w:p>
    <w:p>
      <w:pPr>
        <w:pStyle w:val="TOC2"/>
        <w:rPr>
          <w:rFonts w:ascii="Calibri" w:hAnsi="Calibri"/>
          <w:noProof/>
          <w:sz w:val="22"/>
        </w:rPr>
      </w:pPr>
      <w:hyperlink w:anchor="_Toc256000226"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_Toc256000226 \h </w:instrText>
        </w:r>
        <w:r>
          <w:fldChar w:fldCharType="separate"/>
        </w:r>
        <w:r>
          <w:t>798</w:t>
        </w:r>
        <w:r>
          <w:fldChar w:fldCharType="end"/>
        </w:r>
      </w:hyperlink>
    </w:p>
    <w:p>
      <w:pPr>
        <w:pStyle w:val="TOC2"/>
        <w:rPr>
          <w:rFonts w:ascii="Calibri" w:hAnsi="Calibri"/>
          <w:noProof/>
          <w:sz w:val="22"/>
        </w:rPr>
      </w:pPr>
      <w:hyperlink w:anchor="_Toc256000227"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_Toc256000227 \h </w:instrText>
        </w:r>
        <w:r>
          <w:fldChar w:fldCharType="separate"/>
        </w:r>
        <w:r>
          <w:t>804</w:t>
        </w:r>
        <w:r>
          <w:fldChar w:fldCharType="end"/>
        </w:r>
      </w:hyperlink>
    </w:p>
    <w:p>
      <w:pPr>
        <w:pStyle w:val="TOC2"/>
        <w:rPr>
          <w:rFonts w:ascii="Calibri" w:hAnsi="Calibri"/>
          <w:noProof/>
          <w:sz w:val="22"/>
        </w:rPr>
      </w:pPr>
      <w:hyperlink w:anchor="_Toc256000228"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_Toc256000228 \h </w:instrText>
        </w:r>
        <w:r>
          <w:fldChar w:fldCharType="separate"/>
        </w:r>
        <w:r>
          <w:t>805</w:t>
        </w:r>
        <w:r>
          <w:fldChar w:fldCharType="end"/>
        </w:r>
      </w:hyperlink>
    </w:p>
    <w:p>
      <w:pPr>
        <w:pStyle w:val="TOC2"/>
        <w:rPr>
          <w:rFonts w:ascii="Calibri" w:hAnsi="Calibri"/>
          <w:noProof/>
          <w:sz w:val="22"/>
        </w:rPr>
      </w:pPr>
      <w:hyperlink w:anchor="_Toc256000229"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_Toc256000229 \h </w:instrText>
        </w:r>
        <w:r>
          <w:fldChar w:fldCharType="separate"/>
        </w:r>
        <w:r>
          <w:t>808</w:t>
        </w:r>
        <w:r>
          <w:fldChar w:fldCharType="end"/>
        </w:r>
      </w:hyperlink>
    </w:p>
    <w:p>
      <w:pPr>
        <w:pStyle w:val="TOC1"/>
        <w:rPr>
          <w:rFonts w:ascii="Calibri" w:hAnsi="Calibri"/>
          <w:noProof/>
          <w:sz w:val="22"/>
        </w:rPr>
      </w:pPr>
      <w:hyperlink w:anchor="_Toc256000230"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_Toc256000230 \h </w:instrText>
        </w:r>
        <w:r>
          <w:fldChar w:fldCharType="separate"/>
        </w:r>
        <w:r>
          <w:t>812</w:t>
        </w:r>
        <w:r>
          <w:fldChar w:fldCharType="end"/>
        </w:r>
      </w:hyperlink>
    </w:p>
    <w:p>
      <w:pPr>
        <w:pStyle w:val="TOC2"/>
        <w:rPr>
          <w:rFonts w:ascii="Calibri" w:hAnsi="Calibri"/>
          <w:noProof/>
          <w:sz w:val="22"/>
        </w:rPr>
      </w:pPr>
      <w:hyperlink w:anchor="_Toc256000231"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_Toc256000231 \h </w:instrText>
        </w:r>
        <w:r>
          <w:fldChar w:fldCharType="separate"/>
        </w:r>
        <w:r>
          <w:t>812</w:t>
        </w:r>
        <w:r>
          <w:fldChar w:fldCharType="end"/>
        </w:r>
      </w:hyperlink>
    </w:p>
    <w:p>
      <w:pPr>
        <w:pStyle w:val="TOC3"/>
        <w:rPr>
          <w:rFonts w:ascii="Calibri" w:hAnsi="Calibri"/>
          <w:noProof/>
          <w:sz w:val="22"/>
        </w:rPr>
      </w:pPr>
      <w:hyperlink w:anchor="_Toc256000232"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_Toc256000232 \h </w:instrText>
        </w:r>
        <w:r>
          <w:fldChar w:fldCharType="separate"/>
        </w:r>
        <w:r>
          <w:t>812</w:t>
        </w:r>
        <w:r>
          <w:fldChar w:fldCharType="end"/>
        </w:r>
      </w:hyperlink>
    </w:p>
    <w:p>
      <w:pPr>
        <w:pStyle w:val="TOC3"/>
        <w:rPr>
          <w:rFonts w:ascii="Calibri" w:hAnsi="Calibri"/>
          <w:noProof/>
          <w:sz w:val="22"/>
        </w:rPr>
      </w:pPr>
      <w:hyperlink w:anchor="_Toc256000233"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_Toc256000233 \h </w:instrText>
        </w:r>
        <w:r>
          <w:fldChar w:fldCharType="separate"/>
        </w:r>
        <w:r>
          <w:t>812</w:t>
        </w:r>
        <w:r>
          <w:fldChar w:fldCharType="end"/>
        </w:r>
      </w:hyperlink>
    </w:p>
    <w:p>
      <w:pPr>
        <w:pStyle w:val="TOC2"/>
        <w:rPr>
          <w:rFonts w:ascii="Calibri" w:hAnsi="Calibri"/>
          <w:noProof/>
          <w:sz w:val="22"/>
        </w:rPr>
      </w:pPr>
      <w:hyperlink w:anchor="_Toc256000234"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_Toc256000234 \h </w:instrText>
        </w:r>
        <w:r>
          <w:fldChar w:fldCharType="separate"/>
        </w:r>
        <w:r>
          <w:t>812</w:t>
        </w:r>
        <w:r>
          <w:fldChar w:fldCharType="end"/>
        </w:r>
      </w:hyperlink>
    </w:p>
    <w:p>
      <w:pPr>
        <w:pStyle w:val="TOC3"/>
        <w:rPr>
          <w:rFonts w:ascii="Calibri" w:hAnsi="Calibri"/>
          <w:noProof/>
          <w:sz w:val="22"/>
        </w:rPr>
      </w:pPr>
      <w:hyperlink w:anchor="_Toc256000235"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_Toc256000235 \h </w:instrText>
        </w:r>
        <w:r>
          <w:fldChar w:fldCharType="separate"/>
        </w:r>
        <w:r>
          <w:t>812</w:t>
        </w:r>
        <w:r>
          <w:fldChar w:fldCharType="end"/>
        </w:r>
      </w:hyperlink>
    </w:p>
    <w:p>
      <w:pPr>
        <w:pStyle w:val="TOC3"/>
        <w:rPr>
          <w:rFonts w:ascii="Calibri" w:hAnsi="Calibri"/>
          <w:noProof/>
          <w:sz w:val="22"/>
        </w:rPr>
      </w:pPr>
      <w:hyperlink w:anchor="_Toc256000236"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_Toc256000236 \h </w:instrText>
        </w:r>
        <w:r>
          <w:fldChar w:fldCharType="separate"/>
        </w:r>
        <w:r>
          <w:t>812</w:t>
        </w:r>
        <w:r>
          <w:fldChar w:fldCharType="end"/>
        </w:r>
      </w:hyperlink>
    </w:p>
    <w:p>
      <w:pPr>
        <w:pStyle w:val="TOC2"/>
        <w:rPr>
          <w:rFonts w:ascii="Calibri" w:hAnsi="Calibri"/>
          <w:noProof/>
          <w:sz w:val="22"/>
        </w:rPr>
      </w:pPr>
      <w:hyperlink w:anchor="_Toc256000237"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_Toc256000237 \h </w:instrText>
        </w:r>
        <w:r>
          <w:fldChar w:fldCharType="separate"/>
        </w:r>
        <w:r>
          <w:t>813</w:t>
        </w:r>
        <w:r>
          <w:fldChar w:fldCharType="end"/>
        </w:r>
      </w:hyperlink>
    </w:p>
    <w:p>
      <w:pPr>
        <w:pStyle w:val="TOC3"/>
        <w:rPr>
          <w:rFonts w:ascii="Calibri" w:hAnsi="Calibri"/>
          <w:noProof/>
          <w:sz w:val="22"/>
        </w:rPr>
      </w:pPr>
      <w:hyperlink w:anchor="_Toc256000238"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_Toc256000238 \h </w:instrText>
        </w:r>
        <w:r>
          <w:fldChar w:fldCharType="separate"/>
        </w:r>
        <w:r>
          <w:t>813</w:t>
        </w:r>
        <w:r>
          <w:fldChar w:fldCharType="end"/>
        </w:r>
      </w:hyperlink>
    </w:p>
    <w:p>
      <w:pPr>
        <w:pStyle w:val="TOC3"/>
        <w:rPr>
          <w:rFonts w:ascii="Calibri" w:hAnsi="Calibri"/>
          <w:noProof/>
          <w:sz w:val="22"/>
        </w:rPr>
      </w:pPr>
      <w:hyperlink w:anchor="_Toc256000239"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_Toc256000239 \h </w:instrText>
        </w:r>
        <w:r>
          <w:fldChar w:fldCharType="separate"/>
        </w:r>
        <w:r>
          <w:t>813</w:t>
        </w:r>
        <w:r>
          <w:fldChar w:fldCharType="end"/>
        </w:r>
      </w:hyperlink>
    </w:p>
    <w:p>
      <w:pPr>
        <w:pStyle w:val="TOC2"/>
        <w:rPr>
          <w:rFonts w:ascii="Calibri" w:hAnsi="Calibri"/>
          <w:noProof/>
          <w:sz w:val="22"/>
        </w:rPr>
      </w:pPr>
      <w:hyperlink w:anchor="_Toc256000240"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_Toc256000240 \h </w:instrText>
        </w:r>
        <w:r>
          <w:fldChar w:fldCharType="separate"/>
        </w:r>
        <w:r>
          <w:t>813</w:t>
        </w:r>
        <w:r>
          <w:fldChar w:fldCharType="end"/>
        </w:r>
      </w:hyperlink>
    </w:p>
    <w:p>
      <w:pPr>
        <w:pStyle w:val="TOC3"/>
        <w:rPr>
          <w:rFonts w:ascii="Calibri" w:hAnsi="Calibri"/>
          <w:noProof/>
          <w:sz w:val="22"/>
        </w:rPr>
      </w:pPr>
      <w:hyperlink w:anchor="_Toc256000241"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_Toc256000241 \h </w:instrText>
        </w:r>
        <w:r>
          <w:fldChar w:fldCharType="separate"/>
        </w:r>
        <w:r>
          <w:t>813</w:t>
        </w:r>
        <w:r>
          <w:fldChar w:fldCharType="end"/>
        </w:r>
      </w:hyperlink>
    </w:p>
    <w:p>
      <w:pPr>
        <w:pStyle w:val="TOC3"/>
        <w:rPr>
          <w:rFonts w:ascii="Calibri" w:hAnsi="Calibri"/>
          <w:noProof/>
          <w:sz w:val="22"/>
        </w:rPr>
      </w:pPr>
      <w:hyperlink w:anchor="_Toc256000242"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_Toc256000242 \h </w:instrText>
        </w:r>
        <w:r>
          <w:fldChar w:fldCharType="separate"/>
        </w:r>
        <w:r>
          <w:t>813</w:t>
        </w:r>
        <w:r>
          <w:fldChar w:fldCharType="end"/>
        </w:r>
      </w:hyperlink>
    </w:p>
    <w:p>
      <w:pPr>
        <w:pStyle w:val="TOC2"/>
        <w:rPr>
          <w:rFonts w:ascii="Calibri" w:hAnsi="Calibri"/>
          <w:noProof/>
          <w:sz w:val="22"/>
        </w:rPr>
      </w:pPr>
      <w:hyperlink w:anchor="_Toc256000243"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_Toc256000243 \h </w:instrText>
        </w:r>
        <w:r>
          <w:fldChar w:fldCharType="separate"/>
        </w:r>
        <w:r>
          <w:t>814</w:t>
        </w:r>
        <w:r>
          <w:fldChar w:fldCharType="end"/>
        </w:r>
      </w:hyperlink>
    </w:p>
    <w:p>
      <w:pPr>
        <w:pStyle w:val="TOC3"/>
        <w:rPr>
          <w:rFonts w:ascii="Calibri" w:hAnsi="Calibri"/>
          <w:noProof/>
          <w:sz w:val="22"/>
        </w:rPr>
      </w:pPr>
      <w:hyperlink w:anchor="_Toc256000244"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_Toc256000244 \h </w:instrText>
        </w:r>
        <w:r>
          <w:fldChar w:fldCharType="separate"/>
        </w:r>
        <w:r>
          <w:t>814</w:t>
        </w:r>
        <w:r>
          <w:fldChar w:fldCharType="end"/>
        </w:r>
      </w:hyperlink>
    </w:p>
    <w:p>
      <w:pPr>
        <w:pStyle w:val="TOC3"/>
        <w:rPr>
          <w:rFonts w:ascii="Calibri" w:hAnsi="Calibri"/>
          <w:noProof/>
          <w:sz w:val="22"/>
        </w:rPr>
      </w:pPr>
      <w:hyperlink w:anchor="_Toc256000245"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_Toc256000245 \h </w:instrText>
        </w:r>
        <w:r>
          <w:fldChar w:fldCharType="separate"/>
        </w:r>
        <w:r>
          <w:t>814</w:t>
        </w:r>
        <w:r>
          <w:fldChar w:fldCharType="end"/>
        </w:r>
      </w:hyperlink>
    </w:p>
    <w:p>
      <w:pPr>
        <w:pStyle w:val="TOC2"/>
        <w:rPr>
          <w:rFonts w:ascii="Calibri" w:hAnsi="Calibri"/>
          <w:noProof/>
          <w:sz w:val="22"/>
        </w:rPr>
      </w:pPr>
      <w:hyperlink w:anchor="_Toc256000246"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_Toc256000246 \h </w:instrText>
        </w:r>
        <w:r>
          <w:fldChar w:fldCharType="separate"/>
        </w:r>
        <w:r>
          <w:t>814</w:t>
        </w:r>
        <w:r>
          <w:fldChar w:fldCharType="end"/>
        </w:r>
      </w:hyperlink>
    </w:p>
    <w:p>
      <w:pPr>
        <w:pStyle w:val="TOC3"/>
        <w:rPr>
          <w:rFonts w:ascii="Calibri" w:hAnsi="Calibri"/>
          <w:noProof/>
          <w:sz w:val="22"/>
        </w:rPr>
      </w:pPr>
      <w:hyperlink w:anchor="_Toc256000247"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_Toc256000247 \h </w:instrText>
        </w:r>
        <w:r>
          <w:fldChar w:fldCharType="separate"/>
        </w:r>
        <w:r>
          <w:t>814</w:t>
        </w:r>
        <w:r>
          <w:fldChar w:fldCharType="end"/>
        </w:r>
      </w:hyperlink>
    </w:p>
    <w:p>
      <w:pPr>
        <w:pStyle w:val="TOC3"/>
        <w:rPr>
          <w:rFonts w:ascii="Calibri" w:hAnsi="Calibri"/>
          <w:noProof/>
          <w:sz w:val="22"/>
        </w:rPr>
      </w:pPr>
      <w:hyperlink w:anchor="_Toc256000248"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_Toc256000248 \h </w:instrText>
        </w:r>
        <w:r>
          <w:fldChar w:fldCharType="separate"/>
        </w:r>
        <w:r>
          <w:t>814</w:t>
        </w:r>
        <w:r>
          <w:fldChar w:fldCharType="end"/>
        </w:r>
      </w:hyperlink>
    </w:p>
    <w:p>
      <w:pPr>
        <w:pStyle w:val="TOC2"/>
        <w:rPr>
          <w:rFonts w:ascii="Calibri" w:hAnsi="Calibri"/>
          <w:noProof/>
          <w:sz w:val="22"/>
        </w:rPr>
      </w:pPr>
      <w:hyperlink w:anchor="_Toc256000249"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_Toc256000249 \h </w:instrText>
        </w:r>
        <w:r>
          <w:fldChar w:fldCharType="separate"/>
        </w:r>
        <w:r>
          <w:t>814</w:t>
        </w:r>
        <w:r>
          <w:fldChar w:fldCharType="end"/>
        </w:r>
      </w:hyperlink>
    </w:p>
    <w:p>
      <w:pPr>
        <w:pStyle w:val="TOC1"/>
        <w:rPr>
          <w:rFonts w:ascii="Calibri" w:hAnsi="Calibri"/>
          <w:noProof/>
          <w:sz w:val="22"/>
        </w:rPr>
      </w:pPr>
      <w:hyperlink w:anchor="_Toc256000250"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_Toc256000250 \h </w:instrText>
        </w:r>
        <w:r>
          <w:fldChar w:fldCharType="separate"/>
        </w:r>
        <w:r>
          <w:t>818</w:t>
        </w:r>
        <w:r>
          <w:fldChar w:fldCharType="end"/>
        </w:r>
      </w:hyperlink>
    </w:p>
    <w:p>
      <w:pPr>
        <w:pStyle w:val="TOC2"/>
        <w:rPr>
          <w:rFonts w:ascii="Calibri" w:hAnsi="Calibri"/>
          <w:noProof/>
          <w:sz w:val="22"/>
        </w:rPr>
      </w:pPr>
      <w:hyperlink w:anchor="_Toc256000251"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_Toc256000251 \h </w:instrText>
        </w:r>
        <w:r>
          <w:fldChar w:fldCharType="separate"/>
        </w:r>
        <w:r>
          <w:t>818</w:t>
        </w:r>
        <w:r>
          <w:fldChar w:fldCharType="end"/>
        </w:r>
      </w:hyperlink>
    </w:p>
    <w:p>
      <w:pPr>
        <w:pStyle w:val="TOC2"/>
        <w:rPr>
          <w:rFonts w:ascii="Calibri" w:hAnsi="Calibri"/>
          <w:noProof/>
          <w:sz w:val="22"/>
        </w:rPr>
      </w:pPr>
      <w:hyperlink w:anchor="_Toc256000252"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_Toc256000252 \h </w:instrText>
        </w:r>
        <w:r>
          <w:fldChar w:fldCharType="separate"/>
        </w:r>
        <w:r>
          <w:t>818</w:t>
        </w:r>
        <w:r>
          <w:fldChar w:fldCharType="end"/>
        </w:r>
      </w:hyperlink>
    </w:p>
    <w:p>
      <w:pPr>
        <w:pStyle w:val="TOC2"/>
        <w:rPr>
          <w:rFonts w:ascii="Calibri" w:hAnsi="Calibri"/>
          <w:noProof/>
          <w:sz w:val="22"/>
        </w:rPr>
      </w:pPr>
      <w:hyperlink w:anchor="_Toc256000253"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_Toc256000253 \h </w:instrText>
        </w:r>
        <w:r>
          <w:fldChar w:fldCharType="separate"/>
        </w:r>
        <w:r>
          <w:t>820</w:t>
        </w:r>
        <w:r>
          <w:fldChar w:fldCharType="end"/>
        </w:r>
      </w:hyperlink>
    </w:p>
    <w:p>
      <w:pPr>
        <w:pStyle w:val="TOC2"/>
        <w:rPr>
          <w:rFonts w:ascii="Calibri" w:hAnsi="Calibri"/>
          <w:noProof/>
          <w:sz w:val="22"/>
        </w:rPr>
      </w:pPr>
      <w:hyperlink w:anchor="_Toc256000254"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_Toc256000254 \h </w:instrText>
        </w:r>
        <w:r>
          <w:fldChar w:fldCharType="separate"/>
        </w:r>
        <w:r>
          <w:t>826</w:t>
        </w:r>
        <w:r>
          <w:fldChar w:fldCharType="end"/>
        </w:r>
      </w:hyperlink>
    </w:p>
    <w:p>
      <w:pPr>
        <w:pStyle w:val="TOC1"/>
        <w:rPr>
          <w:rFonts w:ascii="Calibri" w:hAnsi="Calibri"/>
          <w:noProof/>
          <w:sz w:val="22"/>
        </w:rPr>
      </w:pPr>
      <w:hyperlink w:anchor="_Toc256000255"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_Toc256000255 \h </w:instrText>
        </w:r>
        <w:r>
          <w:fldChar w:fldCharType="separate"/>
        </w:r>
        <w:r>
          <w:t>827</w:t>
        </w:r>
        <w:r>
          <w:fldChar w:fldCharType="end"/>
        </w:r>
      </w:hyperlink>
    </w:p>
    <w:p>
      <w:pPr>
        <w:pStyle w:val="TOC2"/>
        <w:rPr>
          <w:rFonts w:ascii="Calibri" w:hAnsi="Calibri"/>
          <w:noProof/>
          <w:sz w:val="22"/>
        </w:rPr>
      </w:pPr>
      <w:hyperlink w:anchor="_Toc256000256"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_Toc256000256 \h </w:instrText>
        </w:r>
        <w:r>
          <w:fldChar w:fldCharType="separate"/>
        </w:r>
        <w:r>
          <w:t>827</w:t>
        </w:r>
        <w:r>
          <w:fldChar w:fldCharType="end"/>
        </w:r>
      </w:hyperlink>
    </w:p>
    <w:p>
      <w:pPr>
        <w:pStyle w:val="TOC2"/>
        <w:rPr>
          <w:rFonts w:ascii="Calibri" w:hAnsi="Calibri"/>
          <w:noProof/>
          <w:sz w:val="22"/>
        </w:rPr>
      </w:pPr>
      <w:hyperlink w:anchor="_Toc256000257"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_Toc256000257 \h </w:instrText>
        </w:r>
        <w:r>
          <w:fldChar w:fldCharType="separate"/>
        </w:r>
        <w:r>
          <w:t>828</w:t>
        </w:r>
        <w:r>
          <w:fldChar w:fldCharType="end"/>
        </w:r>
      </w:hyperlink>
    </w:p>
    <w:p>
      <w:pPr>
        <w:pStyle w:val="TOC1"/>
        <w:rPr>
          <w:rFonts w:ascii="Calibri" w:hAnsi="Calibri"/>
          <w:noProof/>
          <w:sz w:val="22"/>
        </w:rPr>
      </w:pPr>
      <w:hyperlink w:anchor="_Toc256000258"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_Toc256000258 \h </w:instrText>
        </w:r>
        <w:r>
          <w:fldChar w:fldCharType="separate"/>
        </w:r>
        <w:r>
          <w:t>831</w:t>
        </w:r>
        <w:r>
          <w:fldChar w:fldCharType="end"/>
        </w:r>
      </w:hyperlink>
    </w:p>
    <w:p>
      <w:pPr>
        <w:pStyle w:val="TOC2"/>
        <w:rPr>
          <w:rFonts w:ascii="Calibri" w:hAnsi="Calibri"/>
          <w:noProof/>
          <w:sz w:val="22"/>
        </w:rPr>
      </w:pPr>
      <w:hyperlink w:anchor="_Toc256000259"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_Toc256000259 \h </w:instrText>
        </w:r>
        <w:r>
          <w:fldChar w:fldCharType="separate"/>
        </w:r>
        <w:r>
          <w:t>831</w:t>
        </w:r>
        <w:r>
          <w:fldChar w:fldCharType="end"/>
        </w:r>
      </w:hyperlink>
    </w:p>
    <w:p>
      <w:pPr>
        <w:pStyle w:val="TOC2"/>
        <w:rPr>
          <w:rFonts w:ascii="Calibri" w:hAnsi="Calibri"/>
          <w:noProof/>
          <w:sz w:val="22"/>
        </w:rPr>
      </w:pPr>
      <w:hyperlink w:anchor="_Toc256000260"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_Toc256000260 \h </w:instrText>
        </w:r>
        <w:r>
          <w:fldChar w:fldCharType="separate"/>
        </w:r>
        <w:r>
          <w:t>833</w:t>
        </w:r>
        <w:r>
          <w:fldChar w:fldCharType="end"/>
        </w:r>
      </w:hyperlink>
    </w:p>
    <w:p>
      <w:pPr>
        <w:pStyle w:val="TOC1"/>
        <w:rPr>
          <w:rFonts w:ascii="Calibri" w:hAnsi="Calibri"/>
          <w:noProof/>
          <w:sz w:val="22"/>
        </w:rPr>
      </w:pPr>
      <w:hyperlink w:anchor="_Toc256000261"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_Toc256000261 \h </w:instrText>
        </w:r>
        <w:r>
          <w:fldChar w:fldCharType="separate"/>
        </w:r>
        <w:r>
          <w:t>835</w:t>
        </w:r>
        <w:r>
          <w:fldChar w:fldCharType="end"/>
        </w:r>
      </w:hyperlink>
    </w:p>
    <w:p>
      <w:pPr>
        <w:pStyle w:val="TOC2"/>
        <w:rPr>
          <w:rFonts w:ascii="Calibri" w:hAnsi="Calibri"/>
          <w:noProof/>
          <w:sz w:val="22"/>
        </w:rPr>
      </w:pPr>
      <w:hyperlink w:anchor="_Toc256000262" w:history="1">
        <w:r>
          <w:rPr>
            <w:rStyle w:val="Hyperlink"/>
          </w:rPr>
          <w:t>Документи</w:t>
        </w:r>
        <w:r>
          <w:tab/>
        </w:r>
        <w:r>
          <w:fldChar w:fldCharType="begin"/>
        </w:r>
        <w:r>
          <w:instrText xml:space="preserve"> PAGEREF _Toc256000262 \h </w:instrText>
        </w:r>
        <w:r>
          <w:fldChar w:fldCharType="separate"/>
        </w:r>
        <w:r>
          <w:t>836</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а. Решение по член 11, буква а), подточка i) (член 4, параграф 2, първа алинея от Регламент (ЕС) № 808/2014)</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08-11-2019</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На проведеното на 8 ноември 2019 г. заседание на Комитета по наблюдение на ПРСР, като част от дневният ред принципно бяха одобрени следните промени в ПРСР, които да бъдат предложени със следващото изменение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szCs w:val="24"/>
              </w:rPr>
              <w:t xml:space="preserve"> Предложение за прехвърляне на средства от „Резерва за изпълнение“ от неизпълнени към изпълнени приоритети;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szCs w:val="24"/>
              </w:rPr>
              <w:t xml:space="preserve"> Предложение за прехвърляне на средства между мерки извън резерва;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w:t>
            </w:r>
            <w:r>
              <w:rPr>
                <w:rFonts w:ascii="Times New Roman" w:eastAsia="Times New Roman" w:hAnsi="Times New Roman" w:cs="Times New Roman"/>
                <w:szCs w:val="24"/>
              </w:rPr>
              <w:t xml:space="preserve"> Предложение за изменение в ПРСР 2014-2020 г. в частта по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w:t>
            </w:r>
            <w:r>
              <w:rPr>
                <w:rFonts w:ascii="Times New Roman" w:eastAsia="Times New Roman" w:hAnsi="Times New Roman" w:cs="Times New Roman"/>
                <w:szCs w:val="24"/>
              </w:rPr>
              <w:t xml:space="preserve"> Предложение за включване на мярка 5 „Възстановяване на селскостопански производствен потенциал, претърпял щети в резултат на природни бедствия, и въвеждане на подходящи превантивни мерки“ в ПРСР 2014-2020  г., представяне на проект на текст на 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w:t>
            </w:r>
            <w:r>
              <w:rPr>
                <w:rFonts w:ascii="Times New Roman" w:eastAsia="Times New Roman" w:hAnsi="Times New Roman" w:cs="Times New Roman"/>
                <w:szCs w:val="24"/>
              </w:rPr>
              <w:t xml:space="preserve"> Предложения за промяна в текстовете на следните подмерки от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5.1</w:t>
            </w:r>
            <w:r>
              <w:rPr>
                <w:rFonts w:ascii="Times New Roman" w:eastAsia="Times New Roman" w:hAnsi="Times New Roman" w:cs="Times New Roman"/>
                <w:szCs w:val="24"/>
              </w:rPr>
              <w:t xml:space="preserve"> Изменение и допълнение в текста на подмярка 6.3 „Стартова помощ за развитие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5.2</w:t>
            </w:r>
            <w:r>
              <w:rPr>
                <w:rFonts w:ascii="Times New Roman" w:eastAsia="Times New Roman" w:hAnsi="Times New Roman" w:cs="Times New Roman"/>
                <w:szCs w:val="24"/>
              </w:rPr>
              <w:t xml:space="preserve"> Допълнение в текста на подмярка 4.1.2 „Инвестиции в земеделски стопанства по Тематичната подпрограма за развитие на малки стопанства", касаещо допустимостта на Стандартния производствен обем (СПО);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5.3</w:t>
            </w:r>
            <w:r>
              <w:rPr>
                <w:rFonts w:ascii="Times New Roman" w:eastAsia="Times New Roman" w:hAnsi="Times New Roman" w:cs="Times New Roman"/>
                <w:szCs w:val="24"/>
              </w:rPr>
              <w:t xml:space="preserve"> Изменение и допълнение в текста на подмярка 4.2.2 „Инвестиции в преработка/маркетинг на селскостопански продукти по Тематичната подпрограма“, касаещо допустимостта на Стандартния производствен обем (СПО);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w:t>
            </w:r>
            <w:r>
              <w:rPr>
                <w:rFonts w:ascii="Times New Roman" w:eastAsia="Times New Roman" w:hAnsi="Times New Roman" w:cs="Times New Roman"/>
                <w:szCs w:val="24"/>
              </w:rPr>
              <w:t xml:space="preserve"> Предложение за прецизиране на текста по подмярка 1.1 „Професионално обучение и придобиване на 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w:t>
            </w:r>
            <w:r>
              <w:rPr>
                <w:rFonts w:ascii="Times New Roman" w:eastAsia="Times New Roman" w:hAnsi="Times New Roman" w:cs="Times New Roman"/>
                <w:szCs w:val="24"/>
              </w:rPr>
              <w:t xml:space="preserve"> Предложение за допълнение в текста на подмярка 4.3 “Подкрепа за инвестиции в инфраструктура, свързана с развитието, модернизирането или адаптирането на селското и горското стопанство", касаещо допустими разходи за организация и управление на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w:t>
            </w:r>
            <w:r>
              <w:rPr>
                <w:rFonts w:ascii="Times New Roman" w:eastAsia="Times New Roman" w:hAnsi="Times New Roman" w:cs="Times New Roman"/>
                <w:szCs w:val="24"/>
              </w:rPr>
              <w:t xml:space="preserve"> Предложение за допълнение в текста на 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касаещо допустими разходи за организация и управление на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w:t>
            </w:r>
            <w:r>
              <w:rPr>
                <w:rFonts w:ascii="Times New Roman" w:eastAsia="Times New Roman" w:hAnsi="Times New Roman" w:cs="Times New Roman"/>
                <w:szCs w:val="24"/>
              </w:rPr>
              <w:t xml:space="preserve"> Предложение за изменение в текста на ПРСР 2014-2020 г., касаещо финансовите инструменти.</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Шесто изменение на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I. </w:t>
            </w:r>
            <w:r>
              <w:rPr>
                <w:rFonts w:ascii="Times New Roman" w:eastAsia="Times New Roman" w:hAnsi="Times New Roman" w:cs="Times New Roman"/>
                <w:b/>
                <w:bCs/>
                <w:szCs w:val="24"/>
              </w:rPr>
              <w:t>Резерв от Рамката за изпълнение на ПРСР 204-2020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Извеждане на средства в размер на Резерва от приоритети, които не са изпълнили целите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прегледа на изпълнението, извършен на база изпратен годишен доклад 2018, с Решение C(2019) 6177 от 19.08.2019 г., ЕК определи като приоритети, непостигнали целите си в достатъчна степен, три приоритета по ПРСР – Трети, Пети, Шести.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Сумата от резерва по общо трите приоритета, която ще се наложи да бъде реалокирана във Втори и Четвърти приоритети е в размер на </w:t>
            </w:r>
            <w:r>
              <w:rPr>
                <w:rFonts w:ascii="Times New Roman" w:eastAsia="Times New Roman" w:hAnsi="Times New Roman" w:cs="Times New Roman"/>
                <w:b/>
                <w:bCs/>
                <w:szCs w:val="24"/>
              </w:rPr>
              <w:t>77 446 139  евро</w:t>
            </w:r>
            <w:r>
              <w:rPr>
                <w:rFonts w:ascii="Times New Roman" w:eastAsia="Times New Roman" w:hAnsi="Times New Roman" w:cs="Times New Roman"/>
                <w:szCs w:val="24"/>
              </w:rPr>
              <w:t xml:space="preserve"> от ЕЗФРСР, или първоначално 93 988 750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Предлаганият сценарий на разпределяне на Резерва в Шесто изменение 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Прехвърляне на сума в размер от 5 940 000 евро от ЕЗФРСР (6 600 000 евро публични средства след прехвърлянето) към Мярка 6.1 (Приоритет 2), с която биха били подпомогнати допълнително над 260 стопанства на млади фермери.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Сума в размер на 41 506 139 евро от ЕЗФРСР (48 830 752 евро публични средства след прехвърлянето), да бъде прехвърлена в Приоритет 2, в рамките на подмярка 4.1. В случая ще е налице известна редукция в размера на публичните средства, вследствие различният процент финансиране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Останалата сума, в размер на 30 000 000 евро от ЕЗФРСР (40 000 000 евро публични средства след прехвърлянето) да бъде прехвърлена към приоритет 4, в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 за прехвърляне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 Приоритет 3, и резерв в размер на 16 462 777 € от ЕЗФРСР, предложението е средствата да бъдат изтеглени от Мярка 14 "Хуманно отношение към животните".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 Приоритет 5, и резерв в размер на 18 332 239 € от ЕЗФРСР, предложението е средствата да бъдат изтеглени от Подмярка 4.1 „Инвестиции в земеделски стопанства“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 Приоритет 6, и резерв в размер на 42 651 124 € от ЕЗФРСР, предложението е средствата да бъдат изтеглени от Подмярка 6.2 "Стартова помощ за неземеделски дейности", и  Подмярка 6.4.1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Мотиви за извеждане на средства от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мярка 14 "Хуманно отношение към животните" от Програмата за развитие на селските райони за периода 2014 – 2020 г. е в размер на 56 859 511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Данните от прилагането на мярката в три годишния период 2017-2019 г. сочат сравнително слаб интерес от страна на земеделските стопани към поемане на многогодишен ангажимент по мярката. При запазване на текущите темпове на нарастване на необходимите финансови средства за изпълняваните дейности и ангажименти в периода 2020-2021 г. може да се очаква, че за значителна част от планираните средства по мярката няма да има интерес от страна на земеделските стопани.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общ бюджет от </w:t>
            </w:r>
            <w:r>
              <w:rPr>
                <w:rFonts w:ascii="Times New Roman" w:eastAsia="Times New Roman" w:hAnsi="Times New Roman" w:cs="Times New Roman"/>
                <w:b/>
                <w:bCs/>
                <w:szCs w:val="24"/>
              </w:rPr>
              <w:t>56 млн. евро</w:t>
            </w:r>
            <w:r>
              <w:rPr>
                <w:rFonts w:ascii="Times New Roman" w:eastAsia="Times New Roman" w:hAnsi="Times New Roman" w:cs="Times New Roman"/>
                <w:szCs w:val="24"/>
              </w:rPr>
              <w:t xml:space="preserve"> общо публични средства и отчитайки прогнозните ангажирани средства в размер на </w:t>
            </w:r>
            <w:r>
              <w:rPr>
                <w:rFonts w:ascii="Times New Roman" w:eastAsia="Times New Roman" w:hAnsi="Times New Roman" w:cs="Times New Roman"/>
                <w:b/>
                <w:bCs/>
                <w:szCs w:val="24"/>
              </w:rPr>
              <w:t>25 млн. евро</w:t>
            </w:r>
            <w:r>
              <w:rPr>
                <w:rFonts w:ascii="Times New Roman" w:eastAsia="Times New Roman" w:hAnsi="Times New Roman" w:cs="Times New Roman"/>
                <w:szCs w:val="24"/>
              </w:rPr>
              <w:t xml:space="preserve"> до 2021 г., е видно, че оставащият свободен бюджет по мярката е в размер на </w:t>
            </w:r>
            <w:r>
              <w:rPr>
                <w:rFonts w:ascii="Times New Roman" w:eastAsia="Times New Roman" w:hAnsi="Times New Roman" w:cs="Times New Roman"/>
                <w:b/>
                <w:bCs/>
                <w:szCs w:val="24"/>
              </w:rPr>
              <w:t>31 млн. евро</w:t>
            </w:r>
            <w:r>
              <w:rPr>
                <w:rFonts w:ascii="Times New Roman" w:eastAsia="Times New Roman" w:hAnsi="Times New Roman" w:cs="Times New Roman"/>
                <w:szCs w:val="24"/>
              </w:rPr>
              <w:t>. В тази връзка УО на ПРСР предлага средства в размер на 19 млн. евро публични средства (16 млн. евро ЕЗФРСР) да бъдат прехвърлени към други приоритети, с което няма да бъдат засегнати стратегическите цели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Мотиви за извеждане на средства от Подмярка 4.1 „Инвестиции в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данните показва, че към м. юли 2019 г. средствата по подмярка 4.1 реално са договорени, като от програмираните 41.8 млн. евро в приоритет 5, фокус област 5Г голяма част са отнесени като договаряне в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предлага 24 млн. евро общо публични средства (18,3 млн. ЕЗФРСР) от тях да бъдат изтеглени към приоритет 2, фокус област 2А. Освен фактът, че прехвърлянето е в рамките на една и съща мярка и подмярка, основният аргумент е в посока на типа инвестиции - във фокус област 2А по подмярка 4.1 са одобрени  проекти в сектор животновъдство, които по дефиниция могат да допринасят и към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 за нестартиране на подмярка 6.2 „Стартова помощ за неземеделски дейности“ и извеждане на средствата от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приоритетна област 6А е поставен акцент на М6.2 и М6.4, чрез които се очаква да се насърчи стартирането и развитието на неземеделски дейности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ПРСР и двете подмерки са насочени към разнообразяването на икономиката, което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Данните от проведения прием по М6.4 /среден размер на разходите за един проект 260 хил. евро/ през 2018 г. дават основание на УО да направи няколко основни извода, които са обект на анализ и оказват влияние при вземането на решение за нестартирането на М6.2 в рамките на ПРСР 2014-2020:</w:t>
            </w:r>
          </w:p>
          <w:p>
            <w:pPr>
              <w:numPr>
                <w:ilvl w:val="0"/>
                <w:numId w:val="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Предоставената подкрепа по М6.4 припокрива възможностите за финансиране по М6.2, по отношение на дейности, бенефициенти, приоритети, териториален обхват и др.;</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Данните от проведения през 2018 г. прием по подмярка 6.4 показват, че ресурса за стартиране и развитие на неземеделски дейности значително надхвърля определения размер на финансиране по подмярка 6.2;</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Средната стойност на проектите по – подмярка 6.4 /при финансиране 50%/, включително оперативните разходи включени в тях значително надхвърлят размера на определеното подпомагане по подмярка 6.2, въпреки, че финансовата помощ е в размер на 100%;</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Самоучастието в проекти финансирани по М6.4 /50%/ гарантира по – високо ниво на ангажираност на предприемача при изпълнение на проекта, докато подкрепата по М6.2 е в размер на 100%;</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Резултатите от приема по М6.4 дават основание УО да прогнозира добро изпълнение на целевите стойности на ФО 6А;</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заплати за предприемача и едно наето лице за пет години значително надхвърлят размера на финансовата помощ по М6.2 /25 000 евро/ за период от пет години, което ограничава възможностите за създаване и стартиране на устойчиви бизнес модели чрез стартова помощ;</w:t>
            </w:r>
          </w:p>
          <w:p>
            <w:pPr>
              <w:numPr>
                <w:ilvl w:val="0"/>
                <w:numId w:val="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Стартирането на М6.2 след стартирането на М6.4 няма да осигури възможност за допълняемост и надграждане на подкрепени дейности по М6.2, което от своя страна може да не доведе до развитието на стартираните нови бизнес модели.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база гореизложеното, УО на ПРСР предлага средства в размер на 23,4 от ЕЗФРСР (27,5 млн. евро общо публични средства) да бъдат прехвърлени към други приоритети, с което няма да бъдат засегнати стратегическите цели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 за извеждане на средства от Подмярка 6.4.1</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„Инвестиции в подкрепа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с индикативен бюджет 100,4 млн. евро публични средства, и е насочена към подпомагането на инвестициите в неземеделски дейности, които са от съществено значение за развитието на конкурентоспособността на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2018 г. УО на ПРСР разработи три процедури по подмярка 6.4, което предостави възможност за изпълнение на проекти на територията на селските райони в страната. Подпомаганите дейности бяха насочени в три направления: </w:t>
            </w:r>
            <w:r>
              <w:rPr>
                <w:rFonts w:ascii="Times New Roman" w:eastAsia="Times New Roman" w:hAnsi="Times New Roman" w:cs="Times New Roman"/>
                <w:b/>
                <w:bCs/>
                <w:szCs w:val="24"/>
              </w:rPr>
              <w:t>услуги, производство и занаяти, с общ бюджет 68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подмярката са допустими и инвестиции в сектор „Туризъм“ (индикативен бюджет от 32 млн. евро публични средства), по които през 2018 г. и 2019 г. вследствие мерките, взети от УО на ПРСР и ДФЗ-РА по отношение на медийни публикации и сигнали за нередности при усвояването на европейски средства по линия на ЕЗФРСР е взето решение да не бъде отварян прием за подпомагане. Част от средствата, в размер на 19,3 млн. евро от ЕЗФРСР (22,7 млн. евро общо публични средства), се предлага да се пренасочат за реалокиране като част от необходимите за Резерва от Приоритет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2. Предложение за прехвърляне на суми в размер на Резерва за изпълнение, към приоритетите, изпълнили целите си съгласно Решение C(2019) 6177 от 19.08.2019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 за прехвърляне на средства към Подмярка 4.1 „Инвестиции в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предложените за прехвърляне средства от Резерва се цели главно изравняване на част от отнасяните разходи по сключваните договори вътре във фокус областите на подмярката, което в резултат на прилагането й е дисбалансирано спрямо първоначалните разчети при програмирането. От таблица 2 е видно, че въпреки регистрираното условно наддоговаряне от гледна точка на фокус области по Приоритет 2, и недостатъчно договаряне по Приоритет 5 - като цяло договарянето е в рамките на подмярката и няма надвишаване на общият бюджет, разполагаем към момента.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допълнителни средства са необходими за стартиране на нов прием през следващата календарна година – публикуваната ИГРП 2020 предвижда стартиране на прием по подмярка 4.1, който се планира да включва инвестиции в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 за прехвърляне на средства към Подмярка 6.1 „Стартова помощ за млади земеделски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ДФ „Земеделие“ наскоро приключи обработката и ще финансира 880 проекта, подадени при втория прием по подмярка 6.1 “Стартова помощ за млади земеделски стопани”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 попадат в сто процентовият бюджет по подмярката, за чийто прием са разпределени 22 млн. евро. Одобрените проекти ще бъдат подкрепени с до 25 хил.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Интересът на младите фермери към финансовата подкрепа, насочена към създаването или модернизирането на жизнеспособни и устойчиви земеделски стопанства, е огромен. В рамките на приема през ИСУН са подадени над 1 800 заявления, с обща стойност на исканата помощ от 46 млн. евро , от които отпадат само 178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След извършена предварителна оценка, остават 1 146 проекта като всички са проверени на място - част от процедурата за оценка на административно съответствие и допустимост. Общата стойност на заявената субсидия за тях възлиза на 28,6 млн. евро, което представлява 130 % от разпределения бюджет за приема.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Предложението за прехвърляне на сума в размер на 6.6 млн. евро публични средства цели финансиране на одобрените заявления над 880-те одобрени към момента – до размера на 130-те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 за прехвърляне на средства към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През 2019 г. по мярка 11 приключват ангажиментите на 1 652 бр. кандидати по мярката, поели ангажимент през 2015 г. С оглед спазването на заложените цели в Националния план за развитие на биологичното земеделие в България, а именно Стратегическа цел I „Подобряване на ефективността на биологичното производство и разширяване на националния и външен пазар на биологични продукти“, в която е записано, че е необходимо осигуряване на финансово подпомагане на земеделските стопани, които развиват ефективно биологично производство, УО планира за тези кандидати – сертифицирани биологични производители, да осигури допълнителен финансов ресурс чрез удължаване на техните ангажименти всяка година до 2022 г.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По данни от дирекция „Директни плащания“ на МЗХГ от кампания 2019 г. има 590 бр. кандидати, които са декларирали площи като биологични по схемите от директните плащания, като тези площи не са заявени за подпомагане по мярка 11 „Биологично земеделие“. Същите могат да бъдат заявени по мярката през 2020 г., направление „Биологично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Kъм 2018 г. в ЕВРОСТАТ са подадени 228 хил. пчeлни семейства. За кампания 2018 г. по мярка 11 „Биологично земеделие“ са декларирани 144 хил. пчелни семейства. Разликата от 83 хил. пчелни семейства могат да бъдат включени в ангажименти през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текущите ограничения в бюджета на мярката, след 2016 г. не са поемани нови ангажименти по мярка 11. В същото време се наблюдава нарастване на интереса от страна на земеделските стопани към биологичното земеделие. В тази връзка УО на ПРСР ще предостави възможност на земеделски стопани, които до момента не са били бенефициенти по мярка 11 „Биологично земеделие“ да поемат нови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Прогнозният финансов ресурс, необходим за покриване на всички ангажименти от настоящия програмен период до 2022 г. включително, е в размер на 40,3 млн. евро. В тази връзка УО на ПРСР предлага средства в размер на 40 млн. евро да бъдат прехвърлени към бюджета на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II. Предложение за прехвърляне на средства от мерки, които съгласно извършен анализ се препоръчва да не стартират</w:t>
            </w:r>
            <w:r>
              <w:rPr>
                <w:rFonts w:ascii="Times New Roman" w:eastAsia="Times New Roman" w:hAnsi="Times New Roman" w:cs="Times New Roman"/>
                <w:b/>
                <w:bCs/>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1.3 Краткосрочен обмен на опит и посещения в земеделски и горски стопанства- с бюджет от 2 394 596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2.3 Подкрепа за обучение на консултанти - с бюджет от 1 000 000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4.4 Непроизводствени инвестиции - с бюджет от 8 266 667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4.4.2 Непроизводствени инвестиции в малки стопанства(ТПП) - с бюджет от 1 123 414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7.5 Инвестиции за публично ползване в инфраструктура за отдих, туристическа инфраструктура  - с бюджет от 10 000 000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8.5 Инвестиции, подобряващи устойчивостта и екологичната стойност на горските екосистеми  - с бюджет от 11 250 000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15.1 Плащания за горски екологични ангажименти  - с бюджет от 7 250 000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15.2 Подпомагане за запазване и поддръжка на горски генетични ресурси  - с бюджет от 1 500 000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16.2 Подкрепа за пилотни проекти и за развитие на нови продукти, практики, процеси и технологии  - с бюджет от 4 573 723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17 Управление на риска - с бюджет от 36 720 054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Общо гореизброените нестартирали мерки са с бюджет от 84 078 454 евро публични средства (70 113 435 евро от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ПРСР 2014-2020 е избран набор от 56 мерки и подмерки, чрез които да се постигат целите на програмата. Големият набор от мерки и подмерки изискват отваряне на множество приеми на проектни предложения. Всеки прием изисква отделна подготовка на условия за кандидатстване и изпълнение на проекти, провеждане на публично обсъждане със заинтересованите страни, формиране на отделна оценителна комисия и отделна оценка на постъпилите проектни. Също така, формира се отделна комисия за  разглеждане на постъпилите жалби.  Поради тази причина, всеки прием на проекти предложения мултиплицира работата на УО и РА, като на практика широкия набор от избрани за прилагане мерки надхвърля значително възможностите на системите за управление и контрол на ПРСР 2014-2020 и наличния административен капацитет. Риск от забавяне в прилагането на всички избрани мерки е възможен, както по отношение на отваряне на голям брой приеми в УО, така и по отношение на обработка и оценка  на постъпилите проектни предложения в ДФЗ-РА от прекалено голям брой проведени приеми.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първоначалния период на стартиране на ПРСР 2014-2020 фокусът беше поставен върху структуроопределящи подмерки като 4.1, 4.2 и 7.2 с цел да се избегне рискът от автоматично отчисляване на средства. Отворените приеми по тези подмерки, освен че спомогнаха за избягване на загуба на средства, допринесоха и за постигане на напредък по част от междинните цели от рамката за изпълнение. Голяма част от оставащите подмерки са нови, неприлагани досега.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трудност при разработването на новите мерки се оказва оценката на специфични рискове от злоупотреби и създаване на изкуствено създадени условия, които да гарантират контролируемост и верификация на изплатените разходи по тези мерки. Поради тази причина,  разработването на нови контролни процедури, които да покрият всички специфични за новата мярка рискове е трудоемък процес, която отнема значителен период от време. Всичко това води до риск от забавяне в прилагането на ПРСР, което от своя страна е свързано с поемането на необоснован риск от загуба на средства в следващите години.  В тази връзка УО на ПРСР предлага да се пренасочи финансов ресурс от нестартиралите мерки и подмерки. Прехвърлянето на тези финансови средства ще спомогне за ускоряване на  процеса на прилагане на програмата. Предложението е за прехвърляне към следните мерки и подмерки:</w:t>
            </w:r>
          </w:p>
          <w:p>
            <w:pPr>
              <w:numPr>
                <w:ilvl w:val="0"/>
                <w:numId w:val="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  - 20 000 000 - евро публични средства.</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 - 7 294 118 евро публични средства.</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6.3 „Стартова помощ за развитието на малки стопанства“(ТПП) - 6 000 000 евро публични средства.</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7.2 “Инвестиции в създаването, подобряването или разширяването на всички видове малка по мащаби инфраструктура” - 10 000 000 евро публични средства.</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13 "Плащания за райони, изправени пред природни или други специфични ограничения" - 8 750 000 евро публични средства.</w:t>
            </w:r>
          </w:p>
          <w:p>
            <w:pPr>
              <w:numPr>
                <w:ilvl w:val="0"/>
                <w:numId w:val="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продукция,претърпял щети в резултат на природни бедствия и катастрофични събития,и въвеждане на подходящи превантивни мерки“ - 31 471 688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Мотиви за прехвърляне на средства и създаване на Финансов инструмент - кредитен фонд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в рамките на предварителната оценка на финансовите инструменти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кредит за съфинансиране на бенефициент на проект, финансиран с БФП от ПРСР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самостоятелен кредит, отпускан по подмерки 4.1, 4.2 и 6.4 по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е разработен с цел принос за 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Едни от основните проблеми пред финансирането в секторите, подпомагани от ПРСР са:</w:t>
            </w:r>
          </w:p>
          <w:p>
            <w:pPr>
              <w:numPr>
                <w:ilvl w:val="0"/>
                <w:numId w:val="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изчерпване на средствата за безвъзмездно финансиране по част от мерките на програмата;</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високи нива на лихвените проценти по кредитите, отпускани от кредитните и финансовите институции за кредитополучатели от сектора;</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предходен опит в прилагането на ФИ, освен гаранционната схема по НГФ;</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развити финансови инструменти, подходящи за спецификата на земеделските стопанства,</w:t>
            </w:r>
          </w:p>
          <w:p>
            <w:pPr>
              <w:numPr>
                <w:ilvl w:val="0"/>
                <w:numId w:val="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високи изисквания на банките за обезпечения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 за прехвърляне на средства към Подмярка 6.3 „Стартова помощ за развитието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установените в страната през последните няколко години огнища на силно заразни болести по дребните преживни животни, свине и птици, Управляващия орган на Програмата за развитие на селските райони за периода 2014-2020 г. предвижда да стартира целеви прием по подмярка 6.3 „Стартова помощ за развитието на малки стопанства“, насочен изцяло към подпомагане на малки стопанства с цел повишаване на биосигурност, чрез допустимите по подмярката дейности.</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Поради сравнително малките абсолютни стойности на подпомагане по подмярката, по предварителни разчети с необходимите средства в размер на 6 млн. евро публични средства, би било възможно финансирането на до 400 малки стопанства. Предвижда се да се подпомагат земеделски стопанства (физически лица, еднолични търговци, ЕООД) в сектор „животновъдство“ - отглеждащи свине, овце, кози 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 за прехвърляне на средства към Подмярка 7.2. „Инвестиции в създаването, подобряването или разширяването на всички видове малка по мащаби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проведените приеми в периода 2016 - 2018 г. по подмярка 7.2, е регистриран много висок интерес към инвестиции в малка по мащаби инфраструктура на територията на общините от селските райони, за много от които не достига бюджет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Прехвърлянето на предвидения бюджет по подмярка 7.5 към подмярка 7.2 би допринесъл за по-бързо постигане на индикаторите и целевите им стойности, като за по-голяма оперативност средствата могат да бъдат използвани за увеличение на бюджета по вече проведени приеми, с цел подпомагане на допустими проекти, които попадат извън определения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този начин ще бъде спестено време от процеса по подготовка, съгласуване и провеждане на нова процедура за прием, както и ще осигури достатъчно време за провеждане на тръжните процедури от страна на бенефициентите за избор на изпълнители на дейностите в периода на прилагане на ПРСР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е средствата да бъдат пренасочени към процедура „Улици“, по която от приема, състоял се през 2018 г. са постъпили общо 148 проектни предложения с обща стойност на заявените разходи малко над 86 млн. евро. От тях, одобрени за финансиране са 107 проектни предложения със стойност на одобрените разходи в размер на близо 61 млн.евро, като средства за финансирането на останалите 41 броя от постъпилите проекти не са налични. За разглеждането и евентуално одобрение на всички тези 41 проектни предложения е необходим бюджет в размер на заявените за подпомагане разходи – около 23 млн.евро.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Направеният анализ показва, че с прехвърлените средства в размер на 10 млн.евро могат да бъдат разгледани и евентуално да получат финансиране до 20 проектни предложения със стойност на заявените разходи в размер на близо 11.5 млн. евро. Отчитайки факта, че при разглеждане на проектните предложения по същество отпадат разходи за финансиране, както и след провеждане на процедурите за избор на изпълнители по реда на Закона за обществените поръчки намаляват първоначално одобрените стойности на разходите за подпомагане, то този бюджет би бил достатъчен за финансирането на горепосочените проектни предложения.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факта, че посочените проекти по подмярка 7.2 от процедура „Улици“ са преминали всички процедури по предварителна оценка УО на ПРСР счита, че прехвърлянето на средствата именно в тази процедура от подмярката би било целесъобразно с оглед оставащите срокове по ПРСР 2014 - 2020 за разплащане на одобрени и извършени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 за прехвърляне на средства и стартиране на Мярка 5 „Възстановяване на потенциала за селскостопанска продукция, претърпял щети в резултат на природни бедствия 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установените в страната през последните няколко години огнища на силно заразни болести по дребните преживни животни, свине и птици, Управляващия орган на Програмата за развитие на селските райони за периода 2014-2020 г. предприе стъпки за разработване на мярка, насочена към възстановяване на селскостопанския производствен потенциал, претърпял щети в резултат на природни бедствия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епизоотични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преодоляване на рисковете, пред които се изправени земеделските стопанства мярката ще осигури подкрепа за ограничаване на въздействието на силно заразни болести и подкрепа за възстановяване на производствения потенциал, повреден в резултат на тези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земеделски стопанства, в които се отглеждат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е структурирана в две подмерки. Първата подмярка предвижда финансиране на инвестиции за предотвратяване и ограничаване на разпространението епизоотии и масови болести по животните. Допустими ще бъдат дейности за инвестиции в инсталации за дезинфекция и дезинфекция, както и  съоръжения, оборудване и санитарна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втората подмярката ще бъде насочено към възстановяване на производствения потенциал, нарушен африканска чума по свинете или други епизоотии, в това число и закупуване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III. Други прехвърляния в рамките на предвижданото Шесто изменение.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Предложение за увеличение на бюджета на Мярка 9 „Учредяване на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проведеният през 2018 г. период на прием са подадени общо 38 броя проектни предложения, представени от признати групи и организации на производителите, по които е заявена финансова помощ в размер на левовата равностойност на  11,4 млн. евро. Тъй като заявената от кандидатите безвъзмездна финансова помощ надхвърля определения за приема бюджет в съответствие с утвърдената процедура е извършена предварителна оценка на проектните предложения. След приключване на предварителната оценка всички 38 проектни предложения са разпределени за разглеждане на етап административно съответствие и допустимост (АСД).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брой точки по критериите за подбор на проекти, одобрени от Комитета за наблюдение на ПРСР, като условие за допустимост на едно проектно предложение е 10. След приключване на обработката на 35 проектни предложения на етап ТФО е установено, че на подпомагане подлежат проектни предложения, получили най-малко 40 точки (включително) или общо 23 /сектор „Животновъдство“ - 18 броя, в сектор „Плодове и зеленчуци“ - 5 броя/ проектни предложения за финансирането, на които е наличен бюджет в рамките на обявената процедура.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отделна точка от предложението за изменение (извън прехвърлянето в рамките на Резерва за изпълнение), УО на ПРСР предвижда да прехвърли средства в размер на 1.6 млн. евро публични средства (1.45 млн. евро ЕЗФРСР), от бюджета на Мярка 14 „Хуманно отношение към животните“, към бюджета на Мярка 9 „Учредяване на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 Прехвърляне на средства между фокус области в подмярка 4.1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във физически активи“, е най-комплексно прилаганата подмярка изобщо в ПРСР 2014-2020, като интервенциите се разпростират в три приоритета (приоритети 2, 4 и 5) и общо шест Фокус области (ФО).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са проведени два приема на проектни предложения, в които е използван целият индикативен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Важно е да се отбележи, че разпределението на средствата при програмирането на ПРСР 2014-2020 е правено на база балансиран разход на средства спрямо всички типове инвестиции, и  планирано постигане на стратегическите цели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изготвяне на информацията, в резултат на прилагането на подмярка 4.1 от страна на земеделските стопани се наблюдава значителен интерес към проекти, които като отнасяне следва да попадат в обхвата на ФO2А/2В и същевременно значително по – нисък интерес към проекти, които биха попаднали в обхвата на проекти от Р4, ФО 5А, 5В и 5С, като тези тенденции се отчитат от страна на българските власти като сигнал за необходимост от промени в рамките на индикативните стойности по ФО.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след два проведени приема, и реално договорен целият индикативен бюджет на подмярката, към 1 юли 2019 г. е налице сериозен дисбаланс при отнасянето на договарянето вътре в подмярката, спрямо първоначалното разпределение на средствата по приоритети и фокус области. Договарянето е изцяло в рамките на разполагаемият индикативен бюджет по подмярката, но ФО 5С, 5D и P4 нямат нужното ниво на отнасяне на договарянето, за сметка на отнесени повече договори във ФО 2А и 2Б.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от основните причини за текущото отнасяне на проектните предложения към конкретни фокус области е невъзможността за техническо дублиране на средства, въпреки очевидното допринасяне на една инвестиция към повече от една фокус област в цял размер, от гледна точка на постигане на стратегическите цели на Програмата. Пример за това най-кратко може да бъде даден с инвестиция в строителство, при сертифициран биологичен производител (относимо към 2А или 2В, включително и към Р4), на което е извършено енергийно обследване (относимо към 5B или 5С) – разделяйки проектното предложение по типове инвестиции, 90% от обема на инвестицията следва да бъде отнесена към ФО 2А/2В, а едва 10% (дори и по-малко в повечето случаи към Р4, 5B или 5С).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Реално такава инвестиция допринася в пълен размер за постигане целите и на Р2, и на Р4, и на Р5 (енергийното обследване обхваща цялата инвестиция, като разход само по себе си е минимално спрямо стойността на проекта), но поради недопускане на двойно отчитане на средства, самите разходи се отнасят като цяло по типове инвестиции, което технически измества разпределението от гледна точка на бюджет към най-голям обем.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и тъй като средствата като обем реално са договорени, но с дисбаланс по отношение на отнесените суми спрямо първоначално разпределените инвестиции, нашето предложение е средства в размер на общо 115 млн. евро публични средства да бъдат прехвърлени от приоритети 4 и 5, към приоритет 2, ФО 2А и 2Б, с цел изравняване на баланса в договарянето.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прехвърлянето на средства, договарянето предвижда да бъде в рамките на подмярката, след редукция на 13,5 млн. евро публични средства, вследствие прехвърляне на сумите от Приоритети 4 и 5 (75% интензитет на ЕЗФРСР) към Приоритет 2 (85% интензитет на ЕЗФРСР).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Част от индикативните недоговорени (неотнесени като договори) средства, от фокус област 5D, се предвижда да бъдат пренасочени в рамките на преразпределяне на Резерва за изпълнение на Приоритет 5, към ФО 2А и 2Б.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Отделно, за компенсиране на евентуално намаляване на размера на разполагаемите средства под нивото на реално договаряне като цяло по подмярката, се предвижда прехвърляне на допълнителни средства в размер на 4 млн. евро публични  вътре в  Подмярка 4.1 - към ФО 5А, за покриване на отнесени инвестиции за напояване, в рамките на подмярка 4.1.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Също така, с цел стартиране на нов целеви прием по подмярката с достатъчно средства</w:t>
            </w:r>
            <w:r>
              <w:rPr>
                <w:rFonts w:ascii="Times New Roman" w:eastAsia="Times New Roman" w:hAnsi="Times New Roman" w:cs="Times New Roman"/>
                <w:szCs w:val="24"/>
              </w:rPr>
              <w:t>, се предвижда прехвърлянето на средства от нестартирали мерки към М4.1, към ФО 2А, в размер на допълнителни 7 294 118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 прехвърляне към Подмярка 4.1 на суми от Резерва, след извършване на реалокиране на средства вътре в мярката, и след добавяне на суми от предложени за нестартиране мерки, </w:t>
            </w:r>
            <w:r>
              <w:rPr>
                <w:rFonts w:ascii="Times New Roman" w:eastAsia="Times New Roman" w:hAnsi="Times New Roman" w:cs="Times New Roman"/>
                <w:b/>
                <w:bCs/>
                <w:szCs w:val="24"/>
              </w:rPr>
              <w:t>средствата, налични за стартиране на нов прием се предвижда да бъдат поне 31.4 млн. евро публични средства</w:t>
            </w:r>
            <w:r>
              <w:rPr>
                <w:rFonts w:ascii="Times New Roman" w:eastAsia="Times New Roman" w:hAnsi="Times New Roman" w:cs="Times New Roman"/>
                <w:szCs w:val="24"/>
              </w:rPr>
              <w:t>. При последващо анулиране или анексиране на договори, сумата може да се увеличи, което ще бъде взето предвид при обявяването на окончателният размер на бюджета за стартиращия прием.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ІV. Предложение за изменение в ПРСР 2014-2020 г. в частта по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Предложенията за изменение в ПРСР 2014-2020 г. в частта по мярка 11 „Биологично земеделие“ са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по-голяма яснота за кандидатите по мярка 11 „Биологично земеделие“ в т. „Условия за допустимост“ от под мярка 11.1 „Плащания за преминаване към практики и методи за биологично земеделие“ се предлага да се въведе нов текст, който прави директна препратка към членове 36, 37 и 38 от Регламент 834/2007, касаещи минималната продължителност на периода на преход в биологичното растениевъдство/пчеларство/животновъдство.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 „Условия за допустимост“ от под мярка 11.1 и в т. „Условия за допустимост“ от под мярка 11.2.  „Плащания за поддържане на практики и методи за биологично земеделие“ се предлага включване на нов текст, с който се дава възможност на кандидатите да приспособят продължаващите им ангажименти към новите изисквания по мярката, които ще станат факт в Стратегическият план 2021-2027 г. и ще действат в следващия програмен период. Това предложение е продиктувано от заложените основни цели в проекта на регламент, насочени към подкрепа за развитието на биологичното земеделие, като екологосъобразен метод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 „Специфична информация за мярката“ промяната е  свързана предоставянето на възможност на кандидатите по мярка 11 да разширяват ангажиментите си с нови площи за оставащия период, като отпада ограничението това увеличение да е до 20 % от първоначалния размер, но с не повече от 10 ха за земеделски стопани, които удължават непосредствено изтичащия им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раздел 8 „Приложими суми и ставки на подпомагане“ се въвежда намаляващ размер на плащането в рамките на приема по мярката през 2020 г. за кандидатите, които удължават ангажимента си или поемат нов такъв и заявяват култури от групите на полски култури, включително фуражни и ароматни и медицински:</w:t>
            </w:r>
          </w:p>
          <w:p>
            <w:pPr>
              <w:numPr>
                <w:ilvl w:val="0"/>
                <w:numId w:val="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размера на финансовата подкрепа за хектар за първите 50 ха;</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50 % от размера на финансовата подкрепа за хектар за площите от 50 ха до 65 ха;</w:t>
            </w:r>
          </w:p>
          <w:p>
            <w:pPr>
              <w:numPr>
                <w:ilvl w:val="0"/>
                <w:numId w:val="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10 % от размера на финансовата подкрепа за хектар площите над 65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спазването на заложените цели в Националния план за развитие на биологичното земеделие в България, а именно Стратегическа цел I „Подобряване на ефективността на биологичното производство и разширяване на националния и външен пазар на биологични продукти“, в която е записано, че е необходимо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осигуряване на финансово подпомагане на земеделските стопани, които развиват ефективно биологично производство, е планирано осигуряването на финансов ресурс за сертифицирани биологични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Дава се възможност на кандидатите да удължат непосредствено изтичащия им ангажимент като продължават изпълнението му с първоначално одобрените площи и/или добавят нови биологично сертифицирани площи, без да поемат нов ангажимент, не по-късно от 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в т.„Друга важна информация, необходима за по-доброто разбиране и прилагане на мярката“ въвежда уточнението, че през 2020 г. няма да се подпомагат площи/ЖЕ/пчелни семейства, които са в период на преход.</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V.</w:t>
            </w:r>
            <w:r>
              <w:rPr>
                <w:rFonts w:ascii="Times New Roman" w:eastAsia="Times New Roman" w:hAnsi="Times New Roman" w:cs="Times New Roman"/>
                <w:b/>
                <w:bCs/>
                <w:szCs w:val="24"/>
              </w:rPr>
              <w:t xml:space="preserve"> Предложение за включване на мярка </w:t>
            </w:r>
            <w:r>
              <w:rPr>
                <w:rFonts w:ascii="Times New Roman" w:eastAsia="Times New Roman" w:hAnsi="Times New Roman" w:cs="Times New Roman"/>
                <w:b/>
                <w:bCs/>
                <w:szCs w:val="24"/>
              </w:rPr>
              <w:t>5 „</w:t>
            </w:r>
            <w:r>
              <w:rPr>
                <w:rFonts w:ascii="Times New Roman" w:eastAsia="Times New Roman" w:hAnsi="Times New Roman" w:cs="Times New Roman"/>
                <w:b/>
                <w:bCs/>
                <w:szCs w:val="24"/>
              </w:rPr>
              <w:t>Възстановяване на селскостопански производствен потенциал, претърпял щети в резултат на природни бедствия, и въвеждане на подходящи превантивни 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в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наличието през 2018 г. и 2019 г. на усложнена епизоотична обстановка в страната се предприемат действия чрез мерките от ПРСР за подпомагане на животновъдни стопанства с цел превенция и преодоляване на последиците от щетите в животновъдния сектор.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механизмите на различните подмерки от мярка 5 от ПРСР и в рамките на правилата за допустимост ще се осигурят възможности за финансирането на дейности, свързани с превенция и преодоляването развитието и разпространението в зависимост от специфичните болести за съответните видове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Категориите животни засегнати от различните видове болести през последните години са дребни преживни животни /овце и кози/, свине и птици, като поради тази причина целевото насочване на помощта по отделните мерки ще бъде насочена именно към стопанства отглеждащи цитираните видове животни. Силно заразните заболявания, които оказват най – голямо влияние върху производството и отглеждането на различните видове животни в страната и в резултат, на което земеделските стопани  са - Африканска чума по свинете, Чума по дребните преживни животни, Инфлуенца по птиците (Птичи грип).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Последствията от усложнена епизоотична обстановка в страната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„Птицевъдство“ - големи икономически загуби, които включват: убиване на всички възприемчиви птици; унищожаване на, яйца и фуражи в засегнатите и контактните обекти; забрана за движение на птици и продукти; забрана провеждането на пазари на живи домашни птици, изложби и състезания за цялата територия на страната и спазване на законоустановените срокове за заселване на нови птици в обектите. Трябва да се отбележи, че инфлуенцата по птиците е зооноза и като такава могат да бъдат засегнати и хората.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„Чумата по дребните преживни животни“ и „Африканската чума по свинете“ са причинили значителни икономически щети при широкомащабно разпространение. Единственият начин за борба с него е умъртвяване на болните и контактни животни, както и сериозни ограничения при търговията с живи животни и продукти от тях. Заболяването причинява загуби за фермерите, като води до унищожаване на голям брой животни и допълнително е свързано с ограничителни мерки в 3 и 10 км зона около огнищата на заболяването. Засяга всички обекти в тези зони и налага ограничения за търговия, придвижване и транспорт на живи животни, възбрана за реализиране на мляко, месо, млечни и месни продукти и затруднения при изхранване на животните. Въздействието на тези заболявания е пряко върху националната, регионалната и международната търговия, като поставя в риск цели стопански сектори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 е проект на подмярка 5.1 насочена към -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 и подмярка 5.2 насочена към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 (вкл. болести по растенията и животните).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VІ.Предложения за промяна в текстовете на следните подмерки от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Изменение и допълнение в текста на подмярка 6.3 „Стартова помощ за развитие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Изменението на подмярка 6.3 "Стартова помощ за развитието на малки стопанства" цели интервенции свързани с усложнената епизоотична обстановка обстановка в страната през 2018 г. и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Целевият прием по подмярка 6.3 ще бъде насочен към малки земеделски стопанства, като една от целите в техните проекти ще бъде свързана с повишаване на биосигурността в техните стопанства, което е от изключителна важност за здравословното състояние на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Изменението в част от условията по М6.3 предвид последствията понесени от този тип малки земеделски стопанства са съобразени с реалното състояние в страната в резултат на усложнената епизоотична обстановка. Целта на този целеви прием да осигури възможност за малките земеделски стопанства в страната, които отглеждат свине, птици и дребни преживни животни /кози и овце/ да осигурят превенция за своите стопанства, както и да имат възможност за преодоляване на последиците от възникналата ситуация, включително икономическите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 Допълнение в текста на подмярка 4.1.2 „Инвестиции в земеделски стопанства по Тематичната подпрограма за развитие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подпомагане на по – голям брой малки земеделски стопани като за целите на прием 2020 да отпадне изискването за доказване на 33% доход от земеделска дейност към момента кандидатстване.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Изменение и допълнение в текстовете на подмярка 4.2.2 „Инвестиции в преработка/маркетинг на селскостопански продукти по Тематичната подпрограма“ и подмярка 4.1.2 „Инвестиции в земеделски стопанства по Тематичната подпрограма за развитие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дефиниране и  яснота по отношение на правилата в приложимото национално законодателство се прецизират някои от текстовете.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VІІ. Предложение за прецизиране на текста по подмярка 1.1 „Професионално обучение и придобиване на 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по подмярка 1.1 се изразява в техническа корекция в текстовете, регламентираща условия за допустимост на бенефициентите по подмярката и описание на вида на операцията, с цел постигане на яснота по отношение прилагане на законодателството в сферата на висшето образование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VІІІ.  Предложение за допълнение в текстовете на подмярка 4.3 “Подкрепа за инвестиции в инфраструктура, свързана с развитието, модернизирането или адаптирането на селското и горското стопанство" и 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касаещи допустими разходи за организация и управление на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реализацията на големи и сложни инфраструктурни проекти, възниква сериозен проблем в процеса на проектното проучване, логистиката, организацията и управлението на проекта поради факта, че не всички дейности могат да бъдат възлагани на външни изпълнители заради спецификата на самия проект и съответния бенефициент.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бенефициентът разполага с компетентен и квалифициран експертен състав, икономически и времево най-ефективно ще бъде  специфичните задачи по организация и управление на проекта да бъдат възложени на служителите на публичното дружество, предприятие или орган като допълнителна задача или дейност в рамките на служебните му задължения. Наличието на ангажиран експертен екип ще допринесе за по-добрата координация в различните етапи при изготвянето и реализацията на проекта.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ІХ Предложение за изменение в текста на ПРСР 2014-2020 г., касаещо </w:t>
            </w:r>
            <w:r>
              <w:rPr>
                <w:rFonts w:ascii="Times New Roman" w:eastAsia="Times New Roman" w:hAnsi="Times New Roman" w:cs="Times New Roman"/>
                <w:b/>
                <w:bCs/>
                <w:szCs w:val="24"/>
              </w:rPr>
              <w:t xml:space="preserve">разработване на </w:t>
            </w:r>
            <w:r>
              <w:rPr>
                <w:rFonts w:ascii="Times New Roman" w:eastAsia="Times New Roman" w:hAnsi="Times New Roman" w:cs="Times New Roman"/>
                <w:b/>
                <w:bCs/>
                <w:szCs w:val="24"/>
              </w:rPr>
              <w:t>ф</w:t>
            </w:r>
            <w:r>
              <w:rPr>
                <w:rFonts w:ascii="Times New Roman" w:eastAsia="Times New Roman" w:hAnsi="Times New Roman" w:cs="Times New Roman"/>
                <w:b/>
                <w:bCs/>
                <w:szCs w:val="24"/>
              </w:rPr>
              <w:t>инансови</w:t>
            </w:r>
            <w:r>
              <w:rPr>
                <w:rFonts w:ascii="Times New Roman" w:eastAsia="Times New Roman" w:hAnsi="Times New Roman" w:cs="Times New Roman"/>
                <w:b/>
                <w:bCs/>
                <w:szCs w:val="24"/>
              </w:rPr>
              <w:t xml:space="preserve"> инструменти</w:t>
            </w:r>
            <w:r>
              <w:rPr>
                <w:rFonts w:ascii="Times New Roman" w:eastAsia="Times New Roman" w:hAnsi="Times New Roman" w:cs="Times New Roman"/>
                <w:i/>
                <w:iCs/>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в рамките на предварителната оценка на финансови инструменти по ПРСР 2014-2020 г.,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numPr>
                <w:ilvl w:val="0"/>
                <w:numId w:val="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 за съфинансиране на бенефициент на проект, финансиран с БФП от ПРСР за земеделски и неземеделски инвестиции в селски райони, включително инвестиции, финансирани по програма ЛИДЕР;</w:t>
            </w:r>
          </w:p>
          <w:p>
            <w:pPr>
              <w:numPr>
                <w:ilvl w:val="0"/>
                <w:numId w:val="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самостоятелен кредит, отпускан по подмерки 4.1, 4.2 и 6.4 по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за външно финансиране  в сектор Земеделие са ограничени от вида на активите, с които предприятията оперират.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Доходите на земеделските стопанства са свързани с редица рискове, както свързани с климата и времето, така и с пазарните условия, което обуславя трудното финансиране от банковия сектор.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numPr>
                <w:ilvl w:val="0"/>
                <w:numId w:val="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numPr>
                <w:ilvl w:val="0"/>
                <w:numId w:val="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показва недостиг на финансиране по ПРСР и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 и поради следните причини:</w:t>
            </w:r>
          </w:p>
          <w:p>
            <w:pPr>
              <w:numPr>
                <w:ilvl w:val="0"/>
                <w:numId w:val="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Изчерпване на средствата за безвъзмездно финансиране по част от мерките на програмата;</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Високи нива на лихвените проценти по кредитите, отпускани от кредитните и финансовите институции за кредитополучатели от сектора;</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предходен опит в прилагането на ФИ, освен гаранционната схема по Националния гаранционен фонд;</w:t>
            </w:r>
          </w:p>
          <w:p>
            <w:pPr>
              <w:numPr>
                <w:ilvl w:val="0"/>
                <w:numId w:val="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развити финансови инструменти, подходящи за спецификата на земеделските стопанства,</w:t>
            </w:r>
          </w:p>
          <w:p>
            <w:pPr>
              <w:numPr>
                <w:ilvl w:val="0"/>
                <w:numId w:val="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Високи изисквания на банките за обезпечения и др.</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Oчаквани последици от 6-то изменение и допълнение на Програмата за развитие на селските райони 2014-2020 г.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І. Предложение за </w:t>
            </w:r>
            <w:r>
              <w:rPr>
                <w:rFonts w:ascii="Times New Roman" w:eastAsia="Times New Roman" w:hAnsi="Times New Roman" w:cs="Times New Roman"/>
                <w:b/>
                <w:bCs/>
                <w:szCs w:val="24"/>
              </w:rPr>
              <w:t>изменение в ПРСР 2014-2020 г. в частта по мярка 11 „Биологично земеделие“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възможност на биологични стопани, преминали периода на преход, да поемат пет годишен биологичен ангажимент, като в първите три години от изпълнението му същият ще бъде финансиран от бюджета на ПРСР 2014-2020, а оставащите две години – от бюджета на Стратегическият план  2021-2027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промяната в т. „Специфична информация за мярката“  се гарантира устойчив размер на биологични площи, които са част от използваемата земеделска площ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възможност на биологичните стопани, преминали периода на преход, да поемат пет годишен биологичен ангажимент, като в първите три години от изпълнението му същият ще бъде финансиран от бюджета на ПРСР 2014-2020, а оставащите две години – от бюджета на Стратегическият план  2021-2027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Прецизирането на текстове от т. „Специфична информация за мярката“  ще предотврати създаването на изкуствени условия някои бенефициенти  да се явят като нови кандидати по мярката вместо да удължат ангажиментите си. По този начин се гарантира, че бюджетът за следващия програмен период няма да бъде натоварен излишно.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в т. „Друга важна информация, необходима за по-доброто разбиране и прилагане на мярката“ гарантира, че през 2020 г. ще се подпомагат само биологично сертифицирани площи/животни/пчелни семейства с цел развиването на ефективно биологично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ІІ.Предложение за включване на мярка </w:t>
            </w:r>
            <w:r>
              <w:rPr>
                <w:rFonts w:ascii="Times New Roman" w:eastAsia="Times New Roman" w:hAnsi="Times New Roman" w:cs="Times New Roman"/>
                <w:b/>
                <w:bCs/>
                <w:szCs w:val="24"/>
              </w:rPr>
              <w:t>5 „</w:t>
            </w:r>
            <w:r>
              <w:rPr>
                <w:rFonts w:ascii="Times New Roman" w:eastAsia="Times New Roman" w:hAnsi="Times New Roman" w:cs="Times New Roman"/>
                <w:b/>
                <w:bCs/>
                <w:szCs w:val="24"/>
              </w:rPr>
              <w:t>Възстановяване на селскостопански производствен потенциал, претърпял щети в резултат на природни бедствия, и въвеждане на подходящи превантивни 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в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мярка 5 „Възстановяване на селскостопански производствен потенциал, претърпял щети в резултат на природни бедствия, и въвеждане на подходящи превантивни мерки“ и включването и в ПРСР 2014-2020 е продиктувано от острата необходимост за инвестиционна подкрепа на животновъдни стопанства във връзка с превенцията и преодоляване на последиците, щетите и загубите от усложнена епизоотична обстановка в страната през 2018 г. и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ІІІ. Предложения за промяна в текстовете на следните подмерки от Тематичната подпрограма за малки стопанства: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Изменение и допълнение в текста на подмярка 6.3 „Стартова помощ за развитие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предложените промени в текста на подмярка 6.3 ще се предостави възможност на малките свиневъдни, птицевъдни и козевъдни и овцевъдни стопанства, да преодолеят неблагоприятните икономически последиците, като чрез осигурената подкрепа да развият своята икономическа дейности и запазят конкурентните си предимства спрямо по – големите земеделски стопанства в условията на модернизирани животновъдни обекти с повишена превенция от епизоотии.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 Изменение и допълнение в текстовете на подмярка 4.2.2 „Инвестиции в преработка/маркетинг на селскостопански продукти по Тематичната подпрограма“ и подмярка 4.1.2 „Инвестиции в земеделски стопанства по Тематичната подпрограма за развитие на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Прецизирането на текстовете на подмярка 4.2.2 и подмярка 4.1.2 ще спомогне за по-точното прилагане на правилата от приложимото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ІV. Предложение за прецизиране на текста по подмярка 1.1 „Професионално обучение и придобиване на 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бъде постигната яснота по отношение на специфичните нормативни изисквания в Закона за висшето образование и Закона за професионалното образование и обучение за различните обучителни организации, като това ще спомогне за по-точното прилагане на условията за допустимост на бенефициентите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V. Предложение за допълнение в текстовете на подмярка 4.3 “Подкрепа за инвестиции в инфраструктура, свързана с развитието, модернизирането или адаптирането на селското и горското стопанство" и 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касаещи допустими разходи за организация и управление на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включването на  разходите за организация и управление на проектите като допустим разход от общите разходи, ще се намалят някои от разходите на организациите, свързани с проектни проучвания, консултантски услуги, инвеститорски или авторски надзор и така ще се намали тежестта на общите разходи към общата стойност на разходите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положителен ефект за изпълнението на самите проекти ще има и по отношение на скъсяването на навремето, необходимо за тяхното изпълнение, както и до намаляване на допълнителните ресурси особено в случаите, в които е необходимо наемането на външни контрагенти чрез механизма на обществените поръчки за дейности, свързани с организацията и управлението на проектите.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VІ.Предложение за изменение в текста на ПРСР 2014-2020 г., касаещо разработване на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последици от прилагането на финансови инструменти самостоятелно и в допълнение на предоставена безвъзмездна помощ по ПРСР с оглед задоволяване на потенциалното търсене на финансиране могат да се обобщят по следния начин:</w:t>
            </w:r>
          </w:p>
          <w:p>
            <w:pPr>
              <w:numPr>
                <w:ilvl w:val="0"/>
                <w:numId w:val="2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жизнеспособността и устойчивостта на малките земеделски стопанства;</w:t>
            </w:r>
          </w:p>
          <w:p>
            <w:pPr>
              <w:numPr>
                <w:ilvl w:val="0"/>
                <w:numId w:val="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стопанствата в секторите за производство на мляко, месо, плодове и зеленчуци и етерично-маслени и лекарствени култури;</w:t>
            </w:r>
          </w:p>
          <w:p>
            <w:pPr>
              <w:numPr>
                <w:ilvl w:val="0"/>
                <w:numId w:val="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 за увеличение в редица ниши с по-висока добавена стойност като органичното земеделие, където площите нарастват, но изоставането все още е значително спрямо средните стойности за ЕС;</w:t>
            </w:r>
          </w:p>
          <w:p>
            <w:pPr>
              <w:numPr>
                <w:ilvl w:val="0"/>
                <w:numId w:val="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Улесненият достъп до различни финансови инструменти за инвестиращите в сектор земеделие ще доведе до намаляване на неоптималните инвестиционни ситуации и пазарни дефекти;</w:t>
            </w:r>
          </w:p>
          <w:p>
            <w:pPr>
              <w:numPr>
                <w:ilvl w:val="0"/>
                <w:numId w:val="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под различните форми на ФИ ще подпомогнат реализирането на одобрени проекти по ПРСР, като ще увеличат и интереса към програмата с оглед възможностите за финансиране;</w:t>
            </w:r>
          </w:p>
          <w:p>
            <w:pPr>
              <w:numPr>
                <w:ilvl w:val="0"/>
                <w:numId w:val="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ФИ ще представляват алтернатива на помощта под формата на БФП, като същевременно косвено се намалява интензитета на помощта ползвана под формата на грант;</w:t>
            </w:r>
          </w:p>
          <w:p>
            <w:pPr>
              <w:numPr>
                <w:ilvl w:val="0"/>
                <w:numId w:val="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Значително намаление на лихвените разходи за крайните получатели;</w:t>
            </w:r>
          </w:p>
          <w:p>
            <w:pPr>
              <w:numPr>
                <w:ilvl w:val="0"/>
                <w:numId w:val="2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достъп до атрактивни условия за кредитиране и по-голяма подкрепа за предприятията, които не ползват безвъзмездно финансиране по ПРСР, но развиват дейност в сектор земеделие или имат неземеделска дейност в селските райони.</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Въздействие от предлаганите промени в Шесто изменение на ПРСР върху показателите се очаква да има, главно като следствие от промяната в бюджетите на мерките, и от прехвърлянето на суми в размер на резерва  между приоритети 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Съответните промени косвено влияят и на автоматично изчисляваните показатели, които имат за база показателите за продукт (Рамка за изпълнение, таргет показатели) – по фокус областите/приоритетите към съответните мерки/подмерки, към които се предлага да се добавят средства съответните показатели се увеличават, а във фокус областите/приоритетите, от които се предлага да се извадят средства – съответно намаляват. По-долу са описани в резюме промените, които се предлагат да бъдат нанесени в Плана на показателите, за продукт – глава 11 от ПРСР, като резултат от промяната на разполагаемите средства по съответните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показател „Общо публични разходи в евро (обучения, обмен между стопанствата, демонстрации) (от 1.1 до 1.3)“ – от 5 900 000 евро публични средства, намалява на 3 505 404,4 евро публични средства – намалено с индикативния бюджет на предложената за нестартиране М1.3;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2В „Общо публични разходи (в евро) (2.1 — 2.3)“ – от 1 351 714 евро публични средства, намалява на 351 714 евро публични средства – намалено с индикативния бюджет на предложената за нестартиране М2.3;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M4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2A „Общо публични разходи в евро“ - от 164 719 395,7 евро публични средства на 283 241 858,9 евро публични средства (индикативни 242 670 915,1 евро от М4.1, 25 276 825,9 евро от М4.1.2, и 15 294 118 евро за финансов инструмент условно алокирани в 2А)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„Общо инвестиции в евро (публични + частни)“ - от 239 255 663,3 евро на 429 753 351,0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„Брой стопанства, получаващи подкрепа за инвестиции в земеделски стопанства (4.1)“ - от 3500 на 2500 – намалението се предлага на база текущо изпълнение на М4.1 и М4.1.2, включително прецизиран прогнозен брой кандидати по следващ прием по М4.1;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„Общо публични разходи в евро“ - от 44 529 411,8 евро публични средства на 62 176 470,6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„Общо инвестиции в евро (публични + частни)“  - от 74 215 686,3 евро на 103 627 451,0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„Брой стопанства, получаващи подкрепа за инвестиции в земеделски стопанства (подкрепа за бизнес план за млади земеделски стопани) (4.1)“  - от 600 на 260;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„Общо публични разходи в евро“  - от 235 577 947,1 евро публични средства на 234 454 532,8 евро публични средства – заради нестартирането на М4.4.2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„Общо инвестиции в евро (публични + частни)“ от 468 347 358,8 евро на 466 662 237,8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„Брой операции, получаващи подкрепа за инвестиции (напр. в земеделски стопанства, за преработка и търговия на селскостопански продукти) (4.1 и 4.2)“ - от 450 на 360 – предложението е на база текущо изпълнение, и предложението за несартиране на М 4.4.2;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„Брой операции, получаващи подкрепа за инвестиции в непроизводствени дейности (4.4)“ от 936 на 80  - предложението е на база текущо изпълнение на М4.1 и предложение за нестартиране на М4.4;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„Общо инвестиции в евро (публични + частни)“ от 213 640 199 евро на 25 373 532,2 евро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„Общо публични разходи в евро“  - от 131 490 786 евро публични средства на 15 224 119,3 евро публични средства  - намалението е свързано с предложението за нестартиране на М4.4., също така отчита вече наличните договорени средства по М4.1;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5А „Брой операции, получаващи подкрепа за инвестиции  (4.1, 4.3)“ – от 40 на 90- предложението е на база текущо изпълнение на М4.1 и прогнозно на М4.3;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5А „Общо инвестиции в евро (публични + частни)“ от 50 465 860 евро на 54 465 860 евро– предложението е на база текущо изпълнение на М4.1;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5А „Общо публични разходи в евро“- от 50 465 860 евро публични средства на 54 465 860 евро публични средства – предложението е на база текущо изпълнение на М4.1;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5Б „Общо публични разходи в евро“ от 119 024 466,8 евро публични средства на 144 024 467,0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5Б „Общо инвестиции в евро (публични + частни)“ от 216 674 111,3 евро на 258 340 778,0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5В „Общо публични разходи в евро“ - от 43 334 822,26 евро публични средства на 24 334 822,0 евро публични средства – предложението е на база текущо изпълнение на М4.1 и М4.2;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5В „Общо инвестиции в евро (публични + частни)“ от 79 544 703,77 евро на 47 878 037,0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5В „Брой операции, получаващи подкрепа за инвестиции  (4.1, 4.3)“ - променя се от 215 на 100– предложението е на база текущо изпълнение на М4.1 и М4.2;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5Г „Общо публични разходи в евро“ от 42 749 644,5 евро публични средства на 1 306 660,0 евро публични средства– предложението е на база текущо изпълнение на М4.1 и М4.2;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5Г „Общо инвестиции в евро (публични + частни) от 71 249 407,5 евро на 2 177 766,1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5Г „Брой операции, получаващи подкрепа за инвестиции (напр. за съхранение и обработка на оборски тор) (4.1, 4,4 и 4.3) - променя се от 370 на 30 – предложението е на база текущо изпълнение на М4.1 и М4.2;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5Г „Животински единици, засегнати от инвестиции в управление на добитък с оглед намаляване на емисиите на парникови газове и емисиите на амоняк“  - от 18 105 намалява на 2000 – предложението е на база текущо изпълнение на М4.1;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3Б „Брой бенефициери, получаващи подкрепа за превантивни мерки (5.1)“ — земеделски стопанства  - 70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3Б  "Брой бенефициери, плучаващи подкрепа за превантивни мерки (5.1)" — публичноправни субекти - 1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3Б „Общо публични разходи в евро (5.1)“   -  31 471 690,00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3Б „Общо публични разходи в евро (5.1 , 5.2)“ - 31 471 690,0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„Брой бенефициери (стопанства), получаващи помощ при стартиране за развитието на малки стопанства (6.3)“ - от 4060 на 4400 – увеличението се предлага съобразно предложените за добавяне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„Общо инвестиции в евро (публични + частни)“ - от 60 945 294,1 евро на 66 945 294,1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2А „Общо публични разходи в евро“ - от 60 945 294,1 евро публични средства на 66 945 294,1 евро публични средства – увеличението се предлага съобразно предложените за добавяне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„Общо инвестиции в евро (публични + частни)“ - от 76 513 021,1 евро на 83 113 021,1 евро – увеличението се предлага съобразно предложените за добавяне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„Общо публични разходи (в евро) (6.1)“ - от 76 513 021,1 евро публични средства на 83 113 021,1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„Общо публични разходи в евро“ - от 76 513 021,1 евро публични средства на 83 113 021,1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2Б „Брой бенефициери (стопанства), получаващи помощ при стартиране за млади земеделски стопани (6.1)“ - от 3060 на 3300 – предложението за увеличен брой е съобразно предложените за добавяне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6А   „Брой бенефициери (стопанства), получаващи помощ при стартиране/подкрепа за инвестиции в неселскостопански дейности в селските райони (6.2 и 6.4)“ -             намалява от 1 600,0 на 400 поради предложението за нестартиране на М6.2;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6А „Общо инвестиции в евро (публични + частни)“ - намален от 161 421 952,2 евро на 159 064 310,6 евро поради предложението за нестартиране на М6.2;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6А „Общо публични разходи в евро“ - намален от 127 945 241,4 евро публични средства на 79 532 155,3 евро публични средства поради предложението за нестартиране на М6.2;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 – увеличава се от 570 на 640 на база текущо и прогнозно изпълнение от предстоящи договори;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„Брой операции, получаващи подкрепа за инвестиции в инфраструктура за отдих/туризъм (7.5)“ - от 250 на 0 , поради предложението за нестартиране на М7.5;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6Б „Брой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 – предлага се увеличение от 100 на 130, на база предвиждан нов прием по подмярката.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5Д „Брой операции (инвестиции за подобряване на устойчивостта и екологичната стойност на горските екосистеми (8.5)“ - от 60 на 0 – поради предложението за нестартиране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5Д „Общо публични разходи (в евро) (8.5)“ - от 11 250 000,0 евро публични разходи на 0 – поради предложението за нестартиране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„Общо публични разходи (в евро)“- от 7 795 946,6 евро публични разходи на 9 316 502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„Брой стопанства, които участват в получаващи подкрепа групи на производителите“ - от 170 намалява на 130, на база реално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М11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„Общо публични разходи (в евро)“– от 151 593 438,7 евро публични разходи на 191 593 438,7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„Площ (хектар) — поддържане на биологично земеделие (11.2)“ – от 23 000 на 29 000 – увеличение съобразно предложените за добавяне средства и предишните разчети (променена съответно и т.11.4 „Помощна таблица, с която да се покаже по какъв начин са програмирани мярката/схемите за околната среда“ от Раздел 11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„Общо публични разходи (в евро)“ – от 275 604 674,7 евро публични разходи на 284 354 674,7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„Общо публични разходи (в евро)“ – от 56 859 510,5 на 35 881 537;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 3А  „Брой бенефициери“  - от 3 000,0 намалява на 600 – предложението е на база текущо и изпълнение;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(гори)  - във връзка с предложението за нестартиране на мярката показателите, свързани с М5 се заличават;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„Общо публични разходи (в евро)“ – от 9 684 835,56 евро публични средства на 5 111 111,1 евро публични средства – намаление във връзка с предложението за нестартиране на М16.2;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П4 „Общи публични разходи (в евро)“ — подкрепа за изпълнение на операциите по водена от общностите стратегия за местно развитие (19.2) – от 90 551 833,5 евро публични средства на 94 605 051,8 евро публични средства – технически увеличен бюджет със сумите от предложения за стартиране Финансов инструмент (2 941 176,47 евро публични средства от главницата условно разпределени за подпомагане на подхода ВОМР).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Връзка между предлаганото изменение и Споразумението за партньорство е налична дотолкова, доколкото предлаганите промени в Шесто изменение на ПРСР съдържат промяна в бюджетите на мерките, и прехвърляне на суми в размер на резерва между приоритети.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Съответните промени косвено влияят главно на автоматично изчисляваният принос на ЕЗФРСР по Тематични цели (таблица 1.4.1 от Споразумението за партньорство).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Въпреки това, изменението не засяга по никакъв начин общия размер на ЕЗФРСР, като в резултат на прехвърлянето на средства между приоритети и мерки, се променя само размера на публичните средства на ПРСР (средства от ЕЗФРСР, заедно с национално финансиране).</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30"/>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874"/>
        <w:gridCol w:w="2285"/>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205"/>
        <w:gridCol w:w="1954"/>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231"/>
        <w:gridCol w:w="2891"/>
        <w:gridCol w:w="905"/>
        <w:gridCol w:w="788"/>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31"/>
              </w:numPr>
              <w:rPr>
                <w:b w:val="0"/>
              </w:rPr>
            </w:pPr>
            <w:r>
              <w:rPr>
                <w:b w:val="0"/>
              </w:rPr>
              <w:t>1А) Стимулиране на иновациите, сътрудничеството и развитието на базата от знания в селските райони</w:t>
            </w:r>
          </w:p>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1"/>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1"/>
              </w:numPr>
              <w:rPr>
                <w:b w:val="0"/>
              </w:rPr>
            </w:pPr>
            <w:r>
              <w:rPr>
                <w:b w:val="0"/>
              </w:rPr>
              <w:t>4В) Предотвратяване на ерозията на почвите и подобряване на управлението им</w:t>
            </w:r>
          </w:p>
          <w:p>
            <w:pPr>
              <w:numPr>
                <w:numId w:val="31"/>
              </w:numPr>
              <w:rPr>
                <w:b w:val="0"/>
              </w:rPr>
            </w:pPr>
            <w:r>
              <w:rPr>
                <w:b w:val="0"/>
              </w:rPr>
              <w:t xml:space="preserve">5А) Повишаване на ефективността при потреблението на вода в селското стопанство </w:t>
            </w:r>
          </w:p>
          <w:p>
            <w:pPr>
              <w:numPr>
                <w:numId w:val="31"/>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1"/>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1"/>
              </w:numPr>
              <w:rPr>
                <w:b w:val="0"/>
              </w:rPr>
            </w:pPr>
            <w:r>
              <w:rPr>
                <w:b w:val="0"/>
              </w:rPr>
              <w:t>5Г) Намаляване на емисиите на парникови газове и амоняк от селското стопанство</w:t>
            </w:r>
          </w:p>
          <w:p>
            <w:pPr>
              <w:numPr>
                <w:numId w:val="31"/>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32"/>
              </w:numPr>
              <w:rPr>
                <w:b w:val="0"/>
              </w:rPr>
            </w:pPr>
            <w:r>
              <w:rPr>
                <w:b w:val="0"/>
              </w:rPr>
              <w:t>Околна среда</w:t>
            </w:r>
          </w:p>
          <w:p>
            <w:pPr>
              <w:numPr>
                <w:numId w:val="3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1А) Стимулиране на иновациите, сътрудничеството и развитието на базата от знания в селските райони</w:t>
            </w:r>
          </w:p>
          <w:p>
            <w:pPr>
              <w:numPr>
                <w:numId w:val="3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3"/>
              </w:numPr>
              <w:rPr>
                <w:b w:val="0"/>
              </w:rPr>
            </w:pPr>
            <w:r>
              <w:rPr>
                <w:b w:val="0"/>
              </w:rPr>
              <w:t xml:space="preserve">4Б) Подобряване управлението на водите, включително управлението на торовете и пестицидите </w:t>
            </w:r>
          </w:p>
          <w:p>
            <w:pPr>
              <w:numPr>
                <w:numId w:val="33"/>
              </w:numPr>
              <w:rPr>
                <w:b w:val="0"/>
              </w:rPr>
            </w:pPr>
            <w:r>
              <w:rPr>
                <w:b w:val="0"/>
              </w:rPr>
              <w:t>4В) Предотвратяване на ерозията на почвите и подобряване на управлението им</w:t>
            </w:r>
          </w:p>
          <w:p>
            <w:pPr>
              <w:numPr>
                <w:numId w:val="33"/>
              </w:numPr>
              <w:rPr>
                <w:b w:val="0"/>
              </w:rPr>
            </w:pPr>
            <w:r>
              <w:rPr>
                <w:b w:val="0"/>
              </w:rPr>
              <w:t xml:space="preserve">5А) Повишаване на ефективността при потреблението на вода в селското стопанство </w:t>
            </w:r>
          </w:p>
          <w:p>
            <w:pPr>
              <w:numPr>
                <w:numId w:val="3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3"/>
              </w:numPr>
              <w:rPr>
                <w:b w:val="0"/>
              </w:rPr>
            </w:pPr>
            <w:r>
              <w:rPr>
                <w:b w:val="0"/>
              </w:rPr>
              <w:t>5Г) Намаляване на емисиите на парникови газове и амоняк от селското стопанство</w:t>
            </w:r>
          </w:p>
          <w:p>
            <w:pPr>
              <w:numPr>
                <w:numId w:val="33"/>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Околна среда</w:t>
            </w:r>
          </w:p>
          <w:p>
            <w:pPr>
              <w:numPr>
                <w:numId w:val="34"/>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5"/>
              </w:numPr>
              <w:rPr>
                <w:b w:val="0"/>
              </w:rPr>
            </w:pPr>
            <w:r>
              <w:rPr>
                <w:b w:val="0"/>
              </w:rPr>
              <w:t xml:space="preserve">4Б) Подобряване управлението на водите, включително управлението на торовете и пестицидите </w:t>
            </w:r>
          </w:p>
          <w:p>
            <w:pPr>
              <w:numPr>
                <w:numId w:val="35"/>
              </w:numPr>
              <w:rPr>
                <w:b w:val="0"/>
              </w:rPr>
            </w:pPr>
            <w:r>
              <w:rPr>
                <w:b w:val="0"/>
              </w:rPr>
              <w:t>4В) Предотвратяване на ерозията на почвите и подобряване на управлението им</w:t>
            </w:r>
          </w:p>
          <w:p>
            <w:pPr>
              <w:numPr>
                <w:numId w:val="35"/>
              </w:numPr>
              <w:rPr>
                <w:b w:val="0"/>
              </w:rPr>
            </w:pPr>
            <w:r>
              <w:rPr>
                <w:b w:val="0"/>
              </w:rPr>
              <w:t xml:space="preserve">5А) Повишаване на ефективността при потреблението на вода в селското стопанство </w:t>
            </w:r>
          </w:p>
          <w:p>
            <w:pPr>
              <w:numPr>
                <w:numId w:val="3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5"/>
              </w:numPr>
              <w:rPr>
                <w:b w:val="0"/>
              </w:rPr>
            </w:pPr>
            <w:r>
              <w:rPr>
                <w:b w:val="0"/>
              </w:rPr>
              <w:t>5Г) Намаляване на емисиите на парникови газове и амоняк от селското стопанство</w:t>
            </w:r>
          </w:p>
          <w:p>
            <w:pPr>
              <w:numPr>
                <w:numId w:val="3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Околна среда</w:t>
            </w:r>
          </w:p>
          <w:p>
            <w:pPr>
              <w:numPr>
                <w:numId w:val="3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8"/>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8"/>
              </w:numPr>
              <w:rPr>
                <w:b w:val="0"/>
              </w:rPr>
            </w:pPr>
            <w:r>
              <w:rPr>
                <w:b w:val="0"/>
              </w:rPr>
              <w:t xml:space="preserve">4Б) Подобряване управлението на водите, включително управлението на торовете и пестицидите </w:t>
            </w:r>
          </w:p>
          <w:p>
            <w:pPr>
              <w:numPr>
                <w:numId w:val="38"/>
              </w:numPr>
              <w:rPr>
                <w:b w:val="0"/>
              </w:rPr>
            </w:pPr>
            <w:r>
              <w:rPr>
                <w:b w:val="0"/>
              </w:rPr>
              <w:t>4В) Предотвратяване на ерозията на почвите и подобряване на управлението им</w:t>
            </w:r>
          </w:p>
          <w:p>
            <w:pPr>
              <w:numPr>
                <w:numId w:val="38"/>
              </w:numPr>
              <w:rPr>
                <w:b w:val="0"/>
              </w:rPr>
            </w:pPr>
            <w:r>
              <w:rPr>
                <w:b w:val="0"/>
              </w:rPr>
              <w:t xml:space="preserve">5А) Повишаване на ефективността при потреблението на вода в селското стопанство </w:t>
            </w:r>
          </w:p>
          <w:p>
            <w:pPr>
              <w:numPr>
                <w:numId w:val="3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8"/>
              </w:numPr>
              <w:rPr>
                <w:b w:val="0"/>
              </w:rPr>
            </w:pPr>
            <w:r>
              <w:rPr>
                <w:b w:val="0"/>
              </w:rPr>
              <w:t>5Г) Намаляване на емисиите на парникови газове и амоняк от селското стопанство</w:t>
            </w:r>
          </w:p>
          <w:p>
            <w:pPr>
              <w:numPr>
                <w:numId w:val="38"/>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Околна среда</w:t>
            </w:r>
          </w:p>
          <w:p>
            <w:pPr>
              <w:numPr>
                <w:numId w:val="39"/>
              </w:numPr>
              <w:rPr>
                <w:b w:val="0"/>
              </w:rPr>
            </w:pPr>
            <w:r>
              <w:rPr>
                <w:b w:val="0"/>
              </w:rPr>
              <w:t>Смекчаване на последиците от изменението на климата и приспособяване към тях</w:t>
            </w:r>
          </w:p>
          <w:p>
            <w:pPr>
              <w:numPr>
                <w:numId w:val="3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Околна среда</w:t>
            </w:r>
          </w:p>
          <w:p>
            <w:pPr>
              <w:numPr>
                <w:numId w:val="41"/>
              </w:numPr>
              <w:rPr>
                <w:b w:val="0"/>
              </w:rPr>
            </w:pPr>
            <w:r>
              <w:rPr>
                <w:b w:val="0"/>
              </w:rPr>
              <w:t>Смекчаване на последиците от изменението на климата и приспособяване към тях</w:t>
            </w:r>
          </w:p>
          <w:p>
            <w:pPr>
              <w:numPr>
                <w:numId w:val="4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4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4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4"/>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50"/>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5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5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1"/>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Околна среда</w:t>
            </w:r>
          </w:p>
          <w:p>
            <w:pPr>
              <w:numPr>
                <w:numId w:val="6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8"/>
              </w:numPr>
              <w:rPr>
                <w:b w:val="0"/>
              </w:rPr>
            </w:pPr>
            <w:r>
              <w:rPr>
                <w:b w:val="0"/>
              </w:rPr>
              <w:t xml:space="preserve">4Б) Подобряване управлението на водите, включително управлението на торовете и пестицидите </w:t>
            </w:r>
          </w:p>
          <w:p>
            <w:pPr>
              <w:numPr>
                <w:numId w:val="68"/>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70"/>
              </w:numPr>
              <w:rPr>
                <w:b w:val="0"/>
              </w:rPr>
            </w:pPr>
            <w:r>
              <w:rPr>
                <w:b w:val="0"/>
              </w:rPr>
              <w:t xml:space="preserve">4Б) Подобряване управлението на водите, включително управлението на торовете и пестицидите </w:t>
            </w:r>
          </w:p>
          <w:p>
            <w:pPr>
              <w:numPr>
                <w:numId w:val="70"/>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Околна среда</w:t>
            </w:r>
          </w:p>
          <w:p>
            <w:pPr>
              <w:numPr>
                <w:numId w:val="7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7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4В) Предотвратяване на ерозията на почвите и подобряване на управлението им</w:t>
            </w:r>
          </w:p>
          <w:p>
            <w:pPr>
              <w:numPr>
                <w:numId w:val="79"/>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Околна среда</w:t>
            </w:r>
          </w:p>
          <w:p>
            <w:pPr>
              <w:numPr>
                <w:numId w:val="82"/>
              </w:numPr>
              <w:rPr>
                <w:b w:val="0"/>
              </w:rPr>
            </w:pPr>
            <w:r>
              <w:rPr>
                <w:b w:val="0"/>
              </w:rPr>
              <w:t>Смекчаване на последиците от изменението на климата и приспособяване към тях</w:t>
            </w:r>
          </w:p>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rPr>
                <w:b w:val="0"/>
              </w:rPr>
            </w:pPr>
            <w:r>
              <w:rPr>
                <w:b w:val="0"/>
              </w:rPr>
              <w:t xml:space="preserve">5А) Повишаване на ефективността при потреблението на вода в селското стопанство </w:t>
            </w:r>
          </w:p>
          <w:p>
            <w:pPr>
              <w:numPr>
                <w:numId w:val="8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rPr>
                <w:b w:val="0"/>
              </w:rPr>
            </w:pPr>
            <w:r>
              <w:rPr>
                <w:b w:val="0"/>
              </w:rPr>
              <w:t>1А) Стимулиране на иновациите, сътрудничеството и развитието на базата от знания в селските райони</w:t>
            </w:r>
          </w:p>
          <w:p>
            <w:pPr>
              <w:numPr>
                <w:numId w:val="8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rPr>
                <w:b w:val="0"/>
              </w:rPr>
            </w:pPr>
            <w:r>
              <w:rPr>
                <w:b w:val="0"/>
              </w:rPr>
              <w:t>Околна среда</w:t>
            </w:r>
          </w:p>
          <w:p>
            <w:pPr>
              <w:numPr>
                <w:numId w:val="8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9"/>
              </w:numPr>
              <w:rPr>
                <w:b w:val="0"/>
              </w:rPr>
            </w:pPr>
            <w:r>
              <w:rPr>
                <w:b w:val="0"/>
              </w:rPr>
              <w:t xml:space="preserve">6Б) Стимулиране на местното развитие в селските райони </w:t>
            </w:r>
          </w:p>
          <w:p>
            <w:pPr>
              <w:numPr>
                <w:numId w:val="89"/>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rPr>
                <w:b w:val="0"/>
              </w:rPr>
            </w:pPr>
            <w:r>
              <w:rPr>
                <w:b w:val="0"/>
              </w:rPr>
              <w:t>М01 — Трансфер на знания и действия за осведомяване (член 14)</w:t>
            </w:r>
          </w:p>
          <w:p>
            <w:pPr>
              <w:numPr>
                <w:numId w:val="94"/>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4"/>
              </w:numPr>
              <w:rPr>
                <w:b w:val="0"/>
              </w:rPr>
            </w:pPr>
            <w:r>
              <w:rPr>
                <w:b w:val="0"/>
              </w:rPr>
              <w:t>M04 — Инвестиции в материални активи (член 17)</w:t>
            </w:r>
          </w:p>
          <w:p>
            <w:pPr>
              <w:numPr>
                <w:numId w:val="94"/>
              </w:numPr>
              <w:rPr>
                <w:b w:val="0"/>
              </w:rPr>
            </w:pPr>
            <w:r>
              <w:rPr>
                <w:b w:val="0"/>
              </w:rPr>
              <w:t>M06 — Развитие на стопанства и предприятия (член 19)</w:t>
            </w:r>
          </w:p>
          <w:p>
            <w:pPr>
              <w:numPr>
                <w:numId w:val="94"/>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377 млн. евро публични разходи (13%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148 млн. евро публични разходи (5,1 %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rPr>
                <w:b w:val="0"/>
              </w:rPr>
            </w:pPr>
            <w:r>
              <w:rPr>
                <w:b w:val="0"/>
              </w:rPr>
              <w:t>М01 — Трансфер на знания и действия за осведомяване (член 14)</w:t>
            </w:r>
          </w:p>
          <w:p>
            <w:pPr>
              <w:numPr>
                <w:numId w:val="97"/>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7"/>
              </w:numPr>
              <w:rPr>
                <w:b w:val="0"/>
              </w:rPr>
            </w:pPr>
            <w:r>
              <w:rPr>
                <w:b w:val="0"/>
              </w:rPr>
              <w:t>M04 — Инвестиции в материални активи (член 17)</w:t>
            </w:r>
          </w:p>
          <w:p>
            <w:pPr>
              <w:numPr>
                <w:numId w:val="97"/>
              </w:numPr>
              <w:rPr>
                <w:b w:val="0"/>
              </w:rPr>
            </w:pPr>
            <w:r>
              <w:rPr>
                <w:b w:val="0"/>
              </w:rPr>
              <w:t>M06 — Развитие на стопанства и предприятия (член 19)</w:t>
            </w:r>
          </w:p>
          <w:p>
            <w:pPr>
              <w:numPr>
                <w:numId w:val="97"/>
              </w:numPr>
              <w:rPr>
                <w:b w:val="0"/>
              </w:rPr>
            </w:pPr>
            <w:r>
              <w:rPr>
                <w:b w:val="0"/>
              </w:rPr>
              <w:t>M09 — Създаване на групи и организации на производителите (член 27)</w:t>
            </w:r>
          </w:p>
          <w:p>
            <w:pPr>
              <w:numPr>
                <w:numId w:val="97"/>
              </w:numPr>
              <w:rPr>
                <w:b w:val="0"/>
              </w:rPr>
            </w:pPr>
            <w:r>
              <w:rPr>
                <w:b w:val="0"/>
              </w:rPr>
              <w:t>M14 — Хуманно отношение към животните (член 33)</w:t>
            </w:r>
          </w:p>
          <w:p>
            <w:pPr>
              <w:numPr>
                <w:numId w:val="97"/>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295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360 проекта, като тя има бюджет от 234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36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p>
            <w:pPr>
              <w:numPr>
                <w:numId w:val="98"/>
              </w:numPr>
            </w:pPr>
            <w:r>
              <w:t>М02 —  Консултантски услуги, услуги по управление на стопанство и услуги по заместване в стопанство (член 15)</w:t>
            </w:r>
          </w:p>
          <w:p>
            <w:pPr>
              <w:numPr>
                <w:numId w:val="98"/>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32 млн. евро публични разходи или 1,1% от общия. Към бюджета на ПО се отнасят и 31,4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M10 — Агроекология и климат (член 28)</w:t>
            </w:r>
          </w:p>
          <w:p>
            <w:pPr>
              <w:numPr>
                <w:numId w:val="99"/>
              </w:numPr>
              <w:rPr>
                <w:b w:val="0"/>
              </w:rPr>
            </w:pPr>
            <w:r>
              <w:rPr>
                <w:b w:val="0"/>
              </w:rPr>
              <w:t>М11 — Биологично земеделие (член 29)</w:t>
            </w:r>
          </w:p>
          <w:p>
            <w:pPr>
              <w:numPr>
                <w:numId w:val="99"/>
              </w:numPr>
              <w:rPr>
                <w:b w:val="0"/>
              </w:rPr>
            </w:pPr>
            <w:r>
              <w:rPr>
                <w:b w:val="0"/>
              </w:rPr>
              <w:t>M12 — Плащания по „Натура 2000“ и Рамковата директива за водите (член 30)</w:t>
            </w:r>
          </w:p>
          <w:p>
            <w:pPr>
              <w:numPr>
                <w:numId w:val="99"/>
              </w:numPr>
              <w:rPr>
                <w:b w:val="0"/>
              </w:rPr>
            </w:pPr>
            <w:r>
              <w:rPr>
                <w:b w:val="0"/>
              </w:rPr>
              <w:t>М13 — Плащания за райони, изправени пред природни или други специфични ограничения (член 31)</w:t>
            </w:r>
          </w:p>
          <w:p>
            <w:pPr>
              <w:numPr>
                <w:numId w:val="99"/>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rPr>
                <w:b w:val="0"/>
              </w:rPr>
            </w:pPr>
            <w:r>
              <w:rPr>
                <w:b w:val="0"/>
              </w:rPr>
              <w:t>М08 — Инвестиции в развитие на горските райони и подобряване на жизнеспособността на горите (членове 21 — 26)</w:t>
            </w:r>
          </w:p>
          <w:p>
            <w:pPr>
              <w:numPr>
                <w:numId w:val="100"/>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863 млн. евро публични разходи или 30 % от общия бюджет на Програмата. В рамките на приоритета са избрани: 1) мерки – М01, М02 и М16, които имат бюджет 9,8 млн. евро; 2)  мерки– М10, М11, М12,М13, с бюджет 821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 млн. евро; 4) мерки за екосистемни услуги в горите, с бюджет 17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M10 — Агроекология и климат (член 28)</w:t>
            </w:r>
          </w:p>
          <w:p>
            <w:pPr>
              <w:numPr>
                <w:numId w:val="101"/>
              </w:numPr>
            </w:pPr>
            <w:r>
              <w:t>М11 — Биологично земеделие (член 29)</w:t>
            </w:r>
          </w:p>
          <w:p>
            <w:pPr>
              <w:numPr>
                <w:numId w:val="101"/>
              </w:numPr>
            </w:pPr>
            <w:r>
              <w:t>M12 — Плащания по „Натура 2000“ и Рамковата директива за водите (член 30)</w:t>
            </w:r>
          </w:p>
          <w:p>
            <w:pPr>
              <w:numPr>
                <w:numId w:val="101"/>
              </w:numPr>
            </w:pPr>
            <w:r>
              <w:t>М13 — Плащания за райони, изправени пред природни или други специфични ограничения (член 31)</w:t>
            </w:r>
          </w:p>
          <w:p>
            <w:pPr>
              <w:numPr>
                <w:numId w:val="101"/>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pPr>
            <w:r>
              <w:t>М08 — Инвестиции в развитие на горските райони и подобряване на жизнеспособността на горите (членове 21 — 26)</w:t>
            </w:r>
          </w:p>
          <w:p>
            <w:pPr>
              <w:numPr>
                <w:numId w:val="102"/>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M04 — Инвестиции в материални активи (член 17)</w:t>
            </w:r>
          </w:p>
          <w:p>
            <w:pPr>
              <w:numPr>
                <w:numId w:val="103"/>
              </w:numPr>
            </w:pPr>
            <w:r>
              <w:t>M10 — Агроекология и климат (член 28)</w:t>
            </w:r>
          </w:p>
          <w:p>
            <w:pPr>
              <w:numPr>
                <w:numId w:val="103"/>
              </w:numPr>
            </w:pPr>
            <w:r>
              <w:t>М11 — Биологично земеделие (член 29)</w:t>
            </w:r>
          </w:p>
          <w:p>
            <w:pPr>
              <w:numPr>
                <w:numId w:val="103"/>
              </w:numPr>
            </w:pPr>
            <w:r>
              <w:t>M12 — Плащания по „Натура 2000“ и Рамковата директива за водите (член 30)</w:t>
            </w:r>
          </w:p>
          <w:p>
            <w:pPr>
              <w:numPr>
                <w:numId w:val="103"/>
              </w:numPr>
            </w:pPr>
            <w:r>
              <w:t>М13 — Плащания за райони, изправени пред природни или други специфични ограничения (член 31)</w:t>
            </w:r>
          </w:p>
          <w:p>
            <w:pPr>
              <w:numPr>
                <w:numId w:val="103"/>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pPr>
            <w:r>
              <w:t>М08 — Инвестиции в развитие на горските райони и подобряване на жизнеспособността на горите (членове 21 — 26)</w:t>
            </w:r>
          </w:p>
          <w:p>
            <w:pPr>
              <w:numPr>
                <w:numId w:val="104"/>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5"/>
              </w:numPr>
              <w:rPr>
                <w:b w:val="0"/>
              </w:rPr>
            </w:pPr>
            <w:r>
              <w:rPr>
                <w:b w:val="0"/>
              </w:rPr>
              <w:t>М01 — Трансфер на знания и действия за осведомяване (член 14)</w:t>
            </w:r>
          </w:p>
          <w:p>
            <w:pPr>
              <w:numPr>
                <w:numId w:val="10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5"/>
              </w:numPr>
              <w:rPr>
                <w:b w:val="0"/>
              </w:rPr>
            </w:pPr>
            <w:r>
              <w:rPr>
                <w:b w:val="0"/>
              </w:rPr>
              <w:t>M04 — Инвестиции в материални активи (член 17)</w:t>
            </w:r>
          </w:p>
          <w:p>
            <w:pPr>
              <w:numPr>
                <w:numId w:val="10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6"/>
              </w:numPr>
            </w:pPr>
            <w:r>
              <w:t>М01 — Трансфер на знания и действия за осведомяване (член 14)</w:t>
            </w:r>
          </w:p>
          <w:p>
            <w:pPr>
              <w:numPr>
                <w:numId w:val="106"/>
              </w:numPr>
            </w:pPr>
            <w:r>
              <w:t>М02 —  Консултантски услуги, услуги по управление на стопанство и услуги по заместване в стопанство (член 15)</w:t>
            </w:r>
          </w:p>
          <w:p>
            <w:pPr>
              <w:numPr>
                <w:numId w:val="106"/>
              </w:numPr>
            </w:pPr>
            <w:r>
              <w:t>M04 — Инвестиции в материални активи (член 17)</w:t>
            </w:r>
          </w:p>
          <w:p>
            <w:pPr>
              <w:numPr>
                <w:numId w:val="10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7"/>
              </w:numPr>
            </w:pPr>
            <w:r>
              <w:t>М01 — Трансфер на знания и действия за осведомяване (член 14)</w:t>
            </w:r>
          </w:p>
          <w:p>
            <w:pPr>
              <w:numPr>
                <w:numId w:val="107"/>
              </w:numPr>
            </w:pPr>
            <w:r>
              <w:t>М02 —  Консултантски услуги, услуги по управление на стопанство и услуги по заместване в стопанство (член 15)</w:t>
            </w:r>
          </w:p>
          <w:p>
            <w:pPr>
              <w:numPr>
                <w:numId w:val="107"/>
              </w:numPr>
            </w:pPr>
            <w:r>
              <w:t>M04 — Инвестиции в материални активи (член 17)</w:t>
            </w:r>
          </w:p>
          <w:p>
            <w:pPr>
              <w:numPr>
                <w:numId w:val="107"/>
              </w:numPr>
            </w:pPr>
            <w:r>
              <w:t>М07 — Основни услуги и обновяване на селата в селските райони (член 20)</w:t>
            </w:r>
          </w:p>
          <w:p>
            <w:pPr>
              <w:numPr>
                <w:numId w:val="107"/>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97 млн.евро или 3,3 %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8"/>
              </w:numPr>
            </w:pPr>
            <w:r>
              <w:t>М01 — Трансфер на знания и действия за осведомяване (член 14)</w:t>
            </w:r>
          </w:p>
          <w:p>
            <w:pPr>
              <w:numPr>
                <w:numId w:val="108"/>
              </w:numPr>
            </w:pPr>
            <w:r>
              <w:t>М02 —  Консултантски услуги, услуги по управление на стопанство и услуги по заместване в стопанство (член 15)</w:t>
            </w:r>
          </w:p>
          <w:p>
            <w:pPr>
              <w:numPr>
                <w:numId w:val="108"/>
              </w:numPr>
            </w:pPr>
            <w:r>
              <w:t>M04 — Инвестиции в материални активи (член 17)</w:t>
            </w:r>
          </w:p>
          <w:p>
            <w:pPr>
              <w:numPr>
                <w:numId w:val="108"/>
              </w:numPr>
            </w:pPr>
            <w:r>
              <w:t>M10 — Агроекология и климат (член 28)</w:t>
            </w:r>
          </w:p>
          <w:p>
            <w:pPr>
              <w:numPr>
                <w:numId w:val="108"/>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25 млн.евро или 1%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8%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73 % от бюджета на ПО 5Г (18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9"/>
              </w:numPr>
            </w:pPr>
            <w:r>
              <w:t>М01 — Трансфер на знания и действия за осведомяване (член 14)</w:t>
            </w:r>
          </w:p>
          <w:p>
            <w:pPr>
              <w:numPr>
                <w:numId w:val="109"/>
              </w:numPr>
            </w:pPr>
            <w:r>
              <w:t>М02 —  Консултантски услуги, услуги по управление на стопанство и услуги по заместване в стопанство (член 15)</w:t>
            </w:r>
          </w:p>
          <w:p>
            <w:pPr>
              <w:numPr>
                <w:numId w:val="109"/>
              </w:numPr>
            </w:pPr>
            <w:r>
              <w:t>М08 — Инвестиции в развитие на горските райони и подобряване на жизнеспособността на горите (членове 21 — 26)</w:t>
            </w:r>
          </w:p>
          <w:p>
            <w:pPr>
              <w:numPr>
                <w:numId w:val="109"/>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20 млн. евро публични разходи, или 0,7 %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0"/>
              </w:numPr>
              <w:rPr>
                <w:b w:val="0"/>
              </w:rPr>
            </w:pPr>
            <w:r>
              <w:rPr>
                <w:b w:val="0"/>
              </w:rP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80 млн.евро публични разходи или 2,7 %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1"/>
              </w:numPr>
            </w:pPr>
            <w:r>
              <w:t>М07 — Основни услуги и обновяване на селата в селските райони (член 20)</w:t>
            </w:r>
          </w:p>
          <w:p>
            <w:pPr>
              <w:numPr>
                <w:numId w:val="111"/>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660 млн. евро или 23 %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2"/>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shd w:val="clear" w:color="auto" w:fill="FFFFFF"/>
            <w:noWrap w:val="0"/>
            <w:tcMar>
              <w:top w:w="20" w:type="dxa"/>
              <w:bottom w:w="20" w:type="dxa"/>
            </w:tcMar>
            <w:vAlign w:val="center"/>
          </w:tcPr>
          <w:p>
            <w:pPr>
              <w:spacing w:before="20" w:after="20"/>
              <w:jc w:val="right"/>
              <w:rPr>
                <w:b w:val="0"/>
                <w:sz w:val="16"/>
              </w:rPr>
            </w:pPr>
            <w:r>
              <w:rPr>
                <w:b w:val="0"/>
                <w:sz w:val="16"/>
              </w:rPr>
              <w:t>0,67</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376 813 460,20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0,89</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147 641 205,70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22 705 884,00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295 649 675,10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31 821 690,00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844 195 745,80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18 930 623,20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59 786 971,10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258 340 778,00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148 152 678,10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shd w:val="clear" w:color="auto" w:fill="FFFFFF"/>
            <w:noWrap w:val="0"/>
            <w:tcMar>
              <w:top w:w="20" w:type="dxa"/>
              <w:bottom w:w="20" w:type="dxa"/>
            </w:tcMar>
            <w:vAlign w:val="center"/>
          </w:tcPr>
          <w:p>
            <w:pPr>
              <w:spacing w:before="20" w:after="20"/>
              <w:jc w:val="right"/>
              <w:rPr>
                <w:b w:val="0"/>
                <w:sz w:val="16"/>
              </w:rPr>
            </w:pPr>
            <w:r>
              <w:rPr>
                <w:b w:val="0"/>
                <w:sz w:val="16"/>
              </w:rPr>
              <w:t>117 878 037,00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96 540 311,90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24 657 089,60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20 165 213,20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74 826 272,00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660 151 363,40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30 000 000,00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6C, 3A, 6A, 1B, 5A, 6B, 5C, 1A, 2B, 3B, 5B, 2A, 1C,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M06, M09, M11, M14, M01, M07, M08, M15, M02, M13, M12, M10, M04,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1A, 1C, 5B, 1B, 6A, 5C, 5E, 3B, 2B, 3A, 6C, 6B, 5A,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M13, M11, M16, M07, M02, M19, M12, M09, M06, M15, M10, M14, M01,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5A, 5D, 3B, 2A, 5C, 1B, 1A, 3A, 6B, 5B, 6C, 2B, 1C,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M14, M15, M19, M11, M08, M04, M10, M13, M02, M09, M06, M12, M16, M01,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5A, 2A, 5C,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M19, M07, M02,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6C, 5A,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M15, M06, M16, M19, M04, M07, M01,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5B, 5A, 5C,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M08, M16, M19, 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3A, 3B, 2B, 6B, 1A, 5C, 5B, 2A, 5A, 5E, 1B, 6C, 5D, 1C,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M07, M15, M02, M04, M19, M01, M16, M08, M10, M12, M09, M11, M14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13"/>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5"/>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6"/>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6"/>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6"/>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6"/>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7"/>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8"/>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8"/>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8"/>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8"/>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8"/>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9"/>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0"/>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1"/>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22"/>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22"/>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22"/>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23"/>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23"/>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8"/>
        <w:gridCol w:w="2051"/>
        <w:gridCol w:w="3140"/>
        <w:gridCol w:w="1821"/>
        <w:gridCol w:w="2288"/>
        <w:gridCol w:w="1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val="0"/>
              </w:rPr>
            </w:pPr>
            <w:r>
              <w:rPr>
                <w:b/>
              </w:rPr>
              <w:t>Target absolute value (a-b)</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5 800,00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5 800,00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547 160 549,90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547 160 549,90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327 471 365,10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327 471 365,10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410,00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863 126 369,00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863 126 369,00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349 302 263,90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349 302 263,90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44 050,00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44 050,00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625,00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625,00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764 977 635,40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764 977 635,40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789,00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789,00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5 800,00</w:t>
      </w:r>
    </w:p>
    <w:p>
      <w:r>
        <w:t xml:space="preserve">Корекции за допълнителни плащания (б): </w:t>
      </w:r>
    </w:p>
    <w:p>
      <w:r>
        <w:t xml:space="preserve">Target absolute value (a-b): </w:t>
      </w:r>
      <w:r>
        <w:t>5 800,00</w:t>
      </w:r>
    </w:p>
    <w:p>
      <w:pPr>
        <w:pStyle w:val="Heading4"/>
        <w:jc w:val="left"/>
      </w:pPr>
      <w:r>
        <w:t>Общо публични разходи П2 (в евро)</w:t>
      </w:r>
    </w:p>
    <w:p>
      <w:r>
        <w:t xml:space="preserve">Applicable: </w:t>
      </w:r>
      <w:r>
        <w:t>Да</w:t>
      </w:r>
    </w:p>
    <w:p>
      <w:r>
        <w:t xml:space="preserve">Цел за 2023 г. (а): </w:t>
      </w:r>
      <w:r>
        <w:t>547 160 549,90</w:t>
      </w:r>
    </w:p>
    <w:p>
      <w:r>
        <w:t xml:space="preserve">Корекции за допълнителни плащания (б): </w:t>
      </w:r>
    </w:p>
    <w:p>
      <w:r>
        <w:t xml:space="preserve">Target absolute value (a-b): </w:t>
      </w:r>
      <w:r>
        <w:t>547 160 549,90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327 471 365,10</w:t>
      </w:r>
    </w:p>
    <w:p>
      <w:r>
        <w:t xml:space="preserve">Корекции за допълнителни плащания (б): </w:t>
      </w:r>
    </w:p>
    <w:p>
      <w:r>
        <w:t xml:space="preserve">Target absolute value (a-b): </w:t>
      </w:r>
      <w:r>
        <w:t>327 471 365,10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410,00</w:t>
      </w:r>
    </w:p>
    <w:p>
      <w:r>
        <w:t xml:space="preserve">Корекции за допълнителни плащания (б): </w:t>
      </w:r>
    </w:p>
    <w:p>
      <w:r>
        <w:t xml:space="preserve">Target absolute value (a-b): </w:t>
      </w:r>
      <w:r>
        <w:t>410,00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70,00</w:t>
      </w:r>
    </w:p>
    <w:p>
      <w:r>
        <w:t xml:space="preserve">Корекции за допълнителни плащания (б): </w:t>
      </w:r>
    </w:p>
    <w:p>
      <w:r>
        <w:t xml:space="preserve">Target absolute value (a-b): </w:t>
      </w:r>
      <w:r>
        <w:t>70,00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863 126 369,00</w:t>
      </w:r>
    </w:p>
    <w:p>
      <w:r>
        <w:t xml:space="preserve">Корекции за допълнителни плащания (б): </w:t>
      </w:r>
    </w:p>
    <w:p>
      <w:r>
        <w:t xml:space="preserve">Target absolute value (a-b): </w:t>
      </w:r>
      <w:r>
        <w:t>863 126 369,00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610 000,00</w:t>
      </w:r>
    </w:p>
    <w:p>
      <w:r>
        <w:t xml:space="preserve">Корекции за допълнителни плащания (б): </w:t>
      </w:r>
    </w:p>
    <w:p>
      <w:r>
        <w:t xml:space="preserve">Target absolute value (a-b):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349 302 263,90</w:t>
      </w:r>
    </w:p>
    <w:p>
      <w:r>
        <w:t xml:space="preserve">Корекции за допълнителни плащания (б): </w:t>
      </w:r>
    </w:p>
    <w:p>
      <w:r>
        <w:t xml:space="preserve">Target absolute value (a-b): </w:t>
      </w:r>
      <w:r>
        <w:t>349 302 263,90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44 050,00</w:t>
      </w:r>
    </w:p>
    <w:p>
      <w:r>
        <w:t xml:space="preserve">Корекции за допълнителни плащания (б): </w:t>
      </w:r>
    </w:p>
    <w:p>
      <w:r>
        <w:t xml:space="preserve">Target absolute value (a-b): </w:t>
      </w:r>
      <w:r>
        <w:t>44 050,00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625,00</w:t>
      </w:r>
    </w:p>
    <w:p>
      <w:r>
        <w:t xml:space="preserve">Корекции за допълнителни плащания (б): </w:t>
      </w:r>
    </w:p>
    <w:p>
      <w:r>
        <w:t xml:space="preserve">Target absolute value (a-b): </w:t>
      </w:r>
      <w:r>
        <w:t>625,00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764 977 635,40</w:t>
      </w:r>
    </w:p>
    <w:p>
      <w:r>
        <w:t xml:space="preserve">Корекции за допълнителни плащания (б): </w:t>
      </w:r>
    </w:p>
    <w:p>
      <w:r>
        <w:t xml:space="preserve">Target absolute value (a-b): </w:t>
      </w:r>
      <w:r>
        <w:t>764 977 635,40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789,00</w:t>
      </w:r>
    </w:p>
    <w:p>
      <w:r>
        <w:t xml:space="preserve">Корекции за допълнителни плащания (б): </w:t>
      </w:r>
    </w:p>
    <w:p>
      <w:r>
        <w:t xml:space="preserve">Target absolute value (a-b): </w:t>
      </w:r>
      <w:r>
        <w:t>789,00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Target absolute value (a-b):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20"/>
        <w:gridCol w:w="2154"/>
        <w:gridCol w:w="2706"/>
        <w:gridCol w:w="2110"/>
        <w:gridCol w:w="2200"/>
        <w:gridCol w:w="21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val="0"/>
              </w:rPr>
            </w:pPr>
            <w:r>
              <w:rPr>
                <w:b/>
              </w:rPr>
              <w:t>Target absolute value (a-b)</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360,00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2023 г. (а): </w:t>
      </w:r>
      <w:r>
        <w:t>360,00</w:t>
      </w:r>
    </w:p>
    <w:p>
      <w:r>
        <w:t xml:space="preserve">Корекции за допълнителни плащания (б): </w:t>
      </w:r>
    </w:p>
    <w:p>
      <w:r>
        <w:t xml:space="preserve">Target absolute value (a-b): </w:t>
      </w:r>
      <w:r>
        <w:t>360,00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764"/>
        <w:gridCol w:w="42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2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30"/>
              <w:gridCol w:w="1858"/>
              <w:gridCol w:w="1894"/>
              <w:gridCol w:w="1960"/>
            </w:tblGrid>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4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0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00" w:type="dxa"/>
                  <w:noWrap w:val="0"/>
                  <w:tcMar>
                    <w:top w:w="20" w:type="dxa"/>
                    <w:left w:w="20" w:type="dxa"/>
                    <w:bottom w:w="20" w:type="dxa"/>
                    <w:right w:w="20" w:type="dxa"/>
                  </w:tcMar>
                  <w:vAlign w:val="bottom"/>
                  <w:hideMark/>
                </w:tcPr>
                <w:p>
                  <w:pPr>
                    <w:numPr>
                      <w:ilvl w:val="0"/>
                      <w:numId w:val="127"/>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7"/>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00" w:type="dxa"/>
                  <w:noWrap w:val="0"/>
                  <w:tcMar>
                    <w:top w:w="20" w:type="dxa"/>
                    <w:left w:w="20" w:type="dxa"/>
                    <w:bottom w:w="20" w:type="dxa"/>
                    <w:right w:w="20" w:type="dxa"/>
                  </w:tcMar>
                  <w:vAlign w:val="top"/>
                  <w:hideMark/>
                </w:tcPr>
                <w:p>
                  <w:pPr>
                    <w:numPr>
                      <w:ilvl w:val="0"/>
                      <w:numId w:val="128"/>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8"/>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8"/>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9"/>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9"/>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0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31"/>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31"/>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3"/>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5"/>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демонстрационна дейност по подмярка 1.2.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 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3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стандартна таблица за единица продукт по подмярка 1.1 и чрез система за прилагане на ваучери по подмерки 1.2 и 1.3.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подмерки 1.2 и 1.3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подмерки 1.2 и 1.3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системата на ваучери при подмерки 1.2 и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системата на ваучери ще се изпълняват следните условия:</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Периодът на валидност на ваучерите е една година.</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Ваучерите са за демонстрационни дейности; за посещение на земеделско или горско стопанство. Ваучерите се предоставят на земеделски стопани и заети лица в техните стопанства, на горски стопани и заети лица в техните стопанства. Ваучерите се предоставят на земеделските и горските стопани или на заетите в техните стопанства в период до 3 месеца след публикуване на одобрените проекти по дадена обява. Подготовката и издаването на ваучерите се извършва от МЗХГ, като средствата се осигуряват по техническата помощ на програмата. Проверката за допустимост на обучаемите земеделските и горски стопани и предоставянето на ваучери се извършва от Областните дирекции „Земеделие“ и общинските служби земеделие към МЗХГ.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Специфичните условия за възстановяването на разходите  са следните: На базата на планиран брой лица по видове дейности и съответните стойности на ваучерите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като разходооправдателни документи получените ваучери от реалните  участници. Допустими са междинни плащания след приключване на всяка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8"/>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0"/>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4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2"/>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3"/>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4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4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4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4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4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4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9"/>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52"/>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63"/>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68"/>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70"/>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70"/>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7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7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168"/>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73"/>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73"/>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7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7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8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8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8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83"/>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164"/>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8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8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8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8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1 000 000 евро за кандидати с животновъдни стопанства, отглеждащи свине;</w:t>
            </w:r>
          </w:p>
          <w:p>
            <w:pPr>
              <w:numPr>
                <w:ilvl w:val="0"/>
                <w:numId w:val="1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500 000 евро за кандидати с животновъдни стопанства, отглеждащи птици;</w:t>
            </w:r>
          </w:p>
          <w:p>
            <w:pPr>
              <w:numPr>
                <w:ilvl w:val="0"/>
                <w:numId w:val="1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9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94"/>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9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1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00"/>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0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11"/>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2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2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Подпомаганата дейност да се извършва в селски район;</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не оказва отрицателно влияние върху околната среда;</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2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21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2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занаяти, социални и здравни услуги;</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регистрирани като тютюнопроизводители;</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заетост.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със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както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numPr>
                <w:ilvl w:val="0"/>
                <w:numId w:val="2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Първоначално икономическо състояние на кандидата;</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Анализ на пазара, въздействие върху конкурентите;</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Етапи и цели за развитие на новите дейности на кандидата;</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Прогноза на нетните парични потоци;</w:t>
            </w:r>
          </w:p>
          <w:p>
            <w:pPr>
              <w:numPr>
                <w:ilvl w:val="0"/>
                <w:numId w:val="2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17"/>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2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2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2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25"/>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2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33"/>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43"/>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републикански пътища;</w:t>
            </w:r>
          </w:p>
          <w:p>
            <w:pPr>
              <w:numPr>
                <w:ilvl w:val="0"/>
                <w:numId w:val="2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57"/>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61"/>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68"/>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земеделски и неземеделски земи;</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земеделски и неземеделски земи;</w:t>
            </w:r>
          </w:p>
          <w:p>
            <w:pPr>
              <w:numPr>
                <w:ilvl w:val="0"/>
                <w:numId w:val="2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 частноправни субекти, стопанисващи земеделски и неземеделски земи, в т.ч. и Държавни предприятия по чл. 163 от Закона за горите, управляващи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71"/>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71"/>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 или правото си да я стопанисват.</w:t>
            </w:r>
          </w:p>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залесяване трябва да бъде както следва:</w:t>
            </w:r>
          </w:p>
          <w:p>
            <w:pPr>
              <w:numPr>
                <w:ilvl w:val="0"/>
                <w:numId w:val="2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и юридически лица и местни поделения на вероизповеданията, собственици на земеделски и неземеделски земи – 0.5 ха;</w:t>
            </w:r>
          </w:p>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собственици/стопанисващи земеделски и неземеделски земи – 1.0 ха;</w:t>
            </w:r>
          </w:p>
          <w:p>
            <w:pPr>
              <w:numPr>
                <w:ilvl w:val="0"/>
                <w:numId w:val="2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юридически лица - частноправни субекти, стопанисващи земеделски и неземеделски земи – 1.0 ха.</w:t>
            </w:r>
          </w:p>
          <w:p>
            <w:pPr>
              <w:numPr>
                <w:ilvl w:val="0"/>
                <w:numId w:val="2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80"/>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8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8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8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8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8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8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8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8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91"/>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9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9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9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9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9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9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9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9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3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3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3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3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3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03"/>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3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30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30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1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1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1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1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1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1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2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3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44"/>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мероприятия в лозя и трайни насаждения:</w:t>
            </w:r>
          </w:p>
          <w:p>
            <w:pPr>
              <w:numPr>
                <w:ilvl w:val="0"/>
                <w:numId w:val="348"/>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48"/>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numPr>
                <w:ilvl w:val="0"/>
                <w:numId w:val="350"/>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50"/>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5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6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71"/>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78"/>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8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8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95"/>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4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0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0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1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12"/>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1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участващи в продължаващ ангажимент или с които се поема нов ангажимент по подмярката трябва да са с биологичен статут към 31 декември 2019 г.;</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1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2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3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3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сертифицирани площи за оставащия период.</w:t>
            </w:r>
          </w:p>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като продължават изпълнението му с първоначално одобрените площи и/или добавят нови биологично сертифицирани площи, без да поемат нов ангажимент не по-късно от 2022 година.</w:t>
            </w:r>
          </w:p>
          <w:p>
            <w:pPr>
              <w:numPr>
                <w:ilvl w:val="0"/>
                <w:numId w:val="4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Площи/ЖЕ/пчелни семейства, за които земеделските стопани са изпълнявали ангажимент по мярка 11 „Биологично земеделие“ до момента, не могат да бъдат включени в нов ангажимент по мярката.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w:t>
            </w:r>
            <w:r>
              <w:rPr>
                <w:rFonts w:ascii="Times New Roman" w:eastAsia="Times New Roman" w:hAnsi="Times New Roman" w:cs="Times New Roman"/>
                <w:b/>
                <w:bCs/>
                <w:i/>
                <w:iCs/>
                <w:szCs w:val="24"/>
              </w:rPr>
              <w:t xml:space="preserve"> и</w:t>
            </w:r>
            <w:r>
              <w:rPr>
                <w:rFonts w:ascii="Times New Roman" w:eastAsia="Times New Roman" w:hAnsi="Times New Roman" w:cs="Times New Roman"/>
                <w:b/>
                <w:bCs/>
                <w:i/>
                <w:iCs/>
                <w:szCs w:val="24"/>
              </w:rPr>
              <w:t xml:space="preserve"> допълняемост</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други</w:t>
            </w:r>
            <w:r>
              <w:rPr>
                <w:rFonts w:ascii="Times New Roman" w:eastAsia="Times New Roman" w:hAnsi="Times New Roman" w:cs="Times New Roman"/>
                <w:b/>
                <w:bCs/>
                <w:i/>
                <w:iCs/>
                <w:szCs w:val="24"/>
              </w:rPr>
              <w:t xml:space="preserve"> мерки</w:t>
            </w:r>
            <w:r>
              <w:rPr>
                <w:rFonts w:ascii="Times New Roman" w:eastAsia="Times New Roman" w:hAnsi="Times New Roman" w:cs="Times New Roman"/>
                <w:b/>
                <w:bCs/>
                <w:i/>
                <w:iCs/>
                <w:szCs w:val="24"/>
              </w:rPr>
              <w:t xml:space="preserve"> от</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плащания</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единица</w:t>
            </w:r>
            <w:r>
              <w:rPr>
                <w:rFonts w:ascii="Times New Roman" w:eastAsia="Times New Roman" w:hAnsi="Times New Roman" w:cs="Times New Roman"/>
                <w:b/>
                <w:bCs/>
                <w:i/>
                <w:iCs/>
                <w:szCs w:val="24"/>
              </w:rPr>
              <w:t xml:space="preserve"> площ</w:t>
            </w:r>
          </w:p>
          <w:p>
            <w:pPr>
              <w:numPr>
                <w:ilvl w:val="0"/>
                <w:numId w:val="4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40"/>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2"/>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3"/>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43"/>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4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9"/>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5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Fonts w:ascii="Times New Roman" w:eastAsia="Times New Roman" w:hAnsi="Times New Roman" w:cs="Times New Roman"/>
                <w:b/>
                <w:bCs/>
                <w:i/>
                <w:iCs/>
                <w:szCs w:val="24"/>
              </w:rPr>
              <w:t>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56"/>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8.2.11.7.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57"/>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8.2.11.7.</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8.2.11.7.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numPr>
                <w:ilvl w:val="0"/>
                <w:numId w:val="4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 средна надморска височина минимум 700 м;</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 среден наклон на терена минимум 20%;</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 средна надморска височина между минимум 500 м в комбинация със среден наклон на терена минимум 15%;</w:t>
            </w:r>
          </w:p>
          <w:p>
            <w:pPr>
              <w:numPr>
                <w:ilvl w:val="0"/>
                <w:numId w:val="4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ще бъде представен в Приложение към ПРСР (2014-2020), след тяхното дефиниране.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Други важни забележки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 До края на 2018 г. държавите членки следва да извършат ново определяне на границите на базата на критериите, посочени в член 32, параграф 3 на цитирания регламент.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предстоящото приключване на предефинирането на районите с природни ограничения, различни от планинските, България е предвидила в националното си законодателство разпоредба, която урежда преходна помощ за кандидатите по подмярка 13.2. Компенсационното плащане на хектар, предвидено за кандидатите през кампания 2019 г., е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7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73"/>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450 000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82"/>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8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8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8"/>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92"/>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15 000 евро за малък пилотен проект.</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0"/>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5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4"/>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10"/>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9"/>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0"/>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sectPr>
          <w:pgMar w:top="900" w:right="900" w:bottom="900" w:left="900" w:header="720" w:footer="720"/>
          <w:cols w:space="720"/>
        </w:sectPr>
      </w:pPr>
    </w:p>
    <w:p>
      <w:pPr>
        <w:pStyle w:val="Heading1"/>
      </w:pPr>
      <w:bookmarkStart w:id="133" w:name="_Toc256000133"/>
      <w:r>
        <w:t>План за оценка</w:t>
      </w:r>
      <w:bookmarkEnd w:id="133"/>
    </w:p>
    <w:p>
      <w:pPr>
        <w:pStyle w:val="Heading2"/>
      </w:pPr>
      <w:bookmarkStart w:id="134" w:name="_Toc256000134"/>
      <w:r>
        <w:t>Цели и задачи</w:t>
      </w:r>
      <w:bookmarkEnd w:id="134"/>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5" w:name="_Toc256000135"/>
      <w:r>
        <w:t>Управление и координация</w:t>
      </w:r>
      <w:bookmarkEnd w:id="135"/>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6" w:name="_Toc256000136"/>
      <w:r>
        <w:t>Предмет на оценката и дейности</w:t>
      </w:r>
      <w:bookmarkEnd w:id="136"/>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7" w:name="_Toc256000137"/>
      <w:r>
        <w:t>Данни и информация</w:t>
      </w:r>
      <w:bookmarkEnd w:id="137"/>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8" w:name="_Toc256000138"/>
      <w:r>
        <w:t>График</w:t>
      </w:r>
      <w:bookmarkEnd w:id="138"/>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9" w:name="_Toc256000139"/>
      <w:r>
        <w:t>Комуникация</w:t>
      </w:r>
      <w:bookmarkEnd w:id="139"/>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0" w:name="_Toc256000140"/>
      <w:r>
        <w:t>Ресурси</w:t>
      </w:r>
      <w:bookmarkEnd w:id="140"/>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1" w:name="_Toc256000141"/>
      <w:r>
        <w:t>Финансов план</w:t>
      </w:r>
      <w:bookmarkEnd w:id="141"/>
    </w:p>
    <w:p>
      <w:pPr>
        <w:pStyle w:val="Heading2"/>
      </w:pPr>
      <w:r>
        <w:t xml:space="preserve"> </w:t>
      </w:r>
      <w:bookmarkStart w:id="142" w:name="_Toc256000142"/>
      <w:r>
        <w:t>Годишно участие на ЕЗФРСР в (в евро)</w:t>
      </w:r>
      <w:bookmarkEnd w:id="1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948"/>
        <w:gridCol w:w="1487"/>
        <w:gridCol w:w="1508"/>
        <w:gridCol w:w="1508"/>
        <w:gridCol w:w="1508"/>
        <w:gridCol w:w="1508"/>
        <w:gridCol w:w="1508"/>
        <w:gridCol w:w="1508"/>
        <w:gridCol w:w="151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850" w:type="pct"/>
            <w:shd w:val="clear" w:color="auto" w:fill="C0C0C0"/>
            <w:noWrap w:val="0"/>
            <w:tcMar>
              <w:top w:w="60" w:type="dxa"/>
            </w:tcMar>
            <w:vAlign w:val="top"/>
          </w:tcPr>
          <w:p>
            <w:pPr>
              <w:jc w:val="center"/>
              <w:rPr>
                <w:b/>
                <w:i w:val="0"/>
                <w:sz w:val="20"/>
              </w:rPr>
            </w:pPr>
            <w:r>
              <w:rPr>
                <w:b/>
                <w:i w:val="0"/>
                <w:sz w:val="20"/>
              </w:rPr>
              <w:t>2014</w:t>
            </w:r>
          </w:p>
        </w:tc>
        <w:tc>
          <w:tcPr>
            <w:tcW w:w="850" w:type="pct"/>
            <w:shd w:val="clear" w:color="auto" w:fill="C0C0C0"/>
            <w:noWrap w:val="0"/>
            <w:tcMar>
              <w:top w:w="60" w:type="dxa"/>
            </w:tcMar>
            <w:vAlign w:val="top"/>
          </w:tcPr>
          <w:p>
            <w:pPr>
              <w:jc w:val="center"/>
              <w:rPr>
                <w:b/>
                <w:i w:val="0"/>
                <w:sz w:val="20"/>
              </w:rPr>
            </w:pPr>
            <w:r>
              <w:rPr>
                <w:b/>
                <w:i w:val="0"/>
                <w:sz w:val="20"/>
              </w:rPr>
              <w:t>2015</w:t>
            </w:r>
          </w:p>
        </w:tc>
        <w:tc>
          <w:tcPr>
            <w:tcW w:w="850" w:type="pct"/>
            <w:shd w:val="clear" w:color="auto" w:fill="C0C0C0"/>
            <w:noWrap w:val="0"/>
            <w:tcMar>
              <w:top w:w="60" w:type="dxa"/>
            </w:tcMar>
            <w:vAlign w:val="top"/>
          </w:tcPr>
          <w:p>
            <w:pPr>
              <w:jc w:val="center"/>
              <w:rPr>
                <w:b/>
                <w:i w:val="0"/>
                <w:sz w:val="20"/>
              </w:rPr>
            </w:pPr>
            <w:r>
              <w:rPr>
                <w:b/>
                <w:i w:val="0"/>
                <w:sz w:val="20"/>
              </w:rPr>
              <w:t>2016</w:t>
            </w:r>
          </w:p>
        </w:tc>
        <w:tc>
          <w:tcPr>
            <w:tcW w:w="850" w:type="pct"/>
            <w:shd w:val="clear" w:color="auto" w:fill="C0C0C0"/>
            <w:noWrap w:val="0"/>
            <w:tcMar>
              <w:top w:w="60" w:type="dxa"/>
            </w:tcMar>
            <w:vAlign w:val="top"/>
          </w:tcPr>
          <w:p>
            <w:pPr>
              <w:jc w:val="center"/>
              <w:rPr>
                <w:b/>
                <w:i w:val="0"/>
                <w:sz w:val="20"/>
              </w:rPr>
            </w:pPr>
            <w:r>
              <w:rPr>
                <w:b/>
                <w:i w:val="0"/>
                <w:sz w:val="20"/>
              </w:rPr>
              <w:t>2017</w:t>
            </w:r>
          </w:p>
        </w:tc>
        <w:tc>
          <w:tcPr>
            <w:tcW w:w="850" w:type="pct"/>
            <w:shd w:val="clear" w:color="auto" w:fill="C0C0C0"/>
            <w:noWrap w:val="0"/>
            <w:tcMar>
              <w:top w:w="60" w:type="dxa"/>
            </w:tcMar>
            <w:vAlign w:val="top"/>
          </w:tcPr>
          <w:p>
            <w:pPr>
              <w:jc w:val="center"/>
              <w:rPr>
                <w:b/>
                <w:i w:val="0"/>
                <w:sz w:val="20"/>
              </w:rPr>
            </w:pPr>
            <w:r>
              <w:rPr>
                <w:b/>
                <w:i w:val="0"/>
                <w:sz w:val="20"/>
              </w:rPr>
              <w:t>2018</w:t>
            </w:r>
          </w:p>
        </w:tc>
        <w:tc>
          <w:tcPr>
            <w:tcW w:w="850" w:type="pct"/>
            <w:shd w:val="clear" w:color="auto" w:fill="C0C0C0"/>
            <w:noWrap w:val="0"/>
            <w:tcMar>
              <w:top w:w="60" w:type="dxa"/>
            </w:tcMar>
            <w:vAlign w:val="top"/>
          </w:tcPr>
          <w:p>
            <w:pPr>
              <w:jc w:val="center"/>
              <w:rPr>
                <w:b/>
                <w:i w:val="0"/>
                <w:sz w:val="20"/>
              </w:rPr>
            </w:pPr>
            <w:r>
              <w:rPr>
                <w:b/>
                <w:i w:val="0"/>
                <w:sz w:val="20"/>
              </w:rPr>
              <w:t>2019</w:t>
            </w:r>
          </w:p>
        </w:tc>
        <w:tc>
          <w:tcPr>
            <w:tcW w:w="850" w:type="pct"/>
            <w:shd w:val="clear" w:color="auto" w:fill="C0C0C0"/>
            <w:noWrap w:val="0"/>
            <w:tcMar>
              <w:top w:w="60" w:type="dxa"/>
            </w:tcMar>
            <w:vAlign w:val="top"/>
          </w:tcPr>
          <w:p>
            <w:pPr>
              <w:jc w:val="center"/>
              <w:rPr>
                <w:b/>
                <w:i w:val="0"/>
                <w:sz w:val="20"/>
              </w:rPr>
            </w:pPr>
            <w:r>
              <w:rPr>
                <w:b/>
                <w:i w:val="0"/>
                <w:sz w:val="20"/>
              </w:rPr>
              <w:t>2020</w:t>
            </w:r>
          </w:p>
        </w:tc>
        <w:tc>
          <w:tcPr>
            <w:tcW w:w="8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502 807 341,00</w:t>
            </w:r>
          </w:p>
        </w:tc>
        <w:tc>
          <w:tcPr>
            <w:tcW w:w="850" w:type="pct"/>
            <w:shd w:val="clear" w:color="auto" w:fill="FFFFFF"/>
            <w:noWrap w:val="0"/>
            <w:tcMar>
              <w:top w:w="60" w:type="dxa"/>
            </w:tcMar>
            <w:vAlign w:val="top"/>
          </w:tcPr>
          <w:p>
            <w:pPr>
              <w:jc w:val="right"/>
              <w:rPr>
                <w:b w:val="0"/>
                <w:i w:val="0"/>
                <w:sz w:val="16"/>
              </w:rPr>
            </w:pPr>
            <w:r>
              <w:rPr>
                <w:b w:val="0"/>
                <w:i w:val="0"/>
                <w:sz w:val="16"/>
              </w:rPr>
              <w:t>502 357 057,00</w:t>
            </w:r>
          </w:p>
        </w:tc>
        <w:tc>
          <w:tcPr>
            <w:tcW w:w="850" w:type="pct"/>
            <w:shd w:val="clear" w:color="auto" w:fill="FFFFFF"/>
            <w:noWrap w:val="0"/>
            <w:tcMar>
              <w:top w:w="60" w:type="dxa"/>
            </w:tcMar>
            <w:vAlign w:val="top"/>
          </w:tcPr>
          <w:p>
            <w:pPr>
              <w:jc w:val="right"/>
              <w:rPr>
                <w:b w:val="0"/>
                <w:i w:val="0"/>
                <w:sz w:val="16"/>
              </w:rPr>
            </w:pPr>
            <w:r>
              <w:rPr>
                <w:b w:val="0"/>
                <w:i w:val="0"/>
                <w:sz w:val="16"/>
              </w:rPr>
              <w:t>334 147 994,00</w:t>
            </w:r>
          </w:p>
        </w:tc>
        <w:tc>
          <w:tcPr>
            <w:tcW w:w="850" w:type="pct"/>
            <w:shd w:val="clear" w:color="auto" w:fill="FFFFFF"/>
            <w:noWrap w:val="0"/>
            <w:tcMar>
              <w:top w:w="60" w:type="dxa"/>
            </w:tcMar>
            <w:vAlign w:val="top"/>
          </w:tcPr>
          <w:p>
            <w:pPr>
              <w:jc w:val="right"/>
              <w:rPr>
                <w:b w:val="0"/>
                <w:i w:val="0"/>
                <w:sz w:val="16"/>
              </w:rPr>
            </w:pPr>
            <w:r>
              <w:rPr>
                <w:b w:val="0"/>
                <w:i w:val="0"/>
                <w:sz w:val="16"/>
              </w:rPr>
              <w:t>333 680 052,00</w:t>
            </w:r>
          </w:p>
        </w:tc>
        <w:tc>
          <w:tcPr>
            <w:tcW w:w="850" w:type="pct"/>
            <w:shd w:val="clear" w:color="auto" w:fill="FFFFFF"/>
            <w:noWrap w:val="0"/>
            <w:tcMar>
              <w:top w:w="60" w:type="dxa"/>
            </w:tcMar>
            <w:vAlign w:val="top"/>
          </w:tcPr>
          <w:p>
            <w:pPr>
              <w:jc w:val="right"/>
              <w:rPr>
                <w:b w:val="0"/>
                <w:i w:val="0"/>
                <w:sz w:val="16"/>
              </w:rPr>
            </w:pPr>
            <w:r>
              <w:rPr>
                <w:b w:val="0"/>
                <w:i w:val="0"/>
                <w:sz w:val="16"/>
              </w:rPr>
              <w:t>333 187 306,00</w:t>
            </w:r>
          </w:p>
        </w:tc>
        <w:tc>
          <w:tcPr>
            <w:tcW w:w="850" w:type="pct"/>
            <w:shd w:val="clear" w:color="auto" w:fill="FFFFFF"/>
            <w:noWrap w:val="0"/>
            <w:tcMar>
              <w:top w:w="60" w:type="dxa"/>
            </w:tcMar>
            <w:vAlign w:val="top"/>
          </w:tcPr>
          <w:p>
            <w:pPr>
              <w:jc w:val="right"/>
              <w:rPr>
                <w:b/>
                <w:i w:val="0"/>
                <w:sz w:val="16"/>
              </w:rPr>
            </w:pPr>
            <w:r>
              <w:rPr>
                <w:b w:val="0"/>
                <w:i w:val="0"/>
                <w:sz w:val="16"/>
              </w:rPr>
              <w:t>332 604 216,00</w:t>
            </w:r>
          </w:p>
        </w:tc>
        <w:tc>
          <w:tcPr>
            <w:tcW w:w="8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2 663 000,00</w:t>
            </w:r>
          </w:p>
        </w:tc>
        <w:tc>
          <w:tcPr>
            <w:tcW w:w="850" w:type="pct"/>
            <w:shd w:val="clear" w:color="auto" w:fill="FFFFFF"/>
            <w:noWrap w:val="0"/>
            <w:tcMar>
              <w:top w:w="60" w:type="dxa"/>
            </w:tcMar>
            <w:vAlign w:val="top"/>
          </w:tcPr>
          <w:p>
            <w:pPr>
              <w:jc w:val="right"/>
              <w:rPr>
                <w:b w:val="0"/>
                <w:i w:val="0"/>
                <w:sz w:val="16"/>
              </w:rPr>
            </w:pPr>
            <w:r>
              <w:rPr>
                <w:b w:val="0"/>
                <w:i w:val="0"/>
                <w:sz w:val="16"/>
              </w:rPr>
              <w:t>6 262 000,00</w:t>
            </w:r>
          </w:p>
        </w:tc>
        <w:tc>
          <w:tcPr>
            <w:tcW w:w="850" w:type="pct"/>
            <w:shd w:val="clear" w:color="auto" w:fill="FFFFFF"/>
            <w:noWrap w:val="0"/>
            <w:tcMar>
              <w:top w:w="60" w:type="dxa"/>
            </w:tcMar>
            <w:vAlign w:val="top"/>
          </w:tcPr>
          <w:p>
            <w:pPr>
              <w:jc w:val="right"/>
              <w:rPr>
                <w:b w:val="0"/>
                <w:i w:val="0"/>
                <w:sz w:val="16"/>
              </w:rPr>
            </w:pPr>
            <w:r>
              <w:rPr>
                <w:b w:val="0"/>
                <w:i w:val="0"/>
                <w:sz w:val="16"/>
              </w:rPr>
              <w:t>6 286 000,00</w:t>
            </w:r>
          </w:p>
        </w:tc>
        <w:tc>
          <w:tcPr>
            <w:tcW w:w="850" w:type="pct"/>
            <w:shd w:val="clear" w:color="auto" w:fill="FFFFFF"/>
            <w:noWrap w:val="0"/>
            <w:tcMar>
              <w:top w:w="60" w:type="dxa"/>
            </w:tcMar>
            <w:vAlign w:val="top"/>
          </w:tcPr>
          <w:p>
            <w:pPr>
              <w:jc w:val="right"/>
              <w:rPr>
                <w:b w:val="0"/>
                <w:i w:val="0"/>
                <w:sz w:val="16"/>
              </w:rPr>
            </w:pPr>
            <w:r>
              <w:rPr>
                <w:b w:val="0"/>
                <w:i w:val="0"/>
                <w:sz w:val="16"/>
              </w:rPr>
              <w:t>6 336 000,00</w:t>
            </w:r>
          </w:p>
        </w:tc>
        <w:tc>
          <w:tcPr>
            <w:tcW w:w="850" w:type="pct"/>
            <w:shd w:val="clear" w:color="auto" w:fill="FFFFFF"/>
            <w:noWrap w:val="0"/>
            <w:tcMar>
              <w:top w:w="60" w:type="dxa"/>
            </w:tcMar>
            <w:vAlign w:val="top"/>
          </w:tcPr>
          <w:p>
            <w:pPr>
              <w:jc w:val="right"/>
              <w:rPr>
                <w:b/>
                <w:i w:val="0"/>
                <w:sz w:val="16"/>
              </w:rPr>
            </w:pPr>
            <w:r>
              <w:rPr>
                <w:b w:val="0"/>
                <w:i w:val="0"/>
                <w:sz w:val="16"/>
              </w:rPr>
              <w:t>6 386 000,00</w:t>
            </w:r>
          </w:p>
        </w:tc>
        <w:tc>
          <w:tcPr>
            <w:tcW w:w="8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850" w:type="pct"/>
            <w:shd w:val="clear" w:color="auto" w:fill="C0C0C0"/>
            <w:noWrap w:val="0"/>
            <w:tcMar>
              <w:top w:w="60" w:type="dxa"/>
            </w:tcMar>
            <w:vAlign w:val="top"/>
          </w:tcPr>
          <w:p>
            <w:pPr>
              <w:jc w:val="left"/>
              <w:rPr>
                <w:b/>
                <w:i w:val="0"/>
                <w:sz w:val="16"/>
              </w:rPr>
            </w:pPr>
            <w:r>
              <w:rPr>
                <w:b/>
                <w:i w:val="0"/>
                <w:sz w:val="16"/>
              </w:rPr>
              <w:t>Общо</w:t>
            </w:r>
          </w:p>
        </w:tc>
        <w:tc>
          <w:tcPr>
            <w:tcW w:w="850" w:type="pct"/>
            <w:shd w:val="clear" w:color="auto" w:fill="C0C0C0"/>
            <w:noWrap w:val="0"/>
            <w:tcMar>
              <w:top w:w="60" w:type="dxa"/>
            </w:tcMar>
            <w:vAlign w:val="top"/>
          </w:tcPr>
          <w:p>
            <w:pPr>
              <w:jc w:val="right"/>
              <w:rPr>
                <w:b/>
                <w:i w:val="0"/>
                <w:sz w:val="16"/>
              </w:rPr>
            </w:pPr>
            <w:r>
              <w:rPr>
                <w:b/>
                <w:i w:val="0"/>
                <w:sz w:val="16"/>
              </w:rPr>
              <w:t>0,00</w:t>
            </w:r>
          </w:p>
        </w:tc>
        <w:tc>
          <w:tcPr>
            <w:tcW w:w="850" w:type="pct"/>
            <w:shd w:val="clear" w:color="auto" w:fill="C0C0C0"/>
            <w:noWrap w:val="0"/>
            <w:tcMar>
              <w:top w:w="60" w:type="dxa"/>
            </w:tcMar>
            <w:vAlign w:val="top"/>
          </w:tcPr>
          <w:p>
            <w:pPr>
              <w:jc w:val="right"/>
              <w:rPr>
                <w:b/>
                <w:i w:val="0"/>
                <w:sz w:val="16"/>
              </w:rPr>
            </w:pPr>
            <w:r>
              <w:rPr>
                <w:b/>
                <w:i w:val="0"/>
                <w:sz w:val="16"/>
              </w:rPr>
              <w:t>502 807 341,00</w:t>
            </w:r>
          </w:p>
        </w:tc>
        <w:tc>
          <w:tcPr>
            <w:tcW w:w="850" w:type="pct"/>
            <w:shd w:val="clear" w:color="auto" w:fill="C0C0C0"/>
            <w:noWrap w:val="0"/>
            <w:tcMar>
              <w:top w:w="60" w:type="dxa"/>
            </w:tcMar>
            <w:vAlign w:val="top"/>
          </w:tcPr>
          <w:p>
            <w:pPr>
              <w:jc w:val="right"/>
              <w:rPr>
                <w:b/>
                <w:i w:val="0"/>
                <w:sz w:val="16"/>
              </w:rPr>
            </w:pPr>
            <w:r>
              <w:rPr>
                <w:b/>
                <w:i w:val="0"/>
                <w:sz w:val="16"/>
              </w:rPr>
              <w:t>505 020 057,00</w:t>
            </w:r>
          </w:p>
        </w:tc>
        <w:tc>
          <w:tcPr>
            <w:tcW w:w="850" w:type="pct"/>
            <w:shd w:val="clear" w:color="auto" w:fill="C0C0C0"/>
            <w:noWrap w:val="0"/>
            <w:tcMar>
              <w:top w:w="60" w:type="dxa"/>
            </w:tcMar>
            <w:vAlign w:val="top"/>
          </w:tcPr>
          <w:p>
            <w:pPr>
              <w:jc w:val="right"/>
              <w:rPr>
                <w:b/>
                <w:i w:val="0"/>
                <w:sz w:val="16"/>
              </w:rPr>
            </w:pPr>
            <w:r>
              <w:rPr>
                <w:b/>
                <w:i w:val="0"/>
                <w:sz w:val="16"/>
              </w:rPr>
              <w:t>340 409 994,00</w:t>
            </w:r>
          </w:p>
        </w:tc>
        <w:tc>
          <w:tcPr>
            <w:tcW w:w="850" w:type="pct"/>
            <w:shd w:val="clear" w:color="auto" w:fill="C0C0C0"/>
            <w:noWrap w:val="0"/>
            <w:tcMar>
              <w:top w:w="60" w:type="dxa"/>
            </w:tcMar>
            <w:vAlign w:val="top"/>
          </w:tcPr>
          <w:p>
            <w:pPr>
              <w:jc w:val="right"/>
              <w:rPr>
                <w:b/>
                <w:i w:val="0"/>
                <w:sz w:val="16"/>
              </w:rPr>
            </w:pPr>
            <w:r>
              <w:rPr>
                <w:b/>
                <w:i w:val="0"/>
                <w:sz w:val="16"/>
              </w:rPr>
              <w:t>339 966 052,00</w:t>
            </w:r>
          </w:p>
        </w:tc>
        <w:tc>
          <w:tcPr>
            <w:tcW w:w="850" w:type="pct"/>
            <w:shd w:val="clear" w:color="auto" w:fill="C0C0C0"/>
            <w:noWrap w:val="0"/>
            <w:tcMar>
              <w:top w:w="60" w:type="dxa"/>
            </w:tcMar>
            <w:vAlign w:val="top"/>
          </w:tcPr>
          <w:p>
            <w:pPr>
              <w:jc w:val="right"/>
              <w:rPr>
                <w:b/>
                <w:i w:val="0"/>
                <w:sz w:val="16"/>
              </w:rPr>
            </w:pPr>
            <w:r>
              <w:rPr>
                <w:b/>
                <w:i w:val="0"/>
                <w:sz w:val="16"/>
              </w:rPr>
              <w:t>339 523 306,00</w:t>
            </w:r>
          </w:p>
        </w:tc>
        <w:tc>
          <w:tcPr>
            <w:tcW w:w="850" w:type="pct"/>
            <w:shd w:val="clear" w:color="auto" w:fill="C0C0C0"/>
            <w:noWrap w:val="0"/>
            <w:tcMar>
              <w:top w:w="60" w:type="dxa"/>
            </w:tcMar>
            <w:vAlign w:val="top"/>
          </w:tcPr>
          <w:p>
            <w:pPr>
              <w:jc w:val="right"/>
              <w:rPr>
                <w:b/>
                <w:i w:val="0"/>
                <w:sz w:val="16"/>
              </w:rPr>
            </w:pPr>
            <w:r>
              <w:rPr>
                <w:b/>
                <w:i w:val="0"/>
                <w:sz w:val="16"/>
              </w:rPr>
              <w:t>338 990 216,00</w:t>
            </w:r>
          </w:p>
        </w:tc>
        <w:tc>
          <w:tcPr>
            <w:tcW w:w="8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850" w:type="pct"/>
            <w:shd w:val="clear" w:color="auto" w:fill="FFFFFF"/>
            <w:noWrap w:val="0"/>
            <w:tcMar>
              <w:top w:w="60" w:type="dxa"/>
            </w:tcMar>
            <w:vAlign w:val="top"/>
          </w:tcPr>
          <w:p>
            <w:pPr>
              <w:jc w:val="right"/>
              <w:rPr>
                <w:b/>
                <w:i w:val="0"/>
                <w:sz w:val="16"/>
              </w:rPr>
            </w:pPr>
            <w:r>
              <w:rPr>
                <w:b/>
                <w:i w:val="0"/>
                <w:sz w:val="16"/>
              </w:rPr>
              <w:t>0,00</w:t>
            </w:r>
          </w:p>
        </w:tc>
        <w:tc>
          <w:tcPr>
            <w:tcW w:w="850" w:type="pct"/>
            <w:shd w:val="clear" w:color="auto" w:fill="FFFFFF"/>
            <w:noWrap w:val="0"/>
            <w:tcMar>
              <w:top w:w="60" w:type="dxa"/>
            </w:tcMar>
            <w:vAlign w:val="top"/>
          </w:tcPr>
          <w:p>
            <w:pPr>
              <w:jc w:val="right"/>
              <w:rPr>
                <w:b/>
                <w:i w:val="0"/>
                <w:sz w:val="16"/>
              </w:rPr>
            </w:pPr>
            <w:r>
              <w:rPr>
                <w:b/>
                <w:i w:val="0"/>
                <w:sz w:val="16"/>
              </w:rPr>
              <w:t>30 168 440,46</w:t>
            </w:r>
          </w:p>
        </w:tc>
        <w:tc>
          <w:tcPr>
            <w:tcW w:w="850" w:type="pct"/>
            <w:shd w:val="clear" w:color="auto" w:fill="FFFFFF"/>
            <w:noWrap w:val="0"/>
            <w:tcMar>
              <w:top w:w="60" w:type="dxa"/>
            </w:tcMar>
            <w:vAlign w:val="top"/>
          </w:tcPr>
          <w:p>
            <w:pPr>
              <w:jc w:val="right"/>
              <w:rPr>
                <w:b/>
                <w:i w:val="0"/>
                <w:sz w:val="16"/>
              </w:rPr>
            </w:pPr>
            <w:r>
              <w:rPr>
                <w:b/>
                <w:i w:val="0"/>
                <w:sz w:val="16"/>
              </w:rPr>
              <w:t>30 141 423,42</w:t>
            </w:r>
          </w:p>
        </w:tc>
        <w:tc>
          <w:tcPr>
            <w:tcW w:w="850" w:type="pct"/>
            <w:shd w:val="clear" w:color="auto" w:fill="FFFFFF"/>
            <w:noWrap w:val="0"/>
            <w:tcMar>
              <w:top w:w="60" w:type="dxa"/>
            </w:tcMar>
            <w:vAlign w:val="top"/>
          </w:tcPr>
          <w:p>
            <w:pPr>
              <w:jc w:val="right"/>
              <w:rPr>
                <w:b/>
                <w:i w:val="0"/>
                <w:sz w:val="16"/>
              </w:rPr>
            </w:pPr>
            <w:r>
              <w:rPr>
                <w:b/>
                <w:i w:val="0"/>
                <w:sz w:val="16"/>
              </w:rPr>
              <w:t>20 048 879,64</w:t>
            </w:r>
          </w:p>
        </w:tc>
        <w:tc>
          <w:tcPr>
            <w:tcW w:w="850" w:type="pct"/>
            <w:shd w:val="clear" w:color="auto" w:fill="FFFFFF"/>
            <w:noWrap w:val="0"/>
            <w:tcMar>
              <w:top w:w="60" w:type="dxa"/>
            </w:tcMar>
            <w:vAlign w:val="top"/>
          </w:tcPr>
          <w:p>
            <w:pPr>
              <w:jc w:val="right"/>
              <w:rPr>
                <w:b/>
                <w:i w:val="0"/>
                <w:sz w:val="16"/>
              </w:rPr>
            </w:pPr>
            <w:r>
              <w:rPr>
                <w:b/>
                <w:i w:val="0"/>
                <w:sz w:val="16"/>
              </w:rPr>
              <w:t>20 020 803,12</w:t>
            </w:r>
          </w:p>
        </w:tc>
        <w:tc>
          <w:tcPr>
            <w:tcW w:w="850" w:type="pct"/>
            <w:shd w:val="clear" w:color="auto" w:fill="FFFFFF"/>
            <w:noWrap w:val="0"/>
            <w:tcMar>
              <w:top w:w="60" w:type="dxa"/>
            </w:tcMar>
            <w:vAlign w:val="top"/>
          </w:tcPr>
          <w:p>
            <w:pPr>
              <w:jc w:val="right"/>
              <w:rPr>
                <w:b/>
                <w:i w:val="0"/>
                <w:sz w:val="16"/>
              </w:rPr>
            </w:pPr>
            <w:r>
              <w:rPr>
                <w:b/>
                <w:i w:val="0"/>
                <w:sz w:val="16"/>
              </w:rPr>
              <w:t>19 991 238,36</w:t>
            </w:r>
          </w:p>
        </w:tc>
        <w:tc>
          <w:tcPr>
            <w:tcW w:w="850" w:type="pct"/>
            <w:shd w:val="clear" w:color="auto" w:fill="FFFFFF"/>
            <w:noWrap w:val="0"/>
            <w:tcMar>
              <w:top w:w="60" w:type="dxa"/>
            </w:tcMar>
            <w:vAlign w:val="top"/>
          </w:tcPr>
          <w:p>
            <w:pPr>
              <w:jc w:val="right"/>
              <w:rPr>
                <w:b/>
                <w:i w:val="0"/>
                <w:sz w:val="16"/>
              </w:rPr>
            </w:pPr>
            <w:r>
              <w:rPr>
                <w:b/>
                <w:i w:val="0"/>
                <w:sz w:val="16"/>
              </w:rPr>
              <w:t>19 956 252,96</w:t>
            </w:r>
          </w:p>
        </w:tc>
        <w:tc>
          <w:tcPr>
            <w:tcW w:w="8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1 161 027 743,20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143" w:name="_Toc256000143"/>
      <w:r>
        <w:t>Единно процентно участие на ЕЗФРСР за всички мерки с разбивка по вид регион, съгласно посоченото в член 59, параграф 3 от Регламент (ЕС) № 1305/2013</w:t>
      </w:r>
      <w:bookmarkEnd w:id="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4" w:name="_Toc256000144"/>
      <w:r>
        <w:rPr>
          <w:b/>
        </w:rPr>
        <w:t>Разбивката по мярка или вид операция, с конкретния размер на процентното участие на ЕЗФРСР (в евро за целия период 2014 — 2020 г.)</w:t>
      </w:r>
      <w:bookmarkEnd w:id="144"/>
    </w:p>
    <w:p>
      <w:pPr>
        <w:pStyle w:val="Heading3"/>
        <w:jc w:val="left"/>
        <w:rPr>
          <w:b w:val="0"/>
        </w:rPr>
      </w:pPr>
      <w:bookmarkStart w:id="145" w:name="_Toc256000145"/>
      <w:r>
        <w:rPr>
          <w:b w:val="0"/>
        </w:rPr>
        <w:t>М01 — Трансфер на знания и действия за осведомяване (член 14)</w:t>
      </w:r>
      <w:bookmarkEnd w:id="1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20 700 000,00</w:t>
            </w:r>
          </w:p>
        </w:tc>
      </w:tr>
    </w:tbl>
    <w:p>
      <w:pPr>
        <w:pStyle w:val="Heading3"/>
        <w:jc w:val="left"/>
        <w:rPr>
          <w:b w:val="0"/>
        </w:rPr>
      </w:pPr>
      <w:r>
        <w:rPr>
          <w:b/>
        </w:rPr>
        <w:br w:type="page"/>
      </w:r>
      <w:bookmarkStart w:id="146" w:name="_Toc256000146"/>
      <w:r>
        <w:rPr>
          <w:b w:val="0"/>
        </w:rPr>
        <w:t>М02 —  Консултантски услуги, услуги по управление на стопанство и услуги по заместване в стопанство (член 15)</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11 771 250,00 (2A)</w:t>
            </w:r>
          </w:p>
          <w:p>
            <w:pPr>
              <w:jc w:val="right"/>
              <w:rPr>
                <w:b w:val="0"/>
                <w:sz w:val="16"/>
              </w:rPr>
            </w:pPr>
            <w:r>
              <w:rPr>
                <w:b w:val="0"/>
                <w:sz w:val="16"/>
              </w:rPr>
              <w:t>298 957,00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1 067 020,00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462 722,00 (5C)</w:t>
            </w:r>
          </w:p>
          <w:p>
            <w:pPr>
              <w:jc w:val="right"/>
              <w:rPr>
                <w:b w:val="0"/>
                <w:sz w:val="16"/>
              </w:rPr>
            </w:pPr>
            <w:r>
              <w:rPr>
                <w:b w:val="0"/>
                <w:sz w:val="16"/>
              </w:rPr>
              <w:t>463 015,00 (5D)</w:t>
            </w:r>
          </w:p>
          <w:p>
            <w:pPr>
              <w:jc w:val="right"/>
              <w:rPr>
                <w:b w:val="0"/>
                <w:sz w:val="16"/>
              </w:rPr>
            </w:pPr>
            <w:r>
              <w:rPr>
                <w:b w:val="0"/>
                <w:sz w:val="16"/>
              </w:rPr>
              <w:t>455 875,00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16 058 274,00</w:t>
            </w:r>
          </w:p>
        </w:tc>
      </w:tr>
    </w:tbl>
    <w:p>
      <w:pPr>
        <w:pStyle w:val="Heading3"/>
        <w:jc w:val="left"/>
        <w:rPr>
          <w:b w:val="0"/>
        </w:rPr>
      </w:pPr>
      <w:r>
        <w:rPr>
          <w:b/>
        </w:rPr>
        <w:br w:type="page"/>
      </w:r>
      <w:bookmarkStart w:id="147" w:name="_Toc256000147"/>
      <w:r>
        <w:rPr>
          <w:b w:val="0"/>
        </w:rPr>
        <w:t>M04 — Инвестиции в материални активи (член 17)</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13 000 000,00</w:t>
            </w:r>
          </w:p>
        </w:tc>
        <w:tc>
          <w:tcPr>
            <w:tcW w:w="750" w:type="pct"/>
            <w:shd w:val="clear" w:color="auto" w:fill="FFFFFF"/>
            <w:noWrap w:val="0"/>
            <w:tcMar>
              <w:top w:w="60" w:type="dxa"/>
            </w:tcMar>
            <w:vAlign w:val="top"/>
          </w:tcPr>
          <w:p>
            <w:pPr>
              <w:jc w:val="right"/>
              <w:rPr>
                <w:b w:val="0"/>
                <w:sz w:val="16"/>
              </w:rPr>
            </w:pPr>
            <w:r>
              <w:rPr>
                <w:b w:val="0"/>
                <w:sz w:val="16"/>
              </w:rPr>
              <w:t>240 755 579,00 (2A)</w:t>
            </w:r>
          </w:p>
          <w:p>
            <w:pPr>
              <w:jc w:val="right"/>
              <w:rPr>
                <w:b w:val="0"/>
                <w:sz w:val="16"/>
              </w:rPr>
            </w:pPr>
            <w:r>
              <w:rPr>
                <w:b w:val="0"/>
                <w:sz w:val="16"/>
              </w:rPr>
              <w:t>52 850 000,00 (2B)</w:t>
            </w:r>
          </w:p>
          <w:p>
            <w:pPr>
              <w:jc w:val="right"/>
              <w:rPr>
                <w:b w:val="0"/>
                <w:sz w:val="16"/>
              </w:rPr>
            </w:pPr>
            <w:r>
              <w:rPr>
                <w:b w:val="0"/>
                <w:sz w:val="16"/>
              </w:rPr>
              <w:t>199 286 353,00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40 849 395,00 (5A)</w:t>
            </w:r>
          </w:p>
          <w:p>
            <w:pPr>
              <w:jc w:val="right"/>
              <w:rPr>
                <w:b w:val="0"/>
                <w:sz w:val="16"/>
              </w:rPr>
            </w:pPr>
            <w:r>
              <w:rPr>
                <w:b w:val="0"/>
                <w:sz w:val="16"/>
              </w:rPr>
              <w:t>108 018 350,00 (5B)</w:t>
            </w:r>
          </w:p>
          <w:p>
            <w:pPr>
              <w:jc w:val="right"/>
              <w:rPr>
                <w:b w:val="0"/>
                <w:sz w:val="16"/>
              </w:rPr>
            </w:pPr>
            <w:r>
              <w:rPr>
                <w:b w:val="0"/>
                <w:sz w:val="16"/>
              </w:rPr>
              <w:t>18 251 117,00 (5C)</w:t>
            </w:r>
          </w:p>
          <w:p>
            <w:pPr>
              <w:jc w:val="right"/>
              <w:rPr>
                <w:b w:val="0"/>
                <w:sz w:val="16"/>
              </w:rPr>
            </w:pPr>
            <w:r>
              <w:rPr>
                <w:b w:val="0"/>
                <w:sz w:val="16"/>
              </w:rPr>
              <w:t>979 995,00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13 000 000,00</w:t>
            </w:r>
          </w:p>
        </w:tc>
        <w:tc>
          <w:tcPr>
            <w:tcW w:w="750" w:type="pct"/>
            <w:shd w:val="clear" w:color="auto" w:fill="C0C0C0"/>
            <w:noWrap w:val="0"/>
            <w:tcMar>
              <w:top w:w="60" w:type="dxa"/>
            </w:tcMar>
            <w:vAlign w:val="top"/>
          </w:tcPr>
          <w:p>
            <w:pPr>
              <w:jc w:val="right"/>
              <w:rPr>
                <w:b w:val="0"/>
                <w:sz w:val="16"/>
              </w:rPr>
            </w:pPr>
            <w:r>
              <w:rPr>
                <w:b w:val="0"/>
                <w:sz w:val="16"/>
              </w:rPr>
              <w:t>672 408 879,00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179 516 947,00</w:t>
            </w:r>
          </w:p>
        </w:tc>
      </w:tr>
    </w:tbl>
    <w:p>
      <w:pPr>
        <w:pStyle w:val="Heading3"/>
        <w:jc w:val="left"/>
        <w:rPr>
          <w:b w:val="0"/>
        </w:rPr>
      </w:pPr>
      <w:r>
        <w:rPr>
          <w:b/>
        </w:rPr>
        <w:br w:type="page"/>
      </w:r>
      <w:bookmarkStart w:id="148" w:name="_Toc256000148"/>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48"/>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26 750 935,00 (3B)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26 750 935,00</w:t>
            </w:r>
          </w:p>
        </w:tc>
      </w:tr>
    </w:tbl>
    <w:p>
      <w:pPr>
        <w:pStyle w:val="Heading3"/>
        <w:jc w:val="left"/>
        <w:rPr>
          <w:b w:val="0"/>
        </w:rPr>
      </w:pPr>
      <w:r>
        <w:rPr>
          <w:b/>
        </w:rPr>
        <w:br w:type="page"/>
      </w:r>
      <w:bookmarkStart w:id="149" w:name="_Toc256000149"/>
      <w:r>
        <w:rPr>
          <w:b w:val="0"/>
        </w:rPr>
        <w:t>M06 — Развитие на стопанства и предприятия (член 19)</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56 903 500,00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63 602 331,00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1 500 000,00</w:t>
            </w:r>
          </w:p>
        </w:tc>
        <w:tc>
          <w:tcPr>
            <w:tcW w:w="750" w:type="pct"/>
            <w:shd w:val="clear" w:color="auto" w:fill="C0C0C0"/>
            <w:noWrap w:val="0"/>
            <w:tcMar>
              <w:top w:w="60" w:type="dxa"/>
            </w:tcMar>
            <w:vAlign w:val="top"/>
          </w:tcPr>
          <w:p>
            <w:pPr>
              <w:jc w:val="right"/>
              <w:rPr>
                <w:b w:val="0"/>
                <w:sz w:val="16"/>
              </w:rPr>
            </w:pPr>
            <w:r>
              <w:rPr>
                <w:b w:val="0"/>
                <w:sz w:val="16"/>
              </w:rPr>
              <w:t>199 776 466,00</w:t>
            </w:r>
          </w:p>
        </w:tc>
      </w:tr>
    </w:tbl>
    <w:p>
      <w:pPr>
        <w:pStyle w:val="Heading3"/>
        <w:jc w:val="left"/>
        <w:rPr>
          <w:b w:val="0"/>
        </w:rPr>
      </w:pPr>
      <w:r>
        <w:rPr>
          <w:b/>
        </w:rPr>
        <w:br w:type="page"/>
      </w:r>
      <w:bookmarkStart w:id="150" w:name="_Toc256000150"/>
      <w:r>
        <w:rPr>
          <w:b w:val="0"/>
        </w:rPr>
        <w:t>М07 — Основни услуги и обновяване на селата в селските райони (член 20)</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25 500 000,00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531 867 024,00</w:t>
            </w:r>
          </w:p>
        </w:tc>
      </w:tr>
    </w:tbl>
    <w:p>
      <w:pPr>
        <w:pStyle w:val="Heading3"/>
        <w:jc w:val="left"/>
        <w:rPr>
          <w:b w:val="0"/>
        </w:rPr>
      </w:pPr>
      <w:r>
        <w:rPr>
          <w:b/>
        </w:rPr>
        <w:br w:type="page"/>
      </w:r>
      <w:bookmarkStart w:id="151" w:name="_Toc256000151"/>
      <w:r>
        <w:rPr>
          <w:b w:val="0"/>
        </w:rPr>
        <w:t>М08 — Инвестиции в развитие на горските райони и подобряване на жизнеспособността на горите (членове 21 — 26)</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19 300 001,00 (2C+)</w:t>
            </w:r>
          </w:p>
          <w:p>
            <w:pPr>
              <w:jc w:val="right"/>
              <w:rPr>
                <w:b w:val="0"/>
                <w:sz w:val="16"/>
              </w:rPr>
            </w:pPr>
            <w:r>
              <w:rPr>
                <w:b w:val="0"/>
                <w:sz w:val="16"/>
              </w:rPr>
              <w:t>14 500 657,00 (P4)</w:t>
            </w:r>
          </w:p>
          <w:p>
            <w:pPr>
              <w:jc w:val="right"/>
              <w:rPr>
                <w:b w:val="0"/>
                <w:sz w:val="16"/>
              </w:rPr>
            </w:pPr>
            <w:r>
              <w:rPr>
                <w:b w:val="0"/>
                <w:sz w:val="16"/>
              </w:rPr>
              <w:t>6 800 000,00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47 513 992,00</w:t>
            </w:r>
          </w:p>
        </w:tc>
      </w:tr>
    </w:tbl>
    <w:p>
      <w:pPr>
        <w:pStyle w:val="Heading3"/>
        <w:jc w:val="left"/>
        <w:rPr>
          <w:b w:val="0"/>
        </w:rPr>
      </w:pPr>
      <w:r>
        <w:rPr>
          <w:b/>
        </w:rPr>
        <w:br w:type="page"/>
      </w:r>
      <w:bookmarkStart w:id="152" w:name="_Toc256000152"/>
      <w:r>
        <w:rPr>
          <w:b w:val="0"/>
        </w:rPr>
        <w:t>M09 — Създаване на групи и организации на производителите (член 27)</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8 384 852,00</w:t>
            </w:r>
          </w:p>
        </w:tc>
      </w:tr>
    </w:tbl>
    <w:p>
      <w:pPr>
        <w:pStyle w:val="Heading3"/>
        <w:jc w:val="left"/>
        <w:rPr>
          <w:b w:val="0"/>
        </w:rPr>
      </w:pPr>
      <w:r>
        <w:rPr>
          <w:b/>
        </w:rPr>
        <w:br w:type="page"/>
      </w:r>
      <w:bookmarkStart w:id="153" w:name="_Toc256000153"/>
      <w:r>
        <w:rPr>
          <w:b w:val="0"/>
        </w:rPr>
        <w:t>M10 — Агроекология и климат (член 28)</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154 010 002,00 (P4)</w:t>
            </w:r>
          </w:p>
          <w:p>
            <w:pPr>
              <w:jc w:val="right"/>
              <w:rPr>
                <w:b w:val="0"/>
                <w:sz w:val="16"/>
              </w:rPr>
            </w:pPr>
            <w:r>
              <w:rPr>
                <w:b w:val="0"/>
                <w:sz w:val="16"/>
              </w:rPr>
              <w:t>13 500 000,00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154" w:name="_Toc256000154"/>
      <w:r>
        <w:rPr>
          <w:b w:val="0"/>
        </w:rPr>
        <w:t>М11 — Биологично земеделие (член 29)</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143 695 079,00</w:t>
            </w:r>
          </w:p>
        </w:tc>
      </w:tr>
    </w:tbl>
    <w:p>
      <w:pPr>
        <w:pStyle w:val="Heading3"/>
        <w:jc w:val="left"/>
        <w:rPr>
          <w:b w:val="0"/>
        </w:rPr>
      </w:pPr>
      <w:r>
        <w:rPr>
          <w:b/>
        </w:rPr>
        <w:br w:type="page"/>
      </w:r>
      <w:bookmarkStart w:id="155" w:name="_Toc256000155"/>
      <w:r>
        <w:rPr>
          <w:b w:val="0"/>
        </w:rPr>
        <w:t>M12 — Плащания по „Натура 2000“ и Рамковата директива за водите (член 30)</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6" w:name="_Toc256000156"/>
      <w:r>
        <w:rPr>
          <w:b w:val="0"/>
        </w:rPr>
        <w:t>М13 — Плащания за райони, изправени пред природни или други специфични ограничения (член 31)</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213 266 006,00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213 266 006,00</w:t>
            </w:r>
          </w:p>
        </w:tc>
      </w:tr>
    </w:tbl>
    <w:p>
      <w:pPr>
        <w:pStyle w:val="Heading3"/>
        <w:jc w:val="left"/>
        <w:rPr>
          <w:b w:val="0"/>
        </w:rPr>
      </w:pPr>
      <w:r>
        <w:rPr>
          <w:b/>
        </w:rPr>
        <w:br w:type="page"/>
      </w:r>
      <w:bookmarkStart w:id="157" w:name="_Toc256000157"/>
      <w:r>
        <w:rPr>
          <w:b w:val="0"/>
        </w:rPr>
        <w:t>M14 — Хуманно отношение към животните (член 33)</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30 499 306,00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30 499 306,00</w:t>
            </w:r>
          </w:p>
        </w:tc>
      </w:tr>
    </w:tbl>
    <w:p>
      <w:pPr>
        <w:pStyle w:val="Heading3"/>
        <w:jc w:val="left"/>
        <w:rPr>
          <w:b w:val="0"/>
        </w:rPr>
      </w:pPr>
      <w:r>
        <w:rPr>
          <w:b/>
        </w:rPr>
        <w:br w:type="page"/>
      </w:r>
      <w:bookmarkStart w:id="158" w:name="_Toc256000158"/>
      <w:r>
        <w:rPr>
          <w:b w:val="0"/>
        </w:rPr>
        <w:t>M16 — Сътрудничество (член 35)</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4 600 000,00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25 200 000,00</w:t>
            </w:r>
          </w:p>
        </w:tc>
      </w:tr>
    </w:tbl>
    <w:p>
      <w:pPr>
        <w:pStyle w:val="Heading3"/>
        <w:jc w:val="left"/>
        <w:rPr>
          <w:b w:val="0"/>
        </w:rPr>
      </w:pPr>
      <w:r>
        <w:rPr>
          <w:b/>
        </w:rPr>
        <w:br w:type="page"/>
      </w:r>
      <w:bookmarkStart w:id="159" w:name="_Toc256000159"/>
      <w:r>
        <w:rPr>
          <w:b w:val="0"/>
        </w:rPr>
        <w:t>M19 — Подкрепа за местно развитие по LEADER (ВОМР — водено от общностите местно развитие) (член 35 от Регламент (ЕС) № 1303/2013)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2 500 000,00</w:t>
            </w:r>
          </w:p>
        </w:tc>
        <w:tc>
          <w:tcPr>
            <w:tcW w:w="750" w:type="pct"/>
            <w:shd w:val="clear" w:color="auto" w:fill="FFFFFF"/>
            <w:noWrap w:val="0"/>
            <w:tcMar>
              <w:top w:w="60" w:type="dxa"/>
            </w:tcMar>
            <w:vAlign w:val="top"/>
          </w:tcPr>
          <w:p>
            <w:pPr>
              <w:jc w:val="right"/>
              <w:rPr>
                <w:b w:val="0"/>
                <w:sz w:val="16"/>
              </w:rPr>
            </w:pPr>
            <w:r>
              <w:rPr>
                <w:b w:val="0"/>
                <w:sz w:val="16"/>
              </w:rPr>
              <w:t>120 835 849,00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2 500 000,00</w:t>
            </w:r>
          </w:p>
        </w:tc>
        <w:tc>
          <w:tcPr>
            <w:tcW w:w="750" w:type="pct"/>
            <w:shd w:val="clear" w:color="auto" w:fill="C0C0C0"/>
            <w:noWrap w:val="0"/>
            <w:tcMar>
              <w:top w:w="60" w:type="dxa"/>
            </w:tcMar>
            <w:vAlign w:val="top"/>
          </w:tcPr>
          <w:p>
            <w:pPr>
              <w:jc w:val="right"/>
              <w:rPr>
                <w:b w:val="0"/>
                <w:sz w:val="16"/>
              </w:rPr>
            </w:pPr>
            <w:r>
              <w:rPr>
                <w:b w:val="0"/>
                <w:sz w:val="16"/>
              </w:rPr>
              <w:t>120 835 849,00</w:t>
            </w:r>
          </w:p>
        </w:tc>
      </w:tr>
    </w:tbl>
    <w:p>
      <w:pPr>
        <w:pStyle w:val="Heading3"/>
        <w:jc w:val="left"/>
        <w:rPr>
          <w:b w:val="0"/>
        </w:rPr>
      </w:pPr>
      <w:r>
        <w:rPr>
          <w:b/>
        </w:rPr>
        <w:br w:type="page"/>
      </w:r>
      <w:bookmarkStart w:id="160" w:name="_Toc256000160"/>
      <w:r>
        <w:rPr>
          <w:b w:val="0"/>
        </w:rPr>
        <w:t>М20 — Техническа помощ държави членки (членове 51 — 54)</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59(4)(d),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59(4)(г),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59(4)(г)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rPr>
          <w:b/>
        </w:rPr>
        <w:sectPr>
          <w:pgSz w:w="15840" w:h="12240" w:orient="landscape"/>
          <w:pgMar w:top="900" w:right="900" w:bottom="900" w:left="900" w:header="720" w:footer="720"/>
          <w:cols w:space="720"/>
        </w:sectPr>
      </w:pPr>
    </w:p>
    <w:p>
      <w:pPr>
        <w:pStyle w:val="Heading2"/>
      </w:pPr>
      <w:bookmarkStart w:id="161" w:name="_Toc256000161"/>
      <w:r>
        <w:t>Ориентировъчна разбивка по мярка за всяка подпрограма</w:t>
      </w:r>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22 917 655,00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61 372 416,00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2" w:name="_Toc256000162"/>
      <w:r>
        <w:t>План на показателите</w:t>
      </w:r>
      <w:bookmarkEnd w:id="162"/>
    </w:p>
    <w:p>
      <w:pPr>
        <w:pStyle w:val="Heading2"/>
      </w:pPr>
      <w:bookmarkStart w:id="163" w:name="_Toc256000163"/>
      <w:r>
        <w:t>План на показателите</w:t>
      </w:r>
      <w:bookmarkEnd w:id="163"/>
    </w:p>
    <w:p>
      <w:pPr>
        <w:pStyle w:val="Heading3"/>
        <w:jc w:val="left"/>
        <w:rPr>
          <w:b w:val="0"/>
        </w:rPr>
      </w:pPr>
      <w:bookmarkStart w:id="164" w:name="_Toc256000164"/>
      <w:r>
        <w:rPr>
          <w:b w:val="0"/>
        </w:rPr>
        <w:t>P1: Стимулиране на трансфера на знания и иновациите в областта на селското и горското стопанство и селските райони</w:t>
      </w:r>
      <w:bookmarkEnd w:id="164"/>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2 896 147 917,00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22 999 999,40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18 892 087,20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28 000 000,00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165" w:name="_Toc256000165"/>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5"/>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13 848 529,40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29 965 859,90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429 753 351,00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283 241 858,90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283 241 858,90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66 945 294,10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66 945 294,10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0,89</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260,00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103 627 451,00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62 176 470,60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22 705 884,00</w:t>
            </w:r>
          </w:p>
        </w:tc>
      </w:tr>
    </w:tbl>
    <w:p>
      <w:pPr>
        <w:sectPr>
          <w:pgMar w:top="900" w:right="900" w:bottom="900" w:left="900" w:header="720" w:footer="720"/>
          <w:cols w:space="720"/>
        </w:sectPr>
      </w:pPr>
    </w:p>
    <w:p>
      <w:pPr>
        <w:pStyle w:val="Heading3"/>
        <w:jc w:val="left"/>
        <w:rPr>
          <w:b w:val="0"/>
        </w:rPr>
      </w:pPr>
      <w:bookmarkStart w:id="166" w:name="_Toc256000166"/>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6"/>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410,00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360,00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466 662 237,80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234 454 532,80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9 316 502,00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35 881 536,70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70,00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60" w:type="dxa"/>
            </w:tcMar>
            <w:vAlign w:val="center"/>
          </w:tcPr>
          <w:p>
            <w:pPr>
              <w:spacing w:before="20" w:after="20"/>
              <w:jc w:val="right"/>
              <w:rPr>
                <w:b w:val="0"/>
                <w:sz w:val="16"/>
              </w:rPr>
            </w:pPr>
            <w:r>
              <w:rPr>
                <w:b w:val="0"/>
                <w:sz w:val="16"/>
              </w:rPr>
              <w:t>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1000" w:type="pct"/>
            <w:shd w:val="clear" w:color="auto" w:fill="FFFFFF"/>
            <w:noWrap w:val="0"/>
            <w:tcMar>
              <w:top w:w="60" w:type="dxa"/>
            </w:tcMar>
            <w:vAlign w:val="center"/>
          </w:tcPr>
          <w:p>
            <w:pPr>
              <w:spacing w:before="20" w:after="20"/>
              <w:jc w:val="right"/>
              <w:rPr>
                <w:b w:val="0"/>
                <w:sz w:val="16"/>
              </w:rPr>
            </w:pPr>
            <w:r>
              <w:rPr>
                <w:b w:val="0"/>
                <w:sz w:val="16"/>
              </w:rPr>
              <w:t>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1000" w:type="pct"/>
            <w:shd w:val="clear" w:color="auto" w:fill="FFFFFF"/>
            <w:noWrap w:val="0"/>
            <w:tcMar>
              <w:top w:w="60" w:type="dxa"/>
            </w:tcMar>
            <w:vAlign w:val="center"/>
          </w:tcPr>
          <w:p>
            <w:pPr>
              <w:spacing w:before="20" w:after="20"/>
              <w:jc w:val="right"/>
              <w:rPr>
                <w:b w:val="0"/>
                <w:sz w:val="16"/>
              </w:rPr>
            </w:pPr>
            <w:r>
              <w:rPr>
                <w:b w:val="0"/>
                <w:sz w:val="16"/>
              </w:rPr>
              <w:t>31 471 690,00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1000" w:type="pct"/>
            <w:shd w:val="clear" w:color="auto" w:fill="FFFFFF"/>
            <w:noWrap w:val="0"/>
            <w:tcMar>
              <w:top w:w="60" w:type="dxa"/>
            </w:tcMar>
            <w:vAlign w:val="center"/>
          </w:tcPr>
          <w:p>
            <w:pPr>
              <w:spacing w:before="20" w:after="20"/>
              <w:jc w:val="right"/>
              <w:rPr>
                <w:b w:val="0"/>
                <w:sz w:val="16"/>
              </w:rPr>
            </w:pPr>
            <w:r>
              <w:rPr>
                <w:b w:val="0"/>
                <w:sz w:val="16"/>
              </w:rPr>
              <w:t>31 471 690,00</w:t>
            </w:r>
          </w:p>
        </w:tc>
      </w:tr>
    </w:tbl>
    <w:p>
      <w:pPr>
        <w:sectPr>
          <w:pgMar w:top="900" w:right="900" w:bottom="900" w:left="900" w:header="720" w:footer="720"/>
          <w:cols w:space="720"/>
        </w:sectPr>
      </w:pPr>
    </w:p>
    <w:p>
      <w:pPr>
        <w:pStyle w:val="Heading3"/>
        <w:jc w:val="left"/>
        <w:rPr>
          <w:b w:val="0"/>
        </w:rPr>
      </w:pPr>
      <w:bookmarkStart w:id="167" w:name="_Toc256000167"/>
      <w:r>
        <w:rPr>
          <w:b w:val="0"/>
        </w:rPr>
        <w:t>P4: Възстановяване, опазване и укрепване на екосистемите, свързани със селското и горското стопанство</w:t>
      </w:r>
      <w:bookmarkEnd w:id="167"/>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3 505 404,40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1 255 318,00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25 373 532,20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15 224 119,30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205 346 669,00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29 000,00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191 593 438,70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284 354 674,70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5 111 111,10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68" w:name="_Toc256000168"/>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68"/>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90,00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258 340 778,00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258 340 778,00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144 024 467,00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117 878 037,00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544 378,80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47 878 037,00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24 334 822,00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544 723,50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2 177 766,10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1 306 660,00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536 323,50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169" w:name="_Toc256000169"/>
      <w:r>
        <w:rPr>
          <w:b w:val="0"/>
        </w:rPr>
        <w:t>P6: Насърчаване на социалното приобщаване, намаляването на бедността и икономическото развитие в селските райони</w:t>
      </w:r>
      <w:bookmarkEnd w:id="169"/>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159 064 310,60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74 826 272,00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640,00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2 766 442,00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94 605 051,80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30 553 959,00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19,00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98 000,00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30 000 000,00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0" w:name="_Toc256000170"/>
      <w:r>
        <w:t>Преглед на планираното изпълнение и на планираните разходи по мерки и по области с поставен акцент (генериран автоматично)</w:t>
      </w:r>
      <w:bookmarkEnd w:id="1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0"/>
        <w:gridCol w:w="1537"/>
        <w:gridCol w:w="933"/>
        <w:gridCol w:w="876"/>
        <w:gridCol w:w="790"/>
        <w:gridCol w:w="933"/>
        <w:gridCol w:w="790"/>
        <w:gridCol w:w="460"/>
        <w:gridCol w:w="451"/>
        <w:gridCol w:w="451"/>
        <w:gridCol w:w="818"/>
        <w:gridCol w:w="847"/>
        <w:gridCol w:w="818"/>
        <w:gridCol w:w="818"/>
        <w:gridCol w:w="818"/>
        <w:gridCol w:w="933"/>
        <w:gridCol w:w="933"/>
        <w:gridCol w:w="790"/>
        <w:gridCol w:w="1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13,848,529.4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1,255,318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544,378.8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544,723.5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536,323.5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18,892,087.2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429,753,351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103,627,451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466,662,237.8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25,373,532.2</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258,340,778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47,878,037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1,388,279,013.1</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283,241,858.9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62,176,470.6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234,454,532.8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15,224,119.3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144,024,467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24,334,822</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819,228,790.6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31,471,690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31,471,690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66,945,294.1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159,064,310.6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314,380,173.8</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66,945,294.1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74,826,272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230,142,135.2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22,705,884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22,705,884</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205,346,669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191,593,438.7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284,354,674.7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284,354,674.7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35,881,536.7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35,881,536.7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2,766,442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2,766,442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94,605,051.8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94,605,051.8</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30,553,959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30,553,959</w:t>
            </w:r>
          </w:p>
        </w:tc>
      </w:tr>
    </w:tbl>
    <w:p>
      <w:pPr>
        <w:sectPr>
          <w:pgSz w:w="15840" w:h="12240" w:orient="landscape"/>
          <w:pgMar w:top="900" w:right="46" w:bottom="900" w:left="46" w:header="720" w:footer="720"/>
          <w:cols w:space="720"/>
        </w:sectPr>
      </w:pPr>
    </w:p>
    <w:p>
      <w:pPr>
        <w:pStyle w:val="Heading2"/>
      </w:pPr>
      <w:bookmarkStart w:id="171" w:name="_Toc256000171"/>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7"/>
        <w:gridCol w:w="6778"/>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2" w:name="_Toc256000172"/>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2"/>
    </w:p>
    <w:p>
      <w:pPr>
        <w:pStyle w:val="Heading3"/>
        <w:jc w:val="left"/>
        <w:rPr>
          <w:b w:val="0"/>
        </w:rPr>
      </w:pPr>
      <w:r>
        <w:rPr>
          <w:b w:val="0"/>
        </w:rPr>
        <w:t xml:space="preserve"> </w:t>
      </w:r>
      <w:bookmarkStart w:id="173" w:name="_Toc256000173"/>
      <w:r>
        <w:rPr>
          <w:b w:val="0"/>
        </w:rPr>
        <w:t>Земеделска земя</w:t>
      </w:r>
      <w:bookmarkEnd w:id="173"/>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62 420 000,00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18 000 000,00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104 401 567,70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4" w:name="_Toc256000174"/>
      <w:r>
        <w:rPr>
          <w:b w:val="0"/>
        </w:rPr>
        <w:t>Горски площи</w:t>
      </w:r>
      <w:bookmarkEnd w:id="174"/>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5" w:name="_Toc256000175"/>
      <w:r>
        <w:t>Специфични за програмата цел и изпълнение</w:t>
      </w:r>
      <w:bookmarkEnd w:id="175"/>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6" w:name="_Toc256000176"/>
      <w:r>
        <w:t>Допълнително национално финансиране</w:t>
      </w:r>
      <w:bookmarkEnd w:id="176"/>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7" w:name="_Toc256000177"/>
      <w:r>
        <w:rPr>
          <w:b/>
          <w:i w:val="0"/>
        </w:rPr>
        <w:t>М01 — Трансфер на знания и действия за осведомяване (член 14)</w:t>
      </w:r>
      <w:bookmarkEnd w:id="17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78" w:name="_Toc256000178"/>
      <w:r>
        <w:rPr>
          <w:b/>
          <w:i w:val="0"/>
        </w:rPr>
        <w:t>М02 —  Консултантски услуги, услуги по управление на стопанство и услуги по заместване в стопанство (член 15)</w:t>
      </w:r>
      <w:bookmarkEnd w:id="17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9" w:name="_Toc256000179"/>
      <w:r>
        <w:rPr>
          <w:b/>
          <w:i w:val="0"/>
        </w:rPr>
        <w:t>M04 — Инвестиции в материални активи (член 17)</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0" w:name="_Toc256000180"/>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0"/>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1" w:name="_Toc256000181"/>
      <w:r>
        <w:rPr>
          <w:b/>
          <w:i w:val="0"/>
        </w:rPr>
        <w:t>M06 — Развитие на стопанства и предприятия (член 19)</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М07 — Основни услуги и обновяване на селата в селските райони (член 20)</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М08 — Инвестиции в развитие на горските райони и подобряване на жизнеспособността на горите (членове 21 — 26)</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M09 — Създаване на групи и организации на производителите (член 27)</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M10 — Агроекология и климат (член 28)</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М11 — Биологично земеделие (член 29)</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M12 — Плащания по „Натура 2000“ и Рамковата директива за водите (член 30)</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М13 — Плащания за райони, изправени пред природни или други специфични ограничения (член 31)</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M14 — Хуманно отношение към животните (член 33)</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M16 — Сътрудничество (член 35)</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M19 — Подкрепа за местно развитие по LEADER (ВОМР — водено от общностите местно развитие) (член 35 от Регламент (ЕС) № 1303/2013)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М20 — Техническа помощ държави членки (членове 51 — 54)</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3" w:name="_Toc256000193"/>
      <w:r>
        <w:t>Елементи, необходими за оценка на държавната помощ</w:t>
      </w:r>
      <w:bookmarkEnd w:id="193"/>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r>
              <w:rPr>
                <w:b w:val="0"/>
                <w:sz w:val="16"/>
              </w:rPr>
              <w:t>96 663 875,09</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631 982 224,38</w:t>
            </w:r>
          </w:p>
        </w:tc>
        <w:tc>
          <w:tcPr>
            <w:tcW w:w="650" w:type="pct"/>
            <w:shd w:val="clear" w:color="auto" w:fill="C0C0C0"/>
            <w:noWrap w:val="0"/>
            <w:tcMar>
              <w:top w:w="60" w:type="dxa"/>
            </w:tcMar>
            <w:vAlign w:val="top"/>
          </w:tcPr>
          <w:p>
            <w:pPr>
              <w:jc w:val="right"/>
              <w:rPr>
                <w:b/>
                <w:sz w:val="16"/>
              </w:rPr>
            </w:pPr>
            <w:r>
              <w:rPr>
                <w:b/>
                <w:sz w:val="16"/>
              </w:rPr>
              <w:t>106 161 105,76</w:t>
            </w:r>
          </w:p>
        </w:tc>
        <w:tc>
          <w:tcPr>
            <w:tcW w:w="650" w:type="pct"/>
            <w:shd w:val="clear" w:color="auto" w:fill="C0C0C0"/>
            <w:noWrap w:val="0"/>
            <w:tcMar>
              <w:top w:w="60" w:type="dxa"/>
            </w:tcMar>
            <w:vAlign w:val="top"/>
          </w:tcPr>
          <w:p>
            <w:pPr>
              <w:jc w:val="right"/>
              <w:rPr>
                <w:b/>
                <w:sz w:val="16"/>
              </w:rPr>
            </w:pPr>
            <w:r>
              <w:rPr>
                <w:b/>
                <w:sz w:val="16"/>
              </w:rPr>
              <w:t>0,00</w:t>
            </w:r>
          </w:p>
        </w:tc>
        <w:tc>
          <w:tcPr>
            <w:tcW w:w="650" w:type="pct"/>
            <w:shd w:val="clear" w:color="auto" w:fill="C0C0C0"/>
            <w:noWrap w:val="0"/>
            <w:tcMar>
              <w:top w:w="60" w:type="dxa"/>
            </w:tcMar>
            <w:vAlign w:val="top"/>
          </w:tcPr>
          <w:p>
            <w:pPr>
              <w:jc w:val="right"/>
              <w:rPr>
                <w:b w:val="0"/>
                <w:sz w:val="16"/>
              </w:rPr>
            </w:pPr>
            <w:r>
              <w:rPr>
                <w:b/>
                <w:sz w:val="16"/>
              </w:rPr>
              <w:t>738 143 330,14</w:t>
            </w:r>
          </w:p>
        </w:tc>
      </w:tr>
    </w:tbl>
    <w:p>
      <w:pPr>
        <w:rPr>
          <w:b/>
        </w:rPr>
        <w:sectPr>
          <w:pgSz w:w="15840" w:h="12240" w:orient="landscape"/>
          <w:pgMar w:top="900" w:right="900" w:bottom="900" w:left="900" w:header="720" w:footer="720"/>
          <w:cols w:space="720"/>
        </w:sectPr>
      </w:pPr>
    </w:p>
    <w:p/>
    <w:p>
      <w:pPr>
        <w:pStyle w:val="Heading2"/>
      </w:pPr>
      <w:bookmarkStart w:id="194" w:name="_Toc256000194"/>
      <w:r>
        <w:t>М01 — Трансфер на знания и действия за осведомяване (член 14)</w:t>
      </w:r>
      <w:bookmarkEnd w:id="194"/>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5" w:name="_Toc256000195"/>
      <w:r>
        <w:t>М02 —  Консултантски услуги, услуги по управление на стопанство и услуги по заместване в стопанство (член 15)</w:t>
      </w:r>
      <w:bookmarkEnd w:id="195"/>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6" w:name="_Toc256000196"/>
      <w:r>
        <w:t>М02 —  Консултантски услуги, услуги по управление на стопанство и услуги по заместване в стопанство (член 15)</w:t>
      </w:r>
      <w:bookmarkEnd w:id="196"/>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7" w:name="_Toc256000197"/>
      <w:r>
        <w:t>M04 — Инвестиции в материални активи (член 17)</w:t>
      </w:r>
      <w:bookmarkEnd w:id="197"/>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198" w:name="_Toc256000198"/>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98"/>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199" w:name="_Toc256000199"/>
      <w:r>
        <w:t>M06 — Развитие на стопанства и предприятия (член 19)</w:t>
      </w:r>
      <w:bookmarkEnd w:id="199"/>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0" w:name="_Toc256000200"/>
      <w:r>
        <w:t>М07 — Основни услуги и обновяване на селата в селските райони (член 20)</w:t>
      </w:r>
      <w:bookmarkEnd w:id="200"/>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1" w:name="_Toc256000201"/>
      <w:r>
        <w:t>М07 — Основни услуги и обновяване на селата в селските райони (член 20)</w:t>
      </w:r>
      <w:bookmarkEnd w:id="201"/>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2" w:name="_Toc256000202"/>
      <w:r>
        <w:t>М07 — Основни услуги и обновяване на селата в селските райони (член 20)</w:t>
      </w:r>
      <w:bookmarkEnd w:id="202"/>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3" w:name="_Toc256000203"/>
      <w:r>
        <w:t>М08 — Инвестиции в развитие на горските райони и подобряване на жизнеспособността на горите (членове 21 — 26)</w:t>
      </w:r>
      <w:bookmarkEnd w:id="203"/>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4" w:name="_Toc256000204"/>
      <w:r>
        <w:t>М08 — Инвестиции в развитие на горските райони и подобряване на жизнеспособността на горите (членове 21 — 26)</w:t>
      </w:r>
      <w:bookmarkEnd w:id="204"/>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5" w:name="_Toc256000205"/>
      <w:r>
        <w:t>М08 — Инвестиции в развитие на горските райони и подобряване на жизнеспособността на горите (членове 21 — 26)</w:t>
      </w:r>
      <w:bookmarkEnd w:id="205"/>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6" w:name="_Toc256000206"/>
      <w:r>
        <w:t>М08 — Инвестиции в развитие на горските райони и подобряване на жизнеспособността на горите (членове 21 — 26)</w:t>
      </w:r>
      <w:bookmarkEnd w:id="206"/>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7" w:name="_Toc256000207"/>
      <w:r>
        <w:t>M09 — Създаване на групи и организации на производителите (член 27)</w:t>
      </w:r>
      <w:bookmarkEnd w:id="20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8" w:name="_Toc256000208"/>
      <w:r>
        <w:t>M10 — Агроекология и климат (член 28)</w:t>
      </w:r>
      <w:bookmarkEnd w:id="20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9" w:name="_Toc256000209"/>
      <w:r>
        <w:t>М11 — Биологично земеделие (член 29)</w:t>
      </w:r>
      <w:bookmarkEnd w:id="209"/>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M12 — Плащания по „Натура 2000“ и Рамковата директива за водите (член 30)</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М13 — Плащания за райони, изправени пред природни или други специфични ограничения (член 31)</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M14 — Хуманно отношение към животните (член 33)</w:t>
      </w:r>
      <w:bookmarkEnd w:id="2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M16 — Сътрудничество (член 35)</w:t>
      </w:r>
      <w:bookmarkEnd w:id="213"/>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M16 — Сътрудничество (член 35)</w:t>
      </w:r>
      <w:bookmarkEnd w:id="214"/>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M19 — Подкрепа за местно развитие по LEADER (ВОМР — водено от общностите местно развитие) (член 35 от Регламент (ЕС) № 1303/2013)</w:t>
      </w:r>
      <w:bookmarkEnd w:id="215"/>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16" w:name="_Toc256000216"/>
      <w:r>
        <w:t>Информация относно взаимното допълване</w:t>
      </w:r>
      <w:bookmarkEnd w:id="216"/>
    </w:p>
    <w:p>
      <w:pPr>
        <w:pStyle w:val="Heading2"/>
      </w:pPr>
      <w:bookmarkStart w:id="217" w:name="_Toc256000217"/>
      <w:r>
        <w:t>Описание на средствата за осигуряване на допълняемост и съгласуваност със:</w:t>
      </w:r>
      <w:bookmarkEnd w:id="217"/>
      <w:r>
        <w:t xml:space="preserve"> </w:t>
      </w:r>
    </w:p>
    <w:p>
      <w:pPr>
        <w:pStyle w:val="Heading3"/>
        <w:jc w:val="left"/>
        <w:rPr>
          <w:b w:val="0"/>
        </w:rPr>
      </w:pPr>
      <w:bookmarkStart w:id="218" w:name="_Toc256000218"/>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19" w:name="_Toc256000219"/>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1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0" w:name="_Toc256000220"/>
      <w:r>
        <w:rPr>
          <w:b w:val="0"/>
        </w:rPr>
        <w:t>Когато е целесъобразно, информация за взаимното допълване с други финансови инструменти на Съюза, включително програма LIFE</w:t>
      </w:r>
      <w:bookmarkEnd w:id="22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1" w:name="_Toc256000221"/>
      <w:r>
        <w:t>Организация за изпълнението на програмата</w:t>
      </w:r>
      <w:bookmarkEnd w:id="221"/>
    </w:p>
    <w:p>
      <w:pPr>
        <w:pStyle w:val="Heading2"/>
      </w:pPr>
      <w:bookmarkStart w:id="222" w:name="_Toc256000222"/>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2"/>
    </w:p>
    <w:p>
      <w:pPr>
        <w:pStyle w:val="Heading3"/>
        <w:jc w:val="left"/>
        <w:rPr>
          <w:b w:val="0"/>
        </w:rPr>
      </w:pPr>
      <w:bookmarkStart w:id="223" w:name="_Toc256000223"/>
      <w:r>
        <w:rPr>
          <w:b w:val="0"/>
        </w:rPr>
        <w:t>Органи</w:t>
      </w:r>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92"/>
        <w:gridCol w:w="2011"/>
        <w:gridCol w:w="1792"/>
        <w:gridCol w:w="1792"/>
        <w:gridCol w:w="30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храните и горите.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 „Витоша“ 15, София 1000</w:t>
            </w:r>
          </w:p>
        </w:tc>
        <w:tc>
          <w:tcPr>
            <w:tcW w:w="650" w:type="pct"/>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4" w:name="_Toc256000224"/>
      <w:r>
        <w:rPr>
          <w:b w:val="0"/>
        </w:rPr>
        <w:t>Кратко описание на структурата за управление и контрол на програмата и на процедурите за независимо разглеждане на жалби</w:t>
      </w:r>
      <w:bookmarkEnd w:id="224"/>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1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25" w:name="_Toc256000225"/>
      <w:r>
        <w:rPr>
          <w:b w:val="0"/>
        </w:rPr>
        <w:t>Предлаган състав на мониторинговия комитет</w:t>
      </w:r>
      <w:bookmarkEnd w:id="22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6" w:name="_Toc256000226"/>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2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2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2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2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7" w:name="_Toc256000227"/>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28" w:name="_Toc256000228"/>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2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3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9" w:name="_Toc256000229"/>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4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4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42"/>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4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4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44"/>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РСР - УО на ПРСР;</w:t>
            </w:r>
          </w:p>
          <w:p>
            <w:pPr>
              <w:numPr>
                <w:ilvl w:val="0"/>
                <w:numId w:val="5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0" w:name="_Toc256000230"/>
      <w:r>
        <w:t>Списък на действията за привличане на партньорите</w:t>
      </w:r>
      <w:bookmarkEnd w:id="230"/>
    </w:p>
    <w:p>
      <w:pPr>
        <w:pStyle w:val="Heading2"/>
      </w:pPr>
      <w:bookmarkStart w:id="231" w:name="_Toc256000231"/>
      <w:r>
        <w:t>16.1.1.Създаване на Тематична работна група (ТРГ) за разработване на ПРСР(2014-2020) с участие на партньорите</w:t>
      </w:r>
      <w:bookmarkEnd w:id="231"/>
    </w:p>
    <w:p>
      <w:pPr>
        <w:pStyle w:val="Heading3"/>
        <w:jc w:val="left"/>
        <w:rPr>
          <w:b w:val="0"/>
        </w:rPr>
      </w:pPr>
      <w:bookmarkStart w:id="232" w:name="_Toc256000232"/>
      <w:r>
        <w:rPr>
          <w:b w:val="0"/>
        </w:rPr>
        <w:t>Предмет на съответната консултация</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3" w:name="_Toc256000233"/>
      <w:r>
        <w:rPr>
          <w:b w:val="0"/>
        </w:rPr>
        <w:t>Обобщение на резултатите</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4" w:name="_Toc256000234"/>
      <w:r>
        <w:rPr>
          <w:b w:val="0"/>
        </w:rPr>
        <w:t>16.1.2. Провеждане на 7 заседания на ТРГ.</w:t>
      </w:r>
      <w:bookmarkEnd w:id="234"/>
    </w:p>
    <w:p>
      <w:pPr>
        <w:pStyle w:val="Heading3"/>
        <w:jc w:val="left"/>
        <w:rPr>
          <w:b w:val="0"/>
        </w:rPr>
      </w:pPr>
      <w:bookmarkStart w:id="235" w:name="_Toc256000235"/>
      <w:r>
        <w:rPr>
          <w:b w:val="0"/>
        </w:rPr>
        <w:t>Предмет на съответната консултация</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36" w:name="_Toc256000236"/>
      <w:r>
        <w:rPr>
          <w:b w:val="0"/>
        </w:rPr>
        <w:t>Обобщение на резултатите</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37" w:name="_Toc256000237"/>
      <w:r>
        <w:rPr>
          <w:b w:val="0"/>
        </w:rPr>
        <w:t>16.1.3. Сформиране на фокус групи</w:t>
      </w:r>
      <w:bookmarkEnd w:id="237"/>
    </w:p>
    <w:p>
      <w:pPr>
        <w:pStyle w:val="Heading3"/>
        <w:jc w:val="left"/>
        <w:rPr>
          <w:b w:val="0"/>
        </w:rPr>
      </w:pPr>
      <w:bookmarkStart w:id="238" w:name="_Toc256000238"/>
      <w:r>
        <w:rPr>
          <w:b w:val="0"/>
        </w:rPr>
        <w:t>Предмет на съответната консултация</w:t>
      </w:r>
      <w:bookmarkEnd w:id="2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39" w:name="_Toc256000239"/>
      <w:r>
        <w:rPr>
          <w:b w:val="0"/>
        </w:rPr>
        <w:t>Обобщение на резултатите</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0" w:name="_Toc256000240"/>
      <w:r>
        <w:rPr>
          <w:b w:val="0"/>
        </w:rPr>
        <w:t>16.1.4.Привличане на партньори със съвещателен глас</w:t>
      </w:r>
      <w:bookmarkEnd w:id="240"/>
    </w:p>
    <w:p>
      <w:pPr>
        <w:pStyle w:val="Heading3"/>
        <w:jc w:val="left"/>
        <w:rPr>
          <w:b w:val="0"/>
        </w:rPr>
      </w:pPr>
      <w:bookmarkStart w:id="241" w:name="_Toc256000241"/>
      <w:r>
        <w:rPr>
          <w:b w:val="0"/>
        </w:rPr>
        <w:t>Предмет на съответната консултация</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2" w:name="_Toc256000242"/>
      <w:r>
        <w:rPr>
          <w:b w:val="0"/>
        </w:rPr>
        <w:t>Обобщение на резултатите</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3" w:name="_Toc256000243"/>
      <w:r>
        <w:rPr>
          <w:b w:val="0"/>
        </w:rPr>
        <w:t>16.1.5.Представяне на ПРСР на три заседания на КН</w:t>
      </w:r>
      <w:bookmarkEnd w:id="243"/>
    </w:p>
    <w:p>
      <w:pPr>
        <w:pStyle w:val="Heading3"/>
        <w:jc w:val="left"/>
        <w:rPr>
          <w:b w:val="0"/>
        </w:rPr>
      </w:pPr>
      <w:bookmarkStart w:id="244" w:name="_Toc256000244"/>
      <w:r>
        <w:rPr>
          <w:b w:val="0"/>
        </w:rPr>
        <w:t>Предмет на съответната консултация</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5" w:name="_Toc256000245"/>
      <w:r>
        <w:rPr>
          <w:b w:val="0"/>
        </w:rPr>
        <w:t>Обобщение на резултатите</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46" w:name="_Toc256000246"/>
      <w:r>
        <w:rPr>
          <w:b w:val="0"/>
        </w:rPr>
        <w:t>16.1.6.Достъп до информация, прозрачност</w:t>
      </w:r>
      <w:bookmarkEnd w:id="246"/>
    </w:p>
    <w:p>
      <w:pPr>
        <w:pStyle w:val="Heading3"/>
        <w:jc w:val="left"/>
        <w:rPr>
          <w:b w:val="0"/>
        </w:rPr>
      </w:pPr>
      <w:bookmarkStart w:id="247" w:name="_Toc256000247"/>
      <w:r>
        <w:rPr>
          <w:b w:val="0"/>
        </w:rPr>
        <w:t>Предмет на съответната консултация</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48" w:name="_Toc256000248"/>
      <w:r>
        <w:rPr>
          <w:b w:val="0"/>
        </w:rPr>
        <w:t>Обобщение на резултатите</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49" w:name="_Toc256000249"/>
      <w:r>
        <w:rPr>
          <w:b w:val="0"/>
        </w:rPr>
        <w:t>(Незадължително) разяснения или допълнителна информация за допълване на списъка с действия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0" w:name="_Toc256000250"/>
      <w:r>
        <w:t>Национална мрежа за селските райони</w:t>
      </w:r>
      <w:bookmarkEnd w:id="250"/>
    </w:p>
    <w:p>
      <w:pPr>
        <w:pStyle w:val="Heading2"/>
      </w:pPr>
      <w:bookmarkStart w:id="251" w:name="_Toc256000251"/>
      <w:r>
        <w:t>Процедура и график за създаването на националната мрежа за селските райони („НМСР“)</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2" w:name="_Toc256000252"/>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3" w:name="_Toc256000253"/>
      <w:r>
        <w:t>Обобщено описание на основните категории дейности на националната мрежа за селските райони в съответствие с целите на програмата</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1"/>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4" w:name="_Toc256000254"/>
      <w:r>
        <w:t>Налични ресурси за създаването и привеждането в действие на националната мрежа за селските райони</w:t>
      </w:r>
      <w:bookmarkEnd w:id="2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5" w:name="_Toc256000255"/>
      <w:r>
        <w:t>Предварителна оценка на доказуемостта и на възможността за контрол, както и на риска от грешки</w:t>
      </w:r>
      <w:bookmarkEnd w:id="255"/>
    </w:p>
    <w:p>
      <w:pPr>
        <w:pStyle w:val="Heading2"/>
      </w:pPr>
      <w:bookmarkStart w:id="256" w:name="_Toc256000256"/>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6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6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57" w:name="_Toc256000257"/>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58" w:name="_Toc256000258"/>
      <w:r>
        <w:t>Преходни условия</w:t>
      </w:r>
      <w:bookmarkEnd w:id="258"/>
    </w:p>
    <w:p>
      <w:pPr>
        <w:pStyle w:val="Heading2"/>
      </w:pPr>
      <w:bookmarkStart w:id="259" w:name="_Toc256000259"/>
      <w:r>
        <w:t>Описание на преходните условия по мерки</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0" w:name="_Toc256000260"/>
      <w:r>
        <w:t>Ориентировъчна таблица за пренос на средства</w:t>
      </w:r>
      <w:bookmarkEnd w:id="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1" w:name="_Toc256000261"/>
      <w:r>
        <w:t>Тематични подпрограми</w:t>
      </w:r>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62" w:name="_Toc256000262"/>
      <w:r>
        <w:rPr>
          <w:b w:val="0"/>
          <w:i w:val="0"/>
        </w:rPr>
        <w:t>Документи</w:t>
      </w:r>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06"/>
        <w:gridCol w:w="1457"/>
        <w:gridCol w:w="1224"/>
        <w:gridCol w:w="1313"/>
        <w:gridCol w:w="1555"/>
        <w:gridCol w:w="1266"/>
        <w:gridCol w:w="3403"/>
        <w:gridCol w:w="1263"/>
        <w:gridCol w:w="12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17-04-2019</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Ares(2020)1948113</w:t>
            </w:r>
          </w:p>
        </w:tc>
        <w:tc>
          <w:tcPr>
            <w:tcW w:w="2000" w:type="pct"/>
            <w:shd w:val="clear" w:color="auto" w:fill="FFFFFF"/>
            <w:noWrap w:val="0"/>
            <w:tcMar>
              <w:top w:w="60" w:type="dxa"/>
            </w:tcMar>
            <w:vAlign w:val="top"/>
          </w:tcPr>
          <w:p>
            <w:pPr>
              <w:jc w:val="left"/>
              <w:rPr>
                <w:b w:val="0"/>
                <w:i w:val="0"/>
                <w:sz w:val="16"/>
              </w:rPr>
            </w:pPr>
            <w:r>
              <w:rPr>
                <w:b w:val="0"/>
                <w:i w:val="0"/>
                <w:sz w:val="16"/>
              </w:rPr>
              <w:t>4153749799</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06-04-2020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Ares(2020)1948113</w:t>
            </w:r>
          </w:p>
        </w:tc>
        <w:tc>
          <w:tcPr>
            <w:tcW w:w="2000" w:type="pct"/>
            <w:shd w:val="clear" w:color="auto" w:fill="FFFFFF"/>
            <w:noWrap w:val="0"/>
            <w:tcMar>
              <w:top w:w="60" w:type="dxa"/>
            </w:tcMar>
            <w:vAlign w:val="top"/>
          </w:tcPr>
          <w:p>
            <w:pPr>
              <w:jc w:val="left"/>
              <w:rPr>
                <w:b w:val="0"/>
                <w:i w:val="0"/>
                <w:sz w:val="16"/>
              </w:rPr>
            </w:pPr>
            <w:r>
              <w:rPr>
                <w:b w:val="0"/>
                <w:i w:val="0"/>
                <w:sz w:val="16"/>
              </w:rPr>
              <w:t>1718517653</w:t>
            </w:r>
          </w:p>
        </w:tc>
        <w:tc>
          <w:tcPr>
            <w:tcW w:w="2000" w:type="pct"/>
            <w:shd w:val="clear" w:color="auto" w:fill="FFFFFF"/>
            <w:noWrap w:val="0"/>
            <w:tcMar>
              <w:top w:w="60" w:type="dxa"/>
            </w:tcMar>
            <w:vAlign w:val="top"/>
          </w:tcPr>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 xml:space="preserve">Приложение към Раздел 3_Таблица с препоръките от предварителната оценка </w:t>
            </w:r>
          </w:p>
          <w:p>
            <w:pPr>
              <w:jc w:val="left"/>
              <w:rPr>
                <w:b w:val="0"/>
                <w:i w:val="0"/>
                <w:sz w:val="16"/>
              </w:rPr>
            </w:pPr>
            <w:r>
              <w:rPr>
                <w:b w:val="0"/>
                <w:i w:val="0"/>
                <w:sz w:val="16"/>
              </w:rPr>
              <w:t xml:space="preserve">Приложение към раздел 3_Обобщена справка за съответствието на ПРСР с постановеното в Становището на МОСВ за ЕО </w:t>
            </w:r>
          </w:p>
          <w:p>
            <w:pPr>
              <w:jc w:val="left"/>
              <w:rPr>
                <w:b w:val="0"/>
                <w:i w:val="0"/>
                <w:sz w:val="16"/>
              </w:rPr>
            </w:pPr>
            <w:r>
              <w:rPr>
                <w:b w:val="0"/>
                <w:i w:val="0"/>
                <w:sz w:val="16"/>
              </w:rPr>
              <w:t>Приложение към Раздел 3_SEA_RDP</w:t>
            </w:r>
          </w:p>
        </w:tc>
        <w:tc>
          <w:tcPr>
            <w:tcW w:w="2000" w:type="pct"/>
            <w:shd w:val="clear" w:color="auto" w:fill="FFFFFF"/>
            <w:noWrap w:val="0"/>
            <w:tcMar>
              <w:top w:w="60" w:type="dxa"/>
            </w:tcMar>
            <w:vAlign w:val="top"/>
          </w:tcPr>
          <w:p>
            <w:pPr>
              <w:jc w:val="left"/>
              <w:rPr>
                <w:b w:val="0"/>
                <w:i w:val="0"/>
                <w:sz w:val="16"/>
              </w:rPr>
            </w:pPr>
            <w:r>
              <w:rPr>
                <w:b w:val="0"/>
                <w:i w:val="0"/>
                <w:sz w:val="16"/>
              </w:rPr>
              <w:t>06-04-2020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13-11-2019</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Ares(2020)1948113</w:t>
            </w:r>
          </w:p>
        </w:tc>
        <w:tc>
          <w:tcPr>
            <w:tcW w:w="2000" w:type="pct"/>
            <w:shd w:val="clear" w:color="auto" w:fill="FFFFFF"/>
            <w:noWrap w:val="0"/>
            <w:tcMar>
              <w:top w:w="60" w:type="dxa"/>
            </w:tcMar>
            <w:vAlign w:val="top"/>
          </w:tcPr>
          <w:p>
            <w:pPr>
              <w:jc w:val="left"/>
              <w:rPr>
                <w:b w:val="0"/>
                <w:i w:val="0"/>
                <w:sz w:val="16"/>
              </w:rPr>
            </w:pPr>
            <w:r>
              <w:rPr>
                <w:b w:val="0"/>
                <w:i w:val="0"/>
                <w:sz w:val="16"/>
              </w:rPr>
              <w:t>3397107616</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  finansovi sredstva</w:t>
            </w:r>
          </w:p>
          <w:p>
            <w:pPr>
              <w:jc w:val="left"/>
              <w:rPr>
                <w:b w:val="0"/>
                <w:i w:val="0"/>
                <w:sz w:val="16"/>
              </w:rPr>
            </w:pPr>
            <w:r>
              <w:rPr>
                <w:b w:val="0"/>
                <w:i w:val="0"/>
                <w:sz w:val="16"/>
              </w:rPr>
              <w:t>Tematichna+podprograma+za+malki+stopanstva</w:t>
            </w:r>
          </w:p>
        </w:tc>
        <w:tc>
          <w:tcPr>
            <w:tcW w:w="2000" w:type="pct"/>
            <w:shd w:val="clear" w:color="auto" w:fill="FFFFFF"/>
            <w:noWrap w:val="0"/>
            <w:tcMar>
              <w:top w:w="60" w:type="dxa"/>
            </w:tcMar>
            <w:vAlign w:val="top"/>
          </w:tcPr>
          <w:p>
            <w:pPr>
              <w:jc w:val="left"/>
              <w:rPr>
                <w:b w:val="0"/>
                <w:i w:val="0"/>
                <w:sz w:val="16"/>
              </w:rPr>
            </w:pPr>
            <w:r>
              <w:rPr>
                <w:b w:val="0"/>
                <w:i w:val="0"/>
                <w:sz w:val="16"/>
              </w:rPr>
              <w:t>06-04-2020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F996DC2E-842E-4815-82EC-929986E2D7A7}"/>
    <w:embedBold r:id="rId2" w:fontKey="{5DFABFA0-6A4B-40F0-A94C-385FE3A0D721}"/>
    <w:embedItalic r:id="rId3" w:fontKey="{1E2FBB78-6DF7-408F-B7D4-02439DE94AE3}"/>
    <w:embedBoldItalic r:id="rId4" w:fontKey="{FF4CF4C3-309F-4B2A-893B-0892736ED0F2}"/>
  </w:font>
  <w:font w:name="Symbol">
    <w:panose1 w:val="05050102010706020507"/>
    <w:charset w:val="02"/>
    <w:family w:val="roman"/>
    <w:pitch w:val="variable"/>
    <w:sig w:usb0="00000000" w:usb1="10000000" w:usb2="00000000" w:usb3="00000000" w:csb0="80000000" w:csb1="00000000"/>
    <w:embedRegular r:id="rId5" w:fontKey="{FD165C5D-1191-4B3A-A0F9-A3D41DD4A8B1}"/>
  </w:font>
  <w:font w:name="Arial">
    <w:panose1 w:val="020B0604020202020204"/>
    <w:charset w:val="00"/>
    <w:family w:val="swiss"/>
    <w:pitch w:val="variable"/>
    <w:sig w:usb0="E0002AFF" w:usb1="C0007843" w:usb2="00000009" w:usb3="00000000" w:csb0="000001FF" w:csb1="00000000"/>
    <w:embedRegular r:id="rId6" w:fontKey="{E5E8B6A1-C7BF-408C-B9D6-CCFC4398FD7F}"/>
    <w:embedBold r:id="rId7" w:fontKey="{7B5B69C1-B07C-4C93-B041-421A85559BAA}"/>
    <w:embedItalic r:id="rId8" w:fontKey="{F6A3E635-8D25-4856-B50E-67D1DC5198E6}"/>
  </w:font>
  <w:font w:name="Calibri">
    <w:panose1 w:val="020F0502020204030204"/>
    <w:charset w:val="00"/>
    <w:family w:val="swiss"/>
    <w:pitch w:val="variable"/>
    <w:sig w:usb0="E10002FF" w:usb1="4000ACFF" w:usb2="00000009" w:usb3="00000000" w:csb0="0000019F" w:csb1="00000000"/>
    <w:embedRegular r:id="rId9" w:fontKey="{5277C7B8-2D9B-4174-BF77-9E1900DB59C3}"/>
  </w:font>
  <w:font w:name="Tahoma">
    <w:panose1 w:val="020B0604030504040204"/>
    <w:charset w:val="00"/>
    <w:family w:val="swiss"/>
    <w:pitch w:val="variable"/>
    <w:sig w:usb0="E1002EFF" w:usb1="C000605B" w:usb2="00000029" w:usb3="00000000" w:csb0="000101FF" w:csb1="00000000"/>
    <w:embedRegular r:id="rId10" w:fontKey="{90160192-7BB4-4052-AD39-9A26CD086CFF}"/>
  </w:font>
  <w:font w:name="Courier New">
    <w:panose1 w:val="02070309020205020404"/>
    <w:charset w:val="00"/>
    <w:family w:val="modern"/>
    <w:pitch w:val="fixed"/>
    <w:sig w:usb0="E0002AFF" w:usb1="C0007843" w:usb2="00000009" w:usb3="00000000" w:csb0="000001FF" w:csb1="00000000"/>
    <w:embedRegular r:id="rId11" w:fontKey="{EDAF9C7F-A066-4296-9748-891353DF58F6}"/>
  </w:font>
  <w:font w:name="Wingdings">
    <w:charset w:val="00"/>
    <w:family w:val="auto"/>
    <w:pitch w:val="default"/>
    <w:sig w:usb0="00000000" w:usb1="00000000" w:usb2="00000000" w:usb3="00000000" w:csb0="00000001" w:csb1="00000000"/>
    <w:embedRegular r:id="rId12" w:fontKey="{22DC19AD-67AE-4814-AE80-F6B5B3CFC982}"/>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837</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multilevel"/>
    <w:tmpl w:val="722304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722304E0"/>
    <w:multiLevelType w:val="hybridMultilevel"/>
    <w:tmpl w:val="722304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hybridMultilevel"/>
    <w:tmpl w:val="722305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6">
    <w:nsid w:val="72230535"/>
    <w:multiLevelType w:val="hybridMultilevel"/>
    <w:tmpl w:val="722305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7">
    <w:nsid w:val="72230536"/>
    <w:multiLevelType w:val="hybridMultilevel"/>
    <w:tmpl w:val="722305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hybridMultilevel"/>
    <w:tmpl w:val="722305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multilevel"/>
    <w:tmpl w:val="7223053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multilevel"/>
    <w:tmpl w:val="7223053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multilevel"/>
    <w:tmpl w:val="7223054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9">
    <w:nsid w:val="72230542"/>
    <w:multiLevelType w:val="multilevel"/>
    <w:tmpl w:val="7223054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nsid w:val="72230543"/>
    <w:multiLevelType w:val="multilevel"/>
    <w:tmpl w:val="7223054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1">
    <w:nsid w:val="72230544"/>
    <w:multiLevelType w:val="hybridMultilevel"/>
    <w:tmpl w:val="722305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hybridMultilevel"/>
    <w:tmpl w:val="722305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hybridMultilevel"/>
    <w:tmpl w:val="722305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multilevel"/>
    <w:tmpl w:val="7223054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hybridMultilevel"/>
    <w:tmpl w:val="7223054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hybridMultilevel"/>
    <w:tmpl w:val="7223054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hybridMultilevel"/>
    <w:tmpl w:val="7223055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multilevel"/>
    <w:tmpl w:val="722305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8">
    <w:nsid w:val="72230555"/>
    <w:multiLevelType w:val="multilevel"/>
    <w:tmpl w:val="722305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9">
    <w:nsid w:val="72230556"/>
    <w:multiLevelType w:val="multilevel"/>
    <w:tmpl w:val="7223055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0">
    <w:nsid w:val="72230557"/>
    <w:multiLevelType w:val="multilevel"/>
    <w:tmpl w:val="7223055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1">
    <w:nsid w:val="72230558"/>
    <w:multiLevelType w:val="hybridMultilevel"/>
    <w:tmpl w:val="722305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hybridMultilevel"/>
    <w:tmpl w:val="722305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multilevel"/>
    <w:tmpl w:val="7223056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multilevel"/>
    <w:tmpl w:val="7223056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5">
    <w:nsid w:val="72230566"/>
    <w:multiLevelType w:val="hybridMultilevel"/>
    <w:tmpl w:val="7223056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hybridMultilevel"/>
    <w:tmpl w:val="722305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multilevel"/>
    <w:tmpl w:val="7223056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4">
    <w:nsid w:val="7223056F"/>
    <w:multiLevelType w:val="multilevel"/>
    <w:tmpl w:val="7223056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5">
    <w:nsid w:val="72230570"/>
    <w:multiLevelType w:val="hybridMultilevel"/>
    <w:tmpl w:val="722305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multilevel"/>
    <w:tmpl w:val="7223057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hybridMultilevel"/>
    <w:tmpl w:val="722305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multilevel"/>
    <w:tmpl w:val="7223057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multilevel"/>
    <w:tmpl w:val="7223057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3">
    <w:nsid w:val="72230578"/>
    <w:multiLevelType w:val="multilevel"/>
    <w:tmpl w:val="7223057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hybridMultilevel"/>
    <w:tmpl w:val="7223057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multilevel"/>
    <w:tmpl w:val="7223057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8">
    <w:nsid w:val="7223057D"/>
    <w:multiLevelType w:val="multilevel"/>
    <w:tmpl w:val="7223057D"/>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multilevel"/>
    <w:tmpl w:val="7223057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multilevel"/>
    <w:tmpl w:val="722305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hybridMultilevel"/>
    <w:tmpl w:val="722305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multilevel"/>
    <w:tmpl w:val="7223058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6">
    <w:nsid w:val="72230585"/>
    <w:multiLevelType w:val="hybridMultilevel"/>
    <w:tmpl w:val="7223058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multilevel"/>
    <w:tmpl w:val="7223058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9">
    <w:nsid w:val="72230588"/>
    <w:multiLevelType w:val="multilevel"/>
    <w:tmpl w:val="722305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nsid w:val="72230589"/>
    <w:multiLevelType w:val="hybridMultilevel"/>
    <w:tmpl w:val="722305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multilevel"/>
    <w:tmpl w:val="7223058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multilevel"/>
    <w:tmpl w:val="722305A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multilevel"/>
    <w:tmpl w:val="722305B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multilevel"/>
    <w:tmpl w:val="722305D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4">
    <w:nsid w:val="722305D3"/>
    <w:multiLevelType w:val="hybridMultilevel"/>
    <w:tmpl w:val="722305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multilevel"/>
    <w:tmpl w:val="722305D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2">
    <w:nsid w:val="722305DB"/>
    <w:multiLevelType w:val="hybridMultilevel"/>
    <w:tmpl w:val="722305D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multilevel"/>
    <w:tmpl w:val="722305D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multilevel"/>
    <w:tmpl w:val="722305E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multilevel"/>
    <w:tmpl w:val="722305E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multilevel"/>
    <w:tmpl w:val="722305E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multilevel"/>
    <w:tmpl w:val="722305F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hybridMultilevel"/>
    <w:tmpl w:val="722305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3">
    <w:nsid w:val="722305FA"/>
    <w:multiLevelType w:val="multilevel"/>
    <w:tmpl w:val="722305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hybridMultilevel"/>
    <w:tmpl w:val="722305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multilevel"/>
    <w:tmpl w:val="722305F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9">
    <w:nsid w:val="72230600"/>
    <w:multiLevelType w:val="multilevel"/>
    <w:tmpl w:val="7223060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multilevel"/>
    <w:tmpl w:val="7223060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2">
    <w:nsid w:val="72230603"/>
    <w:multiLevelType w:val="multilevel"/>
    <w:tmpl w:val="7223060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multilevel"/>
    <w:tmpl w:val="7223065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multilevel"/>
    <w:tmpl w:val="7223065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2">
    <w:nsid w:val="7223065D"/>
    <w:multiLevelType w:val="multilevel"/>
    <w:tmpl w:val="7223065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multilevel"/>
    <w:tmpl w:val="7223066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multilevel"/>
    <w:tmpl w:val="722306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multilevel"/>
    <w:tmpl w:val="7223067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multilevel"/>
    <w:tmpl w:val="722306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multilevel"/>
    <w:tmpl w:val="722306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hybridMultilevel"/>
    <w:tmpl w:val="722306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1">
    <w:nsid w:val="7223068E"/>
    <w:multiLevelType w:val="hybridMultilevel"/>
    <w:tmpl w:val="722306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hybridMultilevel"/>
    <w:tmpl w:val="722306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multilevel"/>
    <w:tmpl w:val="7223069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multilevel"/>
    <w:tmpl w:val="7223069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2">
    <w:nsid w:val="72230699"/>
    <w:multiLevelType w:val="multilevel"/>
    <w:tmpl w:val="722306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multilevel"/>
    <w:tmpl w:val="7223069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multilevel"/>
    <w:tmpl w:val="722306A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multilevel"/>
    <w:tmpl w:val="722306D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multilevel"/>
    <w:tmpl w:val="722306E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4">
    <w:nsid w:val="722306E1"/>
    <w:multiLevelType w:val="multilevel"/>
    <w:tmpl w:val="722306E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5">
    <w:nsid w:val="722306E2"/>
    <w:multiLevelType w:val="multilevel"/>
    <w:tmpl w:val="722306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6">
    <w:nsid w:val="722306E3"/>
    <w:multiLevelType w:val="multilevel"/>
    <w:tmpl w:val="722306E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multilevel"/>
    <w:tmpl w:val="722306F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multilevel"/>
    <w:tmpl w:val="722306F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9">
    <w:nsid w:val="722306FA"/>
    <w:multiLevelType w:val="hybridMultilevel"/>
    <w:tmpl w:val="722306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pn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jpeg" /><Relationship Id="rId22" Type="http://schemas.openxmlformats.org/officeDocument/2006/relationships/numbering" Target="numbering.xml" /><Relationship Id="rId23"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837</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