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6AB4C" w14:textId="77777777" w:rsidR="00643D87" w:rsidRPr="00FB0C57" w:rsidRDefault="00643D87"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F668DFB" w14:textId="77777777" w:rsidR="00643D87" w:rsidRPr="00FB0C57" w:rsidRDefault="00643D87"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271FAF2" w14:textId="77777777" w:rsidR="00F83351" w:rsidRPr="00FB0C57" w:rsidRDefault="00F83351"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2A8B9C13" w14:textId="77777777" w:rsidR="00291E9B" w:rsidRPr="00FB0C57" w:rsidRDefault="00291E9B"/>
    <w:p w14:paraId="48EF4724" w14:textId="4E430916" w:rsidR="00D9606E" w:rsidRPr="00FB0C57" w:rsidRDefault="00D9606E"/>
    <w:p w14:paraId="07D5EA80" w14:textId="77777777" w:rsidR="00291E9B" w:rsidRPr="00FB0C57" w:rsidRDefault="00291E9B"/>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B0C57"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FB0C57" w:rsidRDefault="00C975B4" w:rsidP="00291E9B">
            <w:pPr>
              <w:tabs>
                <w:tab w:val="left" w:pos="2190"/>
              </w:tabs>
              <w:spacing w:before="120" w:line="360" w:lineRule="auto"/>
              <w:jc w:val="center"/>
              <w:rPr>
                <w:rFonts w:ascii="Times New Roman Bold" w:hAnsi="Times New Roman Bold"/>
                <w:b/>
                <w:spacing w:val="60"/>
                <w:sz w:val="26"/>
                <w:szCs w:val="26"/>
              </w:rPr>
            </w:pPr>
            <w:r w:rsidRPr="00FB0C57">
              <w:rPr>
                <w:rFonts w:ascii="Times New Roman Bold" w:hAnsi="Times New Roman Bold"/>
                <w:b/>
                <w:spacing w:val="60"/>
                <w:sz w:val="26"/>
                <w:szCs w:val="26"/>
              </w:rPr>
              <w:t>СПРАВКА</w:t>
            </w:r>
          </w:p>
          <w:p w14:paraId="59B61895" w14:textId="3C19B28B" w:rsidR="00E220AD" w:rsidRPr="00FB0C57" w:rsidRDefault="00643D87" w:rsidP="003A5961">
            <w:pPr>
              <w:spacing w:line="360" w:lineRule="auto"/>
              <w:ind w:left="340" w:right="340"/>
              <w:jc w:val="center"/>
              <w:rPr>
                <w:b/>
                <w:sz w:val="23"/>
                <w:szCs w:val="23"/>
              </w:rPr>
            </w:pPr>
            <w:r w:rsidRPr="00FB0C57">
              <w:rPr>
                <w:b/>
                <w:sz w:val="23"/>
                <w:szCs w:val="23"/>
              </w:rPr>
              <w:t xml:space="preserve">ЗА ОТРАЗЯВАНЕ НА ПОСТЪПИЛИТЕ ПРЕДЛОЖЕНИЯ ОТ ОБЩЕСТВЕНИТЕ КОНСУЛТАЦИИ НА ПРОЕКТА НА </w:t>
            </w:r>
            <w:r w:rsidR="003A5961" w:rsidRPr="00FB0C57">
              <w:rPr>
                <w:b/>
                <w:sz w:val="23"/>
                <w:szCs w:val="23"/>
              </w:rPr>
              <w:t xml:space="preserve">НАРЕДБА ЗА </w:t>
            </w:r>
            <w:r w:rsidR="00FB0C57" w:rsidRPr="00FB0C57">
              <w:rPr>
                <w:b/>
                <w:sz w:val="23"/>
                <w:szCs w:val="23"/>
              </w:rPr>
              <w:br/>
            </w:r>
            <w:r w:rsidR="003A5961" w:rsidRPr="00FB0C57">
              <w:rPr>
                <w:b/>
                <w:sz w:val="23"/>
                <w:szCs w:val="23"/>
              </w:rPr>
              <w:t xml:space="preserve">ИЗМЕНЕНИЕ И ДОПЪЛНЕНИЕ НА НАРЕДБА № 6 ОТ 2018 Г. ЗА УСЛОВИЯТА И РЕДА ЗА ПРЕДОСТАВЯНЕ НА ФИНАНСОВА </w:t>
            </w:r>
            <w:r w:rsidR="00FB0C57" w:rsidRPr="00FB0C57">
              <w:rPr>
                <w:b/>
                <w:sz w:val="23"/>
                <w:szCs w:val="23"/>
              </w:rPr>
              <w:br/>
            </w:r>
            <w:r w:rsidR="003A5961" w:rsidRPr="00FB0C57">
              <w:rPr>
                <w:b/>
                <w:sz w:val="23"/>
                <w:szCs w:val="23"/>
              </w:rPr>
              <w:t>ПОМОЩ ПО НАЦИОНАЛНА ПРОГРАМА ЗА ПОДПОМАГАНЕ НА ЛОЗАРО-ВИНАРСКИЯ СЕКТОР ЗА ПЕРИОДА 2019 – 2023 Г.</w:t>
            </w:r>
          </w:p>
        </w:tc>
      </w:tr>
    </w:tbl>
    <w:p w14:paraId="765B3825" w14:textId="77777777" w:rsidR="00291E9B" w:rsidRPr="00FB0C57"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8A718D" w:rsidRPr="008A718D" w14:paraId="093D5517" w14:textId="77777777" w:rsidTr="0021398A">
        <w:trPr>
          <w:trHeight w:val="565"/>
          <w:tblHeader/>
          <w:jc w:val="center"/>
        </w:trPr>
        <w:tc>
          <w:tcPr>
            <w:tcW w:w="622" w:type="dxa"/>
            <w:shd w:val="clear" w:color="auto" w:fill="DEEAF6"/>
            <w:vAlign w:val="center"/>
          </w:tcPr>
          <w:p w14:paraId="2485CE37" w14:textId="77777777" w:rsidR="00E220AD" w:rsidRPr="008A718D" w:rsidRDefault="00E220AD" w:rsidP="00E220AD">
            <w:pPr>
              <w:tabs>
                <w:tab w:val="left" w:pos="192"/>
              </w:tabs>
              <w:jc w:val="center"/>
              <w:rPr>
                <w:b/>
                <w:sz w:val="23"/>
                <w:szCs w:val="23"/>
              </w:rPr>
            </w:pPr>
            <w:r w:rsidRPr="008A718D">
              <w:rPr>
                <w:b/>
                <w:sz w:val="23"/>
                <w:szCs w:val="23"/>
              </w:rPr>
              <w:t>№</w:t>
            </w:r>
          </w:p>
        </w:tc>
        <w:tc>
          <w:tcPr>
            <w:tcW w:w="2410" w:type="dxa"/>
            <w:shd w:val="clear" w:color="auto" w:fill="DEEAF6"/>
            <w:vAlign w:val="center"/>
          </w:tcPr>
          <w:p w14:paraId="3C44E7AD" w14:textId="77777777" w:rsidR="00E220AD" w:rsidRPr="008A718D" w:rsidRDefault="00E220AD" w:rsidP="00E220AD">
            <w:pPr>
              <w:jc w:val="center"/>
              <w:rPr>
                <w:b/>
                <w:sz w:val="23"/>
                <w:szCs w:val="23"/>
              </w:rPr>
            </w:pPr>
            <w:r w:rsidRPr="008A718D">
              <w:rPr>
                <w:b/>
                <w:sz w:val="23"/>
                <w:szCs w:val="23"/>
              </w:rPr>
              <w:t>Организация/</w:t>
            </w:r>
            <w:r w:rsidR="00E10FC0" w:rsidRPr="008A718D">
              <w:rPr>
                <w:b/>
                <w:sz w:val="23"/>
                <w:szCs w:val="23"/>
              </w:rPr>
              <w:br/>
            </w:r>
            <w:r w:rsidRPr="008A718D">
              <w:rPr>
                <w:b/>
                <w:sz w:val="23"/>
                <w:szCs w:val="23"/>
              </w:rPr>
              <w:t>потребител</w:t>
            </w:r>
          </w:p>
          <w:p w14:paraId="3A78AD91" w14:textId="77777777" w:rsidR="005424B9" w:rsidRPr="00921642" w:rsidRDefault="00291E9B" w:rsidP="00291E9B">
            <w:pPr>
              <w:jc w:val="center"/>
              <w:rPr>
                <w:b/>
                <w:sz w:val="16"/>
                <w:szCs w:val="16"/>
              </w:rPr>
            </w:pPr>
            <w:r w:rsidRPr="00921642">
              <w:rPr>
                <w:b/>
                <w:sz w:val="16"/>
                <w:szCs w:val="16"/>
              </w:rPr>
              <w:t>(</w:t>
            </w:r>
            <w:r w:rsidR="005424B9" w:rsidRPr="00921642">
              <w:rPr>
                <w:b/>
                <w:sz w:val="16"/>
                <w:szCs w:val="16"/>
              </w:rPr>
              <w:t>вкл. начина на получаване на предложението</w:t>
            </w:r>
            <w:r w:rsidRPr="00921642">
              <w:rPr>
                <w:b/>
                <w:sz w:val="16"/>
                <w:szCs w:val="16"/>
              </w:rPr>
              <w:t>)</w:t>
            </w:r>
          </w:p>
        </w:tc>
        <w:tc>
          <w:tcPr>
            <w:tcW w:w="6467" w:type="dxa"/>
            <w:shd w:val="clear" w:color="auto" w:fill="DEEAF6"/>
            <w:vAlign w:val="center"/>
          </w:tcPr>
          <w:p w14:paraId="42A765B9" w14:textId="77777777" w:rsidR="00E220AD" w:rsidRPr="008A718D" w:rsidRDefault="00E220AD" w:rsidP="00E220AD">
            <w:pPr>
              <w:jc w:val="center"/>
              <w:rPr>
                <w:b/>
                <w:sz w:val="23"/>
                <w:szCs w:val="23"/>
              </w:rPr>
            </w:pPr>
            <w:r w:rsidRPr="008A718D">
              <w:rPr>
                <w:b/>
                <w:sz w:val="23"/>
                <w:szCs w:val="23"/>
              </w:rPr>
              <w:t>Бележки и предложения</w:t>
            </w:r>
          </w:p>
        </w:tc>
        <w:tc>
          <w:tcPr>
            <w:tcW w:w="1613" w:type="dxa"/>
            <w:shd w:val="clear" w:color="auto" w:fill="DEEAF6"/>
            <w:vAlign w:val="center"/>
          </w:tcPr>
          <w:p w14:paraId="2AF64014" w14:textId="77777777" w:rsidR="00E220AD" w:rsidRPr="008A718D" w:rsidRDefault="00E220AD" w:rsidP="00E220AD">
            <w:pPr>
              <w:jc w:val="center"/>
              <w:rPr>
                <w:b/>
                <w:sz w:val="23"/>
                <w:szCs w:val="23"/>
              </w:rPr>
            </w:pPr>
            <w:r w:rsidRPr="008A718D">
              <w:rPr>
                <w:b/>
                <w:sz w:val="23"/>
                <w:szCs w:val="23"/>
              </w:rPr>
              <w:t>Приети/</w:t>
            </w:r>
          </w:p>
          <w:p w14:paraId="4404F8E3" w14:textId="77777777" w:rsidR="00E220AD" w:rsidRPr="008A718D" w:rsidRDefault="00E220AD" w:rsidP="00E220AD">
            <w:pPr>
              <w:jc w:val="center"/>
              <w:rPr>
                <w:b/>
                <w:sz w:val="23"/>
                <w:szCs w:val="23"/>
              </w:rPr>
            </w:pPr>
            <w:r w:rsidRPr="008A718D">
              <w:rPr>
                <w:b/>
                <w:sz w:val="23"/>
                <w:szCs w:val="23"/>
              </w:rPr>
              <w:t>неприети</w:t>
            </w:r>
          </w:p>
        </w:tc>
        <w:tc>
          <w:tcPr>
            <w:tcW w:w="4538" w:type="dxa"/>
            <w:shd w:val="clear" w:color="auto" w:fill="DEEAF6"/>
            <w:vAlign w:val="center"/>
          </w:tcPr>
          <w:p w14:paraId="0DCCEA18" w14:textId="77777777" w:rsidR="00E220AD" w:rsidRPr="008A718D" w:rsidRDefault="00E220AD" w:rsidP="00E220AD">
            <w:pPr>
              <w:jc w:val="center"/>
              <w:rPr>
                <w:sz w:val="23"/>
                <w:szCs w:val="23"/>
              </w:rPr>
            </w:pPr>
            <w:r w:rsidRPr="008A718D">
              <w:rPr>
                <w:b/>
                <w:sz w:val="23"/>
                <w:szCs w:val="23"/>
              </w:rPr>
              <w:t>Мотиви</w:t>
            </w:r>
          </w:p>
        </w:tc>
      </w:tr>
      <w:tr w:rsidR="008A718D" w:rsidRPr="008A718D" w14:paraId="4FBF83AF"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single" w:sz="18" w:space="0" w:color="2E74B5"/>
              <w:left w:val="single" w:sz="36" w:space="0" w:color="2E74B5"/>
              <w:bottom w:val="nil"/>
              <w:right w:val="single" w:sz="18" w:space="0" w:color="2E74B5"/>
            </w:tcBorders>
            <w:shd w:val="clear" w:color="auto" w:fill="auto"/>
          </w:tcPr>
          <w:p w14:paraId="4C1315D3" w14:textId="77777777" w:rsidR="00FB0C57" w:rsidRPr="008A718D" w:rsidRDefault="00FB0C57" w:rsidP="00E902C9">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14:paraId="64BDA852" w14:textId="60B1B5A8" w:rsidR="00FB0C57" w:rsidRPr="008A718D" w:rsidRDefault="00FB0C57" w:rsidP="00593DE8">
            <w:pPr>
              <w:rPr>
                <w:bCs/>
                <w:sz w:val="23"/>
                <w:szCs w:val="23"/>
              </w:rPr>
            </w:pPr>
            <w:proofErr w:type="spellStart"/>
            <w:r w:rsidRPr="008A718D">
              <w:rPr>
                <w:bCs/>
                <w:sz w:val="23"/>
                <w:szCs w:val="23"/>
              </w:rPr>
              <w:t>Tzviatkov</w:t>
            </w:r>
            <w:proofErr w:type="spellEnd"/>
          </w:p>
          <w:p w14:paraId="36BA7B90" w14:textId="4974605E" w:rsidR="00FB0C57" w:rsidRPr="008A718D" w:rsidRDefault="00FB0C57" w:rsidP="00593DE8">
            <w:pPr>
              <w:rPr>
                <w:bCs/>
                <w:sz w:val="23"/>
                <w:szCs w:val="23"/>
              </w:rPr>
            </w:pPr>
            <w:r w:rsidRPr="008A718D">
              <w:rPr>
                <w:bCs/>
                <w:sz w:val="23"/>
                <w:szCs w:val="23"/>
              </w:rPr>
              <w:t xml:space="preserve">от Портала за </w:t>
            </w:r>
            <w:proofErr w:type="spellStart"/>
            <w:r w:rsidRPr="008A718D">
              <w:rPr>
                <w:bCs/>
                <w:sz w:val="23"/>
                <w:szCs w:val="23"/>
              </w:rPr>
              <w:t>общест</w:t>
            </w:r>
            <w:proofErr w:type="spellEnd"/>
            <w:r w:rsidRPr="008A718D">
              <w:rPr>
                <w:bCs/>
                <w:sz w:val="23"/>
                <w:szCs w:val="23"/>
              </w:rPr>
              <w:t xml:space="preserve">-вени консултации – получено на 06 </w:t>
            </w:r>
            <w:r w:rsidRPr="008A718D">
              <w:rPr>
                <w:bCs/>
                <w:sz w:val="23"/>
                <w:szCs w:val="23"/>
              </w:rPr>
              <w:br/>
              <w:t xml:space="preserve">ноември 2020 г.  </w:t>
            </w:r>
          </w:p>
        </w:tc>
        <w:tc>
          <w:tcPr>
            <w:tcW w:w="6467" w:type="dxa"/>
            <w:tcBorders>
              <w:top w:val="single" w:sz="18" w:space="0" w:color="2E74B5"/>
              <w:left w:val="single" w:sz="18" w:space="0" w:color="2E74B5"/>
              <w:bottom w:val="nil"/>
              <w:right w:val="single" w:sz="18" w:space="0" w:color="2E74B5"/>
            </w:tcBorders>
            <w:shd w:val="clear" w:color="auto" w:fill="auto"/>
          </w:tcPr>
          <w:p w14:paraId="31F699D7" w14:textId="77777777" w:rsidR="00FB0C57" w:rsidRPr="008A718D" w:rsidRDefault="00FB0C57" w:rsidP="00166D69">
            <w:pPr>
              <w:jc w:val="both"/>
              <w:rPr>
                <w:sz w:val="23"/>
                <w:szCs w:val="23"/>
              </w:rPr>
            </w:pPr>
            <w:r w:rsidRPr="008A718D">
              <w:rPr>
                <w:sz w:val="23"/>
                <w:szCs w:val="23"/>
              </w:rPr>
              <w:t>Предложения и забележки по проект НИД</w:t>
            </w:r>
          </w:p>
          <w:p w14:paraId="2B230ACC" w14:textId="2F9B6F5A" w:rsidR="00FB0C57" w:rsidRPr="008A718D" w:rsidRDefault="00FB0C57" w:rsidP="003A5961">
            <w:pPr>
              <w:jc w:val="both"/>
              <w:rPr>
                <w:sz w:val="23"/>
                <w:szCs w:val="23"/>
              </w:rPr>
            </w:pPr>
          </w:p>
        </w:tc>
        <w:tc>
          <w:tcPr>
            <w:tcW w:w="1613" w:type="dxa"/>
            <w:tcBorders>
              <w:top w:val="single" w:sz="18" w:space="0" w:color="2E74B5"/>
              <w:left w:val="single" w:sz="18" w:space="0" w:color="2E74B5"/>
              <w:bottom w:val="nil"/>
              <w:right w:val="single" w:sz="18" w:space="0" w:color="2E74B5"/>
            </w:tcBorders>
            <w:shd w:val="clear" w:color="auto" w:fill="auto"/>
          </w:tcPr>
          <w:p w14:paraId="7A61F285" w14:textId="22CEA7D6" w:rsidR="00FB0C57" w:rsidRPr="008A718D" w:rsidRDefault="00FB0C57" w:rsidP="00E902C9">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1AA1E449" w14:textId="405F4B0A" w:rsidR="00FB0C57" w:rsidRPr="008A718D" w:rsidRDefault="00FB0C57" w:rsidP="00762F0B">
            <w:pPr>
              <w:rPr>
                <w:sz w:val="23"/>
                <w:szCs w:val="23"/>
              </w:rPr>
            </w:pPr>
          </w:p>
        </w:tc>
      </w:tr>
      <w:tr w:rsidR="008A718D" w:rsidRPr="008A718D" w14:paraId="2A7FDA8B"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51B15B77" w14:textId="77777777" w:rsidR="00FB0C57" w:rsidRPr="008A718D" w:rsidRDefault="00FB0C57" w:rsidP="00E902C9">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1C0ECA49" w14:textId="77777777" w:rsidR="00FB0C57" w:rsidRPr="008A718D" w:rsidRDefault="00FB0C57" w:rsidP="00E902C9">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790BA6E9" w14:textId="77777777" w:rsidR="00FB0C57" w:rsidRPr="008A718D" w:rsidRDefault="00FB0C57" w:rsidP="00FB0C57">
            <w:pPr>
              <w:jc w:val="both"/>
              <w:rPr>
                <w:sz w:val="23"/>
                <w:szCs w:val="23"/>
              </w:rPr>
            </w:pPr>
            <w:r w:rsidRPr="008A718D">
              <w:rPr>
                <w:sz w:val="23"/>
                <w:szCs w:val="23"/>
              </w:rPr>
              <w:t>Чл. 96, ал. 2, т. 1, г) чрез дегустации в търговски обекти, ресторанти, производствени помещения, както и по време на организирани семинари и мероприятия по т. 2;</w:t>
            </w:r>
          </w:p>
          <w:p w14:paraId="4F0F22F8" w14:textId="77777777" w:rsidR="00FB0C57" w:rsidRPr="008A718D" w:rsidRDefault="00FB0C57" w:rsidP="00FB0C57">
            <w:pPr>
              <w:jc w:val="both"/>
              <w:rPr>
                <w:sz w:val="23"/>
                <w:szCs w:val="23"/>
              </w:rPr>
            </w:pPr>
            <w:r w:rsidRPr="008A718D">
              <w:rPr>
                <w:sz w:val="23"/>
                <w:szCs w:val="23"/>
              </w:rPr>
              <w:t>ПРЕДЛОЖЕНИЕ:</w:t>
            </w:r>
          </w:p>
          <w:p w14:paraId="7E731521" w14:textId="12BD5458" w:rsidR="00FB0C57" w:rsidRPr="008A718D" w:rsidRDefault="00FB0C57" w:rsidP="00FB0C57">
            <w:pPr>
              <w:jc w:val="both"/>
              <w:rPr>
                <w:sz w:val="23"/>
                <w:szCs w:val="23"/>
              </w:rPr>
            </w:pPr>
            <w:r w:rsidRPr="008A718D">
              <w:rPr>
                <w:sz w:val="23"/>
                <w:szCs w:val="23"/>
              </w:rPr>
              <w:t>Предлагам да се прецизира включването на „производствени помещения“ в обхвата на буквата. Не е обосновано как ще се гарантира в тези помещения нужната хигиена за провеждане на дегустация. Също така не е предоставен анализ за възможността в производствени помещения да се консумира храна и спрямо Закона за храните и свързаната с него нормативна база.</w:t>
            </w:r>
          </w:p>
        </w:tc>
        <w:tc>
          <w:tcPr>
            <w:tcW w:w="1613" w:type="dxa"/>
            <w:tcBorders>
              <w:top w:val="nil"/>
              <w:left w:val="single" w:sz="18" w:space="0" w:color="2E74B5"/>
              <w:bottom w:val="nil"/>
              <w:right w:val="single" w:sz="18" w:space="0" w:color="2E74B5"/>
            </w:tcBorders>
            <w:shd w:val="clear" w:color="auto" w:fill="auto"/>
          </w:tcPr>
          <w:p w14:paraId="085C4D06" w14:textId="0B143A7A" w:rsidR="00FB0C57" w:rsidRPr="008A718D" w:rsidRDefault="00FB0C57" w:rsidP="00FB0C57">
            <w:pPr>
              <w:rPr>
                <w:sz w:val="23"/>
                <w:szCs w:val="23"/>
              </w:rPr>
            </w:pPr>
            <w:r w:rsidRPr="008A718D">
              <w:rPr>
                <w:sz w:val="23"/>
                <w:szCs w:val="23"/>
              </w:rPr>
              <w:t>Не се приема</w:t>
            </w:r>
          </w:p>
          <w:p w14:paraId="1FFE7F30" w14:textId="0C2ABE64" w:rsidR="00FB0C57" w:rsidRPr="008A718D" w:rsidRDefault="00FB0C57" w:rsidP="00FB0C57">
            <w:pPr>
              <w:rPr>
                <w:sz w:val="23"/>
                <w:szCs w:val="23"/>
              </w:rPr>
            </w:pPr>
            <w:r w:rsidRPr="008A718D">
              <w:rPr>
                <w:sz w:val="23"/>
                <w:szCs w:val="23"/>
              </w:rPr>
              <w:br/>
            </w:r>
          </w:p>
        </w:tc>
        <w:tc>
          <w:tcPr>
            <w:tcW w:w="4538" w:type="dxa"/>
            <w:tcBorders>
              <w:top w:val="nil"/>
              <w:left w:val="single" w:sz="18" w:space="0" w:color="2E74B5"/>
              <w:bottom w:val="nil"/>
              <w:right w:val="single" w:sz="36" w:space="0" w:color="2E74B5"/>
            </w:tcBorders>
            <w:shd w:val="clear" w:color="auto" w:fill="auto"/>
          </w:tcPr>
          <w:p w14:paraId="6D9C366B" w14:textId="5494E2C1" w:rsidR="002102D8" w:rsidRPr="008A718D" w:rsidRDefault="002102D8" w:rsidP="002102D8">
            <w:pPr>
              <w:spacing w:after="120" w:line="210" w:lineRule="atLeast"/>
              <w:rPr>
                <w:sz w:val="23"/>
                <w:szCs w:val="23"/>
              </w:rPr>
            </w:pPr>
            <w:r w:rsidRPr="008A718D">
              <w:rPr>
                <w:sz w:val="23"/>
                <w:szCs w:val="23"/>
              </w:rPr>
              <w:t>Изпълнението на проект по мярката не изключва спазването и на останалото национално законодателство. </w:t>
            </w:r>
          </w:p>
          <w:p w14:paraId="01621302" w14:textId="77777777" w:rsidR="00FB0C57" w:rsidRPr="008A718D" w:rsidRDefault="00FB0C57" w:rsidP="00E902C9">
            <w:pPr>
              <w:jc w:val="both"/>
              <w:rPr>
                <w:sz w:val="23"/>
                <w:szCs w:val="23"/>
              </w:rPr>
            </w:pPr>
          </w:p>
        </w:tc>
      </w:tr>
      <w:tr w:rsidR="008A718D" w:rsidRPr="008A718D" w14:paraId="15208767"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283920C8" w14:textId="77777777" w:rsidR="001967A9" w:rsidRPr="008A718D" w:rsidRDefault="001967A9"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2AB6755" w14:textId="77777777" w:rsidR="001967A9" w:rsidRPr="008A718D" w:rsidRDefault="001967A9"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0981B36" w14:textId="77777777" w:rsidR="003A5961" w:rsidRPr="008A718D" w:rsidRDefault="003A5961" w:rsidP="003A5961">
            <w:pPr>
              <w:jc w:val="both"/>
              <w:rPr>
                <w:sz w:val="23"/>
                <w:szCs w:val="23"/>
              </w:rPr>
            </w:pPr>
            <w:r w:rsidRPr="008A718D">
              <w:rPr>
                <w:sz w:val="23"/>
                <w:szCs w:val="23"/>
              </w:rPr>
              <w:t>Чл. 96, ал. 2, т. 1, в) чрез интернет – уебсайтове, банери, съобщения в социални мрежи;</w:t>
            </w:r>
          </w:p>
          <w:p w14:paraId="024A034E" w14:textId="77777777" w:rsidR="003A5961" w:rsidRPr="008A718D" w:rsidRDefault="003A5961" w:rsidP="003A5961">
            <w:pPr>
              <w:jc w:val="both"/>
              <w:rPr>
                <w:sz w:val="23"/>
                <w:szCs w:val="23"/>
              </w:rPr>
            </w:pPr>
            <w:r w:rsidRPr="008A718D">
              <w:rPr>
                <w:sz w:val="23"/>
                <w:szCs w:val="23"/>
              </w:rPr>
              <w:t>ПРЕДЛОЖЕНИЕ:</w:t>
            </w:r>
          </w:p>
          <w:p w14:paraId="42BE7815" w14:textId="77777777" w:rsidR="001967A9" w:rsidRPr="008A718D" w:rsidRDefault="003A5961" w:rsidP="00E12620">
            <w:pPr>
              <w:jc w:val="both"/>
              <w:rPr>
                <w:sz w:val="23"/>
                <w:szCs w:val="23"/>
              </w:rPr>
            </w:pPr>
            <w:r w:rsidRPr="008A718D">
              <w:rPr>
                <w:sz w:val="23"/>
                <w:szCs w:val="23"/>
              </w:rPr>
              <w:t>1) Предлагам да се прецизира включването на „съобщения в социални мрежи“ в обхвата на буквата. Не е не уточнен обхвата на „съобщение“ и спрямо каква нормативна база следва да се проверява неговата допустимост;</w:t>
            </w:r>
          </w:p>
          <w:p w14:paraId="74A7F713" w14:textId="1035309A" w:rsidR="003103F1" w:rsidRPr="008A718D" w:rsidRDefault="003103F1" w:rsidP="00E12620">
            <w:pPr>
              <w:jc w:val="both"/>
              <w:rPr>
                <w:sz w:val="23"/>
                <w:szCs w:val="23"/>
              </w:rPr>
            </w:pPr>
            <w:r w:rsidRPr="008A718D">
              <w:rPr>
                <w:sz w:val="23"/>
                <w:szCs w:val="23"/>
              </w:rPr>
              <w:lastRenderedPageBreak/>
              <w:t>2) За допустими разходи по чл. 97, ал. 1, точка 2 са посочени само разходи, които могат да имат отношение само към „уебсайтове“. Предлагам в буквата или в точката по чл. 97, ал. 1 да се прецизира кое ще остане за да няма конфликт между дейност и допустими разходи.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ABE93E1" w14:textId="3359BBE8" w:rsidR="001967A9" w:rsidRPr="008A718D" w:rsidRDefault="007C3A0F" w:rsidP="00E902C9">
            <w:pPr>
              <w:rPr>
                <w:sz w:val="23"/>
                <w:szCs w:val="23"/>
              </w:rPr>
            </w:pPr>
            <w:r>
              <w:rPr>
                <w:sz w:val="23"/>
                <w:szCs w:val="23"/>
              </w:rPr>
              <w:lastRenderedPageBreak/>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C3C01DF" w14:textId="77777777" w:rsidR="001967A9" w:rsidRPr="008A718D" w:rsidRDefault="001967A9" w:rsidP="00621CE9">
            <w:pPr>
              <w:spacing w:after="120" w:line="210" w:lineRule="atLeast"/>
              <w:rPr>
                <w:sz w:val="23"/>
                <w:szCs w:val="23"/>
              </w:rPr>
            </w:pPr>
          </w:p>
        </w:tc>
      </w:tr>
      <w:tr w:rsidR="008A718D" w:rsidRPr="008A718D" w14:paraId="48E503DB"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59B4D4DE" w14:textId="77777777" w:rsidR="00D921AE" w:rsidRPr="008A718D" w:rsidRDefault="00D921AE"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95728DC" w14:textId="77777777" w:rsidR="00D921AE" w:rsidRPr="008A718D" w:rsidRDefault="00D921AE"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CBB62D9" w14:textId="77777777" w:rsidR="003A5961" w:rsidRPr="008A718D" w:rsidRDefault="003A5961" w:rsidP="003A5961">
            <w:pPr>
              <w:jc w:val="both"/>
              <w:rPr>
                <w:sz w:val="23"/>
                <w:szCs w:val="23"/>
              </w:rPr>
            </w:pPr>
            <w:r w:rsidRPr="008A718D">
              <w:rPr>
                <w:sz w:val="23"/>
                <w:szCs w:val="23"/>
              </w:rPr>
              <w:t xml:space="preserve">Чл. 96, ал. 2, т. 1, д) на семинари с участието на професионалисти от </w:t>
            </w:r>
            <w:proofErr w:type="spellStart"/>
            <w:r w:rsidRPr="008A718D">
              <w:rPr>
                <w:sz w:val="23"/>
                <w:szCs w:val="23"/>
              </w:rPr>
              <w:t>лозаро</w:t>
            </w:r>
            <w:proofErr w:type="spellEnd"/>
            <w:r w:rsidRPr="008A718D">
              <w:rPr>
                <w:sz w:val="23"/>
                <w:szCs w:val="23"/>
              </w:rPr>
              <w:t xml:space="preserve">-винарския сектор – производители, </w:t>
            </w:r>
            <w:proofErr w:type="spellStart"/>
            <w:r w:rsidRPr="008A718D">
              <w:rPr>
                <w:sz w:val="23"/>
                <w:szCs w:val="23"/>
              </w:rPr>
              <w:t>сомелиери</w:t>
            </w:r>
            <w:proofErr w:type="spellEnd"/>
            <w:r w:rsidRPr="008A718D">
              <w:rPr>
                <w:sz w:val="23"/>
                <w:szCs w:val="23"/>
              </w:rPr>
              <w:t xml:space="preserve"> и </w:t>
            </w:r>
            <w:proofErr w:type="spellStart"/>
            <w:r w:rsidRPr="008A718D">
              <w:rPr>
                <w:sz w:val="23"/>
                <w:szCs w:val="23"/>
              </w:rPr>
              <w:t>енолози</w:t>
            </w:r>
            <w:proofErr w:type="spellEnd"/>
            <w:r w:rsidRPr="008A718D">
              <w:rPr>
                <w:sz w:val="23"/>
                <w:szCs w:val="23"/>
              </w:rPr>
              <w:t xml:space="preserve"> и/или потребители;</w:t>
            </w:r>
          </w:p>
          <w:p w14:paraId="6ABC53E8" w14:textId="77777777" w:rsidR="003A5961" w:rsidRPr="008A718D" w:rsidRDefault="003A5961" w:rsidP="003A5961">
            <w:pPr>
              <w:jc w:val="both"/>
              <w:rPr>
                <w:sz w:val="23"/>
                <w:szCs w:val="23"/>
              </w:rPr>
            </w:pPr>
            <w:r w:rsidRPr="008A718D">
              <w:rPr>
                <w:sz w:val="23"/>
                <w:szCs w:val="23"/>
              </w:rPr>
              <w:t>ПРЕДЛОЖЕНИЕ:</w:t>
            </w:r>
          </w:p>
          <w:p w14:paraId="6FC73C16" w14:textId="5121E7F4" w:rsidR="00D921AE" w:rsidRPr="008A718D" w:rsidRDefault="003A5961" w:rsidP="00C51234">
            <w:pPr>
              <w:jc w:val="both"/>
              <w:rPr>
                <w:sz w:val="23"/>
                <w:szCs w:val="23"/>
              </w:rPr>
            </w:pPr>
            <w:r w:rsidRPr="008A718D">
              <w:rPr>
                <w:sz w:val="23"/>
                <w:szCs w:val="23"/>
              </w:rPr>
              <w:t>Предлагам да се прецизира включването на думата „професионалисти“ по отношение на потребителите и в какво качество се явяват такива.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95912B9" w14:textId="6ECC7BB7" w:rsidR="00D921AE" w:rsidRPr="008A718D" w:rsidRDefault="00010171" w:rsidP="00E902C9">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930316C" w14:textId="1E650DBD" w:rsidR="00D921AE" w:rsidRPr="008A718D" w:rsidRDefault="00D921AE" w:rsidP="00E902C9">
            <w:pPr>
              <w:jc w:val="both"/>
              <w:rPr>
                <w:sz w:val="23"/>
                <w:szCs w:val="23"/>
              </w:rPr>
            </w:pPr>
          </w:p>
        </w:tc>
      </w:tr>
      <w:tr w:rsidR="008A718D" w:rsidRPr="008A718D" w14:paraId="2A17B788"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442F96D7" w14:textId="77777777" w:rsidR="00D921AE" w:rsidRPr="008A718D" w:rsidRDefault="00D921AE"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0BA89F3" w14:textId="77777777" w:rsidR="00D921AE" w:rsidRPr="008A718D" w:rsidRDefault="00D921AE"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48B125F" w14:textId="77777777" w:rsidR="003A5961" w:rsidRPr="008A718D" w:rsidRDefault="003A5961" w:rsidP="003A5961">
            <w:pPr>
              <w:jc w:val="both"/>
              <w:rPr>
                <w:sz w:val="23"/>
                <w:szCs w:val="23"/>
              </w:rPr>
            </w:pPr>
            <w:r w:rsidRPr="008A718D">
              <w:rPr>
                <w:sz w:val="23"/>
                <w:szCs w:val="23"/>
              </w:rPr>
              <w:t>Чл. 96, ал. (4) Дейностите по ал. 2, т. 1 се придружават от научно доказани данни и са в съответствие с подхода на органите, отговорни за общественото здраве в държава членка, където ще се изпълнява проектът.</w:t>
            </w:r>
          </w:p>
          <w:p w14:paraId="779EAC9C" w14:textId="77777777" w:rsidR="003A5961" w:rsidRPr="008A718D" w:rsidRDefault="003A5961" w:rsidP="003A5961">
            <w:pPr>
              <w:jc w:val="both"/>
              <w:rPr>
                <w:sz w:val="23"/>
                <w:szCs w:val="23"/>
              </w:rPr>
            </w:pPr>
            <w:r w:rsidRPr="008A718D">
              <w:rPr>
                <w:sz w:val="23"/>
                <w:szCs w:val="23"/>
              </w:rPr>
              <w:t>ПРЕДЛОЖЕНИЕ:</w:t>
            </w:r>
          </w:p>
          <w:p w14:paraId="3F4B12EF" w14:textId="41F1523A" w:rsidR="00D921AE" w:rsidRPr="008A718D" w:rsidRDefault="003A5961" w:rsidP="003A5961">
            <w:pPr>
              <w:jc w:val="both"/>
              <w:rPr>
                <w:sz w:val="23"/>
                <w:szCs w:val="23"/>
              </w:rPr>
            </w:pPr>
            <w:r w:rsidRPr="008A718D">
              <w:rPr>
                <w:sz w:val="23"/>
                <w:szCs w:val="23"/>
              </w:rPr>
              <w:t>Предлагам да се включи текст, с който да се опише научното доказване на данните- вид, източник и др.</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E2224C7" w14:textId="41AF78E2" w:rsidR="00D921AE" w:rsidRPr="008A718D" w:rsidRDefault="003103F1" w:rsidP="00E902C9">
            <w:pPr>
              <w:rPr>
                <w:sz w:val="23"/>
                <w:szCs w:val="23"/>
              </w:rPr>
            </w:pPr>
            <w:r w:rsidRPr="008A718D">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EE9CAD9" w14:textId="77777777" w:rsidR="00D921AE" w:rsidRPr="008A718D" w:rsidRDefault="00D921AE" w:rsidP="00E902C9">
            <w:pPr>
              <w:jc w:val="both"/>
              <w:rPr>
                <w:sz w:val="23"/>
                <w:szCs w:val="23"/>
              </w:rPr>
            </w:pPr>
          </w:p>
        </w:tc>
      </w:tr>
      <w:tr w:rsidR="008A718D" w:rsidRPr="008A718D" w14:paraId="2FB560F0"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1793B55D" w14:textId="77777777" w:rsidR="00D921AE" w:rsidRPr="008A718D" w:rsidRDefault="00D921AE"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8A18169" w14:textId="77777777" w:rsidR="00D921AE" w:rsidRPr="008A718D" w:rsidRDefault="00D921AE"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7FE370C" w14:textId="77777777" w:rsidR="003A5961" w:rsidRPr="008A718D" w:rsidRDefault="003A5961" w:rsidP="003A5961">
            <w:pPr>
              <w:jc w:val="both"/>
              <w:rPr>
                <w:sz w:val="23"/>
                <w:szCs w:val="23"/>
              </w:rPr>
            </w:pPr>
            <w:r w:rsidRPr="008A718D">
              <w:rPr>
                <w:sz w:val="23"/>
                <w:szCs w:val="23"/>
              </w:rPr>
              <w:t xml:space="preserve">Чл. 96, ал. (5) Дейностите по ал. 2, т. 2 се изпълняват на публични мероприятия с национално или европейско значение. Мероприятия от национално значение са такива, на които участват представителите на </w:t>
            </w:r>
            <w:proofErr w:type="spellStart"/>
            <w:r w:rsidRPr="008A718D">
              <w:rPr>
                <w:sz w:val="23"/>
                <w:szCs w:val="23"/>
              </w:rPr>
              <w:t>лозаро</w:t>
            </w:r>
            <w:proofErr w:type="spellEnd"/>
            <w:r w:rsidRPr="008A718D">
              <w:rPr>
                <w:sz w:val="23"/>
                <w:szCs w:val="23"/>
              </w:rPr>
              <w:t>-винарския сектор от най-малко три винарски региони в страната, а мероприятия с европейско значение - на които участват представители от най-малко две държави членки.</w:t>
            </w:r>
          </w:p>
          <w:p w14:paraId="3930BF5B" w14:textId="77777777" w:rsidR="003A5961" w:rsidRPr="008A718D" w:rsidRDefault="003A5961" w:rsidP="003A5961">
            <w:pPr>
              <w:jc w:val="both"/>
              <w:rPr>
                <w:sz w:val="23"/>
                <w:szCs w:val="23"/>
              </w:rPr>
            </w:pPr>
            <w:r w:rsidRPr="008A718D">
              <w:rPr>
                <w:sz w:val="23"/>
                <w:szCs w:val="23"/>
              </w:rPr>
              <w:t>ПРЕДЛОЖЕНИЕ:</w:t>
            </w:r>
          </w:p>
          <w:p w14:paraId="23557624" w14:textId="07BD1609" w:rsidR="00D921AE" w:rsidRPr="008A718D" w:rsidRDefault="003A5961" w:rsidP="00C51234">
            <w:pPr>
              <w:jc w:val="both"/>
              <w:rPr>
                <w:sz w:val="23"/>
                <w:szCs w:val="23"/>
              </w:rPr>
            </w:pPr>
            <w:r w:rsidRPr="008A718D">
              <w:rPr>
                <w:sz w:val="23"/>
                <w:szCs w:val="23"/>
              </w:rPr>
              <w:t>1) Предлагам да се уточни кои букви от точка 2 се имат в предвид, защото не става ясно как ще се приложи буква „б“ спрямо условията на тази алинея;</w:t>
            </w:r>
          </w:p>
          <w:p w14:paraId="06EE5DB5" w14:textId="07A77E43" w:rsidR="003103F1" w:rsidRPr="008A718D" w:rsidRDefault="003103F1" w:rsidP="003103F1">
            <w:pPr>
              <w:jc w:val="both"/>
              <w:rPr>
                <w:sz w:val="23"/>
                <w:szCs w:val="23"/>
              </w:rPr>
            </w:pPr>
            <w:r w:rsidRPr="008A718D">
              <w:rPr>
                <w:sz w:val="23"/>
                <w:szCs w:val="23"/>
              </w:rPr>
              <w:t>2) Предлагам да се поясни какво се разбира под винарски региони, защото в ЗВСН се ползва понятието „винарски район“.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18DA3F4" w14:textId="4FB1A252" w:rsidR="00D921AE" w:rsidRPr="008A718D" w:rsidRDefault="003103F1" w:rsidP="00E902C9">
            <w:pPr>
              <w:rPr>
                <w:sz w:val="23"/>
                <w:szCs w:val="23"/>
              </w:rPr>
            </w:pPr>
            <w:r w:rsidRPr="008A718D">
              <w:rPr>
                <w:sz w:val="23"/>
                <w:szCs w:val="23"/>
              </w:rPr>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1D767C9" w14:textId="0969347B" w:rsidR="00D921AE" w:rsidRPr="008A718D" w:rsidRDefault="003103F1" w:rsidP="00E902C9">
            <w:pPr>
              <w:jc w:val="both"/>
              <w:rPr>
                <w:sz w:val="23"/>
                <w:szCs w:val="23"/>
              </w:rPr>
            </w:pPr>
            <w:r w:rsidRPr="008A718D">
              <w:rPr>
                <w:sz w:val="23"/>
                <w:szCs w:val="23"/>
              </w:rPr>
              <w:t>По предложение 1) - нормата се отнася до чл. 96, ал. 2 т. 2, а буква б) е част от т. 1</w:t>
            </w:r>
          </w:p>
        </w:tc>
      </w:tr>
      <w:tr w:rsidR="008A718D" w:rsidRPr="008A718D" w14:paraId="32668EA9"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1686774A" w14:textId="77777777" w:rsidR="00C51234" w:rsidRPr="008A718D" w:rsidRDefault="00C51234"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F9B0D73" w14:textId="77777777" w:rsidR="00C51234" w:rsidRPr="008A718D" w:rsidRDefault="00C51234"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C7C75E4" w14:textId="4EBB641A" w:rsidR="000F75A5" w:rsidRPr="008A718D" w:rsidRDefault="000F75A5" w:rsidP="000F75A5">
            <w:pPr>
              <w:jc w:val="both"/>
              <w:rPr>
                <w:sz w:val="23"/>
                <w:szCs w:val="23"/>
              </w:rPr>
            </w:pPr>
            <w:r w:rsidRPr="008A718D">
              <w:rPr>
                <w:sz w:val="23"/>
                <w:szCs w:val="23"/>
              </w:rPr>
              <w:t xml:space="preserve">Чл. 97, ал. 1, точка 2. разходи за дейностите по чл. 96, ал. 2, т. 1, буква „в“ – за създаване и актуализиране на съдържанието на уебсайт, графично оформление, </w:t>
            </w:r>
            <w:r w:rsidR="00E12620" w:rsidRPr="008A718D">
              <w:rPr>
                <w:sz w:val="23"/>
                <w:szCs w:val="23"/>
              </w:rPr>
              <w:t>закупуване на домейн и хостинг;</w:t>
            </w:r>
          </w:p>
          <w:p w14:paraId="34279D8C" w14:textId="05FC2B44" w:rsidR="000F75A5" w:rsidRPr="008A718D" w:rsidRDefault="000F75A5" w:rsidP="000F75A5">
            <w:pPr>
              <w:jc w:val="both"/>
              <w:rPr>
                <w:sz w:val="23"/>
                <w:szCs w:val="23"/>
              </w:rPr>
            </w:pPr>
            <w:r w:rsidRPr="008A718D">
              <w:rPr>
                <w:sz w:val="23"/>
                <w:szCs w:val="23"/>
              </w:rPr>
              <w:t>ПРЕДЛОЖЕНИЕ:</w:t>
            </w:r>
          </w:p>
          <w:p w14:paraId="246D653A" w14:textId="77777777" w:rsidR="00C51234" w:rsidRPr="008A718D" w:rsidRDefault="000F75A5" w:rsidP="00E12620">
            <w:pPr>
              <w:jc w:val="both"/>
              <w:rPr>
                <w:sz w:val="23"/>
                <w:szCs w:val="23"/>
              </w:rPr>
            </w:pPr>
            <w:r w:rsidRPr="008A718D">
              <w:rPr>
                <w:sz w:val="23"/>
                <w:szCs w:val="23"/>
              </w:rPr>
              <w:t>1) Предлагам да се прецизира допустим срока за закупуване на домейн, защото закупуването е винаги за период и няма абсолютно закупуване- например за три години;</w:t>
            </w:r>
          </w:p>
          <w:p w14:paraId="3A5FDE21" w14:textId="3277FA6A" w:rsidR="003103F1" w:rsidRPr="008A718D" w:rsidRDefault="003103F1" w:rsidP="00E12620">
            <w:pPr>
              <w:jc w:val="both"/>
              <w:rPr>
                <w:sz w:val="23"/>
                <w:szCs w:val="23"/>
              </w:rPr>
            </w:pPr>
            <w:r w:rsidRPr="008A718D">
              <w:rPr>
                <w:sz w:val="23"/>
                <w:szCs w:val="23"/>
              </w:rPr>
              <w:t>2) Предлагам да се прецизира допустим срока за закупуване на хостинг, защото закупуването е винаги за период и няма абсолютно закупуване- например за 36 месеца.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AD95A4E" w14:textId="4FE9C22E" w:rsidR="00C51234" w:rsidRPr="008A718D" w:rsidRDefault="003103F1" w:rsidP="00E902C9">
            <w:pPr>
              <w:rPr>
                <w:sz w:val="23"/>
                <w:szCs w:val="23"/>
              </w:rPr>
            </w:pPr>
            <w:r w:rsidRPr="008A718D">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F6A0C4C" w14:textId="77777777" w:rsidR="00C51234" w:rsidRPr="008A718D" w:rsidRDefault="00C51234" w:rsidP="00E902C9">
            <w:pPr>
              <w:jc w:val="both"/>
              <w:rPr>
                <w:sz w:val="23"/>
                <w:szCs w:val="23"/>
              </w:rPr>
            </w:pPr>
          </w:p>
        </w:tc>
      </w:tr>
      <w:tr w:rsidR="008A718D" w:rsidRPr="008A718D" w14:paraId="63750C7A"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2F59FAF5" w14:textId="77777777" w:rsidR="00C51234" w:rsidRPr="008A718D" w:rsidRDefault="00C51234"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9FD45EC" w14:textId="77777777" w:rsidR="00C51234" w:rsidRPr="008A718D" w:rsidRDefault="00C51234"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4EE651A" w14:textId="43AA984A" w:rsidR="000F75A5" w:rsidRPr="008A718D" w:rsidRDefault="000F75A5" w:rsidP="000F75A5">
            <w:pPr>
              <w:jc w:val="both"/>
              <w:rPr>
                <w:sz w:val="23"/>
                <w:szCs w:val="23"/>
              </w:rPr>
            </w:pPr>
            <w:r w:rsidRPr="008A718D">
              <w:rPr>
                <w:sz w:val="23"/>
                <w:szCs w:val="23"/>
              </w:rPr>
              <w:t xml:space="preserve">Чл. 97, ал. 1, точка 5. разходи за дейностите по чл. 96, ал. 2, т. 2 - такса за участие, наем на пространство, конструкция на щанд/наем на щанд,  разходи за до 2 лица, обслужващи щанда, разходи за закупуване и </w:t>
            </w:r>
            <w:proofErr w:type="spellStart"/>
            <w:r w:rsidRPr="008A718D">
              <w:rPr>
                <w:sz w:val="23"/>
                <w:szCs w:val="23"/>
              </w:rPr>
              <w:t>брандиране</w:t>
            </w:r>
            <w:proofErr w:type="spellEnd"/>
            <w:r w:rsidRPr="008A718D">
              <w:rPr>
                <w:sz w:val="23"/>
                <w:szCs w:val="23"/>
              </w:rPr>
              <w:t xml:space="preserve"> на тениски и шапки за наетия персонал, наемане на техника (хладилници и монитори), такса за обслужване (вода, елек</w:t>
            </w:r>
            <w:r w:rsidR="00E12620" w:rsidRPr="008A718D">
              <w:rPr>
                <w:sz w:val="23"/>
                <w:szCs w:val="23"/>
              </w:rPr>
              <w:t>тричество, почистване, охрана);</w:t>
            </w:r>
          </w:p>
          <w:p w14:paraId="0A2830F5" w14:textId="02A1305E" w:rsidR="000F75A5" w:rsidRPr="008A718D" w:rsidRDefault="000F75A5" w:rsidP="000F75A5">
            <w:pPr>
              <w:jc w:val="both"/>
              <w:rPr>
                <w:sz w:val="23"/>
                <w:szCs w:val="23"/>
              </w:rPr>
            </w:pPr>
            <w:r w:rsidRPr="008A718D">
              <w:rPr>
                <w:sz w:val="23"/>
                <w:szCs w:val="23"/>
              </w:rPr>
              <w:t>ПРЕДЛОЖЕНИЕ:</w:t>
            </w:r>
          </w:p>
          <w:p w14:paraId="76309A15" w14:textId="77777777" w:rsidR="00C51234" w:rsidRPr="008A718D" w:rsidRDefault="000F75A5" w:rsidP="00E12620">
            <w:pPr>
              <w:jc w:val="both"/>
              <w:rPr>
                <w:sz w:val="23"/>
                <w:szCs w:val="23"/>
              </w:rPr>
            </w:pPr>
            <w:r w:rsidRPr="008A718D">
              <w:rPr>
                <w:sz w:val="23"/>
                <w:szCs w:val="23"/>
              </w:rPr>
              <w:t>1) Предлагам да се опишат какви разходи се има в предвид под разходите „разходи за до 2 лица“;</w:t>
            </w:r>
          </w:p>
          <w:p w14:paraId="74703C0F" w14:textId="2AB0E6E0" w:rsidR="003103F1" w:rsidRPr="008A718D" w:rsidRDefault="003103F1" w:rsidP="00E12620">
            <w:pPr>
              <w:jc w:val="both"/>
              <w:rPr>
                <w:sz w:val="23"/>
                <w:szCs w:val="23"/>
              </w:rPr>
            </w:pPr>
            <w:r w:rsidRPr="008A718D">
              <w:rPr>
                <w:sz w:val="23"/>
                <w:szCs w:val="23"/>
              </w:rPr>
              <w:t>2) Предлагам да се уточни обхвата на услугата за „наетия персонал“- за какво се наема, защото може да се получи дублиране с „разходи за до 2 лица“.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0BCF6AD" w14:textId="0805DAD7" w:rsidR="00C51234" w:rsidRPr="008A718D" w:rsidRDefault="00581873" w:rsidP="00E902C9">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C4FFBA0" w14:textId="77777777" w:rsidR="00C51234" w:rsidRPr="008A718D" w:rsidRDefault="00C51234" w:rsidP="00E902C9">
            <w:pPr>
              <w:jc w:val="both"/>
              <w:rPr>
                <w:sz w:val="23"/>
                <w:szCs w:val="23"/>
              </w:rPr>
            </w:pPr>
          </w:p>
        </w:tc>
      </w:tr>
      <w:tr w:rsidR="008A718D" w:rsidRPr="008A718D" w14:paraId="02939508"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173C9D71"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B70A550"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814218A" w14:textId="62AFA8CB" w:rsidR="003103F1" w:rsidRPr="008A718D" w:rsidRDefault="003103F1" w:rsidP="003103F1">
            <w:pPr>
              <w:jc w:val="both"/>
              <w:rPr>
                <w:sz w:val="23"/>
                <w:szCs w:val="23"/>
              </w:rPr>
            </w:pPr>
            <w:r w:rsidRPr="008A718D">
              <w:rPr>
                <w:sz w:val="23"/>
                <w:szCs w:val="23"/>
              </w:rPr>
              <w:t>Чл. 97, ал. 1, точка 6. разходи за персонал, направени във връзка с подготовката, изпълнението или проследяването на конкретната подпомагана дейност по чл. 96, ал. 2, включително оценката – обхващат разходите за персонал, нает по договор от бенефициента конкретно във връзка с подпомаганата дейност, както и разходите, съответстващи на дела от работното време, прекаран от постоянния персонал на бенефициента в конкретната/</w:t>
            </w:r>
            <w:proofErr w:type="spellStart"/>
            <w:r w:rsidRPr="008A718D">
              <w:rPr>
                <w:sz w:val="23"/>
                <w:szCs w:val="23"/>
              </w:rPr>
              <w:t>ите</w:t>
            </w:r>
            <w:proofErr w:type="spellEnd"/>
            <w:r w:rsidRPr="008A718D">
              <w:rPr>
                <w:sz w:val="23"/>
                <w:szCs w:val="23"/>
              </w:rPr>
              <w:t xml:space="preserve"> дейност/и;</w:t>
            </w:r>
          </w:p>
          <w:p w14:paraId="613C5128" w14:textId="07EB52E9" w:rsidR="003103F1" w:rsidRPr="008A718D" w:rsidRDefault="003103F1" w:rsidP="003103F1">
            <w:pPr>
              <w:jc w:val="both"/>
              <w:rPr>
                <w:sz w:val="23"/>
                <w:szCs w:val="23"/>
              </w:rPr>
            </w:pPr>
            <w:r w:rsidRPr="008A718D">
              <w:rPr>
                <w:sz w:val="23"/>
                <w:szCs w:val="23"/>
              </w:rPr>
              <w:t>ПРЕДЛОЖЕНИЕ:</w:t>
            </w:r>
          </w:p>
          <w:p w14:paraId="7B829672" w14:textId="6202563A" w:rsidR="003103F1" w:rsidRPr="008A718D" w:rsidRDefault="003103F1" w:rsidP="003103F1">
            <w:pPr>
              <w:jc w:val="both"/>
              <w:rPr>
                <w:sz w:val="23"/>
                <w:szCs w:val="23"/>
              </w:rPr>
            </w:pPr>
            <w:r w:rsidRPr="008A718D">
              <w:rPr>
                <w:sz w:val="23"/>
                <w:szCs w:val="23"/>
              </w:rPr>
              <w:lastRenderedPageBreak/>
              <w:t>Предлагам да се поясни кой персонал е постоянен на бенефициента и кой не е постоянен, като се посочат нормите на КТ.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BD28FF2" w14:textId="06360837" w:rsidR="003103F1" w:rsidRPr="008A718D" w:rsidRDefault="003103F1" w:rsidP="003103F1">
            <w:pPr>
              <w:rPr>
                <w:sz w:val="23"/>
                <w:szCs w:val="23"/>
              </w:rPr>
            </w:pPr>
            <w:r w:rsidRPr="008A718D">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7E90C8F" w14:textId="692F4F1D" w:rsidR="003103F1" w:rsidRPr="008A718D" w:rsidRDefault="00EB111F" w:rsidP="003103F1">
            <w:pPr>
              <w:jc w:val="both"/>
              <w:rPr>
                <w:sz w:val="23"/>
                <w:szCs w:val="23"/>
              </w:rPr>
            </w:pPr>
            <w:r w:rsidRPr="00EB111F">
              <w:rPr>
                <w:sz w:val="23"/>
                <w:szCs w:val="23"/>
              </w:rPr>
              <w:t>Нормата достатъчно ясно разграничава постоянния персонал на бенефициента от такъв, който може да бъде нает за целите на изпълнението на проекта съгласно Чл. 97, ал. 1, точка 6</w:t>
            </w:r>
            <w:r>
              <w:rPr>
                <w:sz w:val="23"/>
                <w:szCs w:val="23"/>
              </w:rPr>
              <w:t>.</w:t>
            </w:r>
          </w:p>
        </w:tc>
      </w:tr>
      <w:tr w:rsidR="008A718D" w:rsidRPr="008A718D" w14:paraId="7FDAA0B4"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6E08B91D"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FB28545"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820EB49" w14:textId="2C4D93E3" w:rsidR="003103F1" w:rsidRPr="008A718D" w:rsidRDefault="003103F1" w:rsidP="003103F1">
            <w:pPr>
              <w:jc w:val="both"/>
              <w:rPr>
                <w:sz w:val="23"/>
                <w:szCs w:val="23"/>
              </w:rPr>
            </w:pPr>
            <w:r w:rsidRPr="008A718D">
              <w:rPr>
                <w:sz w:val="23"/>
                <w:szCs w:val="23"/>
              </w:rPr>
              <w:t>Чл. 97, ал. 1, точка 7. административни разходи, които не надвишават 4 на сто от общата сума на одобрените и извършени дейности без разходите по т. 6;</w:t>
            </w:r>
          </w:p>
          <w:p w14:paraId="72067E3A" w14:textId="372F2DED" w:rsidR="003103F1" w:rsidRPr="008A718D" w:rsidRDefault="003103F1" w:rsidP="003103F1">
            <w:pPr>
              <w:jc w:val="both"/>
              <w:rPr>
                <w:sz w:val="23"/>
                <w:szCs w:val="23"/>
              </w:rPr>
            </w:pPr>
            <w:r w:rsidRPr="008A718D">
              <w:rPr>
                <w:sz w:val="23"/>
                <w:szCs w:val="23"/>
              </w:rPr>
              <w:t>ПРЕДЛОЖЕНИЕ:</w:t>
            </w:r>
          </w:p>
          <w:p w14:paraId="5EAF8C18" w14:textId="7E257B17" w:rsidR="003103F1" w:rsidRPr="008A718D" w:rsidRDefault="003103F1" w:rsidP="003103F1">
            <w:pPr>
              <w:jc w:val="both"/>
              <w:rPr>
                <w:sz w:val="23"/>
                <w:szCs w:val="23"/>
              </w:rPr>
            </w:pPr>
            <w:r w:rsidRPr="008A718D">
              <w:rPr>
                <w:sz w:val="23"/>
                <w:szCs w:val="23"/>
              </w:rPr>
              <w:t>Предлагам да се прецизира обхвата на разходите върху които се прилага допустимия процент за тези разходите, защото в одобрените разходи се включват и самите административни разходи до 4%.</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F9E615E" w14:textId="68B219A8" w:rsidR="003103F1" w:rsidRPr="008A718D" w:rsidRDefault="003103F1" w:rsidP="003103F1">
            <w:pPr>
              <w:rPr>
                <w:sz w:val="23"/>
                <w:szCs w:val="23"/>
              </w:rPr>
            </w:pPr>
            <w:r w:rsidRPr="008A718D">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A0A1529" w14:textId="4243B422" w:rsidR="003103F1" w:rsidRPr="008A718D" w:rsidRDefault="003103F1" w:rsidP="003103F1">
            <w:pPr>
              <w:jc w:val="both"/>
              <w:rPr>
                <w:sz w:val="23"/>
                <w:szCs w:val="23"/>
              </w:rPr>
            </w:pPr>
            <w:r w:rsidRPr="008A718D">
              <w:rPr>
                <w:sz w:val="23"/>
                <w:szCs w:val="23"/>
              </w:rPr>
              <w:t>Текстът е ясен - административните разходи са 4% от общата сума на одобрените извършени дейности, с изключение на разходите за персонал. </w:t>
            </w:r>
          </w:p>
        </w:tc>
      </w:tr>
      <w:tr w:rsidR="008A718D" w:rsidRPr="008A718D" w14:paraId="65822CDE"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48A3E6D5"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2DB50AB"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310F4A9" w14:textId="657D7F3A" w:rsidR="003103F1" w:rsidRPr="008A718D" w:rsidRDefault="003103F1" w:rsidP="003103F1">
            <w:pPr>
              <w:jc w:val="both"/>
              <w:rPr>
                <w:sz w:val="23"/>
                <w:szCs w:val="23"/>
              </w:rPr>
            </w:pPr>
            <w:r w:rsidRPr="008A718D">
              <w:rPr>
                <w:sz w:val="23"/>
                <w:szCs w:val="23"/>
              </w:rPr>
              <w:t>Чл. 97, ал. 1, точка 8. разходи за мостри (по цени на производител) свързани с дейностите по чл. 96, ал. 2, т. 1, буква „г“ – изработка, транспорт и складиране;</w:t>
            </w:r>
          </w:p>
          <w:p w14:paraId="295B1063" w14:textId="1A86C6DD" w:rsidR="003103F1" w:rsidRPr="008A718D" w:rsidRDefault="003103F1" w:rsidP="003103F1">
            <w:pPr>
              <w:jc w:val="both"/>
              <w:rPr>
                <w:sz w:val="23"/>
                <w:szCs w:val="23"/>
              </w:rPr>
            </w:pPr>
            <w:r w:rsidRPr="008A718D">
              <w:rPr>
                <w:sz w:val="23"/>
                <w:szCs w:val="23"/>
              </w:rPr>
              <w:t>ПРЕДЛОЖЕНИЕ:</w:t>
            </w:r>
          </w:p>
          <w:p w14:paraId="42B2A16A" w14:textId="25906DD3" w:rsidR="003103F1" w:rsidRPr="008A718D" w:rsidRDefault="003103F1" w:rsidP="003103F1">
            <w:pPr>
              <w:jc w:val="both"/>
              <w:rPr>
                <w:sz w:val="23"/>
                <w:szCs w:val="23"/>
              </w:rPr>
            </w:pPr>
            <w:r w:rsidRPr="008A718D">
              <w:rPr>
                <w:sz w:val="23"/>
                <w:szCs w:val="23"/>
              </w:rPr>
              <w:t>Предлагам да се поясни какво се има в предвид под „цени на производител“ и кой и как се доказва, че е производителя на мострите.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9E72B8F" w14:textId="795F3141" w:rsidR="003103F1" w:rsidRPr="008A718D" w:rsidRDefault="000C6A02" w:rsidP="003103F1">
            <w:pPr>
              <w:rPr>
                <w:sz w:val="23"/>
                <w:szCs w:val="23"/>
              </w:rPr>
            </w:pPr>
            <w:r>
              <w:rPr>
                <w:sz w:val="23"/>
                <w:szCs w:val="23"/>
              </w:rPr>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47EF4CE" w14:textId="53F17DED" w:rsidR="003103F1" w:rsidRPr="008A718D" w:rsidRDefault="003103F1" w:rsidP="003103F1">
            <w:pPr>
              <w:jc w:val="both"/>
              <w:rPr>
                <w:sz w:val="23"/>
                <w:szCs w:val="23"/>
              </w:rPr>
            </w:pPr>
          </w:p>
        </w:tc>
      </w:tr>
      <w:tr w:rsidR="008A718D" w:rsidRPr="008A718D" w14:paraId="62012672"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048E1A3F"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A9197EF"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DEE84A5" w14:textId="5766DB68" w:rsidR="003103F1" w:rsidRPr="008A718D" w:rsidRDefault="003103F1" w:rsidP="003103F1">
            <w:pPr>
              <w:jc w:val="both"/>
              <w:rPr>
                <w:sz w:val="23"/>
                <w:szCs w:val="23"/>
              </w:rPr>
            </w:pPr>
            <w:r w:rsidRPr="008A718D">
              <w:rPr>
                <w:sz w:val="23"/>
                <w:szCs w:val="23"/>
              </w:rPr>
              <w:t>Чл. 97, ал. (4) Кандидатът за предоставяне на финансова помощ представя решение за избор на оферент/и, получил/и запитване за оферта по образец съгласно приложение № 5. Държавен фонд „Земеделие“ проверява проведения избор на оферент чрез съпоставяне на поне три независими съпоставими оферти, като извършва съпоставка между цените, посочени във всяка от представените оферти, и одобрява за финансиране разхода до най-ниския му размер. За сходни разходи за дейности по ал. 1 в офертите на различните кандидати за предоставяне на финансова помощ се избира най-ниската предложена цена.</w:t>
            </w:r>
          </w:p>
          <w:p w14:paraId="0475DAB1" w14:textId="1FFBFCAD" w:rsidR="003103F1" w:rsidRPr="008A718D" w:rsidRDefault="003103F1" w:rsidP="003103F1">
            <w:pPr>
              <w:jc w:val="both"/>
              <w:rPr>
                <w:sz w:val="23"/>
                <w:szCs w:val="23"/>
              </w:rPr>
            </w:pPr>
            <w:r w:rsidRPr="008A718D">
              <w:rPr>
                <w:sz w:val="23"/>
                <w:szCs w:val="23"/>
              </w:rPr>
              <w:t>ПРЕДЛОЖЕНИЕ:</w:t>
            </w:r>
          </w:p>
          <w:p w14:paraId="1E7E9CBE" w14:textId="161A4BF4" w:rsidR="003103F1" w:rsidRPr="008A718D" w:rsidRDefault="003103F1" w:rsidP="003103F1">
            <w:pPr>
              <w:jc w:val="both"/>
              <w:rPr>
                <w:sz w:val="23"/>
                <w:szCs w:val="23"/>
              </w:rPr>
            </w:pPr>
            <w:r w:rsidRPr="008A718D">
              <w:rPr>
                <w:sz w:val="23"/>
                <w:szCs w:val="23"/>
              </w:rPr>
              <w:t>Предлагам текстът „За сходни разходи за дейности по ал. 1 в офертите на различните кандидати за предоставяне на финансова помощ се избира най-ниската предложена цена.“ да от</w:t>
            </w:r>
            <w:r w:rsidRPr="008A718D">
              <w:rPr>
                <w:sz w:val="23"/>
                <w:szCs w:val="23"/>
              </w:rPr>
              <w:lastRenderedPageBreak/>
              <w:t>падне. Текстът не отчита конкретните обстоятелства и условията, при които е изготвена офертата, независимо, че е със сходен разход, като поставя в неконкурентни условия кандидати, които не могат да ползват оференти с визирани по- ниски цени, защото не е атрактивен за предоставяне на услугата.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A4FF498" w14:textId="341205C6" w:rsidR="003103F1" w:rsidRPr="008A718D" w:rsidRDefault="009616C7" w:rsidP="003103F1">
            <w:pPr>
              <w:rPr>
                <w:sz w:val="23"/>
                <w:szCs w:val="23"/>
              </w:rPr>
            </w:pPr>
            <w:r w:rsidRPr="008A718D">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7AFC050" w14:textId="0D474699" w:rsidR="009616C7" w:rsidRPr="008A718D" w:rsidRDefault="009616C7" w:rsidP="00507C2A">
            <w:pPr>
              <w:jc w:val="both"/>
              <w:rPr>
                <w:sz w:val="23"/>
                <w:szCs w:val="23"/>
              </w:rPr>
            </w:pPr>
            <w:r w:rsidRPr="008A718D">
              <w:rPr>
                <w:sz w:val="23"/>
                <w:szCs w:val="23"/>
              </w:rPr>
              <w:t>Принципът на най-ниската предложена цена е задължителен, когато разходите се възстановяват на база различни оферти.</w:t>
            </w:r>
          </w:p>
          <w:p w14:paraId="686767AC" w14:textId="77777777" w:rsidR="003103F1" w:rsidRPr="008A718D" w:rsidRDefault="003103F1" w:rsidP="003103F1">
            <w:pPr>
              <w:jc w:val="both"/>
              <w:rPr>
                <w:sz w:val="23"/>
                <w:szCs w:val="23"/>
              </w:rPr>
            </w:pPr>
          </w:p>
        </w:tc>
      </w:tr>
      <w:tr w:rsidR="008A718D" w:rsidRPr="008A718D" w14:paraId="0C6F87D5"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0A6997F6"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FF77969"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B836CF8" w14:textId="08EFBB16" w:rsidR="003103F1" w:rsidRPr="008A718D" w:rsidRDefault="003103F1" w:rsidP="003103F1">
            <w:pPr>
              <w:jc w:val="both"/>
              <w:rPr>
                <w:sz w:val="23"/>
                <w:szCs w:val="23"/>
              </w:rPr>
            </w:pPr>
            <w:r w:rsidRPr="008A718D">
              <w:rPr>
                <w:sz w:val="23"/>
                <w:szCs w:val="23"/>
              </w:rPr>
              <w:t>Предложения и забележки по проект НИД</w:t>
            </w:r>
          </w:p>
          <w:p w14:paraId="2CEA8ECF" w14:textId="6FE8EFD0" w:rsidR="003103F1" w:rsidRPr="008A718D" w:rsidRDefault="003103F1" w:rsidP="003103F1">
            <w:pPr>
              <w:jc w:val="both"/>
              <w:rPr>
                <w:sz w:val="23"/>
                <w:szCs w:val="23"/>
              </w:rPr>
            </w:pPr>
            <w:r w:rsidRPr="008A718D">
              <w:rPr>
                <w:sz w:val="23"/>
                <w:szCs w:val="23"/>
              </w:rPr>
              <w:t>Чл. 106, (3) Окончателният списък на класираните заявления за предоставяне на финансова помощ се публикува на електронната страница на ДФЗ.</w:t>
            </w:r>
          </w:p>
          <w:p w14:paraId="5C856469" w14:textId="564500F0" w:rsidR="003103F1" w:rsidRPr="008A718D" w:rsidRDefault="003103F1" w:rsidP="003103F1">
            <w:pPr>
              <w:jc w:val="both"/>
              <w:rPr>
                <w:sz w:val="23"/>
                <w:szCs w:val="23"/>
              </w:rPr>
            </w:pPr>
            <w:r w:rsidRPr="008A718D">
              <w:rPr>
                <w:sz w:val="23"/>
                <w:szCs w:val="23"/>
              </w:rPr>
              <w:t>ПРЕДЛОЖЕНИЕ:</w:t>
            </w:r>
          </w:p>
          <w:p w14:paraId="7F5F6FC3" w14:textId="77777777" w:rsidR="003103F1" w:rsidRPr="008A718D" w:rsidRDefault="003103F1" w:rsidP="003103F1">
            <w:pPr>
              <w:jc w:val="both"/>
              <w:rPr>
                <w:sz w:val="23"/>
                <w:szCs w:val="23"/>
              </w:rPr>
            </w:pPr>
            <w:r w:rsidRPr="008A718D">
              <w:rPr>
                <w:sz w:val="23"/>
                <w:szCs w:val="23"/>
              </w:rPr>
              <w:t>1) Предлагам списъкът да съдържа одобрените и отхвърлени кандидати, като за отхвърлените се посочат и мотивите за това;</w:t>
            </w:r>
          </w:p>
          <w:p w14:paraId="23F957BC" w14:textId="235A82EE" w:rsidR="009616C7" w:rsidRPr="008A718D" w:rsidRDefault="009616C7" w:rsidP="003103F1">
            <w:pPr>
              <w:jc w:val="both"/>
              <w:rPr>
                <w:sz w:val="23"/>
                <w:szCs w:val="23"/>
              </w:rPr>
            </w:pPr>
            <w:r w:rsidRPr="008A718D">
              <w:rPr>
                <w:sz w:val="23"/>
                <w:szCs w:val="23"/>
              </w:rPr>
              <w:t>2) Предлагам в списъка да се включат следните данни: наименованието на кандидата, седалище, заявени разходи, одобрени разходи, одобрена БФП.</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FA78FAE" w14:textId="7ABE3AB2" w:rsidR="003103F1" w:rsidRPr="008A718D" w:rsidRDefault="009616C7" w:rsidP="003103F1">
            <w:pPr>
              <w:rPr>
                <w:sz w:val="23"/>
                <w:szCs w:val="23"/>
              </w:rPr>
            </w:pPr>
            <w:r w:rsidRPr="008A718D">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A3FCB85" w14:textId="63FF3C5A" w:rsidR="003103F1" w:rsidRPr="008A718D" w:rsidRDefault="009616C7" w:rsidP="003103F1">
            <w:pPr>
              <w:jc w:val="both"/>
              <w:rPr>
                <w:sz w:val="23"/>
                <w:szCs w:val="23"/>
              </w:rPr>
            </w:pPr>
            <w:r w:rsidRPr="008A718D">
              <w:rPr>
                <w:sz w:val="23"/>
                <w:szCs w:val="23"/>
              </w:rPr>
              <w:t>Неодобрените кандидати ще получат уведомително писмо с мотиви за неодобрението. Публикуваните списъци съдържат данни съобразно политика за защита на личните данни</w:t>
            </w:r>
            <w:r w:rsidR="00A75CC0">
              <w:rPr>
                <w:sz w:val="23"/>
                <w:szCs w:val="23"/>
              </w:rPr>
              <w:t xml:space="preserve"> и търговската тайна</w:t>
            </w:r>
            <w:r w:rsidRPr="008A718D">
              <w:rPr>
                <w:sz w:val="23"/>
                <w:szCs w:val="23"/>
              </w:rPr>
              <w:t>.</w:t>
            </w:r>
          </w:p>
        </w:tc>
      </w:tr>
      <w:tr w:rsidR="008A718D" w:rsidRPr="008A718D" w14:paraId="64DA3425"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14F11054"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F0C2BE5"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365D254" w14:textId="77777777" w:rsidR="003103F1" w:rsidRPr="008A718D" w:rsidRDefault="003103F1" w:rsidP="003103F1">
            <w:pPr>
              <w:jc w:val="both"/>
              <w:rPr>
                <w:sz w:val="23"/>
                <w:szCs w:val="23"/>
              </w:rPr>
            </w:pPr>
            <w:r w:rsidRPr="008A718D">
              <w:rPr>
                <w:sz w:val="23"/>
                <w:szCs w:val="23"/>
              </w:rPr>
              <w:t>Чл. 106, 6) Заявлението за предоставяне на финансова помощ се отхвърля, когато:</w:t>
            </w:r>
          </w:p>
          <w:p w14:paraId="6A9B98C7" w14:textId="77777777" w:rsidR="003103F1" w:rsidRPr="008A718D" w:rsidRDefault="003103F1" w:rsidP="003103F1">
            <w:pPr>
              <w:jc w:val="both"/>
              <w:rPr>
                <w:sz w:val="23"/>
                <w:szCs w:val="23"/>
              </w:rPr>
            </w:pPr>
            <w:r w:rsidRPr="008A718D">
              <w:rPr>
                <w:sz w:val="23"/>
                <w:szCs w:val="23"/>
              </w:rPr>
              <w:t>ПРЕДЛОЖЕНИЕ:</w:t>
            </w:r>
          </w:p>
          <w:p w14:paraId="10FCF80A" w14:textId="4DB5B8E8" w:rsidR="003103F1" w:rsidRPr="008A718D" w:rsidRDefault="003103F1" w:rsidP="003103F1">
            <w:pPr>
              <w:jc w:val="both"/>
              <w:rPr>
                <w:sz w:val="23"/>
                <w:szCs w:val="23"/>
              </w:rPr>
            </w:pPr>
            <w:r w:rsidRPr="008A718D">
              <w:rPr>
                <w:sz w:val="23"/>
                <w:szCs w:val="23"/>
              </w:rPr>
              <w:t>Предлагам да се поясни дали се отхвърля напълно или частично.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3C4573F" w14:textId="413CFD6D" w:rsidR="003103F1" w:rsidRPr="008A718D" w:rsidRDefault="00841660" w:rsidP="003103F1">
            <w:pPr>
              <w:rPr>
                <w:sz w:val="23"/>
                <w:szCs w:val="23"/>
              </w:rPr>
            </w:pPr>
            <w:r>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E53EDE5" w14:textId="53605FA9" w:rsidR="003103F1" w:rsidRPr="000B3F38" w:rsidRDefault="00841660" w:rsidP="003103F1">
            <w:pPr>
              <w:jc w:val="both"/>
              <w:rPr>
                <w:sz w:val="23"/>
                <w:szCs w:val="23"/>
              </w:rPr>
            </w:pPr>
            <w:r>
              <w:rPr>
                <w:sz w:val="23"/>
                <w:szCs w:val="23"/>
              </w:rPr>
              <w:t>Точка 4 от разпоредбата е заличена.</w:t>
            </w:r>
          </w:p>
        </w:tc>
      </w:tr>
      <w:tr w:rsidR="008A718D" w:rsidRPr="008A718D" w14:paraId="2C309EBB"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50B12388"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6AD0235"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87ACF02" w14:textId="77777777" w:rsidR="003103F1" w:rsidRPr="008A718D" w:rsidRDefault="003103F1" w:rsidP="003103F1">
            <w:pPr>
              <w:jc w:val="both"/>
              <w:rPr>
                <w:sz w:val="23"/>
                <w:szCs w:val="23"/>
              </w:rPr>
            </w:pPr>
            <w:r w:rsidRPr="008A718D">
              <w:rPr>
                <w:sz w:val="23"/>
                <w:szCs w:val="23"/>
              </w:rPr>
              <w:t>Чл. 106, ал. 6, точка 4. предложените разходи на операцията надвишават обичайните пазарни цени;</w:t>
            </w:r>
          </w:p>
          <w:p w14:paraId="1C5BC17C" w14:textId="77777777" w:rsidR="003103F1" w:rsidRPr="008A718D" w:rsidRDefault="003103F1" w:rsidP="003103F1">
            <w:pPr>
              <w:jc w:val="both"/>
              <w:rPr>
                <w:sz w:val="23"/>
                <w:szCs w:val="23"/>
              </w:rPr>
            </w:pPr>
            <w:r w:rsidRPr="008A718D">
              <w:rPr>
                <w:sz w:val="23"/>
                <w:szCs w:val="23"/>
              </w:rPr>
              <w:t>ПРЕДЛОЖЕНИЕ:</w:t>
            </w:r>
          </w:p>
          <w:p w14:paraId="263A7104" w14:textId="130828D9" w:rsidR="003103F1" w:rsidRPr="008A718D" w:rsidRDefault="003103F1" w:rsidP="003103F1">
            <w:pPr>
              <w:jc w:val="both"/>
              <w:rPr>
                <w:sz w:val="23"/>
                <w:szCs w:val="23"/>
              </w:rPr>
            </w:pPr>
            <w:r w:rsidRPr="008A718D">
              <w:rPr>
                <w:sz w:val="23"/>
                <w:szCs w:val="23"/>
              </w:rPr>
              <w:t>Предлагам да се поясни методиката за определяне на „обичайните пазарни цени“ при условие, че са представени поне по три оферти за разход.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B0E5E0D" w14:textId="3C1DD8EF" w:rsidR="003103F1" w:rsidRPr="008A718D" w:rsidRDefault="009616C7" w:rsidP="003103F1">
            <w:pPr>
              <w:rPr>
                <w:sz w:val="23"/>
                <w:szCs w:val="23"/>
              </w:rPr>
            </w:pPr>
            <w:r w:rsidRPr="008A718D">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AC18E81" w14:textId="78C1AA54" w:rsidR="009616C7" w:rsidRPr="008A718D" w:rsidRDefault="009616C7" w:rsidP="00507C2A">
            <w:pPr>
              <w:pStyle w:val="NormalWeb"/>
              <w:spacing w:before="0" w:beforeAutospacing="0" w:after="120" w:afterAutospacing="0" w:line="210" w:lineRule="atLeast"/>
              <w:jc w:val="both"/>
              <w:rPr>
                <w:sz w:val="23"/>
                <w:szCs w:val="23"/>
              </w:rPr>
            </w:pPr>
            <w:r w:rsidRPr="008A718D">
              <w:rPr>
                <w:sz w:val="23"/>
                <w:szCs w:val="23"/>
              </w:rPr>
              <w:t>Принципът на съпоставка на различни оферти се използва за преценка на обичайните пазарни цени.</w:t>
            </w:r>
          </w:p>
          <w:p w14:paraId="613AEA05" w14:textId="77777777" w:rsidR="003103F1" w:rsidRPr="008A718D" w:rsidRDefault="003103F1" w:rsidP="003103F1">
            <w:pPr>
              <w:jc w:val="both"/>
              <w:rPr>
                <w:sz w:val="23"/>
                <w:szCs w:val="23"/>
              </w:rPr>
            </w:pPr>
          </w:p>
        </w:tc>
      </w:tr>
      <w:tr w:rsidR="008A718D" w:rsidRPr="008A718D" w14:paraId="49B03DA3" w14:textId="77777777" w:rsidTr="00424BF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5DEBEBE0"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EC4CC3D"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E2EDD69" w14:textId="77777777" w:rsidR="003103F1" w:rsidRPr="008A718D" w:rsidRDefault="003103F1" w:rsidP="003103F1">
            <w:pPr>
              <w:jc w:val="both"/>
              <w:rPr>
                <w:sz w:val="23"/>
                <w:szCs w:val="23"/>
              </w:rPr>
            </w:pPr>
            <w:r w:rsidRPr="008A718D">
              <w:rPr>
                <w:sz w:val="23"/>
                <w:szCs w:val="23"/>
              </w:rPr>
              <w:t xml:space="preserve">Чл. 106, ал. 6, точка 9. дейностите в проекта не съответстват на изискванията, определени в тази наредба, и на Насоките на Европейския съюз за прилагане на Националната програма за подпомагане на </w:t>
            </w:r>
            <w:proofErr w:type="spellStart"/>
            <w:r w:rsidRPr="008A718D">
              <w:rPr>
                <w:sz w:val="23"/>
                <w:szCs w:val="23"/>
              </w:rPr>
              <w:t>лозаро</w:t>
            </w:r>
            <w:proofErr w:type="spellEnd"/>
            <w:r w:rsidRPr="008A718D">
              <w:rPr>
                <w:sz w:val="23"/>
                <w:szCs w:val="23"/>
              </w:rPr>
              <w:t xml:space="preserve">-винарския сектор, публикувани на официалния интернет портал </w:t>
            </w:r>
            <w:r w:rsidRPr="008A718D">
              <w:rPr>
                <w:sz w:val="23"/>
                <w:szCs w:val="23"/>
              </w:rPr>
              <w:lastRenderedPageBreak/>
              <w:t>https://circabc.europa.eu/faces/jsp/extension/wai/navigation/container.jsp;</w:t>
            </w:r>
          </w:p>
          <w:p w14:paraId="4A522FAB" w14:textId="77777777" w:rsidR="003103F1" w:rsidRPr="008A718D" w:rsidRDefault="003103F1" w:rsidP="003103F1">
            <w:pPr>
              <w:jc w:val="both"/>
              <w:rPr>
                <w:sz w:val="23"/>
                <w:szCs w:val="23"/>
              </w:rPr>
            </w:pPr>
            <w:r w:rsidRPr="008A718D">
              <w:rPr>
                <w:sz w:val="23"/>
                <w:szCs w:val="23"/>
              </w:rPr>
              <w:t>ПРЕДЛОЖЕНИЕ:</w:t>
            </w:r>
          </w:p>
          <w:p w14:paraId="1EDC0E2A" w14:textId="7E4439B2" w:rsidR="003103F1" w:rsidRPr="008A718D" w:rsidRDefault="003103F1" w:rsidP="003103F1">
            <w:pPr>
              <w:jc w:val="both"/>
              <w:rPr>
                <w:sz w:val="23"/>
                <w:szCs w:val="23"/>
              </w:rPr>
            </w:pPr>
            <w:r w:rsidRPr="008A718D">
              <w:rPr>
                <w:sz w:val="23"/>
                <w:szCs w:val="23"/>
              </w:rPr>
              <w:t xml:space="preserve">Предлагам да се провери и коригира </w:t>
            </w:r>
            <w:proofErr w:type="spellStart"/>
            <w:r w:rsidRPr="008A718D">
              <w:rPr>
                <w:sz w:val="23"/>
                <w:szCs w:val="23"/>
              </w:rPr>
              <w:t>web</w:t>
            </w:r>
            <w:proofErr w:type="spellEnd"/>
            <w:r w:rsidRPr="008A718D">
              <w:rPr>
                <w:sz w:val="23"/>
                <w:szCs w:val="23"/>
              </w:rPr>
              <w:t xml:space="preserve"> връзката в точката, защото с това съдържание не отваря посоченото за нея съдържание.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B18181A" w14:textId="3041EB6A" w:rsidR="003103F1" w:rsidRPr="008A718D" w:rsidRDefault="00841660" w:rsidP="003103F1">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6619C26" w14:textId="6BF10A1C" w:rsidR="003103F1" w:rsidRPr="008A718D" w:rsidRDefault="003103F1" w:rsidP="003103F1">
            <w:pPr>
              <w:jc w:val="both"/>
              <w:rPr>
                <w:sz w:val="23"/>
                <w:szCs w:val="23"/>
              </w:rPr>
            </w:pPr>
          </w:p>
        </w:tc>
      </w:tr>
      <w:tr w:rsidR="008A718D" w:rsidRPr="008A718D" w14:paraId="4F97DAB9" w14:textId="77777777" w:rsidTr="00921642">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single" w:sz="18" w:space="0" w:color="2E74B5"/>
              <w:right w:val="single" w:sz="18" w:space="0" w:color="2E74B5"/>
            </w:tcBorders>
            <w:shd w:val="clear" w:color="auto" w:fill="auto"/>
          </w:tcPr>
          <w:p w14:paraId="55D6886E" w14:textId="77777777" w:rsidR="003103F1" w:rsidRPr="008A718D" w:rsidRDefault="003103F1" w:rsidP="003103F1">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223CC200" w14:textId="77777777" w:rsidR="003103F1" w:rsidRPr="008A718D" w:rsidRDefault="003103F1" w:rsidP="003103F1">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10C31D7" w14:textId="77777777" w:rsidR="003103F1" w:rsidRPr="00BB649A" w:rsidRDefault="003103F1" w:rsidP="003103F1">
            <w:pPr>
              <w:jc w:val="both"/>
              <w:rPr>
                <w:sz w:val="23"/>
                <w:szCs w:val="23"/>
              </w:rPr>
            </w:pPr>
            <w:r w:rsidRPr="00BB649A">
              <w:rPr>
                <w:sz w:val="23"/>
                <w:szCs w:val="23"/>
              </w:rPr>
              <w:t>Заключителни разпоредби:</w:t>
            </w:r>
          </w:p>
          <w:p w14:paraId="7BE0F293" w14:textId="77777777" w:rsidR="003103F1" w:rsidRPr="00BB649A" w:rsidRDefault="003103F1" w:rsidP="003103F1">
            <w:pPr>
              <w:jc w:val="both"/>
              <w:rPr>
                <w:sz w:val="23"/>
                <w:szCs w:val="23"/>
              </w:rPr>
            </w:pPr>
            <w:r w:rsidRPr="00BB649A">
              <w:rPr>
                <w:sz w:val="23"/>
                <w:szCs w:val="23"/>
              </w:rPr>
              <w:t>§ 7. В Наредба № 9 от 26 май 2016 г. за условията и реда за издаване на разрешения за засаждане на лозя (обн., ДВ, бр. 42 от 2016 г.) се правят следните изменения и допълнения:</w:t>
            </w:r>
          </w:p>
          <w:p w14:paraId="7FC6D9C6" w14:textId="77777777" w:rsidR="003103F1" w:rsidRPr="00BB649A" w:rsidRDefault="003103F1" w:rsidP="003103F1">
            <w:pPr>
              <w:jc w:val="both"/>
              <w:rPr>
                <w:sz w:val="23"/>
                <w:szCs w:val="23"/>
              </w:rPr>
            </w:pPr>
            <w:r w:rsidRPr="00BB649A">
              <w:rPr>
                <w:sz w:val="23"/>
                <w:szCs w:val="23"/>
              </w:rPr>
              <w:t>ПРЕДЛОЖЕНИЕ:</w:t>
            </w:r>
          </w:p>
          <w:p w14:paraId="0D0A6895" w14:textId="77777777" w:rsidR="003103F1" w:rsidRPr="00BB649A" w:rsidRDefault="003103F1" w:rsidP="003103F1">
            <w:pPr>
              <w:jc w:val="both"/>
              <w:rPr>
                <w:sz w:val="23"/>
                <w:szCs w:val="23"/>
              </w:rPr>
            </w:pPr>
            <w:r w:rsidRPr="00BB649A">
              <w:rPr>
                <w:sz w:val="23"/>
                <w:szCs w:val="23"/>
              </w:rPr>
              <w:t>1) В съдържанието на параграфа се включи текст, че се прилагат копия на актуални скици при посочените в него нови условия за тях. Предложението ще намали административната и финансова тежест върху заявителите, като оригиналът на скицата може да се ползва и по други процедури.</w:t>
            </w:r>
          </w:p>
          <w:p w14:paraId="0FEB2BE8" w14:textId="76AB3FA9" w:rsidR="009616C7" w:rsidRPr="00BB649A" w:rsidRDefault="009616C7" w:rsidP="003103F1">
            <w:pPr>
              <w:jc w:val="both"/>
              <w:rPr>
                <w:sz w:val="23"/>
                <w:szCs w:val="23"/>
              </w:rPr>
            </w:pPr>
            <w:r w:rsidRPr="00BB649A">
              <w:rPr>
                <w:sz w:val="23"/>
                <w:szCs w:val="23"/>
              </w:rPr>
              <w:t>2) Предлагат предложеният текст „трябва да съдържат или да са придружени от изрично писмено съгласие на собственика на имота“ да се разшири и с изискване писмено съгласие да бъде с нотариална заверка на подписите, ако самият договор е с такава.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C0015B5" w14:textId="3D4B1844" w:rsidR="003103F1" w:rsidRPr="008A718D" w:rsidRDefault="00BB649A" w:rsidP="003103F1">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A4DA3F6" w14:textId="04EECF22" w:rsidR="003103F1" w:rsidRPr="008A718D" w:rsidRDefault="003103F1" w:rsidP="003103F1">
            <w:pPr>
              <w:jc w:val="both"/>
              <w:rPr>
                <w:sz w:val="23"/>
                <w:szCs w:val="23"/>
              </w:rPr>
            </w:pPr>
          </w:p>
        </w:tc>
      </w:tr>
      <w:tr w:rsidR="008A718D" w:rsidRPr="008A718D" w14:paraId="16B992DC" w14:textId="77777777" w:rsidTr="00921642">
        <w:tblPrEx>
          <w:tblBorders>
            <w:bottom w:val="single" w:sz="36" w:space="0" w:color="2E74B5"/>
            <w:insideH w:val="single" w:sz="36" w:space="0" w:color="2E74B5"/>
            <w:insideV w:val="single" w:sz="36" w:space="0" w:color="2E74B5"/>
          </w:tblBorders>
        </w:tblPrEx>
        <w:trPr>
          <w:jc w:val="center"/>
        </w:trPr>
        <w:tc>
          <w:tcPr>
            <w:tcW w:w="622" w:type="dxa"/>
            <w:tcBorders>
              <w:top w:val="single" w:sz="18" w:space="0" w:color="2E74B5"/>
              <w:left w:val="single" w:sz="36" w:space="0" w:color="2E74B5"/>
              <w:bottom w:val="single" w:sz="36" w:space="0" w:color="2E74B5"/>
              <w:right w:val="single" w:sz="18" w:space="0" w:color="2E74B5"/>
            </w:tcBorders>
            <w:shd w:val="clear" w:color="auto" w:fill="auto"/>
          </w:tcPr>
          <w:p w14:paraId="4A127FE0" w14:textId="77777777" w:rsidR="003103F1" w:rsidRPr="008A718D" w:rsidRDefault="003103F1" w:rsidP="003103F1">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36" w:space="0" w:color="2E74B5"/>
              <w:right w:val="single" w:sz="18" w:space="0" w:color="2E74B5"/>
            </w:tcBorders>
            <w:shd w:val="clear" w:color="auto" w:fill="auto"/>
          </w:tcPr>
          <w:p w14:paraId="75A29EC8" w14:textId="07879F7A" w:rsidR="003103F1" w:rsidRPr="008A718D" w:rsidRDefault="003103F1" w:rsidP="003103F1">
            <w:pPr>
              <w:rPr>
                <w:bCs/>
                <w:sz w:val="23"/>
                <w:szCs w:val="23"/>
              </w:rPr>
            </w:pPr>
            <w:r w:rsidRPr="008A718D">
              <w:rPr>
                <w:bCs/>
                <w:sz w:val="23"/>
                <w:szCs w:val="23"/>
              </w:rPr>
              <w:t xml:space="preserve">Българска асоциация на винените професионалисти – </w:t>
            </w:r>
          </w:p>
          <w:p w14:paraId="7EE255CE" w14:textId="7AB24CDF" w:rsidR="003103F1" w:rsidRPr="008A718D" w:rsidRDefault="003103F1" w:rsidP="003103F1">
            <w:pPr>
              <w:rPr>
                <w:bCs/>
                <w:sz w:val="23"/>
                <w:szCs w:val="23"/>
              </w:rPr>
            </w:pPr>
            <w:r w:rsidRPr="008A718D">
              <w:rPr>
                <w:bCs/>
                <w:sz w:val="23"/>
                <w:szCs w:val="23"/>
              </w:rPr>
              <w:t>Йордан Русев</w:t>
            </w:r>
          </w:p>
          <w:p w14:paraId="422CDB1E" w14:textId="4C02CB80" w:rsidR="003103F1" w:rsidRPr="008A718D" w:rsidRDefault="003103F1" w:rsidP="003103F1">
            <w:pPr>
              <w:rPr>
                <w:rStyle w:val="Hyperlink"/>
                <w:color w:val="auto"/>
                <w:sz w:val="23"/>
                <w:szCs w:val="23"/>
              </w:rPr>
            </w:pPr>
            <w:r w:rsidRPr="008A718D">
              <w:rPr>
                <w:rStyle w:val="Hyperlink"/>
                <w:color w:val="auto"/>
                <w:sz w:val="23"/>
                <w:szCs w:val="23"/>
              </w:rPr>
              <w:t>office@bawp.bg</w:t>
            </w:r>
          </w:p>
          <w:p w14:paraId="3F093894" w14:textId="65B0940E" w:rsidR="003103F1" w:rsidRPr="008A718D" w:rsidRDefault="003103F1" w:rsidP="003103F1">
            <w:pPr>
              <w:rPr>
                <w:bCs/>
                <w:sz w:val="23"/>
                <w:szCs w:val="23"/>
              </w:rPr>
            </w:pPr>
            <w:r w:rsidRPr="008A718D">
              <w:rPr>
                <w:bCs/>
                <w:sz w:val="23"/>
                <w:szCs w:val="23"/>
              </w:rPr>
              <w:t>09.11.2020 г.</w:t>
            </w:r>
          </w:p>
          <w:p w14:paraId="25F1103F" w14:textId="72D4F6AE" w:rsidR="003103F1" w:rsidRPr="008A718D" w:rsidRDefault="003103F1" w:rsidP="00921642">
            <w:pPr>
              <w:rPr>
                <w:bCs/>
                <w:sz w:val="23"/>
                <w:szCs w:val="23"/>
              </w:rPr>
            </w:pPr>
            <w:r w:rsidRPr="008A718D">
              <w:rPr>
                <w:bCs/>
                <w:sz w:val="23"/>
                <w:szCs w:val="23"/>
              </w:rPr>
              <w:t>(по електронен път) и</w:t>
            </w:r>
            <w:r w:rsidR="00921642">
              <w:rPr>
                <w:bCs/>
                <w:sz w:val="23"/>
                <w:szCs w:val="23"/>
              </w:rPr>
              <w:br/>
            </w:r>
            <w:r w:rsidRPr="008A718D">
              <w:rPr>
                <w:bCs/>
                <w:sz w:val="23"/>
                <w:szCs w:val="23"/>
              </w:rPr>
              <w:t xml:space="preserve">в МЗХГ с регистрационен индекс  </w:t>
            </w:r>
            <w:r w:rsidRPr="008A718D">
              <w:rPr>
                <w:bCs/>
                <w:sz w:val="23"/>
                <w:szCs w:val="23"/>
              </w:rPr>
              <w:br/>
              <w:t xml:space="preserve">15-418 от 10.11.2020 г. </w:t>
            </w:r>
          </w:p>
        </w:tc>
        <w:tc>
          <w:tcPr>
            <w:tcW w:w="6467" w:type="dxa"/>
            <w:tcBorders>
              <w:top w:val="single" w:sz="18" w:space="0" w:color="2E74B5"/>
              <w:left w:val="single" w:sz="18" w:space="0" w:color="2E74B5"/>
              <w:bottom w:val="single" w:sz="36" w:space="0" w:color="2E74B5"/>
              <w:right w:val="single" w:sz="18" w:space="0" w:color="2E74B5"/>
            </w:tcBorders>
            <w:shd w:val="clear" w:color="auto" w:fill="auto"/>
          </w:tcPr>
          <w:p w14:paraId="4E13FEEB" w14:textId="77777777" w:rsidR="003103F1" w:rsidRPr="008A718D" w:rsidRDefault="003103F1" w:rsidP="003103F1">
            <w:pPr>
              <w:jc w:val="both"/>
              <w:rPr>
                <w:sz w:val="23"/>
                <w:szCs w:val="23"/>
              </w:rPr>
            </w:pPr>
            <w:r w:rsidRPr="008A718D">
              <w:rPr>
                <w:sz w:val="23"/>
                <w:szCs w:val="23"/>
              </w:rPr>
              <w:t xml:space="preserve">С настоящото и от името на Българската асоциация на винените професионалисти, моля да приемете следното становище по предложените текстове за изменение и допълнение на Наредба № 6 от 2018 г. за условията и реда за предоставяне на финансова помощ по Национална програма за подпомагане на </w:t>
            </w:r>
            <w:proofErr w:type="spellStart"/>
            <w:r w:rsidRPr="008A718D">
              <w:rPr>
                <w:sz w:val="23"/>
                <w:szCs w:val="23"/>
              </w:rPr>
              <w:t>лозаро</w:t>
            </w:r>
            <w:proofErr w:type="spellEnd"/>
            <w:r w:rsidRPr="008A718D">
              <w:rPr>
                <w:sz w:val="23"/>
                <w:szCs w:val="23"/>
              </w:rPr>
              <w:t>-винарския сектор за периода 2019 – 2023 г.</w:t>
            </w:r>
          </w:p>
          <w:p w14:paraId="2B97902D" w14:textId="77777777" w:rsidR="003103F1" w:rsidRPr="008A718D" w:rsidRDefault="003103F1" w:rsidP="003103F1">
            <w:pPr>
              <w:jc w:val="both"/>
              <w:rPr>
                <w:sz w:val="23"/>
                <w:szCs w:val="23"/>
              </w:rPr>
            </w:pPr>
            <w:r w:rsidRPr="008A718D">
              <w:rPr>
                <w:sz w:val="23"/>
                <w:szCs w:val="23"/>
              </w:rPr>
              <w:t>Съгласно предложената редакция на чл. 99, ал. 1 допустими кандидати по мярка „Информиране в държавите членки“ са както следва:</w:t>
            </w:r>
          </w:p>
          <w:p w14:paraId="7082EA35" w14:textId="3320CD24" w:rsidR="003103F1" w:rsidRPr="008A718D" w:rsidRDefault="003103F1" w:rsidP="003103F1">
            <w:pPr>
              <w:jc w:val="both"/>
              <w:rPr>
                <w:sz w:val="23"/>
                <w:szCs w:val="23"/>
              </w:rPr>
            </w:pPr>
            <w:r w:rsidRPr="008A718D">
              <w:rPr>
                <w:sz w:val="23"/>
                <w:szCs w:val="23"/>
              </w:rPr>
              <w:t xml:space="preserve">1. признати организации на производители на </w:t>
            </w:r>
            <w:proofErr w:type="spellStart"/>
            <w:r w:rsidRPr="008A718D">
              <w:rPr>
                <w:sz w:val="23"/>
                <w:szCs w:val="23"/>
              </w:rPr>
              <w:t>лозаро</w:t>
            </w:r>
            <w:proofErr w:type="spellEnd"/>
            <w:r w:rsidRPr="008A718D">
              <w:rPr>
                <w:sz w:val="23"/>
                <w:szCs w:val="23"/>
              </w:rPr>
              <w:t xml:space="preserve">-винарски продукти и асоциации на организации на производители на </w:t>
            </w:r>
            <w:proofErr w:type="spellStart"/>
            <w:r w:rsidRPr="008A718D">
              <w:rPr>
                <w:sz w:val="23"/>
                <w:szCs w:val="23"/>
              </w:rPr>
              <w:t>лозаро</w:t>
            </w:r>
            <w:proofErr w:type="spellEnd"/>
            <w:r w:rsidRPr="008A718D">
              <w:rPr>
                <w:sz w:val="23"/>
                <w:szCs w:val="23"/>
              </w:rPr>
              <w:t>-винарски продукти;</w:t>
            </w:r>
          </w:p>
          <w:p w14:paraId="695FE79E" w14:textId="77777777" w:rsidR="003103F1" w:rsidRPr="008A718D" w:rsidRDefault="003103F1" w:rsidP="003103F1">
            <w:pPr>
              <w:jc w:val="both"/>
              <w:rPr>
                <w:sz w:val="23"/>
                <w:szCs w:val="23"/>
              </w:rPr>
            </w:pPr>
            <w:r w:rsidRPr="008A718D">
              <w:rPr>
                <w:sz w:val="23"/>
                <w:szCs w:val="23"/>
              </w:rPr>
              <w:lastRenderedPageBreak/>
              <w:t>2. междупрофесионални организации по Закона за виното и спиртните напитки;</w:t>
            </w:r>
          </w:p>
          <w:p w14:paraId="1F4575B0" w14:textId="0C6AB06E" w:rsidR="003103F1" w:rsidRPr="008A718D" w:rsidRDefault="003103F1" w:rsidP="003103F1">
            <w:pPr>
              <w:jc w:val="both"/>
              <w:rPr>
                <w:sz w:val="23"/>
                <w:szCs w:val="23"/>
              </w:rPr>
            </w:pPr>
            <w:r w:rsidRPr="008A718D">
              <w:rPr>
                <w:sz w:val="23"/>
                <w:szCs w:val="23"/>
              </w:rPr>
              <w:t xml:space="preserve">3. професионални организации с не по-малко от две годишна история, считано от датата на първоначалната регистрация, работещи основно в </w:t>
            </w:r>
            <w:proofErr w:type="spellStart"/>
            <w:r w:rsidRPr="008A718D">
              <w:rPr>
                <w:sz w:val="23"/>
                <w:szCs w:val="23"/>
              </w:rPr>
              <w:t>лозаро</w:t>
            </w:r>
            <w:proofErr w:type="spellEnd"/>
            <w:r w:rsidRPr="008A718D">
              <w:rPr>
                <w:sz w:val="23"/>
                <w:szCs w:val="23"/>
              </w:rPr>
              <w:t xml:space="preserve">-винарския сектор - юридически лица, регистрирани по Закона за юридическите лица с нестопанска цел, с цели, основна и допълнителна дейност в </w:t>
            </w:r>
            <w:proofErr w:type="spellStart"/>
            <w:r w:rsidRPr="008A718D">
              <w:rPr>
                <w:sz w:val="23"/>
                <w:szCs w:val="23"/>
              </w:rPr>
              <w:t>лозаро</w:t>
            </w:r>
            <w:proofErr w:type="spellEnd"/>
            <w:r w:rsidRPr="008A718D">
              <w:rPr>
                <w:sz w:val="23"/>
                <w:szCs w:val="23"/>
              </w:rPr>
              <w:t>-винарския сектор;</w:t>
            </w:r>
          </w:p>
          <w:p w14:paraId="46C099E2" w14:textId="77777777" w:rsidR="003103F1" w:rsidRPr="008A718D" w:rsidRDefault="003103F1" w:rsidP="003103F1">
            <w:pPr>
              <w:jc w:val="both"/>
              <w:rPr>
                <w:sz w:val="23"/>
                <w:szCs w:val="23"/>
              </w:rPr>
            </w:pPr>
            <w:r w:rsidRPr="008A718D">
              <w:rPr>
                <w:sz w:val="23"/>
                <w:szCs w:val="23"/>
              </w:rPr>
              <w:t xml:space="preserve">4. </w:t>
            </w:r>
            <w:proofErr w:type="spellStart"/>
            <w:r w:rsidRPr="008A718D">
              <w:rPr>
                <w:sz w:val="23"/>
                <w:szCs w:val="23"/>
              </w:rPr>
              <w:t>публичноправни</w:t>
            </w:r>
            <w:proofErr w:type="spellEnd"/>
            <w:r w:rsidRPr="008A718D">
              <w:rPr>
                <w:sz w:val="23"/>
                <w:szCs w:val="23"/>
              </w:rPr>
              <w:t xml:space="preserve"> организации, съгласно чл. 3 от Делегиран регламент (ЕС) 2016/1149, когато не са единствени </w:t>
            </w:r>
            <w:proofErr w:type="spellStart"/>
            <w:r w:rsidRPr="008A718D">
              <w:rPr>
                <w:sz w:val="23"/>
                <w:szCs w:val="23"/>
              </w:rPr>
              <w:t>бенефици</w:t>
            </w:r>
            <w:proofErr w:type="spellEnd"/>
            <w:r w:rsidRPr="008A718D">
              <w:rPr>
                <w:sz w:val="23"/>
                <w:szCs w:val="23"/>
              </w:rPr>
              <w:t>-енти на помощта.</w:t>
            </w:r>
          </w:p>
          <w:p w14:paraId="65DC4EBD" w14:textId="1B3B1652" w:rsidR="003103F1" w:rsidRPr="008A718D" w:rsidRDefault="003103F1" w:rsidP="003103F1">
            <w:pPr>
              <w:jc w:val="both"/>
              <w:rPr>
                <w:sz w:val="23"/>
                <w:szCs w:val="23"/>
              </w:rPr>
            </w:pPr>
            <w:r w:rsidRPr="008A718D">
              <w:rPr>
                <w:sz w:val="23"/>
                <w:szCs w:val="23"/>
              </w:rPr>
              <w:t xml:space="preserve">Считаме, че допуснатото ограничение в т. 3, а именно, </w:t>
            </w:r>
            <w:proofErr w:type="spellStart"/>
            <w:r w:rsidRPr="008A718D">
              <w:rPr>
                <w:sz w:val="23"/>
                <w:szCs w:val="23"/>
              </w:rPr>
              <w:t>профе-сионалните</w:t>
            </w:r>
            <w:proofErr w:type="spellEnd"/>
            <w:r w:rsidRPr="008A718D">
              <w:rPr>
                <w:sz w:val="23"/>
                <w:szCs w:val="23"/>
              </w:rPr>
              <w:t xml:space="preserve"> организации да са с не по-малко от две годишна история, считано от датата на първоначалната им регистрация е несъответстващо на целите на мярката и не е предвидено като ограничение в цитирания ДЕЛЕГИРАН РЕГЛАМЕНТ (ЕС) 2016/1149 НА КОМИСИЯТА от 15 април 2016 година за допълване на Регламент (ЕС) № 1308/2013 на Европейския парламент и на Съвета по отношение на националните програми за подпомагане в </w:t>
            </w:r>
            <w:proofErr w:type="spellStart"/>
            <w:r w:rsidRPr="008A718D">
              <w:rPr>
                <w:sz w:val="23"/>
                <w:szCs w:val="23"/>
              </w:rPr>
              <w:t>лозаро</w:t>
            </w:r>
            <w:proofErr w:type="spellEnd"/>
            <w:r w:rsidRPr="008A718D">
              <w:rPr>
                <w:sz w:val="23"/>
                <w:szCs w:val="23"/>
              </w:rPr>
              <w:t>-винарския сектор и за изменение на Регламент (ЕО) № 555/2008 на Комисия.</w:t>
            </w:r>
          </w:p>
          <w:p w14:paraId="4FC5881E" w14:textId="57F62EF3" w:rsidR="003103F1" w:rsidRPr="008A718D" w:rsidRDefault="003103F1" w:rsidP="003103F1">
            <w:pPr>
              <w:jc w:val="both"/>
              <w:rPr>
                <w:sz w:val="23"/>
                <w:szCs w:val="23"/>
              </w:rPr>
            </w:pPr>
            <w:r w:rsidRPr="008A718D">
              <w:rPr>
                <w:sz w:val="23"/>
                <w:szCs w:val="23"/>
              </w:rPr>
              <w:t xml:space="preserve">Съгласно цитирания регламент допустими кандидати по </w:t>
            </w:r>
            <w:proofErr w:type="spellStart"/>
            <w:r w:rsidRPr="008A718D">
              <w:rPr>
                <w:sz w:val="23"/>
                <w:szCs w:val="23"/>
              </w:rPr>
              <w:t>мяр</w:t>
            </w:r>
            <w:proofErr w:type="spellEnd"/>
            <w:r w:rsidRPr="008A718D">
              <w:rPr>
                <w:sz w:val="23"/>
                <w:szCs w:val="23"/>
              </w:rPr>
              <w:t xml:space="preserve">-ката са професионални организации, организации на винопроизводители, асоциации на организации на винопроизводители, временни или постоянни асоциации на два или повече производителя, междубраншови организации или, когато държавата членка реши, </w:t>
            </w:r>
            <w:proofErr w:type="spellStart"/>
            <w:r w:rsidRPr="008A718D">
              <w:rPr>
                <w:sz w:val="23"/>
                <w:szCs w:val="23"/>
              </w:rPr>
              <w:t>публичноправни</w:t>
            </w:r>
            <w:proofErr w:type="spellEnd"/>
            <w:r w:rsidRPr="008A718D">
              <w:rPr>
                <w:sz w:val="23"/>
                <w:szCs w:val="23"/>
              </w:rPr>
              <w:t xml:space="preserve"> организации по смисъла на член 1, параграф 9 от Директива 2004/18/ЕО на Европейския парламент и на Съвета. Видно от текста е, че изпълнителни на дейностите могат да бъдат временни или постоянни асоциации, без ограничение. Мярката дава възможност на производителите да </w:t>
            </w:r>
            <w:r w:rsidRPr="008A718D">
              <w:rPr>
                <w:sz w:val="23"/>
                <w:szCs w:val="23"/>
              </w:rPr>
              <w:lastRenderedPageBreak/>
              <w:t>създават целеви обединения, насочени към постигане на конкретни цели, без условия за дългосрочно сътрудничество и/или сдружаване.</w:t>
            </w:r>
          </w:p>
          <w:p w14:paraId="6803D078" w14:textId="3EFF8B09" w:rsidR="003103F1" w:rsidRPr="008A718D" w:rsidRDefault="003103F1" w:rsidP="003103F1">
            <w:pPr>
              <w:jc w:val="both"/>
              <w:rPr>
                <w:sz w:val="23"/>
                <w:szCs w:val="23"/>
              </w:rPr>
            </w:pPr>
            <w:r w:rsidRPr="008A718D">
              <w:rPr>
                <w:sz w:val="23"/>
                <w:szCs w:val="23"/>
              </w:rPr>
              <w:t>Предложения в наредба текст не е потвърден от мотивационни бележки и не почива върху факти, свързани с националната организация на сектора, които дават основания да се приложи ограничението за двугодишна история. Към настоящия момент считаме, че няма обстоятелства, които да налагат ограничаване на кръга на възможните бенефициенти по този признак.</w:t>
            </w:r>
          </w:p>
          <w:p w14:paraId="7561892C" w14:textId="46FF99F2" w:rsidR="003103F1" w:rsidRPr="008A718D" w:rsidRDefault="003103F1" w:rsidP="003103F1">
            <w:pPr>
              <w:jc w:val="both"/>
              <w:rPr>
                <w:sz w:val="23"/>
                <w:szCs w:val="23"/>
              </w:rPr>
            </w:pPr>
            <w:r w:rsidRPr="008A718D">
              <w:rPr>
                <w:sz w:val="23"/>
                <w:szCs w:val="23"/>
              </w:rPr>
              <w:t xml:space="preserve">Както е посочено и в доклада към проекта потенциално </w:t>
            </w:r>
            <w:proofErr w:type="spellStart"/>
            <w:r w:rsidRPr="008A718D">
              <w:rPr>
                <w:sz w:val="23"/>
                <w:szCs w:val="23"/>
              </w:rPr>
              <w:t>заин-тересовани</w:t>
            </w:r>
            <w:proofErr w:type="spellEnd"/>
            <w:r w:rsidRPr="008A718D">
              <w:rPr>
                <w:sz w:val="23"/>
                <w:szCs w:val="23"/>
              </w:rPr>
              <w:t xml:space="preserve"> страни от приемането на наредбата са организации, асоциации и други сдружения с основна дейност в </w:t>
            </w:r>
            <w:proofErr w:type="spellStart"/>
            <w:r w:rsidRPr="008A718D">
              <w:rPr>
                <w:sz w:val="23"/>
                <w:szCs w:val="23"/>
              </w:rPr>
              <w:t>лозаро</w:t>
            </w:r>
            <w:proofErr w:type="spellEnd"/>
            <w:r w:rsidRPr="008A718D">
              <w:rPr>
                <w:sz w:val="23"/>
                <w:szCs w:val="23"/>
              </w:rPr>
              <w:t>-винарския сектор. Същите следва да отговарят на условия-та за допустимост съгласно ДЕЛЕГИРАН РЕГЛАМЕНТ (ЕС) 2016/1149 НА КОМИСИЯТА, както и да отговарят на условията на чл. 104 от проекта. При необходимост от доказване на наличие на финансов ресурс за реализиране на дейностите, заинтересованите лица могат да направят това с широк набор от финансови инструменти и счетоводни книжа, без да е необходимо да доказват двугодишна история.</w:t>
            </w:r>
          </w:p>
          <w:p w14:paraId="39D8474F" w14:textId="77777777" w:rsidR="003103F1" w:rsidRPr="008A718D" w:rsidRDefault="003103F1" w:rsidP="003103F1">
            <w:pPr>
              <w:jc w:val="both"/>
              <w:rPr>
                <w:sz w:val="23"/>
                <w:szCs w:val="23"/>
              </w:rPr>
            </w:pPr>
            <w:r w:rsidRPr="008A718D">
              <w:rPr>
                <w:sz w:val="23"/>
                <w:szCs w:val="23"/>
              </w:rPr>
              <w:t xml:space="preserve">След като се запознахме с целите и очакваните резултати от прилагането на мярката считаме, че няма причина по </w:t>
            </w:r>
            <w:proofErr w:type="spellStart"/>
            <w:r w:rsidRPr="008A718D">
              <w:rPr>
                <w:sz w:val="23"/>
                <w:szCs w:val="23"/>
              </w:rPr>
              <w:t>отноше</w:t>
            </w:r>
            <w:proofErr w:type="spellEnd"/>
            <w:r w:rsidRPr="008A718D">
              <w:rPr>
                <w:sz w:val="23"/>
                <w:szCs w:val="23"/>
              </w:rPr>
              <w:t xml:space="preserve">-ние на асоциациите и сдруженията на производители да бъде въвеждано посоченото тук ограничително условие. То няма да доведе до повишаване на качеството на предлаганите проекти и ефективността от изпълнение на мярката. И сдружения с по-кратка история могат ефективно да докажат експертен и </w:t>
            </w:r>
            <w:proofErr w:type="spellStart"/>
            <w:r w:rsidRPr="008A718D">
              <w:rPr>
                <w:sz w:val="23"/>
                <w:szCs w:val="23"/>
              </w:rPr>
              <w:t>фи-нансов</w:t>
            </w:r>
            <w:proofErr w:type="spellEnd"/>
            <w:r w:rsidRPr="008A718D">
              <w:rPr>
                <w:sz w:val="23"/>
                <w:szCs w:val="23"/>
              </w:rPr>
              <w:t xml:space="preserve"> капацитет за изпълнение на дейности по мярката.</w:t>
            </w:r>
          </w:p>
          <w:p w14:paraId="393471F3" w14:textId="16876D02" w:rsidR="003103F1" w:rsidRPr="008A718D" w:rsidRDefault="003103F1" w:rsidP="003103F1">
            <w:pPr>
              <w:jc w:val="both"/>
              <w:rPr>
                <w:sz w:val="23"/>
                <w:szCs w:val="23"/>
              </w:rPr>
            </w:pPr>
            <w:r w:rsidRPr="008A718D">
              <w:rPr>
                <w:sz w:val="23"/>
                <w:szCs w:val="23"/>
              </w:rPr>
              <w:t>Трябва да се вземе под внимание и обстоятелството, че реше-</w:t>
            </w:r>
            <w:proofErr w:type="spellStart"/>
            <w:r w:rsidRPr="008A718D">
              <w:rPr>
                <w:sz w:val="23"/>
                <w:szCs w:val="23"/>
              </w:rPr>
              <w:t>нието</w:t>
            </w:r>
            <w:proofErr w:type="spellEnd"/>
            <w:r w:rsidRPr="008A718D">
              <w:rPr>
                <w:sz w:val="23"/>
                <w:szCs w:val="23"/>
              </w:rPr>
              <w:t xml:space="preserve"> за отваряне на нова мярка по Програмата за подпомагане на </w:t>
            </w:r>
            <w:proofErr w:type="spellStart"/>
            <w:r w:rsidRPr="008A718D">
              <w:rPr>
                <w:sz w:val="23"/>
                <w:szCs w:val="23"/>
              </w:rPr>
              <w:t>лозаро</w:t>
            </w:r>
            <w:proofErr w:type="spellEnd"/>
            <w:r w:rsidRPr="008A718D">
              <w:rPr>
                <w:sz w:val="23"/>
                <w:szCs w:val="23"/>
              </w:rPr>
              <w:t xml:space="preserve">-винарския сектор идва в момент, в който се търсят различни антикризисни решения, които да дадат възможност на сектора бързо да преодолее негативните последици от </w:t>
            </w:r>
            <w:proofErr w:type="spellStart"/>
            <w:r w:rsidRPr="008A718D">
              <w:rPr>
                <w:sz w:val="23"/>
                <w:szCs w:val="23"/>
              </w:rPr>
              <w:t>Ковид</w:t>
            </w:r>
            <w:proofErr w:type="spellEnd"/>
            <w:r w:rsidRPr="008A718D">
              <w:rPr>
                <w:sz w:val="23"/>
                <w:szCs w:val="23"/>
              </w:rPr>
              <w:t xml:space="preserve"> </w:t>
            </w:r>
            <w:r w:rsidRPr="008A718D">
              <w:rPr>
                <w:sz w:val="23"/>
                <w:szCs w:val="23"/>
              </w:rPr>
              <w:lastRenderedPageBreak/>
              <w:t>кризата. От производителите ще се изисква гъвкавост и овладяване на нови умения и в този смисъл можем да очакваме, а и не е редно да пренебрегваме и ограничаваме възможност от поява на нови обединения, краткосрочни и целеви за изпълнение на определени дейности и проекти.</w:t>
            </w:r>
          </w:p>
          <w:p w14:paraId="2C043F5C" w14:textId="77777777" w:rsidR="003103F1" w:rsidRPr="008A718D" w:rsidRDefault="003103F1" w:rsidP="003103F1">
            <w:pPr>
              <w:jc w:val="both"/>
              <w:rPr>
                <w:sz w:val="23"/>
                <w:szCs w:val="23"/>
              </w:rPr>
            </w:pPr>
            <w:r w:rsidRPr="008A718D">
              <w:rPr>
                <w:sz w:val="23"/>
                <w:szCs w:val="23"/>
              </w:rPr>
              <w:t xml:space="preserve">С оглед изложеното до тук предлагаме ограничението </w:t>
            </w:r>
            <w:proofErr w:type="spellStart"/>
            <w:r w:rsidRPr="008A718D">
              <w:rPr>
                <w:sz w:val="23"/>
                <w:szCs w:val="23"/>
              </w:rPr>
              <w:t>посоче</w:t>
            </w:r>
            <w:proofErr w:type="spellEnd"/>
            <w:r w:rsidRPr="008A718D">
              <w:rPr>
                <w:sz w:val="23"/>
                <w:szCs w:val="23"/>
              </w:rPr>
              <w:t>-но в чл. 99, ал. 1, т. 3, а именно професионалните организации да са с не по-малко от две годишна история, считано от датата на първоначалната регистрация, ДА ОТПАДНЕ.</w:t>
            </w:r>
          </w:p>
          <w:p w14:paraId="39FF7C39" w14:textId="23A53D60" w:rsidR="003103F1" w:rsidRPr="008A718D" w:rsidRDefault="003103F1" w:rsidP="003103F1">
            <w:pPr>
              <w:jc w:val="both"/>
              <w:rPr>
                <w:sz w:val="23"/>
                <w:szCs w:val="23"/>
              </w:rPr>
            </w:pPr>
            <w:r w:rsidRPr="008A718D">
              <w:rPr>
                <w:sz w:val="23"/>
                <w:szCs w:val="23"/>
              </w:rPr>
              <w:t xml:space="preserve">Използвам възможността да Ви представя Българската </w:t>
            </w:r>
            <w:proofErr w:type="spellStart"/>
            <w:r w:rsidRPr="008A718D">
              <w:rPr>
                <w:sz w:val="23"/>
                <w:szCs w:val="23"/>
              </w:rPr>
              <w:t>асоци-ация</w:t>
            </w:r>
            <w:proofErr w:type="spellEnd"/>
            <w:r w:rsidRPr="008A718D">
              <w:rPr>
                <w:sz w:val="23"/>
                <w:szCs w:val="23"/>
              </w:rPr>
              <w:t xml:space="preserve"> на винените професионалисти. Организацията е учредена през 2020 година и обединява усилията на професионалисти, работещи в сферата на лозарството, винопроизводството, търговията, маркетинга и туризма в сектор Вино. Основните цели на сдружението са популяризиране и подкрепа на българските вина, повишаване винената култура и познанията на обществото, свързани с </w:t>
            </w:r>
            <w:proofErr w:type="spellStart"/>
            <w:r w:rsidRPr="008A718D">
              <w:rPr>
                <w:sz w:val="23"/>
                <w:szCs w:val="23"/>
              </w:rPr>
              <w:t>лозаро</w:t>
            </w:r>
            <w:proofErr w:type="spellEnd"/>
            <w:r w:rsidRPr="008A718D">
              <w:rPr>
                <w:sz w:val="23"/>
                <w:szCs w:val="23"/>
              </w:rPr>
              <w:t xml:space="preserve">-винарския сектор, сътрудничество със съответните държавни органи във връзка със създаването и развитието на винения сектор и повишаване квалификацията на хората, работещи с и предлагащи вина, развиване-о като обществена ценност лоялната икономическа конкурентоспособност на професионалната среда, постигната чрез високо качество на знания, иновативност, научни изследвания и приложни знания, подкрепа и развитие на образованието в областта на </w:t>
            </w:r>
            <w:proofErr w:type="spellStart"/>
            <w:r w:rsidRPr="008A718D">
              <w:rPr>
                <w:sz w:val="23"/>
                <w:szCs w:val="23"/>
              </w:rPr>
              <w:t>лозаро</w:t>
            </w:r>
            <w:proofErr w:type="spellEnd"/>
            <w:r w:rsidRPr="008A718D">
              <w:rPr>
                <w:sz w:val="23"/>
                <w:szCs w:val="23"/>
              </w:rPr>
              <w:t xml:space="preserve">-винарството, повишаване възможностите за получаване на знания и квалификационни умения на обучаващите се в този сектор – с приоритет върху работата с младите хора. БАВП притежава експертен потенциал, който може да бъде използван ефективно при реализиране на дейности, свързани с информираността и повишаване знанието за районите в страната и системите за качество в </w:t>
            </w:r>
            <w:proofErr w:type="spellStart"/>
            <w:r w:rsidRPr="008A718D">
              <w:rPr>
                <w:sz w:val="23"/>
                <w:szCs w:val="23"/>
              </w:rPr>
              <w:t>лозаро</w:t>
            </w:r>
            <w:proofErr w:type="spellEnd"/>
            <w:r w:rsidRPr="008A718D">
              <w:rPr>
                <w:sz w:val="23"/>
                <w:szCs w:val="23"/>
              </w:rPr>
              <w:t>-винарския сектор.</w:t>
            </w:r>
          </w:p>
          <w:p w14:paraId="194D5B58" w14:textId="15304965" w:rsidR="003103F1" w:rsidRPr="008A718D" w:rsidRDefault="003103F1" w:rsidP="003103F1">
            <w:pPr>
              <w:jc w:val="both"/>
              <w:rPr>
                <w:sz w:val="23"/>
                <w:szCs w:val="23"/>
              </w:rPr>
            </w:pPr>
            <w:r w:rsidRPr="008A718D">
              <w:rPr>
                <w:sz w:val="23"/>
                <w:szCs w:val="23"/>
              </w:rPr>
              <w:lastRenderedPageBreak/>
              <w:t>На разположение сме да предоставим повече информация за организацията и нейните инициативи, както и ако е нужно да дадем допълнителна информация относно изразената тук позиция.</w:t>
            </w:r>
          </w:p>
          <w:p w14:paraId="2C0903A6" w14:textId="567D29E3" w:rsidR="003103F1" w:rsidRPr="008A718D" w:rsidRDefault="003103F1" w:rsidP="003103F1">
            <w:pPr>
              <w:jc w:val="both"/>
              <w:rPr>
                <w:sz w:val="23"/>
                <w:szCs w:val="23"/>
              </w:rPr>
            </w:pPr>
            <w:r w:rsidRPr="008A718D">
              <w:rPr>
                <w:sz w:val="23"/>
                <w:szCs w:val="23"/>
              </w:rPr>
              <w:t xml:space="preserve">Оставаме с увереността, че сътрудничеството помежду ни е необходимо и ще бъде полезно за двете страни, най-вече в постигане на целите свързани с повишаване на информираността, винената култура и познанията на обществото, свързани с </w:t>
            </w:r>
            <w:proofErr w:type="spellStart"/>
            <w:r w:rsidRPr="008A718D">
              <w:rPr>
                <w:sz w:val="23"/>
                <w:szCs w:val="23"/>
              </w:rPr>
              <w:t>лозаро</w:t>
            </w:r>
            <w:proofErr w:type="spellEnd"/>
            <w:r w:rsidRPr="008A718D">
              <w:rPr>
                <w:sz w:val="23"/>
                <w:szCs w:val="23"/>
              </w:rPr>
              <w:t>-винарския сектор.</w:t>
            </w:r>
          </w:p>
        </w:tc>
        <w:tc>
          <w:tcPr>
            <w:tcW w:w="1613" w:type="dxa"/>
            <w:tcBorders>
              <w:top w:val="single" w:sz="18" w:space="0" w:color="2E74B5"/>
              <w:left w:val="single" w:sz="18" w:space="0" w:color="2E74B5"/>
              <w:bottom w:val="single" w:sz="36" w:space="0" w:color="2E74B5"/>
              <w:right w:val="single" w:sz="18" w:space="0" w:color="2E74B5"/>
            </w:tcBorders>
            <w:shd w:val="clear" w:color="auto" w:fill="auto"/>
          </w:tcPr>
          <w:p w14:paraId="70DDCB12" w14:textId="1B6362D8" w:rsidR="003103F1" w:rsidRPr="008A718D" w:rsidRDefault="003103F1" w:rsidP="003103F1">
            <w:pPr>
              <w:rPr>
                <w:sz w:val="23"/>
                <w:szCs w:val="23"/>
              </w:rPr>
            </w:pPr>
            <w:r w:rsidRPr="00A528FC">
              <w:rPr>
                <w:sz w:val="23"/>
                <w:szCs w:val="23"/>
              </w:rPr>
              <w:lastRenderedPageBreak/>
              <w:t xml:space="preserve">Не </w:t>
            </w:r>
            <w:r w:rsidR="00243810">
              <w:rPr>
                <w:sz w:val="23"/>
                <w:szCs w:val="23"/>
              </w:rPr>
              <w:t>с</w:t>
            </w:r>
            <w:r w:rsidRPr="00A528FC">
              <w:rPr>
                <w:sz w:val="23"/>
                <w:szCs w:val="23"/>
              </w:rPr>
              <w:t>е приема</w:t>
            </w:r>
          </w:p>
        </w:tc>
        <w:tc>
          <w:tcPr>
            <w:tcW w:w="4538" w:type="dxa"/>
            <w:tcBorders>
              <w:top w:val="single" w:sz="18" w:space="0" w:color="2E74B5"/>
              <w:left w:val="single" w:sz="18" w:space="0" w:color="2E74B5"/>
              <w:bottom w:val="single" w:sz="36" w:space="0" w:color="2E74B5"/>
              <w:right w:val="single" w:sz="36" w:space="0" w:color="2E74B5"/>
            </w:tcBorders>
            <w:shd w:val="clear" w:color="auto" w:fill="auto"/>
          </w:tcPr>
          <w:p w14:paraId="79D98B84" w14:textId="2C993732" w:rsidR="003103F1" w:rsidRPr="008A718D" w:rsidRDefault="00DB03DF" w:rsidP="00507C2A">
            <w:pPr>
              <w:jc w:val="both"/>
              <w:rPr>
                <w:sz w:val="23"/>
                <w:szCs w:val="23"/>
              </w:rPr>
            </w:pPr>
            <w:r>
              <w:rPr>
                <w:sz w:val="23"/>
                <w:szCs w:val="23"/>
              </w:rPr>
              <w:t xml:space="preserve">Съгласно </w:t>
            </w:r>
            <w:r w:rsidRPr="00DB03DF">
              <w:rPr>
                <w:sz w:val="23"/>
                <w:szCs w:val="23"/>
              </w:rPr>
              <w:t>Насоки</w:t>
            </w:r>
            <w:r>
              <w:rPr>
                <w:sz w:val="23"/>
                <w:szCs w:val="23"/>
              </w:rPr>
              <w:t xml:space="preserve"> </w:t>
            </w:r>
            <w:r w:rsidRPr="00DB03DF">
              <w:rPr>
                <w:sz w:val="23"/>
                <w:szCs w:val="23"/>
              </w:rPr>
              <w:t>относно прилагане на някои разпоредби на</w:t>
            </w:r>
            <w:r>
              <w:rPr>
                <w:sz w:val="23"/>
                <w:szCs w:val="23"/>
              </w:rPr>
              <w:t xml:space="preserve"> </w:t>
            </w:r>
            <w:r w:rsidRPr="00DB03DF">
              <w:rPr>
                <w:sz w:val="23"/>
                <w:szCs w:val="23"/>
              </w:rPr>
              <w:t>Делегирания Регламент (ЕС) 2016/1149 и Регламента за изпълнение (ЕС) 2016/1150 от 15 април 2016 г.</w:t>
            </w:r>
            <w:r>
              <w:rPr>
                <w:sz w:val="23"/>
                <w:szCs w:val="23"/>
              </w:rPr>
              <w:t xml:space="preserve"> </w:t>
            </w:r>
            <w:r w:rsidRPr="00DB03DF">
              <w:rPr>
                <w:sz w:val="23"/>
                <w:szCs w:val="23"/>
              </w:rPr>
              <w:t xml:space="preserve">за националните програми за подпомагане в </w:t>
            </w:r>
            <w:proofErr w:type="spellStart"/>
            <w:r w:rsidRPr="00DB03DF">
              <w:rPr>
                <w:sz w:val="23"/>
                <w:szCs w:val="23"/>
              </w:rPr>
              <w:t>лозаро</w:t>
            </w:r>
            <w:proofErr w:type="spellEnd"/>
            <w:r w:rsidRPr="00DB03DF">
              <w:rPr>
                <w:sz w:val="23"/>
                <w:szCs w:val="23"/>
              </w:rPr>
              <w:t>-винарския сектор</w:t>
            </w:r>
            <w:r>
              <w:rPr>
                <w:sz w:val="23"/>
                <w:szCs w:val="23"/>
              </w:rPr>
              <w:t>: „</w:t>
            </w:r>
            <w:r w:rsidR="003103F1" w:rsidRPr="008A718D">
              <w:rPr>
                <w:sz w:val="23"/>
                <w:szCs w:val="23"/>
              </w:rPr>
              <w:t xml:space="preserve">Професионални организации може да бъдат бенефициенти за подпомагане по тази мярка само ако те работят основно в </w:t>
            </w:r>
            <w:proofErr w:type="spellStart"/>
            <w:r w:rsidR="003103F1" w:rsidRPr="008A718D">
              <w:rPr>
                <w:sz w:val="23"/>
                <w:szCs w:val="23"/>
              </w:rPr>
              <w:t>лозаро</w:t>
            </w:r>
            <w:proofErr w:type="spellEnd"/>
            <w:r w:rsidR="003103F1" w:rsidRPr="008A718D">
              <w:rPr>
                <w:sz w:val="23"/>
                <w:szCs w:val="23"/>
              </w:rPr>
              <w:t>-винарския сектор. Случайна работа в сектора не дава право на кандидатите да се възползват от подпомага</w:t>
            </w:r>
            <w:r w:rsidR="003103F1" w:rsidRPr="008A718D">
              <w:rPr>
                <w:sz w:val="23"/>
                <w:szCs w:val="23"/>
              </w:rPr>
              <w:lastRenderedPageBreak/>
              <w:t>нето по тази мярка за подпомагане.</w:t>
            </w:r>
            <w:r>
              <w:rPr>
                <w:sz w:val="23"/>
                <w:szCs w:val="23"/>
              </w:rPr>
              <w:t>“ С изискването за 2-годишна история се покрива това изискване.</w:t>
            </w:r>
          </w:p>
          <w:p w14:paraId="07C47498" w14:textId="2F56A841" w:rsidR="003103F1" w:rsidRPr="008A718D" w:rsidRDefault="003103F1" w:rsidP="003103F1">
            <w:pPr>
              <w:rPr>
                <w:sz w:val="23"/>
                <w:szCs w:val="23"/>
              </w:rPr>
            </w:pPr>
          </w:p>
        </w:tc>
      </w:tr>
    </w:tbl>
    <w:p w14:paraId="4B6F3E3D" w14:textId="77777777" w:rsidR="008C2093" w:rsidRPr="00FB0C57" w:rsidRDefault="008C2093" w:rsidP="009C59D8">
      <w:pPr>
        <w:rPr>
          <w:i/>
          <w:iCs/>
        </w:rPr>
      </w:pPr>
    </w:p>
    <w:p w14:paraId="257A59CB" w14:textId="77777777" w:rsidR="009C59D8" w:rsidRPr="00FB0C57" w:rsidRDefault="009C59D8" w:rsidP="009C59D8">
      <w:pPr>
        <w:rPr>
          <w:i/>
          <w:iCs/>
        </w:rPr>
      </w:pPr>
    </w:p>
    <w:p w14:paraId="04226DBE" w14:textId="77777777" w:rsidR="00101F87" w:rsidRDefault="00101F87" w:rsidP="003F78C8">
      <w:pPr>
        <w:ind w:left="284"/>
        <w:rPr>
          <w:b/>
          <w:bCs/>
          <w:caps/>
          <w:color w:val="000000"/>
          <w:lang w:eastAsia="en-US"/>
        </w:rPr>
      </w:pPr>
      <w:bookmarkStart w:id="0" w:name="_GoBack"/>
      <w:bookmarkEnd w:id="0"/>
    </w:p>
    <w:sectPr w:rsidR="00101F87" w:rsidSect="00F61382">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6F78D" w14:textId="77777777" w:rsidR="00CB43CB" w:rsidRDefault="00CB43CB">
      <w:r>
        <w:separator/>
      </w:r>
    </w:p>
  </w:endnote>
  <w:endnote w:type="continuationSeparator" w:id="0">
    <w:p w14:paraId="5E363011" w14:textId="77777777" w:rsidR="00CB43CB" w:rsidRDefault="00CB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9C381" w14:textId="77777777" w:rsidR="00AB0861" w:rsidRDefault="00AB0861"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AB0861" w:rsidRDefault="00AB0861"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73086"/>
      <w:docPartObj>
        <w:docPartGallery w:val="Page Numbers (Bottom of Page)"/>
        <w:docPartUnique/>
      </w:docPartObj>
    </w:sdtPr>
    <w:sdtEndPr>
      <w:rPr>
        <w:noProof/>
        <w:sz w:val="18"/>
        <w:szCs w:val="18"/>
      </w:rPr>
    </w:sdtEndPr>
    <w:sdtContent>
      <w:p w14:paraId="5EFFBDE3" w14:textId="76B39839" w:rsidR="00AB0861" w:rsidRPr="00AF12B7" w:rsidRDefault="00AB0861"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AB5E22">
          <w:rPr>
            <w:noProof/>
            <w:sz w:val="18"/>
            <w:szCs w:val="18"/>
          </w:rPr>
          <w:t>10</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58F3B" w14:textId="77777777" w:rsidR="00CB43CB" w:rsidRDefault="00CB43CB">
      <w:r>
        <w:separator/>
      </w:r>
    </w:p>
  </w:footnote>
  <w:footnote w:type="continuationSeparator" w:id="0">
    <w:p w14:paraId="5EAB3C22" w14:textId="77777777" w:rsidR="00CB43CB" w:rsidRDefault="00CB4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71"/>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0118"/>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0CE"/>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8079F"/>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96B"/>
    <w:rsid w:val="000A2CED"/>
    <w:rsid w:val="000A3E16"/>
    <w:rsid w:val="000A7293"/>
    <w:rsid w:val="000B1099"/>
    <w:rsid w:val="000B1292"/>
    <w:rsid w:val="000B1459"/>
    <w:rsid w:val="000B28FF"/>
    <w:rsid w:val="000B298E"/>
    <w:rsid w:val="000B2EB1"/>
    <w:rsid w:val="000B3D5F"/>
    <w:rsid w:val="000B3F38"/>
    <w:rsid w:val="000B42AA"/>
    <w:rsid w:val="000B60DB"/>
    <w:rsid w:val="000B6D57"/>
    <w:rsid w:val="000B7542"/>
    <w:rsid w:val="000C036A"/>
    <w:rsid w:val="000C1697"/>
    <w:rsid w:val="000C1765"/>
    <w:rsid w:val="000C3296"/>
    <w:rsid w:val="000C3DF4"/>
    <w:rsid w:val="000C46A7"/>
    <w:rsid w:val="000C4915"/>
    <w:rsid w:val="000C5E61"/>
    <w:rsid w:val="000C6A02"/>
    <w:rsid w:val="000C778C"/>
    <w:rsid w:val="000D0414"/>
    <w:rsid w:val="000D1E2E"/>
    <w:rsid w:val="000D3F6C"/>
    <w:rsid w:val="000D4198"/>
    <w:rsid w:val="000D7210"/>
    <w:rsid w:val="000E200A"/>
    <w:rsid w:val="000E22EA"/>
    <w:rsid w:val="000E3570"/>
    <w:rsid w:val="000E38E0"/>
    <w:rsid w:val="000E6E1C"/>
    <w:rsid w:val="000E747B"/>
    <w:rsid w:val="000F02C5"/>
    <w:rsid w:val="000F0C56"/>
    <w:rsid w:val="000F1AA3"/>
    <w:rsid w:val="000F31C8"/>
    <w:rsid w:val="000F3490"/>
    <w:rsid w:val="000F4E61"/>
    <w:rsid w:val="000F73D3"/>
    <w:rsid w:val="000F75A5"/>
    <w:rsid w:val="001012EC"/>
    <w:rsid w:val="00101F87"/>
    <w:rsid w:val="001024F9"/>
    <w:rsid w:val="0010687D"/>
    <w:rsid w:val="00110FB3"/>
    <w:rsid w:val="001143E4"/>
    <w:rsid w:val="001146B4"/>
    <w:rsid w:val="0011484F"/>
    <w:rsid w:val="001159A1"/>
    <w:rsid w:val="00115EDD"/>
    <w:rsid w:val="00116FC6"/>
    <w:rsid w:val="001171CC"/>
    <w:rsid w:val="00120ABA"/>
    <w:rsid w:val="0012451B"/>
    <w:rsid w:val="0013020E"/>
    <w:rsid w:val="00130A76"/>
    <w:rsid w:val="001311AD"/>
    <w:rsid w:val="001325CE"/>
    <w:rsid w:val="00133565"/>
    <w:rsid w:val="00133A14"/>
    <w:rsid w:val="00134E1D"/>
    <w:rsid w:val="0013629D"/>
    <w:rsid w:val="00137750"/>
    <w:rsid w:val="00137EBE"/>
    <w:rsid w:val="00140C69"/>
    <w:rsid w:val="00141BFB"/>
    <w:rsid w:val="00142877"/>
    <w:rsid w:val="0014331B"/>
    <w:rsid w:val="00144034"/>
    <w:rsid w:val="001440FE"/>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509E"/>
    <w:rsid w:val="00192D6A"/>
    <w:rsid w:val="00192E07"/>
    <w:rsid w:val="00193C48"/>
    <w:rsid w:val="001948B0"/>
    <w:rsid w:val="00195AD0"/>
    <w:rsid w:val="001967A9"/>
    <w:rsid w:val="001974D0"/>
    <w:rsid w:val="001A02C9"/>
    <w:rsid w:val="001A0680"/>
    <w:rsid w:val="001A1791"/>
    <w:rsid w:val="001A1F40"/>
    <w:rsid w:val="001A27C2"/>
    <w:rsid w:val="001A3975"/>
    <w:rsid w:val="001A3D29"/>
    <w:rsid w:val="001A751C"/>
    <w:rsid w:val="001B2BDB"/>
    <w:rsid w:val="001B32C6"/>
    <w:rsid w:val="001B4CD8"/>
    <w:rsid w:val="001B7D6A"/>
    <w:rsid w:val="001C04F7"/>
    <w:rsid w:val="001C1607"/>
    <w:rsid w:val="001C519D"/>
    <w:rsid w:val="001C6E95"/>
    <w:rsid w:val="001D21DA"/>
    <w:rsid w:val="001D362A"/>
    <w:rsid w:val="001D3B7E"/>
    <w:rsid w:val="001D5186"/>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EB3"/>
    <w:rsid w:val="001F6BC2"/>
    <w:rsid w:val="001F718C"/>
    <w:rsid w:val="00200292"/>
    <w:rsid w:val="0020103A"/>
    <w:rsid w:val="00201455"/>
    <w:rsid w:val="0020385A"/>
    <w:rsid w:val="00205C0D"/>
    <w:rsid w:val="00206678"/>
    <w:rsid w:val="00210233"/>
    <w:rsid w:val="002102D8"/>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6878"/>
    <w:rsid w:val="002369C8"/>
    <w:rsid w:val="00236E4D"/>
    <w:rsid w:val="002375B3"/>
    <w:rsid w:val="00237A17"/>
    <w:rsid w:val="00241595"/>
    <w:rsid w:val="00241F4C"/>
    <w:rsid w:val="00243442"/>
    <w:rsid w:val="00243810"/>
    <w:rsid w:val="002440AF"/>
    <w:rsid w:val="0024444A"/>
    <w:rsid w:val="00245164"/>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5FA5"/>
    <w:rsid w:val="002B7149"/>
    <w:rsid w:val="002C03AF"/>
    <w:rsid w:val="002C2A3E"/>
    <w:rsid w:val="002C2EEA"/>
    <w:rsid w:val="002C5843"/>
    <w:rsid w:val="002C7160"/>
    <w:rsid w:val="002C7F10"/>
    <w:rsid w:val="002D083C"/>
    <w:rsid w:val="002D2176"/>
    <w:rsid w:val="002D3D00"/>
    <w:rsid w:val="002D492A"/>
    <w:rsid w:val="002D5694"/>
    <w:rsid w:val="002E032B"/>
    <w:rsid w:val="002E537C"/>
    <w:rsid w:val="002E57D4"/>
    <w:rsid w:val="002E5E3F"/>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0E16"/>
    <w:rsid w:val="00300E7E"/>
    <w:rsid w:val="00301069"/>
    <w:rsid w:val="00302942"/>
    <w:rsid w:val="00303148"/>
    <w:rsid w:val="003039A5"/>
    <w:rsid w:val="003040B8"/>
    <w:rsid w:val="00306298"/>
    <w:rsid w:val="003103F1"/>
    <w:rsid w:val="00312FB3"/>
    <w:rsid w:val="003147F2"/>
    <w:rsid w:val="00314B98"/>
    <w:rsid w:val="00314F63"/>
    <w:rsid w:val="003154C2"/>
    <w:rsid w:val="003165BF"/>
    <w:rsid w:val="00316618"/>
    <w:rsid w:val="00316D0E"/>
    <w:rsid w:val="003208DB"/>
    <w:rsid w:val="00321111"/>
    <w:rsid w:val="00321BD0"/>
    <w:rsid w:val="0032394D"/>
    <w:rsid w:val="003251F7"/>
    <w:rsid w:val="00325961"/>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492A"/>
    <w:rsid w:val="00384B8B"/>
    <w:rsid w:val="003866E1"/>
    <w:rsid w:val="00387130"/>
    <w:rsid w:val="00387162"/>
    <w:rsid w:val="003903E2"/>
    <w:rsid w:val="00390D8E"/>
    <w:rsid w:val="00394A7A"/>
    <w:rsid w:val="00395655"/>
    <w:rsid w:val="003962A0"/>
    <w:rsid w:val="003978B4"/>
    <w:rsid w:val="00397CDA"/>
    <w:rsid w:val="003A060F"/>
    <w:rsid w:val="003A0BAC"/>
    <w:rsid w:val="003A48EE"/>
    <w:rsid w:val="003A5961"/>
    <w:rsid w:val="003B3D0C"/>
    <w:rsid w:val="003B3E46"/>
    <w:rsid w:val="003B7804"/>
    <w:rsid w:val="003B7FAF"/>
    <w:rsid w:val="003C1F1E"/>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BB"/>
    <w:rsid w:val="003F01F9"/>
    <w:rsid w:val="003F2026"/>
    <w:rsid w:val="003F2329"/>
    <w:rsid w:val="003F29BC"/>
    <w:rsid w:val="003F3043"/>
    <w:rsid w:val="003F3728"/>
    <w:rsid w:val="003F56E7"/>
    <w:rsid w:val="003F5F0C"/>
    <w:rsid w:val="003F7612"/>
    <w:rsid w:val="003F78C8"/>
    <w:rsid w:val="003F7CD4"/>
    <w:rsid w:val="004000FF"/>
    <w:rsid w:val="004027A6"/>
    <w:rsid w:val="0040510D"/>
    <w:rsid w:val="0040672F"/>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4BF4"/>
    <w:rsid w:val="00425E80"/>
    <w:rsid w:val="00426D05"/>
    <w:rsid w:val="00426E8B"/>
    <w:rsid w:val="00427258"/>
    <w:rsid w:val="00427EF4"/>
    <w:rsid w:val="00430245"/>
    <w:rsid w:val="00430323"/>
    <w:rsid w:val="0043208B"/>
    <w:rsid w:val="00435157"/>
    <w:rsid w:val="004361F2"/>
    <w:rsid w:val="004366E8"/>
    <w:rsid w:val="004371A3"/>
    <w:rsid w:val="004376C2"/>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7192"/>
    <w:rsid w:val="0046759A"/>
    <w:rsid w:val="00467C52"/>
    <w:rsid w:val="0047031B"/>
    <w:rsid w:val="004717AC"/>
    <w:rsid w:val="0047261C"/>
    <w:rsid w:val="00472720"/>
    <w:rsid w:val="0047324B"/>
    <w:rsid w:val="004739BA"/>
    <w:rsid w:val="004759B0"/>
    <w:rsid w:val="00483378"/>
    <w:rsid w:val="00485A09"/>
    <w:rsid w:val="004868D0"/>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317"/>
    <w:rsid w:val="004B66A8"/>
    <w:rsid w:val="004B735F"/>
    <w:rsid w:val="004B73CD"/>
    <w:rsid w:val="004B7A6E"/>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F9"/>
    <w:rsid w:val="004E0260"/>
    <w:rsid w:val="004E0C62"/>
    <w:rsid w:val="004E1396"/>
    <w:rsid w:val="004E16EE"/>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07C2A"/>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5AAF"/>
    <w:rsid w:val="00536577"/>
    <w:rsid w:val="005369BA"/>
    <w:rsid w:val="00537E39"/>
    <w:rsid w:val="00540693"/>
    <w:rsid w:val="00540C53"/>
    <w:rsid w:val="00540EEE"/>
    <w:rsid w:val="00541692"/>
    <w:rsid w:val="005424B9"/>
    <w:rsid w:val="00543774"/>
    <w:rsid w:val="00543E05"/>
    <w:rsid w:val="005462B1"/>
    <w:rsid w:val="00547F9D"/>
    <w:rsid w:val="005525EA"/>
    <w:rsid w:val="005531AA"/>
    <w:rsid w:val="00554B28"/>
    <w:rsid w:val="00554CC1"/>
    <w:rsid w:val="00557BD7"/>
    <w:rsid w:val="00562C44"/>
    <w:rsid w:val="00563FA3"/>
    <w:rsid w:val="005644C8"/>
    <w:rsid w:val="00564E98"/>
    <w:rsid w:val="00565AC7"/>
    <w:rsid w:val="00566921"/>
    <w:rsid w:val="00566E00"/>
    <w:rsid w:val="00567B20"/>
    <w:rsid w:val="00571875"/>
    <w:rsid w:val="005718D4"/>
    <w:rsid w:val="00573E06"/>
    <w:rsid w:val="00576EC7"/>
    <w:rsid w:val="005778C6"/>
    <w:rsid w:val="00577985"/>
    <w:rsid w:val="00581873"/>
    <w:rsid w:val="00582300"/>
    <w:rsid w:val="005826B9"/>
    <w:rsid w:val="00583A7E"/>
    <w:rsid w:val="00586110"/>
    <w:rsid w:val="005868EE"/>
    <w:rsid w:val="00586CF4"/>
    <w:rsid w:val="005913D0"/>
    <w:rsid w:val="00591DD8"/>
    <w:rsid w:val="00593DE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43C6"/>
    <w:rsid w:val="005C5217"/>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2829"/>
    <w:rsid w:val="00614103"/>
    <w:rsid w:val="00614586"/>
    <w:rsid w:val="00617D55"/>
    <w:rsid w:val="00620B65"/>
    <w:rsid w:val="00621CE9"/>
    <w:rsid w:val="006236C6"/>
    <w:rsid w:val="006240D8"/>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712A6"/>
    <w:rsid w:val="00671E4E"/>
    <w:rsid w:val="00671E68"/>
    <w:rsid w:val="00673CF7"/>
    <w:rsid w:val="0067456E"/>
    <w:rsid w:val="006747A4"/>
    <w:rsid w:val="00675133"/>
    <w:rsid w:val="006802C1"/>
    <w:rsid w:val="0068063C"/>
    <w:rsid w:val="00685E6E"/>
    <w:rsid w:val="00686496"/>
    <w:rsid w:val="00687936"/>
    <w:rsid w:val="00690FE6"/>
    <w:rsid w:val="00691B2B"/>
    <w:rsid w:val="00691BD4"/>
    <w:rsid w:val="00692196"/>
    <w:rsid w:val="00692D9D"/>
    <w:rsid w:val="00694141"/>
    <w:rsid w:val="006941C8"/>
    <w:rsid w:val="00695A47"/>
    <w:rsid w:val="00696129"/>
    <w:rsid w:val="006961C6"/>
    <w:rsid w:val="00696F11"/>
    <w:rsid w:val="00697863"/>
    <w:rsid w:val="006978A2"/>
    <w:rsid w:val="00697A45"/>
    <w:rsid w:val="006A0D8A"/>
    <w:rsid w:val="006A36D7"/>
    <w:rsid w:val="006A3AD5"/>
    <w:rsid w:val="006A512F"/>
    <w:rsid w:val="006A70E2"/>
    <w:rsid w:val="006B18CB"/>
    <w:rsid w:val="006B4070"/>
    <w:rsid w:val="006B55E9"/>
    <w:rsid w:val="006B5E2B"/>
    <w:rsid w:val="006C1FAA"/>
    <w:rsid w:val="006C3057"/>
    <w:rsid w:val="006C605F"/>
    <w:rsid w:val="006C6991"/>
    <w:rsid w:val="006D004D"/>
    <w:rsid w:val="006D1F20"/>
    <w:rsid w:val="006D2921"/>
    <w:rsid w:val="006D2BDD"/>
    <w:rsid w:val="006D4254"/>
    <w:rsid w:val="006D5F6F"/>
    <w:rsid w:val="006D6C3E"/>
    <w:rsid w:val="006D745F"/>
    <w:rsid w:val="006D7881"/>
    <w:rsid w:val="006D7E56"/>
    <w:rsid w:val="006E23DE"/>
    <w:rsid w:val="006E32E7"/>
    <w:rsid w:val="006E382C"/>
    <w:rsid w:val="006E3D3C"/>
    <w:rsid w:val="006E46A3"/>
    <w:rsid w:val="006E57DC"/>
    <w:rsid w:val="006E58C1"/>
    <w:rsid w:val="006E7B3B"/>
    <w:rsid w:val="006F282A"/>
    <w:rsid w:val="006F33DD"/>
    <w:rsid w:val="006F3447"/>
    <w:rsid w:val="006F35F8"/>
    <w:rsid w:val="006F6420"/>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1597"/>
    <w:rsid w:val="00722028"/>
    <w:rsid w:val="00723D89"/>
    <w:rsid w:val="0072429A"/>
    <w:rsid w:val="007261CF"/>
    <w:rsid w:val="00727844"/>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419B"/>
    <w:rsid w:val="00756290"/>
    <w:rsid w:val="00756A19"/>
    <w:rsid w:val="0076108C"/>
    <w:rsid w:val="007617F9"/>
    <w:rsid w:val="00761B5E"/>
    <w:rsid w:val="00761B96"/>
    <w:rsid w:val="00762F0B"/>
    <w:rsid w:val="0076408A"/>
    <w:rsid w:val="007739EB"/>
    <w:rsid w:val="00773DD9"/>
    <w:rsid w:val="00774BE7"/>
    <w:rsid w:val="00775F15"/>
    <w:rsid w:val="00776946"/>
    <w:rsid w:val="00776A2A"/>
    <w:rsid w:val="00777754"/>
    <w:rsid w:val="00780256"/>
    <w:rsid w:val="00781306"/>
    <w:rsid w:val="007836C8"/>
    <w:rsid w:val="00787073"/>
    <w:rsid w:val="007930FB"/>
    <w:rsid w:val="00793484"/>
    <w:rsid w:val="007934F1"/>
    <w:rsid w:val="00794229"/>
    <w:rsid w:val="00794C34"/>
    <w:rsid w:val="00795A1B"/>
    <w:rsid w:val="00795AF0"/>
    <w:rsid w:val="007970F0"/>
    <w:rsid w:val="007971F3"/>
    <w:rsid w:val="007A1D90"/>
    <w:rsid w:val="007A24E9"/>
    <w:rsid w:val="007A28F1"/>
    <w:rsid w:val="007A4157"/>
    <w:rsid w:val="007B02DE"/>
    <w:rsid w:val="007B1141"/>
    <w:rsid w:val="007B24F7"/>
    <w:rsid w:val="007B2762"/>
    <w:rsid w:val="007B3D33"/>
    <w:rsid w:val="007C1C22"/>
    <w:rsid w:val="007C393A"/>
    <w:rsid w:val="007C3A0F"/>
    <w:rsid w:val="007C3AC6"/>
    <w:rsid w:val="007C4D3E"/>
    <w:rsid w:val="007C6C8E"/>
    <w:rsid w:val="007D09DC"/>
    <w:rsid w:val="007D3E23"/>
    <w:rsid w:val="007D6B06"/>
    <w:rsid w:val="007D76D7"/>
    <w:rsid w:val="007E249E"/>
    <w:rsid w:val="007E291C"/>
    <w:rsid w:val="007E5B72"/>
    <w:rsid w:val="007E5ED7"/>
    <w:rsid w:val="007E6242"/>
    <w:rsid w:val="007E633B"/>
    <w:rsid w:val="007E6AD6"/>
    <w:rsid w:val="007E73D9"/>
    <w:rsid w:val="007E7A0A"/>
    <w:rsid w:val="007F135A"/>
    <w:rsid w:val="007F1C5D"/>
    <w:rsid w:val="007F43C0"/>
    <w:rsid w:val="007F5275"/>
    <w:rsid w:val="007F5901"/>
    <w:rsid w:val="007F7E17"/>
    <w:rsid w:val="00800310"/>
    <w:rsid w:val="0080232E"/>
    <w:rsid w:val="00803951"/>
    <w:rsid w:val="00803CA0"/>
    <w:rsid w:val="00804E76"/>
    <w:rsid w:val="00812789"/>
    <w:rsid w:val="00813B33"/>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660"/>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FE7"/>
    <w:rsid w:val="0086109E"/>
    <w:rsid w:val="00861746"/>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7913"/>
    <w:rsid w:val="00890675"/>
    <w:rsid w:val="0089123B"/>
    <w:rsid w:val="00891BE7"/>
    <w:rsid w:val="00894526"/>
    <w:rsid w:val="00894946"/>
    <w:rsid w:val="0089506D"/>
    <w:rsid w:val="008A00BC"/>
    <w:rsid w:val="008A1687"/>
    <w:rsid w:val="008A1B10"/>
    <w:rsid w:val="008A2346"/>
    <w:rsid w:val="008A2DF5"/>
    <w:rsid w:val="008A3A73"/>
    <w:rsid w:val="008A4915"/>
    <w:rsid w:val="008A52D8"/>
    <w:rsid w:val="008A5E27"/>
    <w:rsid w:val="008A718D"/>
    <w:rsid w:val="008A721D"/>
    <w:rsid w:val="008B0845"/>
    <w:rsid w:val="008B3BC6"/>
    <w:rsid w:val="008B42F0"/>
    <w:rsid w:val="008B48E6"/>
    <w:rsid w:val="008B57E9"/>
    <w:rsid w:val="008B60C2"/>
    <w:rsid w:val="008B7FF8"/>
    <w:rsid w:val="008C01F4"/>
    <w:rsid w:val="008C0503"/>
    <w:rsid w:val="008C2093"/>
    <w:rsid w:val="008C2B16"/>
    <w:rsid w:val="008C4A55"/>
    <w:rsid w:val="008C5E5E"/>
    <w:rsid w:val="008C6781"/>
    <w:rsid w:val="008C6A0D"/>
    <w:rsid w:val="008D08F5"/>
    <w:rsid w:val="008D0DDB"/>
    <w:rsid w:val="008D16AB"/>
    <w:rsid w:val="008D1875"/>
    <w:rsid w:val="008D1CAD"/>
    <w:rsid w:val="008D209F"/>
    <w:rsid w:val="008D2350"/>
    <w:rsid w:val="008D2AEB"/>
    <w:rsid w:val="008D56D6"/>
    <w:rsid w:val="008D579B"/>
    <w:rsid w:val="008D583E"/>
    <w:rsid w:val="008D7657"/>
    <w:rsid w:val="008E19D3"/>
    <w:rsid w:val="008E1CC8"/>
    <w:rsid w:val="008E24D8"/>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7058"/>
    <w:rsid w:val="00921642"/>
    <w:rsid w:val="00923C23"/>
    <w:rsid w:val="00923C45"/>
    <w:rsid w:val="00924DAE"/>
    <w:rsid w:val="00924F7D"/>
    <w:rsid w:val="009269D0"/>
    <w:rsid w:val="009312BE"/>
    <w:rsid w:val="00932D4A"/>
    <w:rsid w:val="00936845"/>
    <w:rsid w:val="00936B7F"/>
    <w:rsid w:val="009415CD"/>
    <w:rsid w:val="0094334A"/>
    <w:rsid w:val="00943E2F"/>
    <w:rsid w:val="009442E0"/>
    <w:rsid w:val="00944E47"/>
    <w:rsid w:val="0094580B"/>
    <w:rsid w:val="0095009A"/>
    <w:rsid w:val="00950ABA"/>
    <w:rsid w:val="00952C1F"/>
    <w:rsid w:val="00952D0A"/>
    <w:rsid w:val="00953FD7"/>
    <w:rsid w:val="00954732"/>
    <w:rsid w:val="009551F9"/>
    <w:rsid w:val="009555F8"/>
    <w:rsid w:val="00956BD2"/>
    <w:rsid w:val="0096092A"/>
    <w:rsid w:val="009616C7"/>
    <w:rsid w:val="00963058"/>
    <w:rsid w:val="00963AE2"/>
    <w:rsid w:val="00963E2A"/>
    <w:rsid w:val="00963E96"/>
    <w:rsid w:val="00964E8D"/>
    <w:rsid w:val="00966375"/>
    <w:rsid w:val="00972F4C"/>
    <w:rsid w:val="00975F5E"/>
    <w:rsid w:val="00976158"/>
    <w:rsid w:val="00977612"/>
    <w:rsid w:val="00981EBF"/>
    <w:rsid w:val="009822BA"/>
    <w:rsid w:val="009827FE"/>
    <w:rsid w:val="009836C4"/>
    <w:rsid w:val="00983B09"/>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4545"/>
    <w:rsid w:val="009C4DFC"/>
    <w:rsid w:val="009C59D8"/>
    <w:rsid w:val="009C6B50"/>
    <w:rsid w:val="009D0944"/>
    <w:rsid w:val="009D6D2E"/>
    <w:rsid w:val="009D753B"/>
    <w:rsid w:val="009E0470"/>
    <w:rsid w:val="009E0CEB"/>
    <w:rsid w:val="009E1011"/>
    <w:rsid w:val="009E1691"/>
    <w:rsid w:val="009E2EB9"/>
    <w:rsid w:val="009E4D07"/>
    <w:rsid w:val="009E65E3"/>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06132"/>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3806"/>
    <w:rsid w:val="00A342A5"/>
    <w:rsid w:val="00A3568B"/>
    <w:rsid w:val="00A367E0"/>
    <w:rsid w:val="00A377AE"/>
    <w:rsid w:val="00A4234B"/>
    <w:rsid w:val="00A426CE"/>
    <w:rsid w:val="00A428B2"/>
    <w:rsid w:val="00A437BA"/>
    <w:rsid w:val="00A4509D"/>
    <w:rsid w:val="00A46303"/>
    <w:rsid w:val="00A4642C"/>
    <w:rsid w:val="00A50CD4"/>
    <w:rsid w:val="00A527D7"/>
    <w:rsid w:val="00A528FC"/>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5CC0"/>
    <w:rsid w:val="00A76985"/>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B87"/>
    <w:rsid w:val="00A9750F"/>
    <w:rsid w:val="00AA0818"/>
    <w:rsid w:val="00AA599A"/>
    <w:rsid w:val="00AA5E2F"/>
    <w:rsid w:val="00AB0861"/>
    <w:rsid w:val="00AB15E9"/>
    <w:rsid w:val="00AB24F1"/>
    <w:rsid w:val="00AB3A8B"/>
    <w:rsid w:val="00AB5812"/>
    <w:rsid w:val="00AB5BFC"/>
    <w:rsid w:val="00AB5E22"/>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32AA"/>
    <w:rsid w:val="00AF4526"/>
    <w:rsid w:val="00AF496B"/>
    <w:rsid w:val="00AF4D26"/>
    <w:rsid w:val="00AF517C"/>
    <w:rsid w:val="00AF7047"/>
    <w:rsid w:val="00AF73A4"/>
    <w:rsid w:val="00B00BAD"/>
    <w:rsid w:val="00B00DA4"/>
    <w:rsid w:val="00B03860"/>
    <w:rsid w:val="00B05A10"/>
    <w:rsid w:val="00B05D3A"/>
    <w:rsid w:val="00B06244"/>
    <w:rsid w:val="00B0691A"/>
    <w:rsid w:val="00B07AFE"/>
    <w:rsid w:val="00B11252"/>
    <w:rsid w:val="00B1358E"/>
    <w:rsid w:val="00B145B3"/>
    <w:rsid w:val="00B15A64"/>
    <w:rsid w:val="00B17C0F"/>
    <w:rsid w:val="00B17C41"/>
    <w:rsid w:val="00B17FDB"/>
    <w:rsid w:val="00B21966"/>
    <w:rsid w:val="00B22F5B"/>
    <w:rsid w:val="00B240A8"/>
    <w:rsid w:val="00B24B51"/>
    <w:rsid w:val="00B26852"/>
    <w:rsid w:val="00B31B92"/>
    <w:rsid w:val="00B320D9"/>
    <w:rsid w:val="00B321D4"/>
    <w:rsid w:val="00B330B9"/>
    <w:rsid w:val="00B347AF"/>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758A"/>
    <w:rsid w:val="00B6355E"/>
    <w:rsid w:val="00B64471"/>
    <w:rsid w:val="00B64952"/>
    <w:rsid w:val="00B65B84"/>
    <w:rsid w:val="00B6676C"/>
    <w:rsid w:val="00B7272A"/>
    <w:rsid w:val="00B73133"/>
    <w:rsid w:val="00B74629"/>
    <w:rsid w:val="00B75F90"/>
    <w:rsid w:val="00B76C15"/>
    <w:rsid w:val="00B8036D"/>
    <w:rsid w:val="00B814E0"/>
    <w:rsid w:val="00B82C78"/>
    <w:rsid w:val="00B84A5C"/>
    <w:rsid w:val="00B85009"/>
    <w:rsid w:val="00B854AD"/>
    <w:rsid w:val="00B87124"/>
    <w:rsid w:val="00B875D0"/>
    <w:rsid w:val="00B90197"/>
    <w:rsid w:val="00B90656"/>
    <w:rsid w:val="00B90ABC"/>
    <w:rsid w:val="00B910C1"/>
    <w:rsid w:val="00B918EE"/>
    <w:rsid w:val="00B91C04"/>
    <w:rsid w:val="00B926CC"/>
    <w:rsid w:val="00B93841"/>
    <w:rsid w:val="00B948D2"/>
    <w:rsid w:val="00B95598"/>
    <w:rsid w:val="00B95B2B"/>
    <w:rsid w:val="00BA24C4"/>
    <w:rsid w:val="00BA478A"/>
    <w:rsid w:val="00BA66F5"/>
    <w:rsid w:val="00BA726F"/>
    <w:rsid w:val="00BB1D85"/>
    <w:rsid w:val="00BB649A"/>
    <w:rsid w:val="00BC159F"/>
    <w:rsid w:val="00BC2E70"/>
    <w:rsid w:val="00BC3DD4"/>
    <w:rsid w:val="00BC5048"/>
    <w:rsid w:val="00BD0FA0"/>
    <w:rsid w:val="00BD0FD6"/>
    <w:rsid w:val="00BD2B98"/>
    <w:rsid w:val="00BD420C"/>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E68"/>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403B4"/>
    <w:rsid w:val="00C406DE"/>
    <w:rsid w:val="00C411FE"/>
    <w:rsid w:val="00C41B61"/>
    <w:rsid w:val="00C42886"/>
    <w:rsid w:val="00C43256"/>
    <w:rsid w:val="00C434F9"/>
    <w:rsid w:val="00C45CC3"/>
    <w:rsid w:val="00C45CCE"/>
    <w:rsid w:val="00C46170"/>
    <w:rsid w:val="00C467CA"/>
    <w:rsid w:val="00C467D4"/>
    <w:rsid w:val="00C46941"/>
    <w:rsid w:val="00C47381"/>
    <w:rsid w:val="00C50FAA"/>
    <w:rsid w:val="00C51234"/>
    <w:rsid w:val="00C5278E"/>
    <w:rsid w:val="00C538D8"/>
    <w:rsid w:val="00C53FB9"/>
    <w:rsid w:val="00C550EA"/>
    <w:rsid w:val="00C62F52"/>
    <w:rsid w:val="00C63AA7"/>
    <w:rsid w:val="00C657F9"/>
    <w:rsid w:val="00C65F90"/>
    <w:rsid w:val="00C666AF"/>
    <w:rsid w:val="00C70C53"/>
    <w:rsid w:val="00C70CF4"/>
    <w:rsid w:val="00C718DA"/>
    <w:rsid w:val="00C7226C"/>
    <w:rsid w:val="00C72BBA"/>
    <w:rsid w:val="00C73873"/>
    <w:rsid w:val="00C75FCC"/>
    <w:rsid w:val="00C76FA7"/>
    <w:rsid w:val="00C82D65"/>
    <w:rsid w:val="00C86431"/>
    <w:rsid w:val="00C86776"/>
    <w:rsid w:val="00C91224"/>
    <w:rsid w:val="00C9316D"/>
    <w:rsid w:val="00C948FD"/>
    <w:rsid w:val="00C94A97"/>
    <w:rsid w:val="00C953BC"/>
    <w:rsid w:val="00C975B4"/>
    <w:rsid w:val="00C97B89"/>
    <w:rsid w:val="00C97FB9"/>
    <w:rsid w:val="00CA155E"/>
    <w:rsid w:val="00CA2E10"/>
    <w:rsid w:val="00CA34CB"/>
    <w:rsid w:val="00CA3D9D"/>
    <w:rsid w:val="00CA3DE1"/>
    <w:rsid w:val="00CA6A60"/>
    <w:rsid w:val="00CA6F9C"/>
    <w:rsid w:val="00CA7999"/>
    <w:rsid w:val="00CB1739"/>
    <w:rsid w:val="00CB21C5"/>
    <w:rsid w:val="00CB43CB"/>
    <w:rsid w:val="00CB4E0C"/>
    <w:rsid w:val="00CB5097"/>
    <w:rsid w:val="00CB6814"/>
    <w:rsid w:val="00CC0DD8"/>
    <w:rsid w:val="00CC2885"/>
    <w:rsid w:val="00CC47AC"/>
    <w:rsid w:val="00CC65BE"/>
    <w:rsid w:val="00CD056E"/>
    <w:rsid w:val="00CD1405"/>
    <w:rsid w:val="00CD29B7"/>
    <w:rsid w:val="00CD394F"/>
    <w:rsid w:val="00CD44C9"/>
    <w:rsid w:val="00CD518F"/>
    <w:rsid w:val="00CD6387"/>
    <w:rsid w:val="00CD7BBE"/>
    <w:rsid w:val="00CE2A7F"/>
    <w:rsid w:val="00CE3610"/>
    <w:rsid w:val="00CE45EC"/>
    <w:rsid w:val="00CE51D8"/>
    <w:rsid w:val="00CF00CF"/>
    <w:rsid w:val="00CF24CD"/>
    <w:rsid w:val="00CF5221"/>
    <w:rsid w:val="00CF5822"/>
    <w:rsid w:val="00CF5A9B"/>
    <w:rsid w:val="00CF61A2"/>
    <w:rsid w:val="00CF6672"/>
    <w:rsid w:val="00D03A5F"/>
    <w:rsid w:val="00D04E79"/>
    <w:rsid w:val="00D057C0"/>
    <w:rsid w:val="00D079BB"/>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42C8"/>
    <w:rsid w:val="00D76AAD"/>
    <w:rsid w:val="00D76DCC"/>
    <w:rsid w:val="00D77062"/>
    <w:rsid w:val="00D77C89"/>
    <w:rsid w:val="00D80965"/>
    <w:rsid w:val="00D812FA"/>
    <w:rsid w:val="00D82A70"/>
    <w:rsid w:val="00D82B55"/>
    <w:rsid w:val="00D83702"/>
    <w:rsid w:val="00D838C4"/>
    <w:rsid w:val="00D83EDD"/>
    <w:rsid w:val="00D849D1"/>
    <w:rsid w:val="00D921AE"/>
    <w:rsid w:val="00D942A7"/>
    <w:rsid w:val="00D9606E"/>
    <w:rsid w:val="00D96DF5"/>
    <w:rsid w:val="00DA06CB"/>
    <w:rsid w:val="00DA0F8B"/>
    <w:rsid w:val="00DA1569"/>
    <w:rsid w:val="00DA3E53"/>
    <w:rsid w:val="00DA4C8E"/>
    <w:rsid w:val="00DA6E8C"/>
    <w:rsid w:val="00DB03DF"/>
    <w:rsid w:val="00DB3140"/>
    <w:rsid w:val="00DB331C"/>
    <w:rsid w:val="00DB3489"/>
    <w:rsid w:val="00DB58FE"/>
    <w:rsid w:val="00DB5EFB"/>
    <w:rsid w:val="00DB75E1"/>
    <w:rsid w:val="00DB7BFD"/>
    <w:rsid w:val="00DC253D"/>
    <w:rsid w:val="00DC3B00"/>
    <w:rsid w:val="00DC5031"/>
    <w:rsid w:val="00DC51F3"/>
    <w:rsid w:val="00DC60E2"/>
    <w:rsid w:val="00DC61A2"/>
    <w:rsid w:val="00DD139E"/>
    <w:rsid w:val="00DD2356"/>
    <w:rsid w:val="00DD253B"/>
    <w:rsid w:val="00DD483A"/>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08C"/>
    <w:rsid w:val="00E00230"/>
    <w:rsid w:val="00E00442"/>
    <w:rsid w:val="00E015B8"/>
    <w:rsid w:val="00E02445"/>
    <w:rsid w:val="00E043C4"/>
    <w:rsid w:val="00E047E9"/>
    <w:rsid w:val="00E0521D"/>
    <w:rsid w:val="00E074E3"/>
    <w:rsid w:val="00E10039"/>
    <w:rsid w:val="00E10FC0"/>
    <w:rsid w:val="00E11E64"/>
    <w:rsid w:val="00E12620"/>
    <w:rsid w:val="00E12832"/>
    <w:rsid w:val="00E13B7B"/>
    <w:rsid w:val="00E13E55"/>
    <w:rsid w:val="00E142EC"/>
    <w:rsid w:val="00E151AC"/>
    <w:rsid w:val="00E158DF"/>
    <w:rsid w:val="00E2203D"/>
    <w:rsid w:val="00E220AD"/>
    <w:rsid w:val="00E222BB"/>
    <w:rsid w:val="00E22B93"/>
    <w:rsid w:val="00E253AC"/>
    <w:rsid w:val="00E25B77"/>
    <w:rsid w:val="00E2625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7755"/>
    <w:rsid w:val="00E67830"/>
    <w:rsid w:val="00E720E0"/>
    <w:rsid w:val="00E72CDA"/>
    <w:rsid w:val="00E7677D"/>
    <w:rsid w:val="00E76BD1"/>
    <w:rsid w:val="00E77098"/>
    <w:rsid w:val="00E7793E"/>
    <w:rsid w:val="00E7794B"/>
    <w:rsid w:val="00E77E47"/>
    <w:rsid w:val="00E804F0"/>
    <w:rsid w:val="00E82A84"/>
    <w:rsid w:val="00E83E23"/>
    <w:rsid w:val="00E83EBA"/>
    <w:rsid w:val="00E8474D"/>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1F"/>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B8C"/>
    <w:rsid w:val="00EF14F4"/>
    <w:rsid w:val="00EF18E6"/>
    <w:rsid w:val="00EF21BC"/>
    <w:rsid w:val="00EF22DA"/>
    <w:rsid w:val="00EF3270"/>
    <w:rsid w:val="00EF3697"/>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79CF"/>
    <w:rsid w:val="00F2342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79DE"/>
    <w:rsid w:val="00F71E8F"/>
    <w:rsid w:val="00F73826"/>
    <w:rsid w:val="00F73987"/>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B04C6"/>
    <w:rsid w:val="00FB0C57"/>
    <w:rsid w:val="00FB0D80"/>
    <w:rsid w:val="00FB1992"/>
    <w:rsid w:val="00FB3A31"/>
    <w:rsid w:val="00FB4BB4"/>
    <w:rsid w:val="00FB55BD"/>
    <w:rsid w:val="00FB7529"/>
    <w:rsid w:val="00FC1297"/>
    <w:rsid w:val="00FC3643"/>
    <w:rsid w:val="00FC3975"/>
    <w:rsid w:val="00FC445F"/>
    <w:rsid w:val="00FC4AF4"/>
    <w:rsid w:val="00FC53F3"/>
    <w:rsid w:val="00FC5B63"/>
    <w:rsid w:val="00FC6F59"/>
    <w:rsid w:val="00FD0C75"/>
    <w:rsid w:val="00FD0C89"/>
    <w:rsid w:val="00FD125F"/>
    <w:rsid w:val="00FD2E83"/>
    <w:rsid w:val="00FD2ECA"/>
    <w:rsid w:val="00FD49E9"/>
    <w:rsid w:val="00FD6185"/>
    <w:rsid w:val="00FD7CEB"/>
    <w:rsid w:val="00FE05A8"/>
    <w:rsid w:val="00FE3243"/>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DC"/>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52A5-4CCB-4AF6-AB15-F376DEF0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2488</Words>
  <Characters>14182</Characters>
  <Application>Microsoft Office Word</Application>
  <DocSecurity>0</DocSecurity>
  <Lines>118</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16637</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2020-11-13T12:04:00Z</dcterms:created>
  <dcterms:modified xsi:type="dcterms:W3CDTF">2020-11-18T10:33:00Z</dcterms:modified>
</cp:coreProperties>
</file>