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98" w:rsidRPr="00F818EE" w:rsidRDefault="00316D98">
      <w:pPr>
        <w:rPr>
          <w:sz w:val="16"/>
          <w:szCs w:val="16"/>
        </w:rPr>
      </w:pPr>
    </w:p>
    <w:p w:rsidR="008C7683" w:rsidRPr="00F818EE" w:rsidRDefault="008C7683">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F818EE" w:rsidRPr="00F818EE" w:rsidTr="00B20ED0">
        <w:trPr>
          <w:trHeight w:val="958"/>
          <w:jc w:val="center"/>
        </w:trPr>
        <w:tc>
          <w:tcPr>
            <w:tcW w:w="15650" w:type="dxa"/>
            <w:shd w:val="clear" w:color="auto" w:fill="BDD6EE"/>
          </w:tcPr>
          <w:p w:rsidR="00316D98" w:rsidRPr="00F818EE" w:rsidRDefault="00316D98" w:rsidP="00B20ED0">
            <w:pPr>
              <w:tabs>
                <w:tab w:val="left" w:pos="2190"/>
              </w:tabs>
              <w:spacing w:before="120" w:line="360" w:lineRule="auto"/>
              <w:jc w:val="center"/>
              <w:rPr>
                <w:rFonts w:ascii="Verdana" w:hAnsi="Verdana"/>
                <w:b/>
                <w:spacing w:val="60"/>
              </w:rPr>
            </w:pPr>
            <w:r w:rsidRPr="00F818EE">
              <w:rPr>
                <w:rFonts w:ascii="Verdana" w:hAnsi="Verdana"/>
                <w:b/>
                <w:spacing w:val="60"/>
              </w:rPr>
              <w:t>СПРАВКА</w:t>
            </w:r>
          </w:p>
          <w:p w:rsidR="00316D98" w:rsidRPr="00F818EE" w:rsidRDefault="00316D98" w:rsidP="00B20ED0">
            <w:pPr>
              <w:tabs>
                <w:tab w:val="left" w:pos="2977"/>
              </w:tabs>
              <w:spacing w:line="360" w:lineRule="auto"/>
              <w:jc w:val="center"/>
              <w:rPr>
                <w:rFonts w:ascii="Verdana" w:hAnsi="Verdana" w:cs="Verdana"/>
                <w:b/>
                <w:sz w:val="20"/>
                <w:szCs w:val="20"/>
              </w:rPr>
            </w:pPr>
            <w:r w:rsidRPr="00F818EE">
              <w:rPr>
                <w:rFonts w:ascii="Verdana" w:hAnsi="Verdana"/>
                <w:b/>
                <w:sz w:val="20"/>
                <w:szCs w:val="20"/>
              </w:rPr>
              <w:t xml:space="preserve">ЗА ОТРАЗЯВАНЕ НА ПОСТЪПИЛИТЕ ПРЕДЛОЖЕНИЯ ОТ ОБЩЕСТВЕНИТЕ КОНСУЛТАЦИИ НА ПРОЕКТА НА </w:t>
            </w:r>
            <w:r w:rsidRPr="00F818EE">
              <w:rPr>
                <w:rFonts w:ascii="Verdana" w:hAnsi="Verdana" w:cs="Verdana"/>
                <w:b/>
                <w:sz w:val="20"/>
                <w:szCs w:val="20"/>
              </w:rPr>
              <w:t>РЕШЕНИЕ НА</w:t>
            </w:r>
          </w:p>
          <w:p w:rsidR="00316D98" w:rsidRPr="00F818EE" w:rsidRDefault="00316D98" w:rsidP="0093647C">
            <w:pPr>
              <w:tabs>
                <w:tab w:val="left" w:pos="2977"/>
              </w:tabs>
              <w:spacing w:line="360" w:lineRule="auto"/>
              <w:jc w:val="center"/>
              <w:rPr>
                <w:rFonts w:ascii="Verdana" w:hAnsi="Verdana" w:cs="Verdana"/>
                <w:b/>
                <w:sz w:val="20"/>
                <w:szCs w:val="20"/>
              </w:rPr>
            </w:pPr>
            <w:r w:rsidRPr="00F818EE">
              <w:rPr>
                <w:rFonts w:ascii="Verdana" w:hAnsi="Verdana" w:cs="Verdana"/>
                <w:b/>
                <w:sz w:val="20"/>
                <w:szCs w:val="20"/>
              </w:rPr>
              <w:t>МИНИСТЕРСКИЯ СЪВЕТ ЗА ОДОБРЯВАНЕ НА ПРОЕКТ НА ЗАКОН ЗА ИЗМЕНЕНИЕ И ДОПЪЛНЕНИЕ НА ЗАКОНА ЗА ПОДПОМАГАНЕ НА ЗЕМЕДЕЛСКИТЕ ПРОИЗВОДИТЕЛИ</w:t>
            </w:r>
          </w:p>
        </w:tc>
      </w:tr>
    </w:tbl>
    <w:p w:rsidR="00316D98" w:rsidRPr="00F818EE" w:rsidRDefault="00316D98">
      <w:pPr>
        <w:rPr>
          <w:sz w:val="20"/>
          <w:szCs w:val="20"/>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624"/>
        <w:gridCol w:w="6095"/>
        <w:gridCol w:w="1559"/>
        <w:gridCol w:w="4750"/>
      </w:tblGrid>
      <w:tr w:rsidR="00F818EE" w:rsidRPr="00F818EE" w:rsidTr="0093647C">
        <w:trPr>
          <w:trHeight w:val="565"/>
          <w:tblHeader/>
          <w:jc w:val="center"/>
        </w:trPr>
        <w:tc>
          <w:tcPr>
            <w:tcW w:w="622" w:type="dxa"/>
            <w:tcBorders>
              <w:bottom w:val="single" w:sz="12" w:space="0" w:color="2E74B5"/>
            </w:tcBorders>
            <w:shd w:val="clear" w:color="auto" w:fill="DEEAF6"/>
            <w:vAlign w:val="center"/>
          </w:tcPr>
          <w:p w:rsidR="00E220AD" w:rsidRPr="00F818EE" w:rsidRDefault="00E220AD" w:rsidP="00316D98">
            <w:pPr>
              <w:tabs>
                <w:tab w:val="left" w:pos="192"/>
              </w:tabs>
              <w:spacing w:after="40"/>
              <w:jc w:val="center"/>
              <w:rPr>
                <w:rFonts w:ascii="Verdana" w:hAnsi="Verdana"/>
                <w:b/>
                <w:sz w:val="18"/>
                <w:szCs w:val="18"/>
              </w:rPr>
            </w:pPr>
            <w:r w:rsidRPr="00F818EE">
              <w:rPr>
                <w:rFonts w:ascii="Verdana" w:hAnsi="Verdana"/>
                <w:b/>
                <w:sz w:val="18"/>
                <w:szCs w:val="18"/>
              </w:rPr>
              <w:t>№</w:t>
            </w:r>
          </w:p>
        </w:tc>
        <w:tc>
          <w:tcPr>
            <w:tcW w:w="2624" w:type="dxa"/>
            <w:tcBorders>
              <w:bottom w:val="single" w:sz="12" w:space="0" w:color="2E74B5"/>
            </w:tcBorders>
            <w:shd w:val="clear" w:color="auto" w:fill="DEEAF6"/>
            <w:vAlign w:val="center"/>
          </w:tcPr>
          <w:p w:rsidR="00E220AD" w:rsidRPr="00F818EE" w:rsidRDefault="00E220AD" w:rsidP="00316D98">
            <w:pPr>
              <w:spacing w:before="40" w:after="40"/>
              <w:jc w:val="center"/>
              <w:rPr>
                <w:rFonts w:ascii="Verdana" w:hAnsi="Verdana"/>
                <w:b/>
                <w:sz w:val="19"/>
                <w:szCs w:val="19"/>
              </w:rPr>
            </w:pPr>
            <w:r w:rsidRPr="00F818EE">
              <w:rPr>
                <w:rFonts w:ascii="Verdana" w:hAnsi="Verdana"/>
                <w:b/>
                <w:sz w:val="19"/>
                <w:szCs w:val="19"/>
              </w:rPr>
              <w:t>Организация/</w:t>
            </w:r>
            <w:r w:rsidR="00DD502C" w:rsidRPr="00F818EE">
              <w:rPr>
                <w:rFonts w:ascii="Verdana" w:hAnsi="Verdana"/>
                <w:b/>
                <w:sz w:val="19"/>
                <w:szCs w:val="19"/>
              </w:rPr>
              <w:t xml:space="preserve"> </w:t>
            </w:r>
            <w:r w:rsidR="00DD502C" w:rsidRPr="00F818EE">
              <w:rPr>
                <w:rFonts w:ascii="Verdana" w:hAnsi="Verdana"/>
                <w:b/>
                <w:sz w:val="19"/>
                <w:szCs w:val="19"/>
              </w:rPr>
              <w:br/>
            </w:r>
            <w:r w:rsidRPr="00F818EE">
              <w:rPr>
                <w:rFonts w:ascii="Verdana" w:hAnsi="Verdana"/>
                <w:b/>
                <w:sz w:val="19"/>
                <w:szCs w:val="19"/>
              </w:rPr>
              <w:t>потребител</w:t>
            </w:r>
          </w:p>
          <w:p w:rsidR="005424B9" w:rsidRPr="00F818EE" w:rsidRDefault="00291E9B" w:rsidP="00316D98">
            <w:pPr>
              <w:spacing w:after="40"/>
              <w:jc w:val="center"/>
              <w:rPr>
                <w:rFonts w:ascii="Verdana" w:hAnsi="Verdana"/>
                <w:b/>
                <w:sz w:val="14"/>
                <w:szCs w:val="14"/>
              </w:rPr>
            </w:pPr>
            <w:r w:rsidRPr="00F818EE">
              <w:rPr>
                <w:rFonts w:ascii="Verdana" w:hAnsi="Verdana"/>
                <w:b/>
                <w:sz w:val="14"/>
                <w:szCs w:val="14"/>
              </w:rPr>
              <w:t>(</w:t>
            </w:r>
            <w:r w:rsidR="005424B9" w:rsidRPr="00F818EE">
              <w:rPr>
                <w:rFonts w:ascii="Verdana" w:hAnsi="Verdana"/>
                <w:b/>
                <w:sz w:val="14"/>
                <w:szCs w:val="14"/>
              </w:rPr>
              <w:t>вкл. начина на получаване на предложението</w:t>
            </w:r>
            <w:r w:rsidRPr="00F818EE">
              <w:rPr>
                <w:rFonts w:ascii="Verdana" w:hAnsi="Verdana"/>
                <w:b/>
                <w:sz w:val="14"/>
                <w:szCs w:val="14"/>
              </w:rPr>
              <w:t>)</w:t>
            </w:r>
          </w:p>
        </w:tc>
        <w:tc>
          <w:tcPr>
            <w:tcW w:w="6095" w:type="dxa"/>
            <w:shd w:val="clear" w:color="auto" w:fill="DEEAF6"/>
            <w:vAlign w:val="center"/>
          </w:tcPr>
          <w:p w:rsidR="00E220AD" w:rsidRPr="00F818EE" w:rsidRDefault="00E220AD" w:rsidP="00316D98">
            <w:pPr>
              <w:spacing w:after="40"/>
              <w:jc w:val="center"/>
              <w:rPr>
                <w:rFonts w:ascii="Verdana" w:hAnsi="Verdana"/>
                <w:b/>
                <w:sz w:val="19"/>
                <w:szCs w:val="19"/>
              </w:rPr>
            </w:pPr>
            <w:r w:rsidRPr="00F818EE">
              <w:rPr>
                <w:rFonts w:ascii="Verdana" w:hAnsi="Verdana"/>
                <w:b/>
                <w:sz w:val="19"/>
                <w:szCs w:val="19"/>
              </w:rPr>
              <w:t>Бележки и предложения</w:t>
            </w:r>
          </w:p>
        </w:tc>
        <w:tc>
          <w:tcPr>
            <w:tcW w:w="1559" w:type="dxa"/>
            <w:shd w:val="clear" w:color="auto" w:fill="DEEAF6"/>
            <w:vAlign w:val="center"/>
          </w:tcPr>
          <w:p w:rsidR="00E220AD" w:rsidRPr="00F818EE" w:rsidRDefault="00E220AD" w:rsidP="00316D98">
            <w:pPr>
              <w:spacing w:after="40"/>
              <w:jc w:val="center"/>
              <w:rPr>
                <w:rFonts w:ascii="Verdana" w:hAnsi="Verdana"/>
                <w:b/>
                <w:sz w:val="18"/>
                <w:szCs w:val="18"/>
              </w:rPr>
            </w:pPr>
            <w:r w:rsidRPr="00F818EE">
              <w:rPr>
                <w:rFonts w:ascii="Verdana" w:hAnsi="Verdana"/>
                <w:b/>
                <w:sz w:val="18"/>
                <w:szCs w:val="18"/>
              </w:rPr>
              <w:t>Приети/</w:t>
            </w:r>
          </w:p>
          <w:p w:rsidR="00E220AD" w:rsidRPr="00F818EE" w:rsidRDefault="00E220AD" w:rsidP="00316D98">
            <w:pPr>
              <w:spacing w:after="40"/>
              <w:jc w:val="center"/>
              <w:rPr>
                <w:rFonts w:ascii="Verdana" w:hAnsi="Verdana"/>
                <w:b/>
                <w:sz w:val="18"/>
                <w:szCs w:val="18"/>
              </w:rPr>
            </w:pPr>
            <w:r w:rsidRPr="00F818EE">
              <w:rPr>
                <w:rFonts w:ascii="Verdana" w:hAnsi="Verdana"/>
                <w:b/>
                <w:sz w:val="18"/>
                <w:szCs w:val="18"/>
              </w:rPr>
              <w:t>неприети</w:t>
            </w:r>
          </w:p>
        </w:tc>
        <w:tc>
          <w:tcPr>
            <w:tcW w:w="4750" w:type="dxa"/>
            <w:shd w:val="clear" w:color="auto" w:fill="DEEAF6"/>
            <w:vAlign w:val="center"/>
          </w:tcPr>
          <w:p w:rsidR="00E220AD" w:rsidRPr="00F818EE" w:rsidRDefault="00E220AD" w:rsidP="00316D98">
            <w:pPr>
              <w:spacing w:after="40"/>
              <w:jc w:val="center"/>
              <w:rPr>
                <w:rFonts w:ascii="Verdana" w:hAnsi="Verdana"/>
                <w:sz w:val="18"/>
                <w:szCs w:val="18"/>
              </w:rPr>
            </w:pPr>
            <w:r w:rsidRPr="00F818EE">
              <w:rPr>
                <w:rFonts w:ascii="Verdana" w:hAnsi="Verdana"/>
                <w:b/>
                <w:sz w:val="18"/>
                <w:szCs w:val="18"/>
              </w:rPr>
              <w:t>Мотиви</w:t>
            </w:r>
          </w:p>
        </w:tc>
      </w:tr>
      <w:tr w:rsidR="00F818EE" w:rsidRPr="00F818EE" w:rsidTr="0093647C">
        <w:trPr>
          <w:trHeight w:val="596"/>
          <w:jc w:val="center"/>
        </w:trPr>
        <w:tc>
          <w:tcPr>
            <w:tcW w:w="622" w:type="dxa"/>
            <w:shd w:val="clear" w:color="auto" w:fill="auto"/>
          </w:tcPr>
          <w:p w:rsidR="002A5AE6" w:rsidRPr="00F818EE" w:rsidRDefault="002A5AE6"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shd w:val="clear" w:color="auto" w:fill="auto"/>
          </w:tcPr>
          <w:p w:rsidR="006C695E" w:rsidRPr="00F818EE" w:rsidRDefault="003B3BE2" w:rsidP="00316D98">
            <w:pPr>
              <w:spacing w:before="80" w:after="40"/>
              <w:rPr>
                <w:rFonts w:ascii="Verdana" w:hAnsi="Verdana"/>
                <w:sz w:val="18"/>
                <w:szCs w:val="18"/>
              </w:rPr>
            </w:pPr>
            <w:r w:rsidRPr="00F818EE">
              <w:rPr>
                <w:rFonts w:ascii="Verdana" w:hAnsi="Verdana" w:cs="Tahoma"/>
                <w:b/>
                <w:sz w:val="18"/>
                <w:szCs w:val="18"/>
              </w:rPr>
              <w:t>Apex Lawyers</w:t>
            </w:r>
            <w:r w:rsidRPr="00F818EE">
              <w:rPr>
                <w:rFonts w:ascii="Verdana" w:hAnsi="Verdana" w:cs="Tahoma"/>
                <w:sz w:val="18"/>
                <w:szCs w:val="18"/>
              </w:rPr>
              <w:br/>
              <w:t>(Портал за обществени консултации)</w:t>
            </w:r>
          </w:p>
        </w:tc>
        <w:tc>
          <w:tcPr>
            <w:tcW w:w="6095" w:type="dxa"/>
            <w:shd w:val="clear" w:color="auto" w:fill="auto"/>
          </w:tcPr>
          <w:p w:rsidR="003B3BE2" w:rsidRPr="00F818EE" w:rsidRDefault="003B3BE2" w:rsidP="00316D98">
            <w:pPr>
              <w:spacing w:before="80" w:after="40"/>
              <w:jc w:val="both"/>
              <w:rPr>
                <w:rFonts w:ascii="Verdana" w:hAnsi="Verdana"/>
                <w:bCs/>
                <w:sz w:val="18"/>
                <w:szCs w:val="18"/>
              </w:rPr>
            </w:pPr>
            <w:r w:rsidRPr="00F818EE">
              <w:rPr>
                <w:rFonts w:ascii="Verdana" w:hAnsi="Verdana"/>
                <w:b/>
                <w:bCs/>
                <w:sz w:val="18"/>
                <w:szCs w:val="18"/>
              </w:rPr>
              <w:t>Предложение за редакция на § 12, ал. 1:</w:t>
            </w:r>
          </w:p>
          <w:p w:rsidR="003B3BE2" w:rsidRPr="00F818EE" w:rsidRDefault="003B3BE2" w:rsidP="00316D98">
            <w:pPr>
              <w:spacing w:before="80" w:after="40"/>
              <w:jc w:val="both"/>
              <w:rPr>
                <w:rFonts w:ascii="Verdana" w:hAnsi="Verdana"/>
                <w:bCs/>
                <w:sz w:val="18"/>
                <w:szCs w:val="18"/>
              </w:rPr>
            </w:pPr>
            <w:r w:rsidRPr="00F818EE">
              <w:rPr>
                <w:rFonts w:ascii="Verdana" w:hAnsi="Verdana"/>
                <w:b/>
                <w:bCs/>
                <w:sz w:val="18"/>
                <w:szCs w:val="18"/>
              </w:rPr>
              <w:t>§ 12.</w:t>
            </w:r>
            <w:r w:rsidRPr="00F818EE">
              <w:rPr>
                <w:rFonts w:ascii="Verdana" w:hAnsi="Verdana"/>
                <w:bCs/>
                <w:sz w:val="18"/>
                <w:szCs w:val="18"/>
              </w:rPr>
              <w:t xml:space="preserve"> (1) В срок </w:t>
            </w:r>
            <w:r w:rsidRPr="00F818EE">
              <w:rPr>
                <w:rFonts w:ascii="Verdana" w:hAnsi="Verdana"/>
                <w:b/>
                <w:bCs/>
                <w:sz w:val="18"/>
                <w:szCs w:val="18"/>
              </w:rPr>
              <w:t xml:space="preserve">от </w:t>
            </w:r>
            <w:r w:rsidRPr="00F818EE">
              <w:rPr>
                <w:rFonts w:ascii="Verdana" w:hAnsi="Verdana"/>
                <w:bCs/>
                <w:sz w:val="18"/>
                <w:szCs w:val="18"/>
              </w:rPr>
              <w:t>5 години, считано от 23.12.2020 г., земите по чл. 19, ал. 1 от Закона за собствеността и ползването на земеделските земи се предоставят от общинските съвети само при условията на § 27, ал. 2 от преходните и заключителните разпоредби на Закона за изменение и допълнение на Закона за собствеността и ползуването на земеделските земи (ДВ, бр. 62 от 2010 г.), както и за:</w:t>
            </w:r>
          </w:p>
          <w:p w:rsidR="003B3BE2" w:rsidRPr="00F818EE" w:rsidRDefault="003B3BE2" w:rsidP="00316D98">
            <w:pPr>
              <w:spacing w:before="80" w:after="40"/>
              <w:jc w:val="both"/>
              <w:rPr>
                <w:rFonts w:ascii="Verdana" w:hAnsi="Verdana"/>
                <w:bCs/>
                <w:sz w:val="18"/>
                <w:szCs w:val="18"/>
              </w:rPr>
            </w:pPr>
            <w:r w:rsidRPr="00F818EE">
              <w:rPr>
                <w:rFonts w:ascii="Verdana" w:hAnsi="Verdana"/>
                <w:bCs/>
                <w:sz w:val="18"/>
                <w:szCs w:val="18"/>
              </w:rPr>
              <w:t>1. изпълнение на обекти от техническата инфраструктура, за изпълнение на дейности по предоставени права по Закона за подземните богатства и на други проекти, за които съгласно закон се допуска принудително отчуждаване;</w:t>
            </w:r>
          </w:p>
          <w:p w:rsidR="003B3BE2" w:rsidRPr="00F818EE" w:rsidRDefault="003B3BE2" w:rsidP="00316D98">
            <w:pPr>
              <w:spacing w:before="80" w:after="40"/>
              <w:jc w:val="both"/>
              <w:rPr>
                <w:rFonts w:ascii="Verdana" w:hAnsi="Verdana"/>
                <w:bCs/>
                <w:sz w:val="18"/>
                <w:szCs w:val="18"/>
              </w:rPr>
            </w:pPr>
            <w:r w:rsidRPr="00F818EE">
              <w:rPr>
                <w:rFonts w:ascii="Verdana" w:hAnsi="Verdana"/>
                <w:bCs/>
                <w:sz w:val="18"/>
                <w:szCs w:val="18"/>
              </w:rPr>
              <w:t>2. създаване на нови или разширяване строителните граници на съществуващи урбанизирани територии (населени места и селищни образувания);</w:t>
            </w:r>
          </w:p>
          <w:p w:rsidR="003B3BE2" w:rsidRPr="00F818EE" w:rsidRDefault="003B3BE2" w:rsidP="00316D98">
            <w:pPr>
              <w:spacing w:before="80" w:after="40"/>
              <w:jc w:val="both"/>
              <w:rPr>
                <w:rFonts w:ascii="Verdana" w:hAnsi="Verdana"/>
                <w:bCs/>
                <w:sz w:val="18"/>
                <w:szCs w:val="18"/>
              </w:rPr>
            </w:pPr>
            <w:r w:rsidRPr="00F818EE">
              <w:rPr>
                <w:rFonts w:ascii="Verdana" w:hAnsi="Verdana"/>
                <w:bCs/>
                <w:sz w:val="18"/>
                <w:szCs w:val="18"/>
              </w:rPr>
              <w:t>3. изпълнение на проекти за уедряване на земеделски земи за землищата на общината по чл. 37е и 37з от Закона за собствеността и ползването на земеделските земи;</w:t>
            </w:r>
          </w:p>
          <w:p w:rsidR="003B3BE2" w:rsidRPr="00F818EE" w:rsidRDefault="003B3BE2" w:rsidP="00316D98">
            <w:pPr>
              <w:spacing w:before="80" w:after="40"/>
              <w:jc w:val="both"/>
              <w:rPr>
                <w:rFonts w:ascii="Verdana" w:hAnsi="Verdana"/>
                <w:bCs/>
                <w:sz w:val="18"/>
                <w:szCs w:val="18"/>
              </w:rPr>
            </w:pPr>
            <w:r w:rsidRPr="00F818EE">
              <w:rPr>
                <w:rFonts w:ascii="Verdana" w:hAnsi="Verdana"/>
                <w:bCs/>
                <w:sz w:val="18"/>
                <w:szCs w:val="18"/>
              </w:rPr>
              <w:t>4. инвестиционни проекти, получили сертификат за инвестиции клас А по Закона за насърчаване на инвестициите, когато това е заявено при сертифицирането на проекта;</w:t>
            </w:r>
          </w:p>
          <w:p w:rsidR="003B3BE2" w:rsidRPr="00F818EE" w:rsidRDefault="003B3BE2" w:rsidP="00316D98">
            <w:pPr>
              <w:spacing w:before="80" w:after="40"/>
              <w:jc w:val="both"/>
              <w:rPr>
                <w:rFonts w:ascii="Verdana" w:hAnsi="Verdana"/>
                <w:bCs/>
                <w:sz w:val="18"/>
                <w:szCs w:val="18"/>
              </w:rPr>
            </w:pPr>
            <w:r w:rsidRPr="00F818EE">
              <w:rPr>
                <w:rFonts w:ascii="Verdana" w:hAnsi="Verdana"/>
                <w:bCs/>
                <w:sz w:val="18"/>
                <w:szCs w:val="18"/>
              </w:rPr>
              <w:t>5. енергийни обекти по смисъла на § 1, т. 23 от допълнителните разпоредби на Закона за енергетиката;</w:t>
            </w:r>
          </w:p>
          <w:p w:rsidR="003B3BE2" w:rsidRPr="00F818EE" w:rsidRDefault="003B3BE2" w:rsidP="00316D98">
            <w:pPr>
              <w:spacing w:before="80" w:after="40"/>
              <w:jc w:val="both"/>
              <w:rPr>
                <w:rFonts w:ascii="Verdana" w:hAnsi="Verdana"/>
                <w:b/>
                <w:bCs/>
                <w:sz w:val="18"/>
                <w:szCs w:val="18"/>
              </w:rPr>
            </w:pPr>
            <w:r w:rsidRPr="00F818EE">
              <w:rPr>
                <w:rFonts w:ascii="Verdana" w:hAnsi="Verdana"/>
                <w:b/>
                <w:bCs/>
                <w:sz w:val="18"/>
                <w:szCs w:val="18"/>
              </w:rPr>
              <w:t xml:space="preserve">6. учредяване на право на преминаване при условията и по реда на чл. 36 от Закона за опазване на </w:t>
            </w:r>
            <w:r w:rsidRPr="00F818EE">
              <w:rPr>
                <w:rFonts w:ascii="Verdana" w:hAnsi="Verdana"/>
                <w:b/>
                <w:bCs/>
                <w:sz w:val="18"/>
                <w:szCs w:val="18"/>
              </w:rPr>
              <w:lastRenderedPageBreak/>
              <w:t>селскостопанското имущество.</w:t>
            </w:r>
          </w:p>
          <w:p w:rsidR="002A5AE6" w:rsidRPr="00F818EE" w:rsidRDefault="003B3BE2" w:rsidP="00316D98">
            <w:pPr>
              <w:spacing w:before="80" w:after="40"/>
              <w:jc w:val="both"/>
              <w:rPr>
                <w:rFonts w:ascii="Verdana" w:hAnsi="Verdana"/>
                <w:bCs/>
                <w:sz w:val="18"/>
                <w:szCs w:val="18"/>
              </w:rPr>
            </w:pPr>
            <w:r w:rsidRPr="00F818EE">
              <w:rPr>
                <w:rFonts w:ascii="Verdana" w:hAnsi="Verdana"/>
                <w:b/>
                <w:bCs/>
                <w:sz w:val="18"/>
                <w:szCs w:val="18"/>
              </w:rPr>
              <w:t>Мотиви</w:t>
            </w:r>
            <w:r w:rsidRPr="00F818EE">
              <w:rPr>
                <w:rFonts w:ascii="Verdana" w:hAnsi="Verdana"/>
                <w:bCs/>
                <w:sz w:val="18"/>
                <w:szCs w:val="18"/>
              </w:rPr>
              <w:t xml:space="preserve">: Настоящият законопроект неоснователно стеснява приложното поле на разпоредбата на чл. 36, ал. 1 от Закона за опазване на селскостопанското имущество, която предвижда, че собственик или ползвател на селскостопанска земя, която няма изход на обществен път, може да поиска от кмета на района или кметството по местонахождението на имота да му разреши право на преминаване през съседните земи. Обстоятелството, че определен поземлен имот представлява земя по чл. 19, ал. 1 от Закона за собствеността и ползването на земеделските земи („ЗСПЗЗ“) не би могло служи за оправдание за лишаването на собствениците и ползвателите на </w:t>
            </w:r>
            <w:r w:rsidRPr="00F818EE">
              <w:rPr>
                <w:rFonts w:ascii="Verdana" w:hAnsi="Verdana"/>
                <w:b/>
                <w:bCs/>
                <w:sz w:val="18"/>
                <w:szCs w:val="18"/>
              </w:rPr>
              <w:t>съседни</w:t>
            </w:r>
            <w:r w:rsidRPr="00F818EE">
              <w:rPr>
                <w:rFonts w:ascii="Verdana" w:hAnsi="Verdana"/>
                <w:bCs/>
                <w:sz w:val="18"/>
                <w:szCs w:val="18"/>
              </w:rPr>
              <w:t xml:space="preserve"> земеделски имоти от възможността да поискат от компетентния орган да им учреди възмездно право на преминаване през земя по чл. 19 от ЗСПЗЗ, особено като се отчете фактът, че голяма част от реституираните земеделски земи, различни от тези по чл. 19 от ЗСПЗЗ, нямат достъп до обществен път. Предложението за допълнение на разпоредбата на § 12 не би засегнало в по-голяма степен правата на лицата, на които все още не е възстановена собствеността върху земеделски имоти (в т. ч. в съществуващи или възстановими стари реални граници) от правата на онези, спрямо които реституцията е приключила и чиито имоти в определените от чл. 36, ал. 1 от Закона за опазване на селскостопанското имущество биха могли – срещу справедливо обезщетение – да бъдат обременени с право на преминаване в полза на съседни имоти без достъп до обществен път.</w:t>
            </w:r>
          </w:p>
        </w:tc>
        <w:tc>
          <w:tcPr>
            <w:tcW w:w="1559" w:type="dxa"/>
            <w:shd w:val="clear" w:color="auto" w:fill="auto"/>
          </w:tcPr>
          <w:p w:rsidR="002A5AE6" w:rsidRPr="00F818EE" w:rsidRDefault="00BC421C" w:rsidP="00316D98">
            <w:pPr>
              <w:spacing w:before="80" w:after="40"/>
              <w:rPr>
                <w:rFonts w:ascii="Verdana" w:hAnsi="Verdana"/>
                <w:sz w:val="18"/>
                <w:szCs w:val="18"/>
              </w:rPr>
            </w:pPr>
            <w:r w:rsidRPr="00F818EE">
              <w:rPr>
                <w:rFonts w:ascii="Verdana" w:hAnsi="Verdana"/>
                <w:sz w:val="18"/>
                <w:szCs w:val="18"/>
              </w:rPr>
              <w:lastRenderedPageBreak/>
              <w:t>Не се приема</w:t>
            </w:r>
          </w:p>
        </w:tc>
        <w:tc>
          <w:tcPr>
            <w:tcW w:w="4750" w:type="dxa"/>
            <w:shd w:val="clear" w:color="auto" w:fill="auto"/>
          </w:tcPr>
          <w:p w:rsidR="006F3DD8" w:rsidRPr="00F818EE" w:rsidRDefault="006F3DD8" w:rsidP="00E27E51">
            <w:pPr>
              <w:jc w:val="both"/>
              <w:rPr>
                <w:rFonts w:ascii="Verdana" w:hAnsi="Verdana"/>
                <w:sz w:val="18"/>
                <w:szCs w:val="18"/>
                <w:lang w:eastAsia="en-US"/>
              </w:rPr>
            </w:pPr>
            <w:r w:rsidRPr="00F818EE">
              <w:rPr>
                <w:rFonts w:ascii="Verdana" w:hAnsi="Verdana"/>
                <w:sz w:val="18"/>
                <w:szCs w:val="18"/>
                <w:lang w:eastAsia="en-US"/>
              </w:rPr>
              <w:t>Предвиденото в законопроекта разширяване правата на общините за разпореждане с т. нар. „земи по чл. 19“, преди да е приключила поземлената реституция, е компромис, постигнат след задълбочено обсъждане на представени от НСОРБ  предложения на общините, свързани с важни инвестиционни проекти и то при определените в § 12, ал. 2 и ал. 3 от законопроекта условия.</w:t>
            </w:r>
          </w:p>
          <w:p w:rsidR="006F3DD8" w:rsidRPr="00F818EE" w:rsidRDefault="006F3DD8" w:rsidP="00E27E51">
            <w:pPr>
              <w:jc w:val="both"/>
              <w:rPr>
                <w:rFonts w:ascii="Verdana" w:hAnsi="Verdana"/>
                <w:sz w:val="18"/>
                <w:szCs w:val="18"/>
                <w:lang w:eastAsia="en-US"/>
              </w:rPr>
            </w:pPr>
            <w:r w:rsidRPr="00F818EE">
              <w:rPr>
                <w:rFonts w:ascii="Verdana" w:eastAsiaTheme="minorHAnsi" w:hAnsi="Verdana"/>
                <w:sz w:val="18"/>
                <w:szCs w:val="18"/>
                <w:lang w:eastAsia="en-US"/>
              </w:rPr>
              <w:t xml:space="preserve">Проблеми с </w:t>
            </w:r>
            <w:r w:rsidRPr="00F818EE">
              <w:rPr>
                <w:rFonts w:ascii="Verdana" w:hAnsi="Verdana"/>
                <w:bCs/>
                <w:sz w:val="18"/>
                <w:szCs w:val="18"/>
                <w:lang w:eastAsia="en-US"/>
              </w:rPr>
              <w:t xml:space="preserve">учредяване на право на преминаване при условията и по реда на чл. 36 от Закона за опазване на селскостопанското имущество не са представени от общините, не само по време на действието на временната забрана за разпореждане със земите от остатъчния поземлен фонд, въведена с §14 от ПЗР на ЗИД на Закона за опазване на земеделските земи, а и в периода на съществуващите изрични ограничения за разпореждане със </w:t>
            </w:r>
            <w:r w:rsidRPr="00F818EE">
              <w:rPr>
                <w:rFonts w:ascii="Verdana" w:hAnsi="Verdana"/>
                <w:sz w:val="18"/>
                <w:szCs w:val="18"/>
                <w:lang w:eastAsia="en-US"/>
              </w:rPr>
              <w:t xml:space="preserve">земи по чл. 19, отпаднали през 2010 г. със ЗИД на ЗСПЗЗ (ДВ, бр. 62 от 2010 г.).  </w:t>
            </w:r>
            <w:r w:rsidRPr="00F818EE">
              <w:rPr>
                <w:rFonts w:ascii="Verdana" w:hAnsi="Verdana"/>
                <w:bCs/>
                <w:sz w:val="18"/>
                <w:szCs w:val="18"/>
                <w:lang w:eastAsia="en-US"/>
              </w:rPr>
              <w:t xml:space="preserve">  </w:t>
            </w:r>
          </w:p>
          <w:p w:rsidR="002A5AE6" w:rsidRPr="00F818EE" w:rsidRDefault="002A5AE6" w:rsidP="00316D98">
            <w:pPr>
              <w:spacing w:before="80" w:after="40"/>
              <w:jc w:val="both"/>
              <w:rPr>
                <w:rFonts w:ascii="Verdana" w:hAnsi="Verdana"/>
                <w:sz w:val="18"/>
                <w:szCs w:val="18"/>
              </w:rPr>
            </w:pPr>
          </w:p>
        </w:tc>
      </w:tr>
      <w:tr w:rsidR="00F818EE" w:rsidRPr="00F818EE" w:rsidTr="0093647C">
        <w:trPr>
          <w:trHeight w:val="596"/>
          <w:jc w:val="center"/>
        </w:trPr>
        <w:tc>
          <w:tcPr>
            <w:tcW w:w="622" w:type="dxa"/>
            <w:tcBorders>
              <w:bottom w:val="nil"/>
            </w:tcBorders>
            <w:shd w:val="clear" w:color="auto" w:fill="auto"/>
          </w:tcPr>
          <w:p w:rsidR="00D55415" w:rsidRPr="00F818EE" w:rsidRDefault="00D55415"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tcBorders>
              <w:bottom w:val="nil"/>
            </w:tcBorders>
            <w:shd w:val="clear" w:color="auto" w:fill="auto"/>
          </w:tcPr>
          <w:p w:rsidR="00876495" w:rsidRPr="00F818EE" w:rsidRDefault="00876495" w:rsidP="00316D98">
            <w:pPr>
              <w:spacing w:before="80" w:after="40"/>
              <w:rPr>
                <w:rFonts w:ascii="Verdana" w:hAnsi="Verdana" w:cs="Tahoma"/>
                <w:sz w:val="18"/>
                <w:szCs w:val="18"/>
              </w:rPr>
            </w:pPr>
            <w:r w:rsidRPr="00F818EE">
              <w:rPr>
                <w:rFonts w:ascii="Verdana" w:hAnsi="Verdana" w:cs="Tahoma"/>
                <w:b/>
                <w:sz w:val="18"/>
                <w:szCs w:val="18"/>
              </w:rPr>
              <w:t>nikolovakbk</w:t>
            </w:r>
          </w:p>
          <w:p w:rsidR="00D55415" w:rsidRPr="00F818EE" w:rsidRDefault="00876495" w:rsidP="00316D98">
            <w:pPr>
              <w:spacing w:before="80" w:after="40"/>
              <w:rPr>
                <w:rFonts w:ascii="Verdana" w:hAnsi="Verdana"/>
                <w:sz w:val="18"/>
                <w:szCs w:val="18"/>
              </w:rPr>
            </w:pPr>
            <w:r w:rsidRPr="00F818EE">
              <w:rPr>
                <w:rFonts w:ascii="Verdana" w:hAnsi="Verdana" w:cs="Tahoma"/>
                <w:sz w:val="18"/>
                <w:szCs w:val="18"/>
              </w:rPr>
              <w:t>(Портал за обществени консултации)</w:t>
            </w:r>
          </w:p>
        </w:tc>
        <w:tc>
          <w:tcPr>
            <w:tcW w:w="6095" w:type="dxa"/>
            <w:tcBorders>
              <w:bottom w:val="nil"/>
            </w:tcBorders>
            <w:shd w:val="clear" w:color="auto" w:fill="auto"/>
          </w:tcPr>
          <w:p w:rsidR="00876495" w:rsidRPr="00F818EE" w:rsidRDefault="00876495" w:rsidP="00316D98">
            <w:pPr>
              <w:spacing w:before="80" w:after="40"/>
              <w:jc w:val="both"/>
              <w:rPr>
                <w:rFonts w:ascii="Verdana" w:hAnsi="Verdana"/>
                <w:bCs/>
                <w:sz w:val="18"/>
                <w:szCs w:val="18"/>
              </w:rPr>
            </w:pPr>
            <w:r w:rsidRPr="00F818EE">
              <w:rPr>
                <w:rFonts w:ascii="Verdana" w:hAnsi="Verdana"/>
                <w:bCs/>
                <w:sz w:val="18"/>
                <w:szCs w:val="18"/>
              </w:rPr>
              <w:t>Становище на Община Берковица</w:t>
            </w:r>
          </w:p>
          <w:p w:rsidR="00876495" w:rsidRPr="00F818EE" w:rsidRDefault="00876495" w:rsidP="00316D98">
            <w:pPr>
              <w:spacing w:before="80" w:after="40"/>
              <w:jc w:val="both"/>
              <w:rPr>
                <w:rFonts w:ascii="Verdana" w:hAnsi="Verdana"/>
                <w:bCs/>
                <w:sz w:val="18"/>
                <w:szCs w:val="18"/>
              </w:rPr>
            </w:pPr>
            <w:r w:rsidRPr="00F818EE">
              <w:rPr>
                <w:rFonts w:ascii="Verdana" w:hAnsi="Verdana"/>
                <w:bCs/>
                <w:sz w:val="18"/>
                <w:szCs w:val="18"/>
              </w:rPr>
              <w:t xml:space="preserve">Община Берковица не подкрепя предложението за нов петгодишен период на забрана на извършване на разпоредителни сделки с имоти по чл. 19 от ЗСПЗЗ. </w:t>
            </w:r>
          </w:p>
          <w:p w:rsidR="00876495" w:rsidRPr="00F818EE" w:rsidRDefault="00876495" w:rsidP="00316D98">
            <w:pPr>
              <w:spacing w:before="80" w:after="40"/>
              <w:jc w:val="both"/>
              <w:rPr>
                <w:rFonts w:ascii="Verdana" w:hAnsi="Verdana"/>
                <w:bCs/>
                <w:sz w:val="18"/>
                <w:szCs w:val="18"/>
              </w:rPr>
            </w:pPr>
            <w:r w:rsidRPr="00F818EE">
              <w:rPr>
                <w:rFonts w:ascii="Verdana" w:hAnsi="Verdana"/>
                <w:bCs/>
                <w:sz w:val="18"/>
                <w:szCs w:val="18"/>
              </w:rPr>
              <w:t xml:space="preserve">Мотивите са: големият интерес от страна на гражданите за закупуване на имоти-земи по чл. 19 и в същото време малкият размер на исканията за предоставяне от общинския съвет на въпросните земи на основание § 27, ал. 2, т. 1 от Преходните и заключителни разпоредби от Закона за </w:t>
            </w:r>
            <w:r w:rsidRPr="00F818EE">
              <w:rPr>
                <w:rFonts w:ascii="Verdana" w:hAnsi="Verdana"/>
                <w:bCs/>
                <w:sz w:val="18"/>
                <w:szCs w:val="18"/>
              </w:rPr>
              <w:lastRenderedPageBreak/>
              <w:t>изменение и допълнение на Закона за собствеността и ползването на земеделските земи.</w:t>
            </w: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6F3DD8" w:rsidRPr="00F818EE" w:rsidRDefault="006F3DD8" w:rsidP="00316D98">
            <w:pPr>
              <w:spacing w:before="80" w:after="40"/>
              <w:jc w:val="both"/>
              <w:rPr>
                <w:rFonts w:ascii="Verdana" w:hAnsi="Verdana"/>
                <w:bCs/>
                <w:sz w:val="18"/>
                <w:szCs w:val="18"/>
              </w:rPr>
            </w:pPr>
          </w:p>
          <w:p w:rsidR="00D55415" w:rsidRPr="00F818EE" w:rsidRDefault="00D55415" w:rsidP="00316D98">
            <w:pPr>
              <w:spacing w:before="80" w:after="40"/>
              <w:jc w:val="both"/>
              <w:rPr>
                <w:rFonts w:ascii="Verdana" w:hAnsi="Verdana"/>
                <w:bCs/>
                <w:sz w:val="18"/>
                <w:szCs w:val="18"/>
              </w:rPr>
            </w:pPr>
          </w:p>
        </w:tc>
        <w:tc>
          <w:tcPr>
            <w:tcW w:w="1559" w:type="dxa"/>
            <w:tcBorders>
              <w:bottom w:val="nil"/>
            </w:tcBorders>
            <w:shd w:val="clear" w:color="auto" w:fill="auto"/>
          </w:tcPr>
          <w:p w:rsidR="00D55415" w:rsidRPr="00F818EE" w:rsidRDefault="00876495" w:rsidP="00316D98">
            <w:pPr>
              <w:spacing w:before="80" w:after="40"/>
              <w:rPr>
                <w:rFonts w:ascii="Verdana" w:hAnsi="Verdana"/>
                <w:sz w:val="18"/>
                <w:szCs w:val="18"/>
                <w:lang w:val="en-US"/>
              </w:rPr>
            </w:pPr>
            <w:r w:rsidRPr="00F818EE">
              <w:rPr>
                <w:rFonts w:ascii="Verdana" w:hAnsi="Verdana"/>
                <w:sz w:val="18"/>
                <w:szCs w:val="18"/>
              </w:rPr>
              <w:lastRenderedPageBreak/>
              <w:t>Не се приема</w:t>
            </w: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316D98">
            <w:pPr>
              <w:spacing w:before="80" w:after="40"/>
              <w:rPr>
                <w:rFonts w:ascii="Verdana" w:hAnsi="Verdana"/>
                <w:sz w:val="18"/>
                <w:szCs w:val="18"/>
                <w:lang w:val="en-US"/>
              </w:rPr>
            </w:pPr>
          </w:p>
          <w:p w:rsidR="00BD5D06" w:rsidRPr="00F818EE" w:rsidRDefault="00BD5D06" w:rsidP="0093647C">
            <w:pPr>
              <w:spacing w:before="80" w:after="40"/>
              <w:rPr>
                <w:rFonts w:ascii="Verdana" w:hAnsi="Verdana"/>
                <w:sz w:val="18"/>
                <w:szCs w:val="18"/>
                <w:lang w:val="en-US"/>
              </w:rPr>
            </w:pPr>
          </w:p>
        </w:tc>
        <w:tc>
          <w:tcPr>
            <w:tcW w:w="4750" w:type="dxa"/>
            <w:tcBorders>
              <w:bottom w:val="nil"/>
            </w:tcBorders>
            <w:shd w:val="clear" w:color="auto" w:fill="auto"/>
          </w:tcPr>
          <w:p w:rsidR="006F3DD8" w:rsidRPr="00F818EE" w:rsidRDefault="006F3DD8" w:rsidP="00E27E51">
            <w:pPr>
              <w:spacing w:line="276" w:lineRule="auto"/>
              <w:jc w:val="both"/>
              <w:rPr>
                <w:rFonts w:ascii="Verdana" w:hAnsi="Verdana"/>
                <w:bCs/>
                <w:sz w:val="18"/>
                <w:szCs w:val="18"/>
              </w:rPr>
            </w:pPr>
            <w:r w:rsidRPr="00F818EE">
              <w:rPr>
                <w:rFonts w:ascii="Verdana" w:hAnsi="Verdana"/>
                <w:bCs/>
                <w:sz w:val="18"/>
                <w:szCs w:val="18"/>
              </w:rPr>
              <w:lastRenderedPageBreak/>
              <w:t xml:space="preserve">Исторически земите, предоставени на общините по реда на чл. 19, ал. 2 от ЗСПЗЗ, т. нар. „земи по чл. 19“, никога не са представлявали общинска собственост. Към остатъчния поземлен фонд са причислени не само земите, за които собствениците не са подали заявления за възстановяването им (непотърсени земи), каквото е изискването на чл. 19 от ЗСПЗЗ, а и земите, заявени и </w:t>
            </w:r>
            <w:r w:rsidRPr="00F818EE">
              <w:rPr>
                <w:rFonts w:ascii="Verdana" w:hAnsi="Verdana"/>
                <w:bCs/>
                <w:sz w:val="18"/>
                <w:szCs w:val="18"/>
              </w:rPr>
              <w:lastRenderedPageBreak/>
              <w:t xml:space="preserve">признати з възстановяване в стари граници, без да са идентифицирани от собствениците им. Към този фонд се числят и земи, за които не се прилага ЗСПЗЗ (имотите съществуваща собственост преди земеразделянето, върху които собствениците не са губили владението си).  </w:t>
            </w:r>
          </w:p>
          <w:p w:rsidR="006F3DD8" w:rsidRPr="00F818EE" w:rsidRDefault="006F3DD8" w:rsidP="00E27E51">
            <w:pPr>
              <w:jc w:val="both"/>
              <w:rPr>
                <w:rFonts w:ascii="Verdana" w:hAnsi="Verdana"/>
                <w:bCs/>
                <w:sz w:val="18"/>
                <w:szCs w:val="18"/>
              </w:rPr>
            </w:pPr>
            <w:r w:rsidRPr="00F818EE">
              <w:rPr>
                <w:rFonts w:ascii="Verdana" w:hAnsi="Verdana"/>
                <w:bCs/>
                <w:sz w:val="18"/>
                <w:szCs w:val="18"/>
              </w:rPr>
              <w:t xml:space="preserve">Предвиденото в законопроекта разширяване правата на общините за разпореждане с т. нар. „земи по чл. 19“, преди да е приключила поземлената реституция, е компромис, постигнат след задълбочено обсъждане на представени от НСОРБ  предложения на общините, свързани с важни инвестиционни проекти и то при определените в § 12, ал. 2 и ал. 3 от законопроекта условия. </w:t>
            </w:r>
          </w:p>
          <w:p w:rsidR="00D55415" w:rsidRPr="00F818EE" w:rsidRDefault="006F3DD8" w:rsidP="0093647C">
            <w:pPr>
              <w:spacing w:line="276" w:lineRule="auto"/>
              <w:jc w:val="both"/>
              <w:rPr>
                <w:rFonts w:ascii="Verdana" w:hAnsi="Verdana"/>
                <w:bCs/>
                <w:sz w:val="18"/>
                <w:szCs w:val="18"/>
              </w:rPr>
            </w:pPr>
            <w:r w:rsidRPr="00F818EE">
              <w:rPr>
                <w:rFonts w:ascii="Verdana" w:hAnsi="Verdana"/>
                <w:bCs/>
                <w:sz w:val="18"/>
                <w:szCs w:val="18"/>
              </w:rPr>
              <w:t>Причина за малкото искания за предоставяне от общинския съвет на земите по чл. 19 от ЗСПЗЗ на основание  § 27, ал. 2, т. 1 от Преходните и заключителни разпоредби от Закона за изменение и допълнение на ЗСПЗЗ са съществуващите обективни пречки за опознаване на имотните граници на признатите за възстановяване имоти от наследниците на бившите собственици на имотите, след като са изминали близо три десетилетия от признаването на правата им със съответните административни актове – решения на органа по реституция.</w:t>
            </w:r>
          </w:p>
        </w:tc>
      </w:tr>
      <w:tr w:rsidR="00F818EE" w:rsidRPr="00F818EE" w:rsidTr="0093647C">
        <w:trPr>
          <w:trHeight w:val="596"/>
          <w:jc w:val="center"/>
        </w:trPr>
        <w:tc>
          <w:tcPr>
            <w:tcW w:w="622" w:type="dxa"/>
            <w:tcBorders>
              <w:top w:val="nil"/>
            </w:tcBorders>
            <w:shd w:val="clear" w:color="auto" w:fill="auto"/>
          </w:tcPr>
          <w:p w:rsidR="0093647C" w:rsidRPr="00F818EE" w:rsidRDefault="0093647C" w:rsidP="0093647C">
            <w:pPr>
              <w:tabs>
                <w:tab w:val="left" w:pos="192"/>
              </w:tabs>
              <w:spacing w:after="40"/>
              <w:jc w:val="center"/>
              <w:rPr>
                <w:rFonts w:ascii="Verdana" w:hAnsi="Verdana"/>
                <w:b/>
                <w:sz w:val="18"/>
                <w:szCs w:val="18"/>
              </w:rPr>
            </w:pPr>
          </w:p>
        </w:tc>
        <w:tc>
          <w:tcPr>
            <w:tcW w:w="2624" w:type="dxa"/>
            <w:tcBorders>
              <w:top w:val="nil"/>
            </w:tcBorders>
            <w:shd w:val="clear" w:color="auto" w:fill="auto"/>
          </w:tcPr>
          <w:p w:rsidR="0093647C" w:rsidRPr="00F818EE" w:rsidRDefault="0093647C" w:rsidP="0093647C">
            <w:pPr>
              <w:spacing w:before="80" w:after="40"/>
              <w:rPr>
                <w:rFonts w:ascii="Verdana" w:hAnsi="Verdana" w:cs="Tahoma"/>
                <w:b/>
                <w:sz w:val="18"/>
                <w:szCs w:val="18"/>
              </w:rPr>
            </w:pPr>
          </w:p>
        </w:tc>
        <w:tc>
          <w:tcPr>
            <w:tcW w:w="6095" w:type="dxa"/>
            <w:tcBorders>
              <w:top w:val="nil"/>
            </w:tcBorders>
            <w:shd w:val="clear" w:color="auto" w:fill="auto"/>
          </w:tcPr>
          <w:p w:rsidR="0093647C" w:rsidRPr="00F818EE" w:rsidRDefault="0093647C" w:rsidP="0093647C">
            <w:pPr>
              <w:spacing w:before="80" w:after="40"/>
              <w:jc w:val="both"/>
              <w:rPr>
                <w:rFonts w:ascii="Verdana" w:hAnsi="Verdana"/>
                <w:bCs/>
                <w:sz w:val="18"/>
                <w:szCs w:val="18"/>
              </w:rPr>
            </w:pPr>
            <w:r w:rsidRPr="00F818EE">
              <w:rPr>
                <w:rFonts w:ascii="Verdana" w:hAnsi="Verdana"/>
                <w:bCs/>
                <w:sz w:val="18"/>
                <w:szCs w:val="18"/>
              </w:rPr>
              <w:t>Въвеждането на ограничение на правното основание за подпомагане на неизрядни наематели или арендатори на земи от ДПФ да важи и за земите от Общинския поземлен фон.</w:t>
            </w:r>
          </w:p>
        </w:tc>
        <w:tc>
          <w:tcPr>
            <w:tcW w:w="1559" w:type="dxa"/>
            <w:tcBorders>
              <w:top w:val="nil"/>
            </w:tcBorders>
            <w:shd w:val="clear" w:color="auto" w:fill="auto"/>
          </w:tcPr>
          <w:p w:rsidR="0093647C" w:rsidRPr="00F818EE" w:rsidRDefault="0093647C" w:rsidP="0093647C">
            <w:pPr>
              <w:spacing w:before="80" w:after="40"/>
              <w:rPr>
                <w:rFonts w:ascii="Verdana" w:hAnsi="Verdana"/>
                <w:sz w:val="18"/>
                <w:szCs w:val="18"/>
                <w:lang w:val="en-US"/>
              </w:rPr>
            </w:pPr>
            <w:r w:rsidRPr="00F818EE">
              <w:rPr>
                <w:rFonts w:ascii="Verdana" w:hAnsi="Verdana"/>
                <w:sz w:val="18"/>
                <w:szCs w:val="18"/>
              </w:rPr>
              <w:t>Приема се</w:t>
            </w:r>
          </w:p>
          <w:p w:rsidR="0093647C" w:rsidRPr="00F818EE" w:rsidRDefault="0093647C" w:rsidP="0093647C">
            <w:pPr>
              <w:spacing w:before="80" w:after="40"/>
              <w:rPr>
                <w:rFonts w:ascii="Verdana" w:hAnsi="Verdana"/>
                <w:sz w:val="18"/>
                <w:szCs w:val="18"/>
              </w:rPr>
            </w:pPr>
          </w:p>
        </w:tc>
        <w:tc>
          <w:tcPr>
            <w:tcW w:w="4750" w:type="dxa"/>
            <w:tcBorders>
              <w:top w:val="nil"/>
            </w:tcBorders>
            <w:shd w:val="clear" w:color="auto" w:fill="auto"/>
          </w:tcPr>
          <w:p w:rsidR="0093647C" w:rsidRPr="00F818EE" w:rsidRDefault="0093647C" w:rsidP="0093647C">
            <w:pPr>
              <w:spacing w:before="80" w:after="40"/>
              <w:jc w:val="both"/>
              <w:rPr>
                <w:rFonts w:ascii="Verdana" w:hAnsi="Verdana"/>
                <w:sz w:val="18"/>
                <w:szCs w:val="18"/>
              </w:rPr>
            </w:pPr>
          </w:p>
        </w:tc>
      </w:tr>
      <w:tr w:rsidR="00F818EE" w:rsidRPr="00F818EE" w:rsidTr="0093647C">
        <w:trPr>
          <w:trHeight w:val="596"/>
          <w:jc w:val="center"/>
        </w:trPr>
        <w:tc>
          <w:tcPr>
            <w:tcW w:w="622" w:type="dxa"/>
            <w:shd w:val="clear" w:color="auto" w:fill="auto"/>
          </w:tcPr>
          <w:p w:rsidR="007E14C9" w:rsidRPr="00F818EE" w:rsidRDefault="007E14C9"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shd w:val="clear" w:color="auto" w:fill="auto"/>
          </w:tcPr>
          <w:p w:rsidR="007E14C9" w:rsidRPr="00F818EE" w:rsidRDefault="007E14C9" w:rsidP="00316D98">
            <w:pPr>
              <w:spacing w:before="80" w:after="40"/>
              <w:rPr>
                <w:rFonts w:ascii="Verdana" w:hAnsi="Verdana" w:cs="Tahoma"/>
                <w:b/>
                <w:sz w:val="18"/>
                <w:szCs w:val="18"/>
              </w:rPr>
            </w:pPr>
            <w:r w:rsidRPr="00F818EE">
              <w:rPr>
                <w:rFonts w:ascii="Verdana" w:hAnsi="Verdana" w:cs="Tahoma"/>
                <w:b/>
                <w:sz w:val="18"/>
                <w:szCs w:val="18"/>
              </w:rPr>
              <w:t xml:space="preserve">tedito1987 </w:t>
            </w:r>
          </w:p>
          <w:p w:rsidR="007E14C9" w:rsidRPr="00F818EE" w:rsidRDefault="007E14C9" w:rsidP="00316D98">
            <w:pPr>
              <w:spacing w:before="80" w:after="40"/>
              <w:rPr>
                <w:rFonts w:ascii="Verdana" w:hAnsi="Verdana"/>
                <w:sz w:val="18"/>
                <w:szCs w:val="18"/>
              </w:rPr>
            </w:pPr>
            <w:r w:rsidRPr="00F818EE">
              <w:rPr>
                <w:rFonts w:ascii="Verdana" w:hAnsi="Verdana" w:cs="Tahoma"/>
                <w:sz w:val="18"/>
                <w:szCs w:val="18"/>
              </w:rPr>
              <w:t>(Портал за обществени консултации)</w:t>
            </w:r>
          </w:p>
        </w:tc>
        <w:tc>
          <w:tcPr>
            <w:tcW w:w="6095" w:type="dxa"/>
            <w:shd w:val="clear" w:color="auto" w:fill="auto"/>
          </w:tcPr>
          <w:p w:rsidR="007E14C9" w:rsidRPr="00F818EE" w:rsidRDefault="007E14C9" w:rsidP="00316D98">
            <w:pPr>
              <w:spacing w:before="80" w:after="40"/>
              <w:jc w:val="both"/>
              <w:rPr>
                <w:rFonts w:ascii="Verdana" w:hAnsi="Verdana"/>
                <w:bCs/>
                <w:sz w:val="18"/>
                <w:szCs w:val="18"/>
              </w:rPr>
            </w:pPr>
            <w:r w:rsidRPr="00F818EE">
              <w:rPr>
                <w:rFonts w:ascii="Verdana" w:hAnsi="Verdana"/>
                <w:bCs/>
                <w:sz w:val="18"/>
                <w:szCs w:val="18"/>
              </w:rPr>
              <w:t>Здравейте! Работя като гл.</w:t>
            </w:r>
            <w:r w:rsidR="00FB10AC" w:rsidRPr="00F818EE">
              <w:rPr>
                <w:rFonts w:ascii="Verdana" w:hAnsi="Verdana"/>
                <w:bCs/>
                <w:sz w:val="18"/>
                <w:szCs w:val="18"/>
              </w:rPr>
              <w:t xml:space="preserve"> експерт „</w:t>
            </w:r>
            <w:r w:rsidRPr="00F818EE">
              <w:rPr>
                <w:rFonts w:ascii="Verdana" w:hAnsi="Verdana"/>
                <w:bCs/>
                <w:sz w:val="18"/>
                <w:szCs w:val="18"/>
              </w:rPr>
              <w:t>Земеделие, гори и концесии</w:t>
            </w:r>
            <w:r w:rsidR="00FB10AC" w:rsidRPr="00F818EE">
              <w:rPr>
                <w:rFonts w:ascii="Verdana" w:hAnsi="Verdana"/>
                <w:bCs/>
                <w:sz w:val="18"/>
                <w:szCs w:val="18"/>
              </w:rPr>
              <w:t>”</w:t>
            </w:r>
            <w:r w:rsidRPr="00F818EE">
              <w:rPr>
                <w:rFonts w:ascii="Verdana" w:hAnsi="Verdana"/>
                <w:bCs/>
                <w:sz w:val="18"/>
                <w:szCs w:val="18"/>
              </w:rPr>
              <w:t xml:space="preserve"> в Община Криводол, обл. Враца. Ако е възможно в така направените промени в чл. 41, ал. 5, т. 3, от ЗПЗП да бъдат включени и задължениятя по договори за наем или аренда за земите от общинския поземлен фонд.</w:t>
            </w:r>
          </w:p>
        </w:tc>
        <w:tc>
          <w:tcPr>
            <w:tcW w:w="1559" w:type="dxa"/>
            <w:shd w:val="clear" w:color="auto" w:fill="auto"/>
          </w:tcPr>
          <w:p w:rsidR="007E14C9" w:rsidRPr="00F818EE" w:rsidRDefault="007E14C9" w:rsidP="00BD5D06">
            <w:pPr>
              <w:spacing w:before="80" w:after="40"/>
              <w:rPr>
                <w:rFonts w:ascii="Verdana" w:hAnsi="Verdana"/>
                <w:sz w:val="18"/>
                <w:szCs w:val="18"/>
                <w:lang w:val="en-US"/>
              </w:rPr>
            </w:pPr>
            <w:r w:rsidRPr="00F818EE">
              <w:rPr>
                <w:rFonts w:ascii="Verdana" w:hAnsi="Verdana"/>
                <w:sz w:val="18"/>
                <w:szCs w:val="18"/>
              </w:rPr>
              <w:t>Приема се</w:t>
            </w:r>
          </w:p>
          <w:p w:rsidR="00BD5D06" w:rsidRPr="00F818EE" w:rsidRDefault="00BD5D06" w:rsidP="00BD5D06">
            <w:pPr>
              <w:spacing w:before="80" w:after="40"/>
              <w:rPr>
                <w:rFonts w:ascii="Verdana" w:hAnsi="Verdana"/>
                <w:sz w:val="18"/>
                <w:szCs w:val="18"/>
                <w:lang w:val="en-US"/>
              </w:rPr>
            </w:pPr>
          </w:p>
        </w:tc>
        <w:tc>
          <w:tcPr>
            <w:tcW w:w="4750" w:type="dxa"/>
            <w:shd w:val="clear" w:color="auto" w:fill="auto"/>
          </w:tcPr>
          <w:p w:rsidR="007E14C9" w:rsidRPr="00F818EE" w:rsidRDefault="007E14C9" w:rsidP="00E27E51">
            <w:pPr>
              <w:spacing w:before="80" w:after="40"/>
              <w:jc w:val="both"/>
              <w:rPr>
                <w:rFonts w:ascii="Verdana" w:hAnsi="Verdana"/>
                <w:sz w:val="18"/>
                <w:szCs w:val="18"/>
              </w:rPr>
            </w:pPr>
          </w:p>
        </w:tc>
      </w:tr>
      <w:tr w:rsidR="00F818EE" w:rsidRPr="00F818EE" w:rsidTr="0093647C">
        <w:trPr>
          <w:trHeight w:val="596"/>
          <w:jc w:val="center"/>
        </w:trPr>
        <w:tc>
          <w:tcPr>
            <w:tcW w:w="622" w:type="dxa"/>
            <w:shd w:val="clear" w:color="auto" w:fill="auto"/>
          </w:tcPr>
          <w:p w:rsidR="00CA5AE5" w:rsidRPr="00F818EE" w:rsidRDefault="00CA5AE5"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shd w:val="clear" w:color="auto" w:fill="auto"/>
          </w:tcPr>
          <w:p w:rsidR="00CA5AE5" w:rsidRPr="00F818EE" w:rsidRDefault="00CA5AE5" w:rsidP="00316D98">
            <w:pPr>
              <w:spacing w:before="80" w:after="40"/>
              <w:rPr>
                <w:rFonts w:ascii="Verdana" w:hAnsi="Verdana" w:cs="Tahoma"/>
                <w:b/>
                <w:sz w:val="18"/>
                <w:szCs w:val="18"/>
              </w:rPr>
            </w:pPr>
            <w:r w:rsidRPr="00F818EE">
              <w:rPr>
                <w:rFonts w:ascii="Verdana" w:hAnsi="Verdana" w:cs="Tahoma"/>
                <w:b/>
                <w:sz w:val="18"/>
                <w:szCs w:val="18"/>
              </w:rPr>
              <w:t>tachkova</w:t>
            </w:r>
          </w:p>
          <w:p w:rsidR="00CA5AE5" w:rsidRPr="00F818EE" w:rsidRDefault="00CA5AE5" w:rsidP="00316D98">
            <w:pPr>
              <w:spacing w:after="40"/>
              <w:rPr>
                <w:rFonts w:ascii="Verdana" w:hAnsi="Verdana" w:cs="Tahoma"/>
                <w:sz w:val="18"/>
                <w:szCs w:val="18"/>
              </w:rPr>
            </w:pPr>
            <w:r w:rsidRPr="00F818EE">
              <w:rPr>
                <w:rFonts w:ascii="Verdana" w:hAnsi="Verdana" w:cs="Tahoma"/>
                <w:sz w:val="18"/>
                <w:szCs w:val="18"/>
              </w:rPr>
              <w:t>(Портал за обществени консултации)</w:t>
            </w:r>
          </w:p>
        </w:tc>
        <w:tc>
          <w:tcPr>
            <w:tcW w:w="6095" w:type="dxa"/>
            <w:shd w:val="clear" w:color="auto" w:fill="auto"/>
          </w:tcPr>
          <w:p w:rsidR="00CA5AE5" w:rsidRPr="00F818EE" w:rsidRDefault="00CA5AE5" w:rsidP="00316D98">
            <w:pPr>
              <w:spacing w:before="80" w:after="40"/>
              <w:jc w:val="both"/>
              <w:rPr>
                <w:rFonts w:ascii="Verdana" w:hAnsi="Verdana"/>
                <w:bCs/>
                <w:sz w:val="18"/>
                <w:szCs w:val="18"/>
              </w:rPr>
            </w:pPr>
            <w:r w:rsidRPr="00F818EE">
              <w:rPr>
                <w:rFonts w:ascii="Verdana" w:hAnsi="Verdana"/>
                <w:bCs/>
                <w:sz w:val="18"/>
                <w:szCs w:val="18"/>
              </w:rPr>
              <w:t>СТАНОВИЩЕ НА ОБЩИНА ВЪРШЕЦ</w:t>
            </w:r>
          </w:p>
          <w:p w:rsidR="00CA5AE5" w:rsidRPr="00F818EE" w:rsidRDefault="00CA5AE5" w:rsidP="00316D98">
            <w:pPr>
              <w:spacing w:before="80" w:after="40"/>
              <w:jc w:val="both"/>
              <w:rPr>
                <w:rFonts w:ascii="Verdana" w:hAnsi="Verdana"/>
                <w:b/>
                <w:bCs/>
                <w:sz w:val="18"/>
                <w:szCs w:val="18"/>
              </w:rPr>
            </w:pPr>
            <w:r w:rsidRPr="00F818EE">
              <w:rPr>
                <w:rFonts w:ascii="Verdana" w:hAnsi="Verdana"/>
                <w:b/>
                <w:bCs/>
                <w:sz w:val="18"/>
                <w:szCs w:val="18"/>
              </w:rPr>
              <w:t>Предложение за допълнение на § 8, чл. 41, ал. 5:</w:t>
            </w:r>
          </w:p>
          <w:p w:rsidR="00CA5AE5" w:rsidRPr="00F818EE" w:rsidRDefault="00CA5AE5" w:rsidP="00316D98">
            <w:pPr>
              <w:spacing w:before="80" w:after="40"/>
              <w:jc w:val="both"/>
              <w:rPr>
                <w:rFonts w:ascii="Verdana" w:hAnsi="Verdana"/>
                <w:bCs/>
                <w:sz w:val="18"/>
                <w:szCs w:val="18"/>
              </w:rPr>
            </w:pPr>
            <w:r w:rsidRPr="00F818EE">
              <w:rPr>
                <w:rFonts w:ascii="Verdana" w:hAnsi="Verdana"/>
                <w:bCs/>
                <w:sz w:val="18"/>
                <w:szCs w:val="18"/>
              </w:rPr>
              <w:t>„(5) Министерството на земеделието, храните и горите, степенува, обобщава и предава на Разплащателната агенция еднократно или на етапи данни за регистрираните правни основания за ползване на земеделски земи. Не се считат за правно основание за подпомагане:</w:t>
            </w:r>
          </w:p>
          <w:p w:rsidR="00CA5AE5" w:rsidRPr="00F818EE" w:rsidRDefault="00CA5AE5" w:rsidP="00316D98">
            <w:pPr>
              <w:spacing w:before="80" w:after="40"/>
              <w:jc w:val="both"/>
              <w:rPr>
                <w:rFonts w:ascii="Verdana" w:hAnsi="Verdana"/>
                <w:bCs/>
                <w:sz w:val="18"/>
                <w:szCs w:val="18"/>
              </w:rPr>
            </w:pPr>
            <w:r w:rsidRPr="00F818EE">
              <w:rPr>
                <w:rFonts w:ascii="Verdana" w:hAnsi="Verdana"/>
                <w:bCs/>
                <w:sz w:val="18"/>
                <w:szCs w:val="18"/>
              </w:rPr>
              <w:t>1. имоти, за които ползвателят има задължения по чл. 34, ал. 6, чл. 37в, ал. 7 за земите по чл. 37в, ал. 3, т. 2 и по чл. 37ж, ал. 12 от Закона за собствеността и ползването на земеделските земи;</w:t>
            </w:r>
          </w:p>
          <w:p w:rsidR="00CA5AE5" w:rsidRPr="00F818EE" w:rsidRDefault="00CA5AE5" w:rsidP="00316D98">
            <w:pPr>
              <w:spacing w:before="80" w:after="40"/>
              <w:jc w:val="both"/>
              <w:rPr>
                <w:rFonts w:ascii="Verdana" w:hAnsi="Verdana"/>
                <w:bCs/>
                <w:sz w:val="18"/>
                <w:szCs w:val="18"/>
              </w:rPr>
            </w:pPr>
            <w:r w:rsidRPr="00F818EE">
              <w:rPr>
                <w:rFonts w:ascii="Verdana" w:hAnsi="Verdana"/>
                <w:bCs/>
                <w:sz w:val="18"/>
                <w:szCs w:val="18"/>
              </w:rPr>
              <w:t xml:space="preserve">2. имоти от държавния </w:t>
            </w:r>
            <w:r w:rsidRPr="00F818EE">
              <w:rPr>
                <w:rFonts w:ascii="Verdana" w:hAnsi="Verdana"/>
                <w:b/>
                <w:bCs/>
                <w:sz w:val="18"/>
                <w:szCs w:val="18"/>
                <w:u w:val="single"/>
              </w:rPr>
              <w:t>и общинския</w:t>
            </w:r>
            <w:r w:rsidRPr="00F818EE">
              <w:rPr>
                <w:rFonts w:ascii="Verdana" w:hAnsi="Verdana"/>
                <w:bCs/>
                <w:sz w:val="18"/>
                <w:szCs w:val="18"/>
              </w:rPr>
              <w:t xml:space="preserve"> поземлен фонд на ползватели, които имат задължения по договори за наем или аренда на земеделски земи от държавния </w:t>
            </w:r>
            <w:r w:rsidRPr="00F818EE">
              <w:rPr>
                <w:rFonts w:ascii="Verdana" w:hAnsi="Verdana"/>
                <w:b/>
                <w:bCs/>
                <w:sz w:val="18"/>
                <w:szCs w:val="18"/>
                <w:u w:val="single"/>
              </w:rPr>
              <w:t>и общинския</w:t>
            </w:r>
            <w:r w:rsidRPr="00F818EE">
              <w:rPr>
                <w:rFonts w:ascii="Verdana" w:hAnsi="Verdana"/>
                <w:bCs/>
                <w:sz w:val="18"/>
                <w:szCs w:val="18"/>
              </w:rPr>
              <w:t xml:space="preserve"> поземлен фонд;</w:t>
            </w:r>
          </w:p>
          <w:p w:rsidR="00CA5AE5" w:rsidRPr="00F818EE" w:rsidRDefault="00CA5AE5" w:rsidP="00316D98">
            <w:pPr>
              <w:spacing w:before="80" w:after="40"/>
              <w:jc w:val="both"/>
              <w:rPr>
                <w:rFonts w:ascii="Verdana" w:hAnsi="Verdana"/>
                <w:bCs/>
                <w:sz w:val="18"/>
                <w:szCs w:val="18"/>
              </w:rPr>
            </w:pPr>
            <w:r w:rsidRPr="00F818EE">
              <w:rPr>
                <w:rFonts w:ascii="Verdana" w:hAnsi="Verdana"/>
                <w:bCs/>
                <w:sz w:val="18"/>
                <w:szCs w:val="18"/>
              </w:rPr>
              <w:t>3. частите от имоти, останали извън масивите за ползване по чл. 37в и чл. 37ж от Закона за собствеността и ползването на земеделските земи, освен в случаите, когато за останалата извън масива част от имота е регистрирано правно основание за ползването й по ал. 4 след датата на издаване на заповедта или правното основание за ползването й е на ползвател извън заповедта.“</w:t>
            </w:r>
          </w:p>
          <w:p w:rsidR="00CA5AE5" w:rsidRPr="00F818EE" w:rsidRDefault="00CA5AE5" w:rsidP="00316D98">
            <w:pPr>
              <w:spacing w:before="80" w:after="40"/>
              <w:jc w:val="both"/>
              <w:rPr>
                <w:rFonts w:ascii="Verdana" w:hAnsi="Verdana"/>
                <w:b/>
                <w:bCs/>
                <w:sz w:val="18"/>
                <w:szCs w:val="18"/>
              </w:rPr>
            </w:pPr>
            <w:r w:rsidRPr="00F818EE">
              <w:rPr>
                <w:rFonts w:ascii="Verdana" w:hAnsi="Verdana"/>
                <w:b/>
                <w:bCs/>
                <w:sz w:val="18"/>
                <w:szCs w:val="18"/>
              </w:rPr>
              <w:t>Мотиви:</w:t>
            </w:r>
          </w:p>
          <w:p w:rsidR="00CA5AE5" w:rsidRPr="00F818EE" w:rsidRDefault="00CA5AE5" w:rsidP="00316D98">
            <w:pPr>
              <w:spacing w:before="80" w:after="40"/>
              <w:jc w:val="both"/>
              <w:rPr>
                <w:rFonts w:ascii="Verdana" w:hAnsi="Verdana"/>
                <w:bCs/>
                <w:sz w:val="18"/>
                <w:szCs w:val="18"/>
              </w:rPr>
            </w:pPr>
            <w:r w:rsidRPr="00F818EE">
              <w:rPr>
                <w:rFonts w:ascii="Verdana" w:hAnsi="Verdana"/>
                <w:bCs/>
                <w:sz w:val="18"/>
                <w:szCs w:val="18"/>
              </w:rPr>
              <w:t>Поради системни нарушения на клаузите в договорите за наем на земеделска земя от общинския поземлен фонд /ОПФ/, свързани с плащане на дължимите годишни наеми, приходите от които постъпват в бюджета на общините.</w:t>
            </w:r>
          </w:p>
        </w:tc>
        <w:tc>
          <w:tcPr>
            <w:tcW w:w="1559" w:type="dxa"/>
            <w:shd w:val="clear" w:color="auto" w:fill="auto"/>
          </w:tcPr>
          <w:p w:rsidR="00CA5AE5" w:rsidRPr="00F818EE" w:rsidRDefault="00CA5AE5" w:rsidP="00BD5D06">
            <w:pPr>
              <w:spacing w:before="80" w:after="40"/>
              <w:rPr>
                <w:rFonts w:ascii="Verdana" w:hAnsi="Verdana"/>
                <w:sz w:val="18"/>
                <w:szCs w:val="18"/>
                <w:lang w:val="en-US"/>
              </w:rPr>
            </w:pPr>
            <w:r w:rsidRPr="00F818EE">
              <w:rPr>
                <w:rFonts w:ascii="Verdana" w:hAnsi="Verdana"/>
                <w:sz w:val="18"/>
                <w:szCs w:val="18"/>
              </w:rPr>
              <w:t>Приема се</w:t>
            </w:r>
          </w:p>
          <w:p w:rsidR="00BD5D06" w:rsidRPr="00F818EE" w:rsidRDefault="00BD5D06" w:rsidP="00BD5D06">
            <w:pPr>
              <w:spacing w:before="80" w:after="40"/>
              <w:rPr>
                <w:rFonts w:ascii="Verdana" w:hAnsi="Verdana"/>
                <w:sz w:val="18"/>
                <w:szCs w:val="18"/>
                <w:lang w:val="en-US"/>
              </w:rPr>
            </w:pPr>
          </w:p>
        </w:tc>
        <w:tc>
          <w:tcPr>
            <w:tcW w:w="4750" w:type="dxa"/>
            <w:shd w:val="clear" w:color="auto" w:fill="auto"/>
          </w:tcPr>
          <w:p w:rsidR="00CA5AE5" w:rsidRPr="00F818EE" w:rsidRDefault="00CA5AE5" w:rsidP="00316D98">
            <w:pPr>
              <w:spacing w:before="80" w:after="40"/>
              <w:jc w:val="both"/>
              <w:rPr>
                <w:rFonts w:ascii="Verdana" w:hAnsi="Verdana"/>
                <w:sz w:val="18"/>
                <w:szCs w:val="18"/>
              </w:rPr>
            </w:pPr>
          </w:p>
        </w:tc>
      </w:tr>
      <w:tr w:rsidR="00F818EE" w:rsidRPr="00F818EE" w:rsidTr="0093647C">
        <w:trPr>
          <w:trHeight w:val="596"/>
          <w:jc w:val="center"/>
        </w:trPr>
        <w:tc>
          <w:tcPr>
            <w:tcW w:w="622" w:type="dxa"/>
            <w:vMerge w:val="restart"/>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val="restart"/>
            <w:shd w:val="clear" w:color="auto" w:fill="auto"/>
          </w:tcPr>
          <w:p w:rsidR="00FB10AC" w:rsidRPr="00F818EE" w:rsidRDefault="00316D98" w:rsidP="00316D98">
            <w:pPr>
              <w:spacing w:before="80" w:after="40"/>
              <w:rPr>
                <w:rFonts w:ascii="Verdana" w:hAnsi="Verdana" w:cs="Tahoma"/>
                <w:b/>
                <w:sz w:val="18"/>
                <w:szCs w:val="18"/>
              </w:rPr>
            </w:pPr>
            <w:r w:rsidRPr="00F818EE">
              <w:rPr>
                <w:rFonts w:ascii="Verdana" w:hAnsi="Verdana" w:cs="Tahoma"/>
                <w:b/>
                <w:sz w:val="18"/>
                <w:szCs w:val="18"/>
              </w:rPr>
              <w:t xml:space="preserve">Национално сдружение на </w:t>
            </w:r>
            <w:r w:rsidRPr="00F818EE">
              <w:rPr>
                <w:rFonts w:ascii="Verdana" w:hAnsi="Verdana" w:cs="Tahoma"/>
                <w:b/>
                <w:sz w:val="18"/>
                <w:szCs w:val="18"/>
              </w:rPr>
              <w:lastRenderedPageBreak/>
              <w:t xml:space="preserve">общините в </w:t>
            </w:r>
            <w:r w:rsidR="0093647C" w:rsidRPr="00F818EE">
              <w:rPr>
                <w:rFonts w:ascii="Verdana" w:hAnsi="Verdana" w:cs="Tahoma"/>
                <w:b/>
                <w:sz w:val="18"/>
                <w:szCs w:val="18"/>
              </w:rPr>
              <w:br/>
            </w:r>
            <w:r w:rsidRPr="00F818EE">
              <w:rPr>
                <w:rFonts w:ascii="Verdana" w:hAnsi="Verdana" w:cs="Tahoma"/>
                <w:b/>
                <w:sz w:val="18"/>
                <w:szCs w:val="18"/>
              </w:rPr>
              <w:t>Република България</w:t>
            </w:r>
          </w:p>
          <w:p w:rsidR="00FB10AC" w:rsidRPr="00F818EE" w:rsidRDefault="00FB10AC" w:rsidP="00316D98">
            <w:pPr>
              <w:spacing w:before="80" w:after="40"/>
              <w:rPr>
                <w:rFonts w:ascii="Verdana" w:hAnsi="Verdana" w:cs="Tahoma"/>
                <w:b/>
                <w:sz w:val="18"/>
                <w:szCs w:val="18"/>
              </w:rPr>
            </w:pPr>
            <w:r w:rsidRPr="00F818EE">
              <w:rPr>
                <w:rFonts w:ascii="Verdana" w:hAnsi="Verdana" w:cs="Tahoma"/>
                <w:sz w:val="18"/>
                <w:szCs w:val="18"/>
              </w:rPr>
              <w:t>(Писмо № 9104-58 от 23.10.2020 г.)</w:t>
            </w:r>
          </w:p>
        </w:tc>
        <w:tc>
          <w:tcPr>
            <w:tcW w:w="6095" w:type="dxa"/>
            <w:shd w:val="clear" w:color="auto" w:fill="auto"/>
          </w:tcPr>
          <w:p w:rsidR="00FB10AC" w:rsidRPr="00F818EE" w:rsidRDefault="00FB10AC" w:rsidP="00316D98">
            <w:pPr>
              <w:spacing w:before="80" w:after="40"/>
              <w:jc w:val="both"/>
              <w:rPr>
                <w:rFonts w:ascii="Verdana" w:hAnsi="Verdana"/>
                <w:bCs/>
                <w:sz w:val="18"/>
                <w:szCs w:val="18"/>
              </w:rPr>
            </w:pPr>
            <w:r w:rsidRPr="00F818EE">
              <w:rPr>
                <w:rFonts w:ascii="Verdana" w:hAnsi="Verdana"/>
                <w:bCs/>
                <w:sz w:val="18"/>
                <w:szCs w:val="18"/>
              </w:rPr>
              <w:lastRenderedPageBreak/>
              <w:t xml:space="preserve">По повод цитирания законопроект НСОРБ проведе нарочно проучване сред общините. Мнозинството от общините </w:t>
            </w:r>
            <w:r w:rsidRPr="00F818EE">
              <w:rPr>
                <w:rFonts w:ascii="Verdana" w:hAnsi="Verdana"/>
                <w:bCs/>
                <w:sz w:val="18"/>
                <w:szCs w:val="18"/>
              </w:rPr>
              <w:lastRenderedPageBreak/>
              <w:t>приемат предлаганите изменения предвид наистина належащото разширяване на кръга разпоредителни сделки с остатъчния поземлен фонд. Удовлетворени сме и от разширяването на възможните изключения с енергийни обекти по смисъла на Закона за енергетиката.</w:t>
            </w:r>
          </w:p>
        </w:tc>
        <w:tc>
          <w:tcPr>
            <w:tcW w:w="1559" w:type="dxa"/>
            <w:shd w:val="clear" w:color="auto" w:fill="auto"/>
          </w:tcPr>
          <w:p w:rsidR="00FB10AC" w:rsidRPr="00F818EE" w:rsidRDefault="00FB10AC" w:rsidP="00316D98">
            <w:pPr>
              <w:spacing w:before="80" w:after="40"/>
              <w:rPr>
                <w:rFonts w:ascii="Verdana" w:hAnsi="Verdana"/>
                <w:sz w:val="18"/>
                <w:szCs w:val="18"/>
              </w:rPr>
            </w:pPr>
          </w:p>
        </w:tc>
        <w:tc>
          <w:tcPr>
            <w:tcW w:w="4750" w:type="dxa"/>
            <w:shd w:val="clear" w:color="auto" w:fill="auto"/>
          </w:tcPr>
          <w:p w:rsidR="00FB10AC" w:rsidRPr="00F818EE" w:rsidRDefault="00FB10AC" w:rsidP="00316D98">
            <w:pPr>
              <w:spacing w:before="80" w:after="40"/>
              <w:jc w:val="both"/>
              <w:rPr>
                <w:rFonts w:ascii="Verdana" w:hAnsi="Verdana"/>
                <w:sz w:val="18"/>
                <w:szCs w:val="18"/>
              </w:rPr>
            </w:pPr>
          </w:p>
        </w:tc>
      </w:tr>
      <w:tr w:rsidR="00F818EE" w:rsidRPr="00F818EE" w:rsidTr="0093647C">
        <w:trPr>
          <w:trHeight w:val="596"/>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FB10AC" w:rsidRPr="00F818EE" w:rsidRDefault="00FB10AC" w:rsidP="00316D98">
            <w:pPr>
              <w:spacing w:before="80" w:after="40"/>
              <w:jc w:val="both"/>
              <w:rPr>
                <w:rFonts w:ascii="Verdana" w:hAnsi="Verdana"/>
                <w:bCs/>
                <w:sz w:val="18"/>
                <w:szCs w:val="18"/>
              </w:rPr>
            </w:pPr>
            <w:r w:rsidRPr="00F818EE">
              <w:rPr>
                <w:rFonts w:ascii="Verdana" w:hAnsi="Verdana"/>
                <w:bCs/>
                <w:sz w:val="18"/>
                <w:szCs w:val="18"/>
              </w:rPr>
              <w:t>Всеобщо е, обаче, желанието за окончателен край на реституцията в реални граници. В тази връзка и на база получените предложения от общините ви представяме следните коментари:</w:t>
            </w:r>
          </w:p>
        </w:tc>
        <w:tc>
          <w:tcPr>
            <w:tcW w:w="1559" w:type="dxa"/>
            <w:shd w:val="clear" w:color="auto" w:fill="auto"/>
          </w:tcPr>
          <w:p w:rsidR="00FB10AC" w:rsidRPr="00F818EE" w:rsidRDefault="00FB10AC" w:rsidP="00316D98">
            <w:pPr>
              <w:spacing w:before="80" w:after="40"/>
              <w:rPr>
                <w:rFonts w:ascii="Verdana" w:hAnsi="Verdana"/>
                <w:sz w:val="18"/>
                <w:szCs w:val="18"/>
              </w:rPr>
            </w:pPr>
          </w:p>
        </w:tc>
        <w:tc>
          <w:tcPr>
            <w:tcW w:w="4750" w:type="dxa"/>
            <w:shd w:val="clear" w:color="auto" w:fill="auto"/>
          </w:tcPr>
          <w:p w:rsidR="00FB10AC" w:rsidRPr="00F818EE" w:rsidRDefault="00FB10AC" w:rsidP="00316D98">
            <w:pPr>
              <w:spacing w:before="80" w:after="40"/>
              <w:jc w:val="both"/>
              <w:rPr>
                <w:rFonts w:ascii="Verdana" w:hAnsi="Verdana"/>
                <w:sz w:val="18"/>
                <w:szCs w:val="18"/>
              </w:rPr>
            </w:pPr>
          </w:p>
        </w:tc>
      </w:tr>
      <w:tr w:rsidR="00F818EE" w:rsidRPr="00F818EE" w:rsidTr="0093647C">
        <w:trPr>
          <w:trHeight w:val="596"/>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FB10AC" w:rsidRPr="00F818EE" w:rsidRDefault="00FB10AC" w:rsidP="00316D98">
            <w:pPr>
              <w:spacing w:before="80" w:after="40"/>
              <w:jc w:val="both"/>
              <w:rPr>
                <w:rFonts w:ascii="Verdana" w:hAnsi="Verdana"/>
                <w:bCs/>
                <w:sz w:val="18"/>
                <w:szCs w:val="18"/>
              </w:rPr>
            </w:pPr>
            <w:r w:rsidRPr="00F818EE">
              <w:rPr>
                <w:rFonts w:ascii="Verdana" w:hAnsi="Verdana"/>
                <w:bCs/>
                <w:sz w:val="18"/>
                <w:szCs w:val="18"/>
              </w:rPr>
              <w:t>I. Предложения, засягащи  разпореждането  с остатъчния поземлен Фонд</w:t>
            </w:r>
          </w:p>
        </w:tc>
        <w:tc>
          <w:tcPr>
            <w:tcW w:w="1559" w:type="dxa"/>
            <w:shd w:val="clear" w:color="auto" w:fill="auto"/>
          </w:tcPr>
          <w:p w:rsidR="00FB10AC" w:rsidRPr="00F818EE" w:rsidRDefault="00FB10AC" w:rsidP="00316D98">
            <w:pPr>
              <w:spacing w:before="80" w:after="40"/>
              <w:rPr>
                <w:rFonts w:ascii="Verdana" w:hAnsi="Verdana"/>
                <w:sz w:val="18"/>
                <w:szCs w:val="18"/>
              </w:rPr>
            </w:pPr>
          </w:p>
        </w:tc>
        <w:tc>
          <w:tcPr>
            <w:tcW w:w="4750" w:type="dxa"/>
            <w:shd w:val="clear" w:color="auto" w:fill="auto"/>
          </w:tcPr>
          <w:p w:rsidR="00FB10AC" w:rsidRPr="00F818EE" w:rsidRDefault="00FB10AC" w:rsidP="00316D98">
            <w:pPr>
              <w:spacing w:before="80" w:after="40"/>
              <w:jc w:val="both"/>
              <w:rPr>
                <w:rFonts w:ascii="Verdana" w:hAnsi="Verdana"/>
                <w:sz w:val="18"/>
                <w:szCs w:val="18"/>
              </w:rPr>
            </w:pPr>
          </w:p>
        </w:tc>
      </w:tr>
      <w:tr w:rsidR="00F818EE" w:rsidRPr="00F818EE" w:rsidTr="0093647C">
        <w:trPr>
          <w:trHeight w:val="321"/>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FB10AC" w:rsidRPr="00F818EE" w:rsidRDefault="00FB10AC" w:rsidP="00316D98">
            <w:pPr>
              <w:spacing w:before="80" w:after="40"/>
              <w:jc w:val="both"/>
              <w:rPr>
                <w:rFonts w:ascii="Verdana" w:hAnsi="Verdana"/>
                <w:bCs/>
                <w:sz w:val="18"/>
                <w:szCs w:val="18"/>
              </w:rPr>
            </w:pPr>
            <w:r w:rsidRPr="00F818EE">
              <w:rPr>
                <w:rFonts w:ascii="Verdana" w:hAnsi="Verdana"/>
                <w:bCs/>
                <w:sz w:val="18"/>
                <w:szCs w:val="18"/>
              </w:rPr>
              <w:t>1. По §12</w:t>
            </w:r>
          </w:p>
        </w:tc>
        <w:tc>
          <w:tcPr>
            <w:tcW w:w="1559" w:type="dxa"/>
            <w:shd w:val="clear" w:color="auto" w:fill="auto"/>
          </w:tcPr>
          <w:p w:rsidR="00FB10AC" w:rsidRPr="00F818EE" w:rsidRDefault="00FB10AC" w:rsidP="00316D98">
            <w:pPr>
              <w:spacing w:before="80" w:after="40"/>
              <w:rPr>
                <w:rFonts w:ascii="Verdana" w:hAnsi="Verdana"/>
                <w:sz w:val="18"/>
                <w:szCs w:val="18"/>
              </w:rPr>
            </w:pPr>
          </w:p>
        </w:tc>
        <w:tc>
          <w:tcPr>
            <w:tcW w:w="4750" w:type="dxa"/>
            <w:shd w:val="clear" w:color="auto" w:fill="auto"/>
          </w:tcPr>
          <w:p w:rsidR="00FB10AC" w:rsidRPr="00F818EE" w:rsidRDefault="00FB10AC" w:rsidP="00316D98">
            <w:pPr>
              <w:spacing w:before="80" w:after="40"/>
              <w:jc w:val="both"/>
              <w:rPr>
                <w:rFonts w:ascii="Verdana" w:hAnsi="Verdana"/>
                <w:sz w:val="18"/>
                <w:szCs w:val="18"/>
              </w:rPr>
            </w:pPr>
          </w:p>
        </w:tc>
      </w:tr>
      <w:tr w:rsidR="00F818EE" w:rsidRPr="00F818EE" w:rsidTr="0093647C">
        <w:trPr>
          <w:trHeight w:val="596"/>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FB10AC" w:rsidRPr="00F818EE" w:rsidRDefault="00FB10AC" w:rsidP="00316D98">
            <w:pPr>
              <w:spacing w:before="80" w:after="40"/>
              <w:jc w:val="both"/>
              <w:rPr>
                <w:rFonts w:ascii="Verdana" w:hAnsi="Verdana"/>
                <w:bCs/>
                <w:sz w:val="18"/>
                <w:szCs w:val="18"/>
              </w:rPr>
            </w:pPr>
            <w:r w:rsidRPr="00F818EE">
              <w:rPr>
                <w:rFonts w:ascii="Verdana" w:hAnsi="Verdana"/>
                <w:bCs/>
                <w:sz w:val="18"/>
                <w:szCs w:val="18"/>
              </w:rPr>
              <w:t>1.1. Предлагаме § 12, ал.</w:t>
            </w:r>
            <w:r w:rsidR="007D3AA0" w:rsidRPr="00F818EE">
              <w:rPr>
                <w:rFonts w:ascii="Verdana" w:hAnsi="Verdana"/>
                <w:bCs/>
                <w:sz w:val="18"/>
                <w:szCs w:val="18"/>
              </w:rPr>
              <w:t xml:space="preserve"> </w:t>
            </w:r>
            <w:r w:rsidRPr="00F818EE">
              <w:rPr>
                <w:rFonts w:ascii="Verdana" w:hAnsi="Verdana"/>
                <w:bCs/>
                <w:sz w:val="18"/>
                <w:szCs w:val="18"/>
              </w:rPr>
              <w:t>1, т</w:t>
            </w:r>
            <w:r w:rsidR="007D3AA0" w:rsidRPr="00F818EE">
              <w:rPr>
                <w:rFonts w:ascii="Verdana" w:hAnsi="Verdana"/>
                <w:bCs/>
                <w:sz w:val="18"/>
                <w:szCs w:val="18"/>
              </w:rPr>
              <w:t>.</w:t>
            </w:r>
            <w:r w:rsidRPr="00F818EE">
              <w:rPr>
                <w:rFonts w:ascii="Verdana" w:hAnsi="Verdana"/>
                <w:bCs/>
                <w:sz w:val="18"/>
                <w:szCs w:val="18"/>
              </w:rPr>
              <w:t xml:space="preserve"> 4 да предвиди възможност разпореждането да се извършва за всички инвестиционни проекти, получили сертификат по реда на Закона за насърчаван</w:t>
            </w:r>
            <w:r w:rsidR="007D3AA0" w:rsidRPr="00F818EE">
              <w:rPr>
                <w:rFonts w:ascii="Verdana" w:hAnsi="Verdana"/>
                <w:bCs/>
                <w:sz w:val="18"/>
                <w:szCs w:val="18"/>
              </w:rPr>
              <w:t xml:space="preserve">е на инвестициите, а не само за </w:t>
            </w:r>
            <w:r w:rsidRPr="00F818EE">
              <w:rPr>
                <w:rFonts w:ascii="Verdana" w:hAnsi="Verdana"/>
                <w:bCs/>
                <w:sz w:val="18"/>
                <w:szCs w:val="18"/>
              </w:rPr>
              <w:t>такива, касаещи инвестиции клас А (класове Б и В и приоритетен инвестиционен проект)</w:t>
            </w:r>
          </w:p>
          <w:p w:rsidR="00FB10AC" w:rsidRPr="00F818EE" w:rsidRDefault="00FB10AC" w:rsidP="00316D98">
            <w:pPr>
              <w:spacing w:before="80" w:after="40"/>
              <w:jc w:val="both"/>
              <w:rPr>
                <w:rFonts w:ascii="Verdana" w:hAnsi="Verdana"/>
                <w:bCs/>
                <w:sz w:val="18"/>
                <w:szCs w:val="18"/>
              </w:rPr>
            </w:pPr>
            <w:r w:rsidRPr="00F818EE">
              <w:rPr>
                <w:rFonts w:ascii="Verdana" w:hAnsi="Verdana"/>
                <w:bCs/>
                <w:sz w:val="18"/>
                <w:szCs w:val="18"/>
              </w:rPr>
              <w:t>Мотиви:</w:t>
            </w:r>
          </w:p>
          <w:p w:rsidR="00FB10AC" w:rsidRPr="00F818EE" w:rsidRDefault="00FB10AC" w:rsidP="00316D98">
            <w:pPr>
              <w:spacing w:before="80" w:after="40"/>
              <w:jc w:val="both"/>
              <w:rPr>
                <w:rFonts w:ascii="Verdana" w:hAnsi="Verdana"/>
                <w:bCs/>
                <w:sz w:val="18"/>
                <w:szCs w:val="18"/>
              </w:rPr>
            </w:pPr>
            <w:r w:rsidRPr="00F818EE">
              <w:rPr>
                <w:rFonts w:ascii="Verdana" w:hAnsi="Verdana"/>
                <w:bCs/>
                <w:sz w:val="18"/>
                <w:szCs w:val="18"/>
              </w:rPr>
              <w:t>Изменението ще позволи реализирането на проекти в мнозинството малки общини от селските райони, нуждаещи се най-силно от инвестиции в подкрепа</w:t>
            </w:r>
            <w:r w:rsidR="007D3AA0" w:rsidRPr="00F818EE">
              <w:rPr>
                <w:rFonts w:ascii="Verdana" w:hAnsi="Verdana"/>
                <w:bCs/>
                <w:sz w:val="18"/>
                <w:szCs w:val="18"/>
              </w:rPr>
              <w:t xml:space="preserve"> </w:t>
            </w:r>
            <w:r w:rsidRPr="00F818EE">
              <w:rPr>
                <w:rFonts w:ascii="Verdana" w:hAnsi="Verdana"/>
                <w:bCs/>
                <w:sz w:val="18"/>
                <w:szCs w:val="18"/>
              </w:rPr>
              <w:t>на местното согшално-икономическо развитие. Многомилионните инвестиции от клас А обикновено се съсредоточават в областните центрове и най-</w:t>
            </w:r>
            <w:r w:rsidR="007D3AA0" w:rsidRPr="00F818EE">
              <w:rPr>
                <w:rFonts w:ascii="Verdana" w:hAnsi="Verdana"/>
                <w:bCs/>
                <w:sz w:val="18"/>
                <w:szCs w:val="18"/>
              </w:rPr>
              <w:t>големите</w:t>
            </w:r>
            <w:r w:rsidRPr="00F818EE">
              <w:rPr>
                <w:rFonts w:ascii="Verdana" w:hAnsi="Verdana"/>
                <w:bCs/>
                <w:sz w:val="18"/>
                <w:szCs w:val="18"/>
              </w:rPr>
              <w:t xml:space="preserve"> градове, а е крайно наложително поземлените ресурси на периферните общини също да се ползват за целите на интегрираното регионално развитие.</w:t>
            </w:r>
          </w:p>
        </w:tc>
        <w:tc>
          <w:tcPr>
            <w:tcW w:w="1559" w:type="dxa"/>
            <w:shd w:val="clear" w:color="auto" w:fill="auto"/>
          </w:tcPr>
          <w:p w:rsidR="00FB10AC" w:rsidRPr="00F818EE" w:rsidRDefault="00DE1C2F" w:rsidP="00316D98">
            <w:pPr>
              <w:spacing w:before="80" w:after="40"/>
              <w:rPr>
                <w:rFonts w:ascii="Verdana" w:hAnsi="Verdana"/>
                <w:sz w:val="18"/>
                <w:szCs w:val="18"/>
              </w:rPr>
            </w:pPr>
            <w:r w:rsidRPr="00F818EE">
              <w:rPr>
                <w:rFonts w:ascii="Verdana" w:hAnsi="Verdana"/>
                <w:sz w:val="18"/>
                <w:szCs w:val="18"/>
              </w:rPr>
              <w:t>Не се приема</w:t>
            </w:r>
          </w:p>
        </w:tc>
        <w:tc>
          <w:tcPr>
            <w:tcW w:w="4750" w:type="dxa"/>
            <w:shd w:val="clear" w:color="auto" w:fill="auto"/>
          </w:tcPr>
          <w:p w:rsidR="00E61921" w:rsidRPr="00F818EE" w:rsidRDefault="00E61921" w:rsidP="00E61921">
            <w:pPr>
              <w:jc w:val="both"/>
              <w:rPr>
                <w:rFonts w:ascii="Verdana" w:hAnsi="Verdana"/>
                <w:bCs/>
                <w:sz w:val="18"/>
                <w:szCs w:val="18"/>
              </w:rPr>
            </w:pPr>
            <w:r w:rsidRPr="00F818EE">
              <w:rPr>
                <w:rFonts w:ascii="Verdana" w:hAnsi="Verdana"/>
                <w:bCs/>
                <w:sz w:val="18"/>
                <w:szCs w:val="18"/>
              </w:rPr>
              <w:t>Предложението земите по чл. 19 да се предоставят от общинските съвети</w:t>
            </w:r>
            <w:r w:rsidR="00C51DBA" w:rsidRPr="00F818EE">
              <w:rPr>
                <w:rFonts w:ascii="Verdana" w:hAnsi="Verdana"/>
                <w:bCs/>
                <w:sz w:val="18"/>
                <w:szCs w:val="18"/>
              </w:rPr>
              <w:t xml:space="preserve"> </w:t>
            </w:r>
            <w:r w:rsidRPr="00F818EE">
              <w:rPr>
                <w:rFonts w:ascii="Verdana" w:hAnsi="Verdana"/>
                <w:bCs/>
                <w:sz w:val="18"/>
                <w:szCs w:val="18"/>
              </w:rPr>
              <w:t>само за инвестиционни проекти, получили сертификат за инвестиции клас А по Закона за насърчаване на инвестициите, когато това е заявено при сертифицирането на проекта, е съгласувано от министъра на икономиката, в чиито компетенциите е издаването на сертификати за инвестиция клас А.</w:t>
            </w:r>
          </w:p>
          <w:p w:rsidR="00E61921" w:rsidRPr="00F818EE" w:rsidRDefault="00E61921" w:rsidP="000E1F1A">
            <w:pPr>
              <w:rPr>
                <w:lang w:eastAsia="en-US"/>
              </w:rPr>
            </w:pPr>
          </w:p>
          <w:p w:rsidR="00E61921" w:rsidRPr="00F818EE" w:rsidRDefault="00E61921" w:rsidP="000E1F1A">
            <w:pPr>
              <w:rPr>
                <w:lang w:eastAsia="en-US"/>
              </w:rPr>
            </w:pPr>
          </w:p>
          <w:p w:rsidR="000E1F1A" w:rsidRPr="00F818EE" w:rsidRDefault="00E61921" w:rsidP="000E1F1A">
            <w:pPr>
              <w:rPr>
                <w:lang w:eastAsia="en-US"/>
              </w:rPr>
            </w:pPr>
            <w:r w:rsidRPr="00F818EE">
              <w:rPr>
                <w:lang w:eastAsia="en-US"/>
              </w:rPr>
              <w:t xml:space="preserve"> </w:t>
            </w:r>
          </w:p>
          <w:p w:rsidR="00FB10AC" w:rsidRPr="00F818EE" w:rsidRDefault="00FB10AC" w:rsidP="00316D98">
            <w:pPr>
              <w:spacing w:before="80" w:after="40"/>
              <w:jc w:val="both"/>
              <w:rPr>
                <w:rFonts w:ascii="Verdana" w:hAnsi="Verdana"/>
                <w:sz w:val="18"/>
                <w:szCs w:val="18"/>
              </w:rPr>
            </w:pPr>
          </w:p>
        </w:tc>
      </w:tr>
      <w:tr w:rsidR="00F818EE" w:rsidRPr="00F818EE" w:rsidTr="0093647C">
        <w:trPr>
          <w:trHeight w:val="596"/>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F7291E" w:rsidRPr="00F818EE" w:rsidRDefault="00F7291E" w:rsidP="00316D98">
            <w:pPr>
              <w:spacing w:before="80" w:after="40"/>
              <w:jc w:val="both"/>
              <w:rPr>
                <w:rFonts w:ascii="Verdana" w:hAnsi="Verdana"/>
                <w:bCs/>
                <w:sz w:val="18"/>
                <w:szCs w:val="18"/>
              </w:rPr>
            </w:pPr>
            <w:r w:rsidRPr="00F818EE">
              <w:rPr>
                <w:rFonts w:ascii="Verdana" w:hAnsi="Verdana"/>
                <w:bCs/>
                <w:sz w:val="18"/>
                <w:szCs w:val="18"/>
              </w:rPr>
              <w:t xml:space="preserve">1.2. Предлагаме § 12, ал. 1, т. З да се допълни както следва: „изпълнение на проекти за уедряване на земеделски земи за землищата на общината по чл. 37е и 37з от Закона за собствеността и ползването на земеделските земи, както и за оземляване на местни земеделски производители, които не притежават необходимите собствени имоти,  на  които да </w:t>
            </w:r>
            <w:r w:rsidRPr="00F818EE">
              <w:rPr>
                <w:rFonts w:ascii="Verdana" w:hAnsi="Verdana"/>
                <w:bCs/>
                <w:sz w:val="18"/>
                <w:szCs w:val="18"/>
              </w:rPr>
              <w:lastRenderedPageBreak/>
              <w:t>осъществяват своята дейност съгласно действащите нормативни изисквания”.</w:t>
            </w:r>
          </w:p>
          <w:p w:rsidR="00F7291E" w:rsidRPr="00F818EE" w:rsidRDefault="00F7291E" w:rsidP="00316D98">
            <w:pPr>
              <w:spacing w:before="80" w:after="40"/>
              <w:jc w:val="both"/>
              <w:rPr>
                <w:rFonts w:ascii="Verdana" w:hAnsi="Verdana"/>
                <w:bCs/>
                <w:sz w:val="18"/>
                <w:szCs w:val="18"/>
              </w:rPr>
            </w:pPr>
            <w:r w:rsidRPr="00F818EE">
              <w:rPr>
                <w:rFonts w:ascii="Verdana" w:hAnsi="Verdana"/>
                <w:bCs/>
                <w:sz w:val="18"/>
                <w:szCs w:val="18"/>
              </w:rPr>
              <w:t>Мотиви:</w:t>
            </w:r>
          </w:p>
          <w:p w:rsidR="00FB10AC" w:rsidRPr="00F818EE" w:rsidRDefault="00F7291E" w:rsidP="00316D98">
            <w:pPr>
              <w:spacing w:before="80" w:after="40"/>
              <w:jc w:val="both"/>
              <w:rPr>
                <w:rFonts w:ascii="Verdana" w:hAnsi="Verdana"/>
                <w:bCs/>
                <w:sz w:val="18"/>
                <w:szCs w:val="18"/>
              </w:rPr>
            </w:pPr>
            <w:r w:rsidRPr="00F818EE">
              <w:rPr>
                <w:rFonts w:ascii="Verdana" w:hAnsi="Verdana"/>
                <w:bCs/>
                <w:sz w:val="18"/>
                <w:szCs w:val="18"/>
              </w:rPr>
              <w:t>Голям брой общини от планинските и полупланинските райони на страната с преобладаващо дребно животновъдство ни сигнализират, че местните производители изпитват изключителни трудности при изпълнението на наскоро въведените изисквания по чл. 137 от Закона за ветеринарномедицинската дейност. Огромното мнозинство не притежават необходимите имоти и не могат да предоставят нужните документи за собственост.</w:t>
            </w:r>
          </w:p>
        </w:tc>
        <w:tc>
          <w:tcPr>
            <w:tcW w:w="1559" w:type="dxa"/>
            <w:shd w:val="clear" w:color="auto" w:fill="auto"/>
          </w:tcPr>
          <w:p w:rsidR="00FB10AC" w:rsidRPr="00F818EE" w:rsidRDefault="00CE5975" w:rsidP="00316D98">
            <w:pPr>
              <w:spacing w:before="80" w:after="40"/>
              <w:rPr>
                <w:rFonts w:ascii="Verdana" w:hAnsi="Verdana"/>
                <w:sz w:val="18"/>
                <w:szCs w:val="18"/>
              </w:rPr>
            </w:pPr>
            <w:r w:rsidRPr="00F818EE">
              <w:rPr>
                <w:rFonts w:ascii="Verdana" w:hAnsi="Verdana"/>
                <w:sz w:val="18"/>
                <w:szCs w:val="18"/>
              </w:rPr>
              <w:lastRenderedPageBreak/>
              <w:t>Не се приема</w:t>
            </w:r>
          </w:p>
        </w:tc>
        <w:tc>
          <w:tcPr>
            <w:tcW w:w="4750" w:type="dxa"/>
            <w:shd w:val="clear" w:color="auto" w:fill="auto"/>
          </w:tcPr>
          <w:p w:rsidR="00CE5975" w:rsidRPr="00F818EE" w:rsidRDefault="00CE5975" w:rsidP="00CE5975">
            <w:pPr>
              <w:spacing w:line="276" w:lineRule="auto"/>
              <w:jc w:val="both"/>
              <w:rPr>
                <w:rFonts w:ascii="Verdana" w:hAnsi="Verdana"/>
                <w:bCs/>
                <w:sz w:val="18"/>
                <w:szCs w:val="18"/>
              </w:rPr>
            </w:pPr>
            <w:r w:rsidRPr="00F818EE">
              <w:rPr>
                <w:rFonts w:ascii="Verdana" w:hAnsi="Verdana"/>
                <w:bCs/>
                <w:sz w:val="18"/>
                <w:szCs w:val="18"/>
              </w:rPr>
              <w:t xml:space="preserve">Оземляването на безимотни и малоимотни граждани при преференциални цени и условия, е определено като процедура със статут на държавна помощ по смисъла на Приложение V, раздел “Земеделие” от Акта за присъединяване на България към Европейския </w:t>
            </w:r>
            <w:r w:rsidRPr="00F818EE">
              <w:rPr>
                <w:rFonts w:ascii="Verdana" w:hAnsi="Verdana"/>
                <w:bCs/>
                <w:sz w:val="18"/>
                <w:szCs w:val="18"/>
              </w:rPr>
              <w:lastRenderedPageBreak/>
              <w:t xml:space="preserve">съюз и предвид определения от ЕК 3 - годишен преходен период, прилагането й бе преустановено на 31.12.2009 година. </w:t>
            </w:r>
          </w:p>
          <w:p w:rsidR="00CE5975" w:rsidRPr="00F818EE" w:rsidRDefault="00CE5975" w:rsidP="00CE5975">
            <w:pPr>
              <w:spacing w:line="276" w:lineRule="auto"/>
              <w:ind w:right="43"/>
              <w:jc w:val="both"/>
              <w:rPr>
                <w:rFonts w:ascii="Verdana" w:hAnsi="Verdana"/>
                <w:bCs/>
                <w:sz w:val="18"/>
                <w:szCs w:val="18"/>
              </w:rPr>
            </w:pPr>
            <w:r w:rsidRPr="00F818EE">
              <w:rPr>
                <w:rFonts w:ascii="Verdana" w:hAnsi="Verdana"/>
                <w:bCs/>
                <w:sz w:val="18"/>
                <w:szCs w:val="18"/>
              </w:rPr>
              <w:t xml:space="preserve">Видно от Допълнителните разпоредби на Закона за държавните помощи ( обн., ДВ, бр. 86 от 24.10.2006 г., в сила от 01.01.2007 г.), всяка помощ, предоставена от държавата или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 - благоприятно положение на определен кръг субекти, се счита за държавна помощ. В тази връзка, с поставянето в привилегировано положение на определен кръг лица, ще се наруши свободната конкуренция, а Европейската комисия приема в своята практика, че аграрния сектор е силно конкурентен на международния пазар, така че всяко предимство влияе върху търговията между държавите - членки. Предоставянето на държавна помощ, която не отговаря на изискванията за допустимост, може да доведе до сериозни финансови санкции за държавата - членка, която я е предоставила.       </w:t>
            </w:r>
          </w:p>
          <w:p w:rsidR="00FB10AC" w:rsidRPr="00F818EE" w:rsidRDefault="00CE5975" w:rsidP="00DE1C2F">
            <w:pPr>
              <w:spacing w:line="276" w:lineRule="auto"/>
              <w:jc w:val="both"/>
              <w:rPr>
                <w:rFonts w:ascii="Verdana" w:hAnsi="Verdana"/>
                <w:bCs/>
                <w:sz w:val="18"/>
                <w:szCs w:val="18"/>
              </w:rPr>
            </w:pPr>
            <w:r w:rsidRPr="00F818EE">
              <w:rPr>
                <w:rFonts w:ascii="Verdana" w:hAnsi="Verdana"/>
                <w:bCs/>
                <w:sz w:val="18"/>
                <w:szCs w:val="18"/>
              </w:rPr>
              <w:t xml:space="preserve">Всяко оземляване на определен кръг от получатели, при отсъствие на „безусловна тръжна процедура”, се оценява от ЕК като държавна помощ, за която се провежда процедура по нотификация, придружена от икономическа оценка за положителното въздействие на мярката върху развитието на селскостопанския сектор и на рисковете за </w:t>
            </w:r>
            <w:r w:rsidRPr="00F818EE">
              <w:rPr>
                <w:rFonts w:ascii="Verdana" w:hAnsi="Verdana"/>
                <w:bCs/>
                <w:sz w:val="18"/>
                <w:szCs w:val="18"/>
              </w:rPr>
              <w:lastRenderedPageBreak/>
              <w:t>нарушаване на конкуренцията, причинени от тази мярка.</w:t>
            </w:r>
          </w:p>
        </w:tc>
      </w:tr>
      <w:tr w:rsidR="00F818EE" w:rsidRPr="00F818EE" w:rsidTr="0093647C">
        <w:trPr>
          <w:trHeight w:val="596"/>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F7291E" w:rsidRPr="00F818EE" w:rsidRDefault="00F7291E" w:rsidP="00316D98">
            <w:pPr>
              <w:spacing w:before="80" w:after="40"/>
              <w:jc w:val="both"/>
              <w:rPr>
                <w:rFonts w:ascii="Verdana" w:hAnsi="Verdana"/>
                <w:bCs/>
                <w:sz w:val="18"/>
                <w:szCs w:val="18"/>
              </w:rPr>
            </w:pPr>
            <w:r w:rsidRPr="00F818EE">
              <w:rPr>
                <w:rFonts w:ascii="Verdana" w:hAnsi="Verdana"/>
                <w:bCs/>
                <w:sz w:val="18"/>
                <w:szCs w:val="18"/>
              </w:rPr>
              <w:t>1.3. Предлагаме в § 12, ал. 2, т. 2 да се уточни понятието „изчерпани” или текстът да се измени като се предвиди възможност проектите по ал. 1, т. 4 и 5 да се   реализират,   в   случай   че   земите   от   общинския   поземлен   фонд   на територията на съответното землище не са пригодни или достатъчни за реализиране на инвестиционните проекти.</w:t>
            </w:r>
          </w:p>
          <w:p w:rsidR="00F7291E" w:rsidRPr="00F818EE" w:rsidRDefault="00F7291E" w:rsidP="00316D98">
            <w:pPr>
              <w:spacing w:before="80" w:after="40"/>
              <w:jc w:val="both"/>
              <w:rPr>
                <w:rFonts w:ascii="Verdana" w:hAnsi="Verdana"/>
                <w:bCs/>
                <w:sz w:val="18"/>
                <w:szCs w:val="18"/>
              </w:rPr>
            </w:pPr>
            <w:r w:rsidRPr="00F818EE">
              <w:rPr>
                <w:rFonts w:ascii="Verdana" w:hAnsi="Verdana"/>
                <w:bCs/>
                <w:sz w:val="18"/>
                <w:szCs w:val="18"/>
              </w:rPr>
              <w:t>Мотиви:</w:t>
            </w:r>
          </w:p>
          <w:p w:rsidR="00FB10AC" w:rsidRPr="00F818EE" w:rsidRDefault="00F7291E" w:rsidP="00316D98">
            <w:pPr>
              <w:spacing w:before="80" w:after="40"/>
              <w:jc w:val="both"/>
              <w:rPr>
                <w:rFonts w:ascii="Verdana" w:hAnsi="Verdana"/>
                <w:bCs/>
                <w:sz w:val="18"/>
                <w:szCs w:val="18"/>
              </w:rPr>
            </w:pPr>
            <w:r w:rsidRPr="00F818EE">
              <w:rPr>
                <w:rFonts w:ascii="Verdana" w:hAnsi="Verdana"/>
                <w:bCs/>
                <w:sz w:val="18"/>
                <w:szCs w:val="18"/>
              </w:rPr>
              <w:t>В редица общини ОПФ е разпръснат в няколко землища, а и е „изчерпан”, тъй като задължително се отдава за дългосрочно ползване на земеделските производители по реда на закона. Останалите „свободни” имоти в отделните землища не са достатъчни и нямат потенциал за реализирането на инвестиционни намерения.</w:t>
            </w:r>
          </w:p>
        </w:tc>
        <w:tc>
          <w:tcPr>
            <w:tcW w:w="1559" w:type="dxa"/>
            <w:shd w:val="clear" w:color="auto" w:fill="auto"/>
          </w:tcPr>
          <w:p w:rsidR="00FB10AC" w:rsidRPr="00F818EE" w:rsidRDefault="00D32410" w:rsidP="00316D98">
            <w:pPr>
              <w:spacing w:before="80" w:after="40"/>
              <w:rPr>
                <w:rFonts w:ascii="Verdana" w:hAnsi="Verdana"/>
                <w:sz w:val="18"/>
                <w:szCs w:val="18"/>
              </w:rPr>
            </w:pPr>
            <w:r w:rsidRPr="00F818EE">
              <w:rPr>
                <w:rFonts w:ascii="Verdana" w:hAnsi="Verdana"/>
                <w:sz w:val="18"/>
                <w:szCs w:val="18"/>
              </w:rPr>
              <w:t>Не се приема</w:t>
            </w:r>
          </w:p>
        </w:tc>
        <w:tc>
          <w:tcPr>
            <w:tcW w:w="4750" w:type="dxa"/>
            <w:shd w:val="clear" w:color="auto" w:fill="auto"/>
          </w:tcPr>
          <w:p w:rsidR="00FB10AC" w:rsidRPr="00F818EE" w:rsidRDefault="00DE1C2F" w:rsidP="00DE1C2F">
            <w:pPr>
              <w:spacing w:before="80" w:after="40" w:line="276" w:lineRule="auto"/>
              <w:jc w:val="both"/>
              <w:rPr>
                <w:rFonts w:ascii="Verdana" w:hAnsi="Verdana"/>
                <w:bCs/>
                <w:sz w:val="18"/>
                <w:szCs w:val="18"/>
              </w:rPr>
            </w:pPr>
            <w:r w:rsidRPr="00F818EE">
              <w:rPr>
                <w:rFonts w:ascii="Verdana" w:hAnsi="Verdana"/>
                <w:bCs/>
                <w:sz w:val="18"/>
                <w:szCs w:val="18"/>
              </w:rPr>
              <w:t>Синоними на п</w:t>
            </w:r>
            <w:r w:rsidR="00D32410" w:rsidRPr="00F818EE">
              <w:rPr>
                <w:rFonts w:ascii="Verdana" w:hAnsi="Verdana"/>
                <w:bCs/>
                <w:sz w:val="18"/>
                <w:szCs w:val="18"/>
              </w:rPr>
              <w:t xml:space="preserve">онятието „изчерпан” </w:t>
            </w:r>
            <w:r w:rsidRPr="00F818EE">
              <w:rPr>
                <w:rFonts w:ascii="Verdana" w:hAnsi="Verdana"/>
                <w:bCs/>
                <w:sz w:val="18"/>
                <w:szCs w:val="18"/>
              </w:rPr>
              <w:t xml:space="preserve">са </w:t>
            </w:r>
            <w:r w:rsidR="00D32410" w:rsidRPr="00F818EE">
              <w:rPr>
                <w:rFonts w:ascii="Verdana" w:hAnsi="Verdana"/>
                <w:bCs/>
                <w:sz w:val="18"/>
                <w:szCs w:val="18"/>
              </w:rPr>
              <w:t>„изразходван“, „ликвидиран“, „приключен“, „изхабен“, т.е. означава, че няма земи</w:t>
            </w:r>
            <w:r w:rsidR="00CE5975" w:rsidRPr="00F818EE">
              <w:rPr>
                <w:rFonts w:ascii="Verdana" w:hAnsi="Verdana"/>
                <w:bCs/>
                <w:sz w:val="18"/>
                <w:szCs w:val="18"/>
              </w:rPr>
              <w:t xml:space="preserve"> от</w:t>
            </w:r>
            <w:r w:rsidR="00D32410" w:rsidRPr="00F818EE">
              <w:rPr>
                <w:rFonts w:ascii="Verdana" w:hAnsi="Verdana"/>
                <w:bCs/>
                <w:sz w:val="18"/>
                <w:szCs w:val="18"/>
              </w:rPr>
              <w:t xml:space="preserve"> общинс</w:t>
            </w:r>
            <w:r w:rsidRPr="00F818EE">
              <w:rPr>
                <w:rFonts w:ascii="Verdana" w:hAnsi="Verdana"/>
                <w:bCs/>
                <w:sz w:val="18"/>
                <w:szCs w:val="18"/>
              </w:rPr>
              <w:t>кия</w:t>
            </w:r>
            <w:r w:rsidR="00D32410" w:rsidRPr="00F818EE">
              <w:rPr>
                <w:rFonts w:ascii="Verdana" w:hAnsi="Verdana"/>
                <w:bCs/>
                <w:sz w:val="18"/>
                <w:szCs w:val="18"/>
              </w:rPr>
              <w:t xml:space="preserve"> позем</w:t>
            </w:r>
            <w:r w:rsidR="00CE5975" w:rsidRPr="00F818EE">
              <w:rPr>
                <w:rFonts w:ascii="Verdana" w:hAnsi="Verdana"/>
                <w:bCs/>
                <w:sz w:val="18"/>
                <w:szCs w:val="18"/>
              </w:rPr>
              <w:t>лен</w:t>
            </w:r>
            <w:r w:rsidR="00D32410" w:rsidRPr="00F818EE">
              <w:rPr>
                <w:rFonts w:ascii="Verdana" w:hAnsi="Verdana"/>
                <w:bCs/>
                <w:sz w:val="18"/>
                <w:szCs w:val="18"/>
              </w:rPr>
              <w:t xml:space="preserve"> фонд на територията на </w:t>
            </w:r>
            <w:r w:rsidR="00CE5975" w:rsidRPr="00F818EE">
              <w:rPr>
                <w:rFonts w:ascii="Verdana" w:hAnsi="Verdana"/>
                <w:bCs/>
                <w:sz w:val="18"/>
                <w:szCs w:val="18"/>
              </w:rPr>
              <w:t>общината.</w:t>
            </w:r>
          </w:p>
        </w:tc>
      </w:tr>
      <w:tr w:rsidR="00F818EE" w:rsidRPr="00F818EE" w:rsidTr="0093647C">
        <w:trPr>
          <w:trHeight w:val="596"/>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4827E3" w:rsidRPr="00F818EE" w:rsidRDefault="004827E3" w:rsidP="00316D98">
            <w:pPr>
              <w:spacing w:before="80" w:after="40"/>
              <w:jc w:val="both"/>
              <w:rPr>
                <w:rFonts w:ascii="Verdana" w:hAnsi="Verdana"/>
                <w:bCs/>
                <w:sz w:val="18"/>
                <w:szCs w:val="18"/>
              </w:rPr>
            </w:pPr>
            <w:r w:rsidRPr="00F818EE">
              <w:rPr>
                <w:rFonts w:ascii="Verdana" w:hAnsi="Verdana"/>
                <w:bCs/>
                <w:sz w:val="18"/>
                <w:szCs w:val="18"/>
              </w:rPr>
              <w:t>1.4. Предлагаме текстът на § 12. ал. З да се редактира, като „предоставяне" се замени с „определяне" на равностоен имот от общинския поземлен фонд.</w:t>
            </w:r>
          </w:p>
          <w:p w:rsidR="004827E3" w:rsidRPr="00F818EE" w:rsidRDefault="004827E3" w:rsidP="00316D98">
            <w:pPr>
              <w:spacing w:before="80" w:after="40"/>
              <w:jc w:val="both"/>
              <w:rPr>
                <w:rFonts w:ascii="Verdana" w:hAnsi="Verdana"/>
                <w:bCs/>
                <w:sz w:val="18"/>
                <w:szCs w:val="18"/>
              </w:rPr>
            </w:pPr>
            <w:r w:rsidRPr="00F818EE">
              <w:rPr>
                <w:rFonts w:ascii="Verdana" w:hAnsi="Verdana"/>
                <w:bCs/>
                <w:sz w:val="18"/>
                <w:szCs w:val="18"/>
              </w:rPr>
              <w:t>Мотиви:</w:t>
            </w:r>
          </w:p>
          <w:p w:rsidR="00FB10AC" w:rsidRPr="00F818EE" w:rsidRDefault="004827E3" w:rsidP="00316D98">
            <w:pPr>
              <w:spacing w:before="80" w:after="40"/>
              <w:jc w:val="both"/>
              <w:rPr>
                <w:rFonts w:ascii="Verdana" w:hAnsi="Verdana"/>
                <w:bCs/>
                <w:sz w:val="18"/>
                <w:szCs w:val="18"/>
              </w:rPr>
            </w:pPr>
            <w:r w:rsidRPr="00F818EE">
              <w:rPr>
                <w:rFonts w:ascii="Verdana" w:hAnsi="Verdana"/>
                <w:bCs/>
                <w:sz w:val="18"/>
                <w:szCs w:val="18"/>
              </w:rPr>
              <w:t>Прецизиране на разпоредбата, касаеща предоставяне на равностоен имот от ОПФ за изпълнение на изискванията на § 27, ал. 2 от ПЗР па ЗИД па ЗСПЗЗ от 2010 г.</w:t>
            </w:r>
          </w:p>
        </w:tc>
        <w:tc>
          <w:tcPr>
            <w:tcW w:w="1559" w:type="dxa"/>
            <w:shd w:val="clear" w:color="auto" w:fill="auto"/>
          </w:tcPr>
          <w:p w:rsidR="00FB10AC" w:rsidRPr="00F818EE" w:rsidRDefault="00CE5975" w:rsidP="00316D98">
            <w:pPr>
              <w:spacing w:before="80" w:after="40"/>
              <w:rPr>
                <w:rFonts w:ascii="Verdana" w:hAnsi="Verdana"/>
                <w:sz w:val="18"/>
                <w:szCs w:val="18"/>
              </w:rPr>
            </w:pPr>
            <w:r w:rsidRPr="00F818EE">
              <w:rPr>
                <w:rFonts w:ascii="Verdana" w:hAnsi="Verdana"/>
                <w:sz w:val="18"/>
                <w:szCs w:val="18"/>
              </w:rPr>
              <w:t>Не се приема</w:t>
            </w:r>
          </w:p>
        </w:tc>
        <w:tc>
          <w:tcPr>
            <w:tcW w:w="4750" w:type="dxa"/>
            <w:shd w:val="clear" w:color="auto" w:fill="auto"/>
          </w:tcPr>
          <w:p w:rsidR="00FB10AC" w:rsidRPr="00F818EE" w:rsidRDefault="00CE5975" w:rsidP="00DE1C2F">
            <w:pPr>
              <w:spacing w:before="80" w:after="40"/>
              <w:jc w:val="both"/>
              <w:rPr>
                <w:rFonts w:ascii="Verdana" w:hAnsi="Verdana"/>
                <w:sz w:val="18"/>
                <w:szCs w:val="18"/>
              </w:rPr>
            </w:pPr>
            <w:r w:rsidRPr="00F818EE">
              <w:rPr>
                <w:rFonts w:ascii="Verdana" w:hAnsi="Verdana"/>
                <w:sz w:val="18"/>
                <w:szCs w:val="18"/>
              </w:rPr>
              <w:t xml:space="preserve">Общинският съвет приема решение </w:t>
            </w:r>
            <w:r w:rsidR="00DE1C2F" w:rsidRPr="00F818EE">
              <w:rPr>
                <w:rFonts w:ascii="Verdana" w:hAnsi="Verdana"/>
                <w:sz w:val="18"/>
                <w:szCs w:val="18"/>
              </w:rPr>
              <w:t xml:space="preserve">за разпореждане с </w:t>
            </w:r>
            <w:r w:rsidR="00DE1C2F" w:rsidRPr="00F818EE">
              <w:rPr>
                <w:rFonts w:ascii="Verdana" w:hAnsi="Verdana"/>
                <w:bCs/>
                <w:sz w:val="18"/>
                <w:szCs w:val="18"/>
              </w:rPr>
              <w:t xml:space="preserve">равностоен </w:t>
            </w:r>
            <w:r w:rsidR="00DE1C2F" w:rsidRPr="00F818EE">
              <w:rPr>
                <w:rFonts w:ascii="Verdana" w:hAnsi="Verdana"/>
                <w:sz w:val="18"/>
                <w:szCs w:val="18"/>
              </w:rPr>
              <w:t>имот от ОПФ,</w:t>
            </w:r>
            <w:r w:rsidR="00D76F04" w:rsidRPr="00F818EE">
              <w:rPr>
                <w:rFonts w:ascii="Verdana" w:hAnsi="Verdana"/>
                <w:sz w:val="18"/>
                <w:szCs w:val="18"/>
              </w:rPr>
              <w:t xml:space="preserve"> като</w:t>
            </w:r>
            <w:r w:rsidR="00DE1C2F" w:rsidRPr="00F818EE">
              <w:rPr>
                <w:rFonts w:ascii="Verdana" w:hAnsi="Verdana"/>
                <w:sz w:val="18"/>
                <w:szCs w:val="18"/>
              </w:rPr>
              <w:t xml:space="preserve"> го предоставя за причисляване към земите по чл. 19.</w:t>
            </w:r>
          </w:p>
        </w:tc>
      </w:tr>
      <w:tr w:rsidR="00F818EE" w:rsidRPr="00F818EE" w:rsidTr="0093647C">
        <w:trPr>
          <w:trHeight w:val="596"/>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FB10AC" w:rsidRPr="00F818EE" w:rsidRDefault="00B26BA2" w:rsidP="00316D98">
            <w:pPr>
              <w:spacing w:before="80" w:after="40"/>
              <w:jc w:val="both"/>
              <w:rPr>
                <w:rFonts w:ascii="Verdana" w:hAnsi="Verdana"/>
                <w:bCs/>
                <w:sz w:val="18"/>
                <w:szCs w:val="18"/>
              </w:rPr>
            </w:pPr>
            <w:r w:rsidRPr="00F818EE">
              <w:rPr>
                <w:rFonts w:ascii="Verdana" w:hAnsi="Verdana"/>
                <w:bCs/>
                <w:sz w:val="18"/>
                <w:szCs w:val="18"/>
              </w:rPr>
              <w:t>II. Предложения за допълнение на ЗПЗП във връзка със законосъобразното ползване на общинския поземлен фонд</w:t>
            </w:r>
          </w:p>
        </w:tc>
        <w:tc>
          <w:tcPr>
            <w:tcW w:w="1559" w:type="dxa"/>
            <w:shd w:val="clear" w:color="auto" w:fill="auto"/>
          </w:tcPr>
          <w:p w:rsidR="00FB10AC" w:rsidRPr="00F818EE" w:rsidRDefault="00FB10AC" w:rsidP="00316D98">
            <w:pPr>
              <w:spacing w:before="80" w:after="40"/>
              <w:rPr>
                <w:rFonts w:ascii="Verdana" w:hAnsi="Verdana"/>
                <w:sz w:val="18"/>
                <w:szCs w:val="18"/>
              </w:rPr>
            </w:pPr>
          </w:p>
        </w:tc>
        <w:tc>
          <w:tcPr>
            <w:tcW w:w="4750" w:type="dxa"/>
            <w:shd w:val="clear" w:color="auto" w:fill="auto"/>
          </w:tcPr>
          <w:p w:rsidR="00FB10AC" w:rsidRPr="00F818EE" w:rsidRDefault="00FB10AC" w:rsidP="00316D98">
            <w:pPr>
              <w:spacing w:before="80" w:after="40"/>
              <w:jc w:val="both"/>
              <w:rPr>
                <w:rFonts w:ascii="Verdana" w:hAnsi="Verdana"/>
                <w:sz w:val="18"/>
                <w:szCs w:val="18"/>
              </w:rPr>
            </w:pPr>
          </w:p>
        </w:tc>
      </w:tr>
      <w:tr w:rsidR="00F818EE" w:rsidRPr="00F818EE" w:rsidTr="0093647C">
        <w:trPr>
          <w:trHeight w:val="596"/>
          <w:jc w:val="center"/>
        </w:trPr>
        <w:tc>
          <w:tcPr>
            <w:tcW w:w="622" w:type="dxa"/>
            <w:vMerge/>
            <w:shd w:val="clear" w:color="auto" w:fill="auto"/>
          </w:tcPr>
          <w:p w:rsidR="00B26BA2" w:rsidRPr="00F818EE" w:rsidRDefault="00B26BA2"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B26BA2" w:rsidRPr="00F818EE" w:rsidRDefault="00B26BA2" w:rsidP="00316D98">
            <w:pPr>
              <w:spacing w:before="80" w:after="40"/>
              <w:rPr>
                <w:rFonts w:ascii="Verdana" w:hAnsi="Verdana" w:cs="Tahoma"/>
                <w:b/>
                <w:sz w:val="18"/>
                <w:szCs w:val="18"/>
              </w:rPr>
            </w:pPr>
          </w:p>
        </w:tc>
        <w:tc>
          <w:tcPr>
            <w:tcW w:w="6095" w:type="dxa"/>
            <w:shd w:val="clear" w:color="auto" w:fill="auto"/>
          </w:tcPr>
          <w:p w:rsidR="00B26BA2" w:rsidRPr="00F818EE" w:rsidRDefault="00B26BA2" w:rsidP="00316D98">
            <w:pPr>
              <w:spacing w:before="80" w:after="40"/>
              <w:jc w:val="both"/>
              <w:rPr>
                <w:rFonts w:ascii="Verdana" w:hAnsi="Verdana"/>
                <w:bCs/>
                <w:sz w:val="18"/>
                <w:szCs w:val="18"/>
              </w:rPr>
            </w:pPr>
            <w:r w:rsidRPr="00F818EE">
              <w:rPr>
                <w:rFonts w:ascii="Verdana" w:hAnsi="Verdana"/>
                <w:bCs/>
                <w:sz w:val="18"/>
                <w:szCs w:val="18"/>
              </w:rPr>
              <w:t>2.1. В § 8, текстът по чл. 41, ал. 5, т. 2 да се допълни както следва:</w:t>
            </w:r>
          </w:p>
          <w:p w:rsidR="00B26BA2" w:rsidRPr="00F818EE" w:rsidRDefault="00B26BA2" w:rsidP="00316D98">
            <w:pPr>
              <w:spacing w:before="80" w:after="40"/>
              <w:jc w:val="both"/>
              <w:rPr>
                <w:rFonts w:ascii="Verdana" w:hAnsi="Verdana"/>
                <w:bCs/>
                <w:sz w:val="18"/>
                <w:szCs w:val="18"/>
              </w:rPr>
            </w:pPr>
            <w:r w:rsidRPr="00F818EE">
              <w:rPr>
                <w:rFonts w:ascii="Verdana" w:hAnsi="Verdana"/>
                <w:bCs/>
                <w:sz w:val="18"/>
                <w:szCs w:val="18"/>
              </w:rPr>
              <w:t>„(5) Министерството на земеделието, храните и горите, степенува, обобщава и предава на Разплащателната агенция еднократно или на етапи данни за регистрираните правни основания за ползване на земеделски земи. Не се считат за правно основание за подпомагане:</w:t>
            </w:r>
          </w:p>
          <w:p w:rsidR="00B26BA2" w:rsidRPr="00F818EE" w:rsidRDefault="00B26BA2" w:rsidP="00316D98">
            <w:pPr>
              <w:spacing w:before="80" w:after="40"/>
              <w:jc w:val="both"/>
              <w:rPr>
                <w:rFonts w:ascii="Verdana" w:hAnsi="Verdana"/>
                <w:bCs/>
                <w:sz w:val="18"/>
                <w:szCs w:val="18"/>
              </w:rPr>
            </w:pPr>
            <w:r w:rsidRPr="00F818EE">
              <w:rPr>
                <w:rFonts w:ascii="Verdana" w:hAnsi="Verdana"/>
                <w:bCs/>
                <w:sz w:val="18"/>
                <w:szCs w:val="18"/>
              </w:rPr>
              <w:t>...</w:t>
            </w:r>
          </w:p>
          <w:p w:rsidR="00B26BA2" w:rsidRPr="00F818EE" w:rsidRDefault="00B26BA2" w:rsidP="00316D98">
            <w:pPr>
              <w:spacing w:before="80" w:after="40"/>
              <w:jc w:val="both"/>
              <w:rPr>
                <w:rFonts w:ascii="Verdana" w:hAnsi="Verdana"/>
                <w:bCs/>
                <w:sz w:val="18"/>
                <w:szCs w:val="18"/>
              </w:rPr>
            </w:pPr>
            <w:r w:rsidRPr="00F818EE">
              <w:rPr>
                <w:rFonts w:ascii="Verdana" w:hAnsi="Verdana"/>
                <w:bCs/>
                <w:sz w:val="18"/>
                <w:szCs w:val="18"/>
              </w:rPr>
              <w:t xml:space="preserve">2. имоти от държавния поземлен фонд на ползватели, които </w:t>
            </w:r>
            <w:r w:rsidRPr="00F818EE">
              <w:rPr>
                <w:rFonts w:ascii="Verdana" w:hAnsi="Verdana"/>
                <w:bCs/>
                <w:sz w:val="18"/>
                <w:szCs w:val="18"/>
              </w:rPr>
              <w:lastRenderedPageBreak/>
              <w:t>имат задължения по договори за наем или аренда на земеделски земи от държавния поземлен фонд и от общинския поземлен фонд;</w:t>
            </w:r>
          </w:p>
          <w:p w:rsidR="00B26BA2" w:rsidRPr="00F818EE" w:rsidRDefault="00B26BA2" w:rsidP="00316D98">
            <w:pPr>
              <w:spacing w:before="80" w:after="40"/>
              <w:jc w:val="both"/>
              <w:rPr>
                <w:rFonts w:ascii="Verdana" w:hAnsi="Verdana"/>
                <w:bCs/>
                <w:sz w:val="18"/>
                <w:szCs w:val="18"/>
              </w:rPr>
            </w:pPr>
            <w:r w:rsidRPr="00F818EE">
              <w:rPr>
                <w:rFonts w:ascii="Verdana" w:hAnsi="Verdana"/>
                <w:bCs/>
                <w:sz w:val="18"/>
                <w:szCs w:val="18"/>
              </w:rPr>
              <w:t>Мотиви:</w:t>
            </w:r>
          </w:p>
          <w:p w:rsidR="00B26BA2" w:rsidRPr="00F818EE" w:rsidRDefault="00B26BA2" w:rsidP="00316D98">
            <w:pPr>
              <w:spacing w:before="80" w:after="40"/>
              <w:jc w:val="both"/>
              <w:rPr>
                <w:rFonts w:ascii="Verdana" w:hAnsi="Verdana"/>
                <w:bCs/>
                <w:sz w:val="18"/>
                <w:szCs w:val="18"/>
              </w:rPr>
            </w:pPr>
            <w:r w:rsidRPr="00F818EE">
              <w:rPr>
                <w:rFonts w:ascii="Verdana" w:hAnsi="Verdana"/>
                <w:bCs/>
                <w:sz w:val="18"/>
                <w:szCs w:val="18"/>
              </w:rPr>
              <w:t>Допълнението цели равнопоставена защита на държавния и общинския поземлен фонд като ценен публичен ресурс. Местните власти също изпитват големи затруднения с навременното плащане на наемни или арендни вноски по сключени договори за ползване на земеделските земи. Поправката ще осигури контрол по изпълнение на договорите и гарантира коректно правно основание за подпомагане на ползвателите по съответните мерки и схеми.</w:t>
            </w:r>
          </w:p>
        </w:tc>
        <w:tc>
          <w:tcPr>
            <w:tcW w:w="1559" w:type="dxa"/>
            <w:shd w:val="clear" w:color="auto" w:fill="auto"/>
          </w:tcPr>
          <w:p w:rsidR="00B26BA2" w:rsidRPr="00F818EE" w:rsidRDefault="0048308F" w:rsidP="00316D98">
            <w:pPr>
              <w:spacing w:before="80" w:after="40"/>
              <w:rPr>
                <w:rFonts w:ascii="Verdana" w:hAnsi="Verdana"/>
                <w:sz w:val="18"/>
                <w:szCs w:val="18"/>
              </w:rPr>
            </w:pPr>
            <w:r w:rsidRPr="00F818EE">
              <w:rPr>
                <w:rFonts w:ascii="Verdana" w:hAnsi="Verdana"/>
                <w:sz w:val="18"/>
                <w:szCs w:val="18"/>
              </w:rPr>
              <w:lastRenderedPageBreak/>
              <w:t>Приема се</w:t>
            </w:r>
          </w:p>
        </w:tc>
        <w:tc>
          <w:tcPr>
            <w:tcW w:w="4750" w:type="dxa"/>
            <w:shd w:val="clear" w:color="auto" w:fill="auto"/>
          </w:tcPr>
          <w:p w:rsidR="00B26BA2" w:rsidRPr="00F818EE" w:rsidRDefault="00B26BA2" w:rsidP="00316D98">
            <w:pPr>
              <w:spacing w:before="80" w:after="40"/>
              <w:jc w:val="both"/>
              <w:rPr>
                <w:rFonts w:ascii="Verdana" w:hAnsi="Verdana"/>
                <w:sz w:val="18"/>
                <w:szCs w:val="18"/>
              </w:rPr>
            </w:pPr>
          </w:p>
        </w:tc>
      </w:tr>
      <w:tr w:rsidR="00F818EE" w:rsidRPr="00F818EE" w:rsidTr="0093647C">
        <w:trPr>
          <w:trHeight w:val="596"/>
          <w:jc w:val="center"/>
        </w:trPr>
        <w:tc>
          <w:tcPr>
            <w:tcW w:w="622" w:type="dxa"/>
            <w:vMerge/>
            <w:shd w:val="clear" w:color="auto" w:fill="auto"/>
          </w:tcPr>
          <w:p w:rsidR="00B26BA2" w:rsidRPr="00F818EE" w:rsidRDefault="00B26BA2"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B26BA2" w:rsidRPr="00F818EE" w:rsidRDefault="00B26BA2" w:rsidP="00316D98">
            <w:pPr>
              <w:spacing w:before="80" w:after="40"/>
              <w:rPr>
                <w:rFonts w:ascii="Verdana" w:hAnsi="Verdana" w:cs="Tahoma"/>
                <w:b/>
                <w:sz w:val="18"/>
                <w:szCs w:val="18"/>
              </w:rPr>
            </w:pPr>
          </w:p>
        </w:tc>
        <w:tc>
          <w:tcPr>
            <w:tcW w:w="6095" w:type="dxa"/>
            <w:shd w:val="clear" w:color="auto" w:fill="auto"/>
          </w:tcPr>
          <w:p w:rsidR="00316D98" w:rsidRPr="00F818EE" w:rsidRDefault="00316D98" w:rsidP="00316D98">
            <w:pPr>
              <w:spacing w:before="80" w:after="40"/>
              <w:jc w:val="both"/>
              <w:rPr>
                <w:rFonts w:ascii="Verdana" w:hAnsi="Verdana"/>
                <w:bCs/>
                <w:sz w:val="18"/>
                <w:szCs w:val="18"/>
              </w:rPr>
            </w:pPr>
            <w:r w:rsidRPr="00F818EE">
              <w:rPr>
                <w:rFonts w:ascii="Verdana" w:hAnsi="Verdana"/>
                <w:bCs/>
                <w:sz w:val="18"/>
                <w:szCs w:val="18"/>
              </w:rPr>
              <w:t>2.2. Предлагаме в чл. 41, ал. 5 да се добави нова точка 4 със следния текст:</w:t>
            </w:r>
          </w:p>
          <w:p w:rsidR="00316D98" w:rsidRPr="00F818EE" w:rsidRDefault="00316D98" w:rsidP="00316D98">
            <w:pPr>
              <w:spacing w:before="80" w:after="40"/>
              <w:jc w:val="both"/>
              <w:rPr>
                <w:rFonts w:ascii="Verdana" w:hAnsi="Verdana"/>
                <w:bCs/>
                <w:sz w:val="18"/>
                <w:szCs w:val="18"/>
              </w:rPr>
            </w:pPr>
            <w:r w:rsidRPr="00F818EE">
              <w:rPr>
                <w:rFonts w:ascii="Verdana" w:hAnsi="Verdana"/>
                <w:bCs/>
                <w:sz w:val="18"/>
                <w:szCs w:val="18"/>
              </w:rPr>
              <w:t>„Имоти от общинския поземлен фонд с прекратени договори за наем или аренда със заповед на кмета на общината или с предизвестие по Закона за задълженията и договорите, които се изпращат в съответната Общинска служба по земеделие и се регистрират в софтуерен продукт, поддържан от Министерството на земеделието, храните и горите.”</w:t>
            </w:r>
          </w:p>
          <w:p w:rsidR="00316D98" w:rsidRPr="00F818EE" w:rsidRDefault="00316D98" w:rsidP="00316D98">
            <w:pPr>
              <w:spacing w:before="80" w:after="40"/>
              <w:jc w:val="both"/>
              <w:rPr>
                <w:rFonts w:ascii="Verdana" w:hAnsi="Verdana"/>
                <w:bCs/>
                <w:sz w:val="18"/>
                <w:szCs w:val="18"/>
              </w:rPr>
            </w:pPr>
            <w:r w:rsidRPr="00F818EE">
              <w:rPr>
                <w:rFonts w:ascii="Verdana" w:hAnsi="Verdana"/>
                <w:bCs/>
                <w:sz w:val="18"/>
                <w:szCs w:val="18"/>
              </w:rPr>
              <w:t>Мотиви:</w:t>
            </w:r>
          </w:p>
          <w:p w:rsidR="00B26BA2" w:rsidRPr="00F818EE" w:rsidRDefault="00316D98" w:rsidP="00316D98">
            <w:pPr>
              <w:spacing w:before="80" w:after="40"/>
              <w:jc w:val="both"/>
              <w:rPr>
                <w:rFonts w:ascii="Verdana" w:hAnsi="Verdana"/>
                <w:bCs/>
                <w:sz w:val="18"/>
                <w:szCs w:val="18"/>
              </w:rPr>
            </w:pPr>
            <w:r w:rsidRPr="00F818EE">
              <w:rPr>
                <w:rFonts w:ascii="Verdana" w:hAnsi="Verdana"/>
                <w:bCs/>
                <w:sz w:val="18"/>
                <w:szCs w:val="18"/>
              </w:rPr>
              <w:t>Допълнението цели въвеждане на ред, по който се отразяват прекратените наемни/арендни договори за земеделски земи при виновно неизпълнение от страна на ползватели, сключили договори с общините. Съгласно ЗЗД и Закона за общинската собственост договорите се прекратяват със заповед на кмета или с предизвестия. Същите не биват отразени в Общинските служби по земеделие или в Разплащателната агенция, които приемат единствено вписани допълнителни споразумения за регистрация в програмния продукт, поддържан от МЗХГ. Тези обстоятелства създават съществени затруднения за местните власти по отношение управлението на общинския поземлен фонд и нерядко водят до тежки съдебни спорове.</w:t>
            </w:r>
          </w:p>
        </w:tc>
        <w:tc>
          <w:tcPr>
            <w:tcW w:w="1559" w:type="dxa"/>
            <w:shd w:val="clear" w:color="auto" w:fill="auto"/>
          </w:tcPr>
          <w:p w:rsidR="00B26BA2" w:rsidRPr="00F818EE" w:rsidRDefault="00BD5D06" w:rsidP="00316D98">
            <w:pPr>
              <w:spacing w:before="80" w:after="40"/>
              <w:rPr>
                <w:rFonts w:ascii="Verdana" w:hAnsi="Verdana"/>
                <w:sz w:val="18"/>
                <w:szCs w:val="18"/>
              </w:rPr>
            </w:pPr>
            <w:r w:rsidRPr="00F818EE">
              <w:rPr>
                <w:rFonts w:ascii="Verdana" w:hAnsi="Verdana"/>
                <w:sz w:val="18"/>
                <w:szCs w:val="18"/>
              </w:rPr>
              <w:t>Не се приема</w:t>
            </w:r>
          </w:p>
        </w:tc>
        <w:tc>
          <w:tcPr>
            <w:tcW w:w="4750" w:type="dxa"/>
            <w:shd w:val="clear" w:color="auto" w:fill="auto"/>
          </w:tcPr>
          <w:p w:rsidR="00B26BA2" w:rsidRPr="00F818EE" w:rsidRDefault="00BD5D06" w:rsidP="00BD5D06">
            <w:pPr>
              <w:spacing w:before="80" w:after="40"/>
              <w:jc w:val="both"/>
              <w:rPr>
                <w:rFonts w:ascii="Verdana" w:hAnsi="Verdana"/>
                <w:sz w:val="18"/>
                <w:szCs w:val="18"/>
              </w:rPr>
            </w:pPr>
            <w:r w:rsidRPr="00F818EE">
              <w:rPr>
                <w:rFonts w:ascii="Verdana" w:hAnsi="Verdana"/>
                <w:bCs/>
                <w:sz w:val="18"/>
                <w:szCs w:val="18"/>
              </w:rPr>
              <w:t>Общинските служби по земеделие регистрират само вписани в службата по вписвания актове за прекратяване на договорите за аренда, съгласно изискването на чл. 27, ал.2 от Закона за арендата в земеделието, както и  вписани споразумения  за  прекратяване на договори за наем със срок над една година, съгласно чл. 4б, ал. 3 от ЗСПЗЗ.</w:t>
            </w:r>
          </w:p>
        </w:tc>
      </w:tr>
      <w:tr w:rsidR="00FB10AC" w:rsidRPr="00F818EE" w:rsidTr="0093647C">
        <w:trPr>
          <w:trHeight w:val="596"/>
          <w:jc w:val="center"/>
        </w:trPr>
        <w:tc>
          <w:tcPr>
            <w:tcW w:w="622" w:type="dxa"/>
            <w:vMerge/>
            <w:shd w:val="clear" w:color="auto" w:fill="auto"/>
          </w:tcPr>
          <w:p w:rsidR="00FB10AC" w:rsidRPr="00F818EE" w:rsidRDefault="00FB10AC" w:rsidP="00316D98">
            <w:pPr>
              <w:pStyle w:val="ListParagraph"/>
              <w:numPr>
                <w:ilvl w:val="0"/>
                <w:numId w:val="10"/>
              </w:numPr>
              <w:tabs>
                <w:tab w:val="left" w:pos="192"/>
              </w:tabs>
              <w:spacing w:after="40"/>
              <w:ind w:left="357" w:hanging="357"/>
              <w:jc w:val="center"/>
              <w:rPr>
                <w:rFonts w:ascii="Verdana" w:hAnsi="Verdana"/>
                <w:b/>
                <w:sz w:val="18"/>
                <w:szCs w:val="18"/>
              </w:rPr>
            </w:pPr>
          </w:p>
        </w:tc>
        <w:tc>
          <w:tcPr>
            <w:tcW w:w="2624" w:type="dxa"/>
            <w:vMerge/>
            <w:shd w:val="clear" w:color="auto" w:fill="auto"/>
          </w:tcPr>
          <w:p w:rsidR="00FB10AC" w:rsidRPr="00F818EE" w:rsidRDefault="00FB10AC" w:rsidP="00316D98">
            <w:pPr>
              <w:spacing w:before="80" w:after="40"/>
              <w:rPr>
                <w:rFonts w:ascii="Verdana" w:hAnsi="Verdana" w:cs="Tahoma"/>
                <w:b/>
                <w:sz w:val="18"/>
                <w:szCs w:val="18"/>
              </w:rPr>
            </w:pPr>
          </w:p>
        </w:tc>
        <w:tc>
          <w:tcPr>
            <w:tcW w:w="6095" w:type="dxa"/>
            <w:shd w:val="clear" w:color="auto" w:fill="auto"/>
          </w:tcPr>
          <w:p w:rsidR="00FB10AC" w:rsidRPr="00F818EE" w:rsidRDefault="00316D98" w:rsidP="00316D98">
            <w:pPr>
              <w:spacing w:before="80" w:after="40"/>
              <w:jc w:val="both"/>
              <w:rPr>
                <w:rFonts w:ascii="Verdana" w:hAnsi="Verdana"/>
                <w:bCs/>
                <w:sz w:val="18"/>
                <w:szCs w:val="18"/>
              </w:rPr>
            </w:pPr>
            <w:r w:rsidRPr="00F818EE">
              <w:rPr>
                <w:rFonts w:ascii="Verdana" w:hAnsi="Verdana"/>
                <w:bCs/>
                <w:sz w:val="18"/>
                <w:szCs w:val="18"/>
              </w:rPr>
              <w:t>В заключение следва да се отбележи отново, че след близо 30 години на реституция в реални граници действащият нормативен ред е изчерпан. Не приемаме критиките, че общините са недобросъвестни „собственици“ на земите но чл. 19 от ЗСПЗЗ, целящи неговото мигновено разпродаване. Цитираните в общественото пространство единични случаи на залпови продажби са изключение и не са основание за поредно удължаване на ограничителния режим. Местните власти, обаче, винаги са държали на партньорския подход и консенсусните решения, в случая имайки предвид позициите на отговорните държавни органи, Омбудсмана на Република България, сдруженията на собственици на земеделски земи, както и нелеката съдебна практика на Европейския съд по правата па човека. В този контекст запазването на „особения“ статут на остатъчния поземлен фонд е приемливо само и единствено при силно облекчаване на разпоредителните възможности за целите на местното социално-икономическо развитие.</w:t>
            </w:r>
          </w:p>
        </w:tc>
        <w:tc>
          <w:tcPr>
            <w:tcW w:w="1559" w:type="dxa"/>
            <w:shd w:val="clear" w:color="auto" w:fill="auto"/>
          </w:tcPr>
          <w:p w:rsidR="00FB10AC" w:rsidRPr="00F818EE" w:rsidRDefault="00FB10AC" w:rsidP="00316D98">
            <w:pPr>
              <w:spacing w:before="80" w:after="40"/>
              <w:rPr>
                <w:rFonts w:ascii="Verdana" w:hAnsi="Verdana"/>
                <w:sz w:val="18"/>
                <w:szCs w:val="18"/>
              </w:rPr>
            </w:pPr>
          </w:p>
        </w:tc>
        <w:tc>
          <w:tcPr>
            <w:tcW w:w="4750" w:type="dxa"/>
            <w:shd w:val="clear" w:color="auto" w:fill="auto"/>
          </w:tcPr>
          <w:p w:rsidR="00FB10AC" w:rsidRPr="00F818EE" w:rsidRDefault="00FB10AC" w:rsidP="00316D98">
            <w:pPr>
              <w:spacing w:before="80" w:after="40"/>
              <w:jc w:val="both"/>
              <w:rPr>
                <w:rFonts w:ascii="Verdana" w:hAnsi="Verdana"/>
                <w:sz w:val="18"/>
                <w:szCs w:val="18"/>
              </w:rPr>
            </w:pPr>
          </w:p>
        </w:tc>
      </w:tr>
    </w:tbl>
    <w:p w:rsidR="003845F9" w:rsidRPr="00F818EE" w:rsidRDefault="003845F9" w:rsidP="000F5B1C">
      <w:pPr>
        <w:widowControl w:val="0"/>
        <w:autoSpaceDE w:val="0"/>
        <w:autoSpaceDN w:val="0"/>
        <w:adjustRightInd w:val="0"/>
        <w:spacing w:before="120"/>
        <w:ind w:left="284"/>
        <w:rPr>
          <w:rFonts w:ascii="Verdana" w:hAnsi="Verdana"/>
          <w:i/>
          <w:sz w:val="18"/>
          <w:szCs w:val="18"/>
        </w:rPr>
      </w:pPr>
      <w:bookmarkStart w:id="0" w:name="_GoBack"/>
      <w:bookmarkEnd w:id="0"/>
    </w:p>
    <w:sectPr w:rsidR="003845F9" w:rsidRPr="00F818EE" w:rsidSect="0069646A">
      <w:footerReference w:type="even" r:id="rId9"/>
      <w:footerReference w:type="default" r:id="rId10"/>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6F1" w:rsidRDefault="00EA76F1">
      <w:r>
        <w:separator/>
      </w:r>
    </w:p>
  </w:endnote>
  <w:endnote w:type="continuationSeparator" w:id="0">
    <w:p w:rsidR="00EA76F1" w:rsidRDefault="00EA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E" w:rsidRDefault="007106F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6FE" w:rsidRDefault="007106F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rFonts w:ascii="Verdana" w:hAnsi="Verdana"/>
        <w:noProof/>
        <w:sz w:val="16"/>
        <w:szCs w:val="18"/>
      </w:rPr>
    </w:sdtEndPr>
    <w:sdtContent>
      <w:p w:rsidR="007106FE" w:rsidRPr="00316D98" w:rsidRDefault="007106FE" w:rsidP="00AF12B7">
        <w:pPr>
          <w:pStyle w:val="Footer"/>
          <w:jc w:val="right"/>
          <w:rPr>
            <w:rFonts w:ascii="Verdana" w:hAnsi="Verdana"/>
            <w:sz w:val="16"/>
            <w:szCs w:val="18"/>
          </w:rPr>
        </w:pPr>
        <w:r w:rsidRPr="00316D98">
          <w:rPr>
            <w:rFonts w:ascii="Verdana" w:hAnsi="Verdana"/>
            <w:sz w:val="16"/>
            <w:szCs w:val="18"/>
          </w:rPr>
          <w:fldChar w:fldCharType="begin"/>
        </w:r>
        <w:r w:rsidRPr="00316D98">
          <w:rPr>
            <w:rFonts w:ascii="Verdana" w:hAnsi="Verdana"/>
            <w:sz w:val="16"/>
            <w:szCs w:val="18"/>
          </w:rPr>
          <w:instrText xml:space="preserve"> PAGE   \* MERGEFORMAT </w:instrText>
        </w:r>
        <w:r w:rsidRPr="00316D98">
          <w:rPr>
            <w:rFonts w:ascii="Verdana" w:hAnsi="Verdana"/>
            <w:sz w:val="16"/>
            <w:szCs w:val="18"/>
          </w:rPr>
          <w:fldChar w:fldCharType="separate"/>
        </w:r>
        <w:r w:rsidR="000F5B1C">
          <w:rPr>
            <w:rFonts w:ascii="Verdana" w:hAnsi="Verdana"/>
            <w:noProof/>
            <w:sz w:val="16"/>
            <w:szCs w:val="18"/>
          </w:rPr>
          <w:t>8</w:t>
        </w:r>
        <w:r w:rsidRPr="00316D98">
          <w:rPr>
            <w:rFonts w:ascii="Verdana" w:hAnsi="Verdana"/>
            <w:noProof/>
            <w:sz w:val="16"/>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6F1" w:rsidRDefault="00EA76F1">
      <w:r>
        <w:separator/>
      </w:r>
    </w:p>
  </w:footnote>
  <w:footnote w:type="continuationSeparator" w:id="0">
    <w:p w:rsidR="00EA76F1" w:rsidRDefault="00EA7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66EDC"/>
    <w:multiLevelType w:val="hybridMultilevel"/>
    <w:tmpl w:val="7510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6356706"/>
    <w:multiLevelType w:val="hybridMultilevel"/>
    <w:tmpl w:val="E82454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0"/>
  </w:num>
  <w:num w:numId="5">
    <w:abstractNumId w:val="5"/>
  </w:num>
  <w:num w:numId="6">
    <w:abstractNumId w:val="2"/>
  </w:num>
  <w:num w:numId="7">
    <w:abstractNumId w:val="7"/>
  </w:num>
  <w:num w:numId="8">
    <w:abstractNumId w:val="9"/>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15D"/>
    <w:rsid w:val="00002A98"/>
    <w:rsid w:val="000042F6"/>
    <w:rsid w:val="0000470F"/>
    <w:rsid w:val="00004862"/>
    <w:rsid w:val="00005688"/>
    <w:rsid w:val="000101A6"/>
    <w:rsid w:val="000115D5"/>
    <w:rsid w:val="00012CAB"/>
    <w:rsid w:val="00016086"/>
    <w:rsid w:val="0001666D"/>
    <w:rsid w:val="000200AF"/>
    <w:rsid w:val="00022060"/>
    <w:rsid w:val="00024421"/>
    <w:rsid w:val="0002513E"/>
    <w:rsid w:val="000252C0"/>
    <w:rsid w:val="0002544E"/>
    <w:rsid w:val="000257AA"/>
    <w:rsid w:val="00025A23"/>
    <w:rsid w:val="00025DD3"/>
    <w:rsid w:val="000279C9"/>
    <w:rsid w:val="00027FC7"/>
    <w:rsid w:val="00033183"/>
    <w:rsid w:val="00033543"/>
    <w:rsid w:val="00033713"/>
    <w:rsid w:val="000357B4"/>
    <w:rsid w:val="00036515"/>
    <w:rsid w:val="00040AE0"/>
    <w:rsid w:val="000414B6"/>
    <w:rsid w:val="00043D50"/>
    <w:rsid w:val="00044E65"/>
    <w:rsid w:val="0004610E"/>
    <w:rsid w:val="00046447"/>
    <w:rsid w:val="00046AB8"/>
    <w:rsid w:val="00046C3E"/>
    <w:rsid w:val="00051CC2"/>
    <w:rsid w:val="00052350"/>
    <w:rsid w:val="0005435E"/>
    <w:rsid w:val="0005470C"/>
    <w:rsid w:val="00055D5F"/>
    <w:rsid w:val="000572CA"/>
    <w:rsid w:val="00057519"/>
    <w:rsid w:val="0006038C"/>
    <w:rsid w:val="0006091E"/>
    <w:rsid w:val="00062907"/>
    <w:rsid w:val="00062ADE"/>
    <w:rsid w:val="00062F02"/>
    <w:rsid w:val="000632EC"/>
    <w:rsid w:val="00063709"/>
    <w:rsid w:val="00063E4B"/>
    <w:rsid w:val="000673CE"/>
    <w:rsid w:val="00067C92"/>
    <w:rsid w:val="00070496"/>
    <w:rsid w:val="000718C7"/>
    <w:rsid w:val="00073A3E"/>
    <w:rsid w:val="00075594"/>
    <w:rsid w:val="000757FC"/>
    <w:rsid w:val="00075A97"/>
    <w:rsid w:val="00075FA3"/>
    <w:rsid w:val="000769B1"/>
    <w:rsid w:val="0008079F"/>
    <w:rsid w:val="00081D6F"/>
    <w:rsid w:val="00082171"/>
    <w:rsid w:val="00084700"/>
    <w:rsid w:val="000860A9"/>
    <w:rsid w:val="00086434"/>
    <w:rsid w:val="000902D1"/>
    <w:rsid w:val="00090401"/>
    <w:rsid w:val="000937D4"/>
    <w:rsid w:val="00093BFE"/>
    <w:rsid w:val="00094AB2"/>
    <w:rsid w:val="000953A8"/>
    <w:rsid w:val="00097783"/>
    <w:rsid w:val="000A1017"/>
    <w:rsid w:val="000A228F"/>
    <w:rsid w:val="000A3E16"/>
    <w:rsid w:val="000A44A5"/>
    <w:rsid w:val="000B0913"/>
    <w:rsid w:val="000B279A"/>
    <w:rsid w:val="000B298E"/>
    <w:rsid w:val="000B2EB1"/>
    <w:rsid w:val="000B3D5F"/>
    <w:rsid w:val="000B6A92"/>
    <w:rsid w:val="000B6D57"/>
    <w:rsid w:val="000C036A"/>
    <w:rsid w:val="000C1697"/>
    <w:rsid w:val="000C46A7"/>
    <w:rsid w:val="000C5E61"/>
    <w:rsid w:val="000D0414"/>
    <w:rsid w:val="000D1E2E"/>
    <w:rsid w:val="000D3F6C"/>
    <w:rsid w:val="000D4198"/>
    <w:rsid w:val="000E1E07"/>
    <w:rsid w:val="000E1F1A"/>
    <w:rsid w:val="000E3570"/>
    <w:rsid w:val="000E38E0"/>
    <w:rsid w:val="000F02C5"/>
    <w:rsid w:val="000F31C8"/>
    <w:rsid w:val="000F3490"/>
    <w:rsid w:val="000F49D5"/>
    <w:rsid w:val="000F4E61"/>
    <w:rsid w:val="000F5B1C"/>
    <w:rsid w:val="000F73D3"/>
    <w:rsid w:val="001012EC"/>
    <w:rsid w:val="0010687D"/>
    <w:rsid w:val="00110FB3"/>
    <w:rsid w:val="001143E4"/>
    <w:rsid w:val="001146B4"/>
    <w:rsid w:val="0011484F"/>
    <w:rsid w:val="00115EDD"/>
    <w:rsid w:val="00116FC6"/>
    <w:rsid w:val="001171CC"/>
    <w:rsid w:val="00120ABA"/>
    <w:rsid w:val="001311AD"/>
    <w:rsid w:val="001315A8"/>
    <w:rsid w:val="00133A14"/>
    <w:rsid w:val="00134E1D"/>
    <w:rsid w:val="0013629D"/>
    <w:rsid w:val="00140C69"/>
    <w:rsid w:val="00141BFB"/>
    <w:rsid w:val="00144034"/>
    <w:rsid w:val="001440FE"/>
    <w:rsid w:val="0014437A"/>
    <w:rsid w:val="00152D3A"/>
    <w:rsid w:val="001551C4"/>
    <w:rsid w:val="00155CAF"/>
    <w:rsid w:val="0016097E"/>
    <w:rsid w:val="001612D6"/>
    <w:rsid w:val="001668E1"/>
    <w:rsid w:val="00167F77"/>
    <w:rsid w:val="00170505"/>
    <w:rsid w:val="00172CCB"/>
    <w:rsid w:val="00175004"/>
    <w:rsid w:val="00177AA6"/>
    <w:rsid w:val="00177CAC"/>
    <w:rsid w:val="00177D2B"/>
    <w:rsid w:val="00180335"/>
    <w:rsid w:val="001808B4"/>
    <w:rsid w:val="001835C5"/>
    <w:rsid w:val="0018509E"/>
    <w:rsid w:val="00191666"/>
    <w:rsid w:val="00192D6A"/>
    <w:rsid w:val="001948B0"/>
    <w:rsid w:val="00195AD0"/>
    <w:rsid w:val="001A02C9"/>
    <w:rsid w:val="001A0680"/>
    <w:rsid w:val="001A1330"/>
    <w:rsid w:val="001A308F"/>
    <w:rsid w:val="001A3975"/>
    <w:rsid w:val="001A3D29"/>
    <w:rsid w:val="001A4B57"/>
    <w:rsid w:val="001A6707"/>
    <w:rsid w:val="001B4CD8"/>
    <w:rsid w:val="001C20E2"/>
    <w:rsid w:val="001C370C"/>
    <w:rsid w:val="001C46A7"/>
    <w:rsid w:val="001C6E95"/>
    <w:rsid w:val="001D2756"/>
    <w:rsid w:val="001D362A"/>
    <w:rsid w:val="001D6790"/>
    <w:rsid w:val="001E13F5"/>
    <w:rsid w:val="001E174B"/>
    <w:rsid w:val="001E4FE9"/>
    <w:rsid w:val="001E64F2"/>
    <w:rsid w:val="001F0567"/>
    <w:rsid w:val="001F1F60"/>
    <w:rsid w:val="001F314D"/>
    <w:rsid w:val="001F6BC2"/>
    <w:rsid w:val="001F718C"/>
    <w:rsid w:val="00200292"/>
    <w:rsid w:val="0020103A"/>
    <w:rsid w:val="00201455"/>
    <w:rsid w:val="0020153E"/>
    <w:rsid w:val="00206678"/>
    <w:rsid w:val="00210233"/>
    <w:rsid w:val="0021035B"/>
    <w:rsid w:val="00212D43"/>
    <w:rsid w:val="00214B75"/>
    <w:rsid w:val="00215178"/>
    <w:rsid w:val="00221143"/>
    <w:rsid w:val="002217C0"/>
    <w:rsid w:val="00221B68"/>
    <w:rsid w:val="00223331"/>
    <w:rsid w:val="00226561"/>
    <w:rsid w:val="0023062F"/>
    <w:rsid w:val="00230E0E"/>
    <w:rsid w:val="00231D0F"/>
    <w:rsid w:val="00231DF3"/>
    <w:rsid w:val="00233C04"/>
    <w:rsid w:val="002348DC"/>
    <w:rsid w:val="002369C8"/>
    <w:rsid w:val="002375B3"/>
    <w:rsid w:val="00237A17"/>
    <w:rsid w:val="00241F4C"/>
    <w:rsid w:val="00243442"/>
    <w:rsid w:val="002440AF"/>
    <w:rsid w:val="0024444A"/>
    <w:rsid w:val="00245FCD"/>
    <w:rsid w:val="002472CF"/>
    <w:rsid w:val="002526C8"/>
    <w:rsid w:val="002536A8"/>
    <w:rsid w:val="00253C2D"/>
    <w:rsid w:val="00257983"/>
    <w:rsid w:val="00260F55"/>
    <w:rsid w:val="002632C1"/>
    <w:rsid w:val="00263E76"/>
    <w:rsid w:val="002640E1"/>
    <w:rsid w:val="0027210E"/>
    <w:rsid w:val="00272EE3"/>
    <w:rsid w:val="00273219"/>
    <w:rsid w:val="00273678"/>
    <w:rsid w:val="00273CAC"/>
    <w:rsid w:val="002804CF"/>
    <w:rsid w:val="002820C6"/>
    <w:rsid w:val="00282A08"/>
    <w:rsid w:val="002854C9"/>
    <w:rsid w:val="002900C5"/>
    <w:rsid w:val="00291E9B"/>
    <w:rsid w:val="00291EC7"/>
    <w:rsid w:val="002939DA"/>
    <w:rsid w:val="00293CA6"/>
    <w:rsid w:val="0029482B"/>
    <w:rsid w:val="00295B2B"/>
    <w:rsid w:val="002961A2"/>
    <w:rsid w:val="002964C1"/>
    <w:rsid w:val="00297DB0"/>
    <w:rsid w:val="002A0706"/>
    <w:rsid w:val="002A0A9B"/>
    <w:rsid w:val="002A0C5D"/>
    <w:rsid w:val="002A3B76"/>
    <w:rsid w:val="002A4737"/>
    <w:rsid w:val="002A59D9"/>
    <w:rsid w:val="002A5A11"/>
    <w:rsid w:val="002A5AE6"/>
    <w:rsid w:val="002A67D5"/>
    <w:rsid w:val="002C03AF"/>
    <w:rsid w:val="002C2EEA"/>
    <w:rsid w:val="002C37A9"/>
    <w:rsid w:val="002C5843"/>
    <w:rsid w:val="002C7F10"/>
    <w:rsid w:val="002D083C"/>
    <w:rsid w:val="002D2176"/>
    <w:rsid w:val="002E537C"/>
    <w:rsid w:val="002E57D4"/>
    <w:rsid w:val="002E594D"/>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16D98"/>
    <w:rsid w:val="00321BD0"/>
    <w:rsid w:val="0032394D"/>
    <w:rsid w:val="00326B58"/>
    <w:rsid w:val="003302BD"/>
    <w:rsid w:val="003303CC"/>
    <w:rsid w:val="0033087A"/>
    <w:rsid w:val="003336CE"/>
    <w:rsid w:val="00333BD7"/>
    <w:rsid w:val="00335F05"/>
    <w:rsid w:val="00340212"/>
    <w:rsid w:val="00341EFC"/>
    <w:rsid w:val="00344138"/>
    <w:rsid w:val="00345B9F"/>
    <w:rsid w:val="00346856"/>
    <w:rsid w:val="00351063"/>
    <w:rsid w:val="00356131"/>
    <w:rsid w:val="00357FED"/>
    <w:rsid w:val="003628A2"/>
    <w:rsid w:val="003640F0"/>
    <w:rsid w:val="00364798"/>
    <w:rsid w:val="00367DA5"/>
    <w:rsid w:val="0037191E"/>
    <w:rsid w:val="00371937"/>
    <w:rsid w:val="00372DCB"/>
    <w:rsid w:val="003737F2"/>
    <w:rsid w:val="00377A96"/>
    <w:rsid w:val="00377FE2"/>
    <w:rsid w:val="00381E92"/>
    <w:rsid w:val="003839FC"/>
    <w:rsid w:val="003845F9"/>
    <w:rsid w:val="00384B8B"/>
    <w:rsid w:val="00387130"/>
    <w:rsid w:val="00387162"/>
    <w:rsid w:val="003903E2"/>
    <w:rsid w:val="00390D8E"/>
    <w:rsid w:val="00391A1C"/>
    <w:rsid w:val="00395655"/>
    <w:rsid w:val="003A060F"/>
    <w:rsid w:val="003A0FF4"/>
    <w:rsid w:val="003A48EE"/>
    <w:rsid w:val="003B3BE2"/>
    <w:rsid w:val="003B4449"/>
    <w:rsid w:val="003C1F1E"/>
    <w:rsid w:val="003C557F"/>
    <w:rsid w:val="003C563D"/>
    <w:rsid w:val="003C5C7B"/>
    <w:rsid w:val="003D2A50"/>
    <w:rsid w:val="003D49CF"/>
    <w:rsid w:val="003D6231"/>
    <w:rsid w:val="003E066A"/>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32C7"/>
    <w:rsid w:val="0042418B"/>
    <w:rsid w:val="0042440B"/>
    <w:rsid w:val="00427DC5"/>
    <w:rsid w:val="00427EF4"/>
    <w:rsid w:val="00430245"/>
    <w:rsid w:val="00430323"/>
    <w:rsid w:val="004361F2"/>
    <w:rsid w:val="00436919"/>
    <w:rsid w:val="004376C2"/>
    <w:rsid w:val="004427B2"/>
    <w:rsid w:val="00442824"/>
    <w:rsid w:val="004444E8"/>
    <w:rsid w:val="004444F4"/>
    <w:rsid w:val="00444655"/>
    <w:rsid w:val="00446EC1"/>
    <w:rsid w:val="00450BCC"/>
    <w:rsid w:val="0045180F"/>
    <w:rsid w:val="00452217"/>
    <w:rsid w:val="00453C28"/>
    <w:rsid w:val="00453E7F"/>
    <w:rsid w:val="00453E85"/>
    <w:rsid w:val="00454A8E"/>
    <w:rsid w:val="00455D0B"/>
    <w:rsid w:val="0046011A"/>
    <w:rsid w:val="0046759A"/>
    <w:rsid w:val="00467C52"/>
    <w:rsid w:val="004705AC"/>
    <w:rsid w:val="0047261C"/>
    <w:rsid w:val="004739BA"/>
    <w:rsid w:val="004827E3"/>
    <w:rsid w:val="0048308F"/>
    <w:rsid w:val="00483378"/>
    <w:rsid w:val="00487E51"/>
    <w:rsid w:val="0049242B"/>
    <w:rsid w:val="004942CA"/>
    <w:rsid w:val="00496618"/>
    <w:rsid w:val="004A0A82"/>
    <w:rsid w:val="004A1339"/>
    <w:rsid w:val="004A207E"/>
    <w:rsid w:val="004A20AD"/>
    <w:rsid w:val="004A27CC"/>
    <w:rsid w:val="004A285F"/>
    <w:rsid w:val="004A35FD"/>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17EA"/>
    <w:rsid w:val="004F2B1B"/>
    <w:rsid w:val="004F4578"/>
    <w:rsid w:val="004F4B94"/>
    <w:rsid w:val="004F70FF"/>
    <w:rsid w:val="004F7953"/>
    <w:rsid w:val="0050084D"/>
    <w:rsid w:val="00501E0F"/>
    <w:rsid w:val="00501E65"/>
    <w:rsid w:val="00506006"/>
    <w:rsid w:val="00506310"/>
    <w:rsid w:val="0050754B"/>
    <w:rsid w:val="00507B53"/>
    <w:rsid w:val="005121ED"/>
    <w:rsid w:val="005128EA"/>
    <w:rsid w:val="005130D6"/>
    <w:rsid w:val="00514AC6"/>
    <w:rsid w:val="0051624B"/>
    <w:rsid w:val="00516A62"/>
    <w:rsid w:val="00517A62"/>
    <w:rsid w:val="00520109"/>
    <w:rsid w:val="00520792"/>
    <w:rsid w:val="00520903"/>
    <w:rsid w:val="005214BD"/>
    <w:rsid w:val="00521850"/>
    <w:rsid w:val="00522818"/>
    <w:rsid w:val="00522F73"/>
    <w:rsid w:val="00524038"/>
    <w:rsid w:val="0052467D"/>
    <w:rsid w:val="00524AA8"/>
    <w:rsid w:val="005260B9"/>
    <w:rsid w:val="00527393"/>
    <w:rsid w:val="0053103C"/>
    <w:rsid w:val="00532E4B"/>
    <w:rsid w:val="005334BA"/>
    <w:rsid w:val="00534E66"/>
    <w:rsid w:val="00540693"/>
    <w:rsid w:val="00540C53"/>
    <w:rsid w:val="00540EEE"/>
    <w:rsid w:val="00541692"/>
    <w:rsid w:val="005424B9"/>
    <w:rsid w:val="00543E05"/>
    <w:rsid w:val="005462B1"/>
    <w:rsid w:val="00547EEF"/>
    <w:rsid w:val="005525EA"/>
    <w:rsid w:val="005531AA"/>
    <w:rsid w:val="00554B28"/>
    <w:rsid w:val="00554CC1"/>
    <w:rsid w:val="0056044E"/>
    <w:rsid w:val="00563FA3"/>
    <w:rsid w:val="005644C8"/>
    <w:rsid w:val="00564E98"/>
    <w:rsid w:val="00573E06"/>
    <w:rsid w:val="005778C6"/>
    <w:rsid w:val="00577F15"/>
    <w:rsid w:val="00583A7E"/>
    <w:rsid w:val="00586CF4"/>
    <w:rsid w:val="005913D0"/>
    <w:rsid w:val="005953A7"/>
    <w:rsid w:val="00597ACE"/>
    <w:rsid w:val="00597BAA"/>
    <w:rsid w:val="00597D5D"/>
    <w:rsid w:val="005A1896"/>
    <w:rsid w:val="005A338B"/>
    <w:rsid w:val="005A407D"/>
    <w:rsid w:val="005A4A9A"/>
    <w:rsid w:val="005A5DAE"/>
    <w:rsid w:val="005A6C42"/>
    <w:rsid w:val="005C2DFD"/>
    <w:rsid w:val="005C43C6"/>
    <w:rsid w:val="005C52C3"/>
    <w:rsid w:val="005C75B3"/>
    <w:rsid w:val="005C7A87"/>
    <w:rsid w:val="005D001E"/>
    <w:rsid w:val="005D0610"/>
    <w:rsid w:val="005D06F0"/>
    <w:rsid w:val="005D094A"/>
    <w:rsid w:val="005D276C"/>
    <w:rsid w:val="005D3B47"/>
    <w:rsid w:val="005D5B4B"/>
    <w:rsid w:val="005D72C5"/>
    <w:rsid w:val="005D733F"/>
    <w:rsid w:val="005E08BD"/>
    <w:rsid w:val="005E0F94"/>
    <w:rsid w:val="005E2428"/>
    <w:rsid w:val="005E36D5"/>
    <w:rsid w:val="005E4874"/>
    <w:rsid w:val="005E4CF0"/>
    <w:rsid w:val="005E507D"/>
    <w:rsid w:val="005F0C39"/>
    <w:rsid w:val="005F421E"/>
    <w:rsid w:val="005F53D2"/>
    <w:rsid w:val="005F630F"/>
    <w:rsid w:val="005F79AF"/>
    <w:rsid w:val="0060094C"/>
    <w:rsid w:val="00600B63"/>
    <w:rsid w:val="00601137"/>
    <w:rsid w:val="006040E1"/>
    <w:rsid w:val="006047CE"/>
    <w:rsid w:val="00604A61"/>
    <w:rsid w:val="00610231"/>
    <w:rsid w:val="00613ECC"/>
    <w:rsid w:val="00616625"/>
    <w:rsid w:val="00617D55"/>
    <w:rsid w:val="00617F06"/>
    <w:rsid w:val="006218EB"/>
    <w:rsid w:val="006240D8"/>
    <w:rsid w:val="00626132"/>
    <w:rsid w:val="0063318F"/>
    <w:rsid w:val="00633D08"/>
    <w:rsid w:val="00634DDD"/>
    <w:rsid w:val="006361E3"/>
    <w:rsid w:val="0063730A"/>
    <w:rsid w:val="00641EF4"/>
    <w:rsid w:val="00642470"/>
    <w:rsid w:val="00642D90"/>
    <w:rsid w:val="00645DFC"/>
    <w:rsid w:val="0065019C"/>
    <w:rsid w:val="00656642"/>
    <w:rsid w:val="00662BFF"/>
    <w:rsid w:val="00665AE8"/>
    <w:rsid w:val="00667B16"/>
    <w:rsid w:val="006712A6"/>
    <w:rsid w:val="00671E4E"/>
    <w:rsid w:val="0067456E"/>
    <w:rsid w:val="00675133"/>
    <w:rsid w:val="00677AB0"/>
    <w:rsid w:val="006802C1"/>
    <w:rsid w:val="00685E6E"/>
    <w:rsid w:val="00686496"/>
    <w:rsid w:val="00690FE6"/>
    <w:rsid w:val="00691BD4"/>
    <w:rsid w:val="006940E9"/>
    <w:rsid w:val="00694141"/>
    <w:rsid w:val="006941C8"/>
    <w:rsid w:val="0069646A"/>
    <w:rsid w:val="00697863"/>
    <w:rsid w:val="006A0D8A"/>
    <w:rsid w:val="006A36D7"/>
    <w:rsid w:val="006A512F"/>
    <w:rsid w:val="006A70E2"/>
    <w:rsid w:val="006B4070"/>
    <w:rsid w:val="006B5E2B"/>
    <w:rsid w:val="006C1FAA"/>
    <w:rsid w:val="006C605F"/>
    <w:rsid w:val="006C695E"/>
    <w:rsid w:val="006C71C0"/>
    <w:rsid w:val="006D1F20"/>
    <w:rsid w:val="006D2BDD"/>
    <w:rsid w:val="006D4254"/>
    <w:rsid w:val="006D5F6F"/>
    <w:rsid w:val="006D6C3E"/>
    <w:rsid w:val="006D745F"/>
    <w:rsid w:val="006D7881"/>
    <w:rsid w:val="006D7E56"/>
    <w:rsid w:val="006E23DE"/>
    <w:rsid w:val="006E2D88"/>
    <w:rsid w:val="006E32E7"/>
    <w:rsid w:val="006E3D3C"/>
    <w:rsid w:val="006E46A3"/>
    <w:rsid w:val="006E58C1"/>
    <w:rsid w:val="006E7B3B"/>
    <w:rsid w:val="006F282A"/>
    <w:rsid w:val="006F33DD"/>
    <w:rsid w:val="006F35F8"/>
    <w:rsid w:val="006F3DD8"/>
    <w:rsid w:val="006F4781"/>
    <w:rsid w:val="006F6420"/>
    <w:rsid w:val="006F7899"/>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1B88"/>
    <w:rsid w:val="007329D4"/>
    <w:rsid w:val="00732DEB"/>
    <w:rsid w:val="007362EB"/>
    <w:rsid w:val="00736B76"/>
    <w:rsid w:val="00736C03"/>
    <w:rsid w:val="007377F2"/>
    <w:rsid w:val="00737BC4"/>
    <w:rsid w:val="00737D3E"/>
    <w:rsid w:val="007411AC"/>
    <w:rsid w:val="007423F8"/>
    <w:rsid w:val="00742F57"/>
    <w:rsid w:val="007431DE"/>
    <w:rsid w:val="00743EFE"/>
    <w:rsid w:val="00745349"/>
    <w:rsid w:val="0074534D"/>
    <w:rsid w:val="00745851"/>
    <w:rsid w:val="007511D5"/>
    <w:rsid w:val="007516D1"/>
    <w:rsid w:val="0075213E"/>
    <w:rsid w:val="00753049"/>
    <w:rsid w:val="00756242"/>
    <w:rsid w:val="00756290"/>
    <w:rsid w:val="00756A19"/>
    <w:rsid w:val="0076108C"/>
    <w:rsid w:val="00761B5E"/>
    <w:rsid w:val="0076408A"/>
    <w:rsid w:val="0076716E"/>
    <w:rsid w:val="00773DD9"/>
    <w:rsid w:val="00774BE7"/>
    <w:rsid w:val="00777754"/>
    <w:rsid w:val="00781306"/>
    <w:rsid w:val="00781635"/>
    <w:rsid w:val="007836C8"/>
    <w:rsid w:val="007863C8"/>
    <w:rsid w:val="007934F1"/>
    <w:rsid w:val="00794229"/>
    <w:rsid w:val="00795A1B"/>
    <w:rsid w:val="007970F0"/>
    <w:rsid w:val="007971F3"/>
    <w:rsid w:val="007A3C01"/>
    <w:rsid w:val="007A4157"/>
    <w:rsid w:val="007B1141"/>
    <w:rsid w:val="007B24F7"/>
    <w:rsid w:val="007B3D33"/>
    <w:rsid w:val="007C393A"/>
    <w:rsid w:val="007C5DF2"/>
    <w:rsid w:val="007C6C8E"/>
    <w:rsid w:val="007D09DC"/>
    <w:rsid w:val="007D3AA0"/>
    <w:rsid w:val="007D6B06"/>
    <w:rsid w:val="007D76D7"/>
    <w:rsid w:val="007E14C9"/>
    <w:rsid w:val="007E249E"/>
    <w:rsid w:val="007E5ED7"/>
    <w:rsid w:val="007E6242"/>
    <w:rsid w:val="007E633B"/>
    <w:rsid w:val="007E6AD6"/>
    <w:rsid w:val="007F135A"/>
    <w:rsid w:val="007F229C"/>
    <w:rsid w:val="007F5275"/>
    <w:rsid w:val="007F6783"/>
    <w:rsid w:val="007F7DFC"/>
    <w:rsid w:val="008004AE"/>
    <w:rsid w:val="0080232E"/>
    <w:rsid w:val="00803CA0"/>
    <w:rsid w:val="0080529C"/>
    <w:rsid w:val="00812789"/>
    <w:rsid w:val="00813EBF"/>
    <w:rsid w:val="00817D17"/>
    <w:rsid w:val="00824BA3"/>
    <w:rsid w:val="00826F86"/>
    <w:rsid w:val="00831124"/>
    <w:rsid w:val="00831D3C"/>
    <w:rsid w:val="00831E9A"/>
    <w:rsid w:val="00833124"/>
    <w:rsid w:val="00841854"/>
    <w:rsid w:val="00842C8D"/>
    <w:rsid w:val="0084455A"/>
    <w:rsid w:val="00844CC3"/>
    <w:rsid w:val="008457E2"/>
    <w:rsid w:val="00845BC3"/>
    <w:rsid w:val="00846469"/>
    <w:rsid w:val="008476BF"/>
    <w:rsid w:val="00847CFC"/>
    <w:rsid w:val="008508D5"/>
    <w:rsid w:val="0085319B"/>
    <w:rsid w:val="00853C0E"/>
    <w:rsid w:val="00854E7C"/>
    <w:rsid w:val="00855317"/>
    <w:rsid w:val="00855962"/>
    <w:rsid w:val="00856F8A"/>
    <w:rsid w:val="00857187"/>
    <w:rsid w:val="00860FE7"/>
    <w:rsid w:val="00861CE5"/>
    <w:rsid w:val="0086226E"/>
    <w:rsid w:val="00864193"/>
    <w:rsid w:val="0086505F"/>
    <w:rsid w:val="00865EE3"/>
    <w:rsid w:val="0086600C"/>
    <w:rsid w:val="008704D7"/>
    <w:rsid w:val="00872A86"/>
    <w:rsid w:val="00874481"/>
    <w:rsid w:val="00875D88"/>
    <w:rsid w:val="00876495"/>
    <w:rsid w:val="00881967"/>
    <w:rsid w:val="00883A7C"/>
    <w:rsid w:val="0088605D"/>
    <w:rsid w:val="00887913"/>
    <w:rsid w:val="00890675"/>
    <w:rsid w:val="0089123B"/>
    <w:rsid w:val="00891BE7"/>
    <w:rsid w:val="00894526"/>
    <w:rsid w:val="00894946"/>
    <w:rsid w:val="0089506D"/>
    <w:rsid w:val="00895506"/>
    <w:rsid w:val="00897EDF"/>
    <w:rsid w:val="008A00BC"/>
    <w:rsid w:val="008A0B79"/>
    <w:rsid w:val="008A1687"/>
    <w:rsid w:val="008A2346"/>
    <w:rsid w:val="008A2DF5"/>
    <w:rsid w:val="008A3A73"/>
    <w:rsid w:val="008A52D8"/>
    <w:rsid w:val="008A5E27"/>
    <w:rsid w:val="008A721D"/>
    <w:rsid w:val="008B48E6"/>
    <w:rsid w:val="008B4BDA"/>
    <w:rsid w:val="008C01F4"/>
    <w:rsid w:val="008C0503"/>
    <w:rsid w:val="008C4A55"/>
    <w:rsid w:val="008C5881"/>
    <w:rsid w:val="008C5E5E"/>
    <w:rsid w:val="008C7683"/>
    <w:rsid w:val="008D022E"/>
    <w:rsid w:val="008D08F5"/>
    <w:rsid w:val="008D0DDB"/>
    <w:rsid w:val="008D2350"/>
    <w:rsid w:val="008D2B13"/>
    <w:rsid w:val="008D56D6"/>
    <w:rsid w:val="008D579B"/>
    <w:rsid w:val="008D583E"/>
    <w:rsid w:val="008D7657"/>
    <w:rsid w:val="008E1CC8"/>
    <w:rsid w:val="008E24D8"/>
    <w:rsid w:val="008E32A2"/>
    <w:rsid w:val="008E3970"/>
    <w:rsid w:val="008E3AC0"/>
    <w:rsid w:val="008E6946"/>
    <w:rsid w:val="008E6E39"/>
    <w:rsid w:val="008E7705"/>
    <w:rsid w:val="008E77F4"/>
    <w:rsid w:val="008E7AF3"/>
    <w:rsid w:val="008E7E4D"/>
    <w:rsid w:val="008F2191"/>
    <w:rsid w:val="008F35DB"/>
    <w:rsid w:val="008F39D3"/>
    <w:rsid w:val="008F4969"/>
    <w:rsid w:val="008F5129"/>
    <w:rsid w:val="008F6393"/>
    <w:rsid w:val="00902FF9"/>
    <w:rsid w:val="00905EB8"/>
    <w:rsid w:val="00905F3A"/>
    <w:rsid w:val="0090679B"/>
    <w:rsid w:val="0090782D"/>
    <w:rsid w:val="00912765"/>
    <w:rsid w:val="0091523F"/>
    <w:rsid w:val="0091558A"/>
    <w:rsid w:val="00915B80"/>
    <w:rsid w:val="00917058"/>
    <w:rsid w:val="00923C45"/>
    <w:rsid w:val="00924F20"/>
    <w:rsid w:val="00924F7D"/>
    <w:rsid w:val="00926E60"/>
    <w:rsid w:val="00931024"/>
    <w:rsid w:val="009312BE"/>
    <w:rsid w:val="00932D4A"/>
    <w:rsid w:val="00933F4C"/>
    <w:rsid w:val="00934865"/>
    <w:rsid w:val="00935587"/>
    <w:rsid w:val="0093647C"/>
    <w:rsid w:val="00936B7F"/>
    <w:rsid w:val="009379D0"/>
    <w:rsid w:val="00940D15"/>
    <w:rsid w:val="009415CD"/>
    <w:rsid w:val="0094334A"/>
    <w:rsid w:val="00943E2F"/>
    <w:rsid w:val="00944454"/>
    <w:rsid w:val="00952D0A"/>
    <w:rsid w:val="00953FD7"/>
    <w:rsid w:val="00954732"/>
    <w:rsid w:val="009551F9"/>
    <w:rsid w:val="00956BD2"/>
    <w:rsid w:val="0096092A"/>
    <w:rsid w:val="00963058"/>
    <w:rsid w:val="00963AE2"/>
    <w:rsid w:val="00963E96"/>
    <w:rsid w:val="00972F4C"/>
    <w:rsid w:val="009754E9"/>
    <w:rsid w:val="00975F5E"/>
    <w:rsid w:val="00977612"/>
    <w:rsid w:val="009827FE"/>
    <w:rsid w:val="00983B09"/>
    <w:rsid w:val="00990860"/>
    <w:rsid w:val="00990FC4"/>
    <w:rsid w:val="00992009"/>
    <w:rsid w:val="0099513B"/>
    <w:rsid w:val="00996B48"/>
    <w:rsid w:val="009A19C4"/>
    <w:rsid w:val="009A453C"/>
    <w:rsid w:val="009A7C4E"/>
    <w:rsid w:val="009B0239"/>
    <w:rsid w:val="009B1744"/>
    <w:rsid w:val="009B1EE9"/>
    <w:rsid w:val="009B2B15"/>
    <w:rsid w:val="009B3DAC"/>
    <w:rsid w:val="009B568A"/>
    <w:rsid w:val="009C08B5"/>
    <w:rsid w:val="009C4545"/>
    <w:rsid w:val="009C4DFC"/>
    <w:rsid w:val="009D0944"/>
    <w:rsid w:val="009D5384"/>
    <w:rsid w:val="009D580E"/>
    <w:rsid w:val="009D6D2E"/>
    <w:rsid w:val="009D753B"/>
    <w:rsid w:val="009E0CEB"/>
    <w:rsid w:val="009E44C6"/>
    <w:rsid w:val="009E6C5E"/>
    <w:rsid w:val="009E7717"/>
    <w:rsid w:val="009E7FF1"/>
    <w:rsid w:val="009F0800"/>
    <w:rsid w:val="009F23CB"/>
    <w:rsid w:val="009F4680"/>
    <w:rsid w:val="009F5722"/>
    <w:rsid w:val="009F7176"/>
    <w:rsid w:val="00A02072"/>
    <w:rsid w:val="00A0334B"/>
    <w:rsid w:val="00A03BC9"/>
    <w:rsid w:val="00A04A98"/>
    <w:rsid w:val="00A0510A"/>
    <w:rsid w:val="00A11521"/>
    <w:rsid w:val="00A11D46"/>
    <w:rsid w:val="00A11FC5"/>
    <w:rsid w:val="00A163D9"/>
    <w:rsid w:val="00A20444"/>
    <w:rsid w:val="00A21BAC"/>
    <w:rsid w:val="00A23041"/>
    <w:rsid w:val="00A23452"/>
    <w:rsid w:val="00A26499"/>
    <w:rsid w:val="00A26AB2"/>
    <w:rsid w:val="00A27017"/>
    <w:rsid w:val="00A27F81"/>
    <w:rsid w:val="00A30636"/>
    <w:rsid w:val="00A30F0D"/>
    <w:rsid w:val="00A31338"/>
    <w:rsid w:val="00A32258"/>
    <w:rsid w:val="00A3356F"/>
    <w:rsid w:val="00A342A5"/>
    <w:rsid w:val="00A3568B"/>
    <w:rsid w:val="00A377AE"/>
    <w:rsid w:val="00A426CE"/>
    <w:rsid w:val="00A428B2"/>
    <w:rsid w:val="00A4509D"/>
    <w:rsid w:val="00A46227"/>
    <w:rsid w:val="00A46303"/>
    <w:rsid w:val="00A50A06"/>
    <w:rsid w:val="00A50CD4"/>
    <w:rsid w:val="00A52FAE"/>
    <w:rsid w:val="00A53909"/>
    <w:rsid w:val="00A55704"/>
    <w:rsid w:val="00A5623C"/>
    <w:rsid w:val="00A57A10"/>
    <w:rsid w:val="00A57F06"/>
    <w:rsid w:val="00A600FC"/>
    <w:rsid w:val="00A606F7"/>
    <w:rsid w:val="00A60884"/>
    <w:rsid w:val="00A610CB"/>
    <w:rsid w:val="00A643D6"/>
    <w:rsid w:val="00A64DC1"/>
    <w:rsid w:val="00A6623B"/>
    <w:rsid w:val="00A7058C"/>
    <w:rsid w:val="00A70B39"/>
    <w:rsid w:val="00A72224"/>
    <w:rsid w:val="00A85016"/>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C68B1"/>
    <w:rsid w:val="00AD21C9"/>
    <w:rsid w:val="00AD3F9D"/>
    <w:rsid w:val="00AD4746"/>
    <w:rsid w:val="00AD5010"/>
    <w:rsid w:val="00AE20C4"/>
    <w:rsid w:val="00AE2731"/>
    <w:rsid w:val="00AE3244"/>
    <w:rsid w:val="00AE4C05"/>
    <w:rsid w:val="00AE564E"/>
    <w:rsid w:val="00AE6725"/>
    <w:rsid w:val="00AE6BE8"/>
    <w:rsid w:val="00AE6FA9"/>
    <w:rsid w:val="00AE7DF6"/>
    <w:rsid w:val="00AF12B7"/>
    <w:rsid w:val="00AF2498"/>
    <w:rsid w:val="00AF4D26"/>
    <w:rsid w:val="00AF7291"/>
    <w:rsid w:val="00AF73A4"/>
    <w:rsid w:val="00B00BAD"/>
    <w:rsid w:val="00B00DA4"/>
    <w:rsid w:val="00B03860"/>
    <w:rsid w:val="00B045C7"/>
    <w:rsid w:val="00B05A10"/>
    <w:rsid w:val="00B0691A"/>
    <w:rsid w:val="00B11252"/>
    <w:rsid w:val="00B1358E"/>
    <w:rsid w:val="00B145B3"/>
    <w:rsid w:val="00B152AE"/>
    <w:rsid w:val="00B159FE"/>
    <w:rsid w:val="00B17C41"/>
    <w:rsid w:val="00B17FDB"/>
    <w:rsid w:val="00B24B51"/>
    <w:rsid w:val="00B26BA2"/>
    <w:rsid w:val="00B31B92"/>
    <w:rsid w:val="00B320D9"/>
    <w:rsid w:val="00B321D4"/>
    <w:rsid w:val="00B330B9"/>
    <w:rsid w:val="00B3495F"/>
    <w:rsid w:val="00B34AF6"/>
    <w:rsid w:val="00B34CBF"/>
    <w:rsid w:val="00B37C7C"/>
    <w:rsid w:val="00B40DAD"/>
    <w:rsid w:val="00B42361"/>
    <w:rsid w:val="00B42491"/>
    <w:rsid w:val="00B429D4"/>
    <w:rsid w:val="00B433E4"/>
    <w:rsid w:val="00B458D2"/>
    <w:rsid w:val="00B4660F"/>
    <w:rsid w:val="00B5191C"/>
    <w:rsid w:val="00B5758A"/>
    <w:rsid w:val="00B6355E"/>
    <w:rsid w:val="00B64471"/>
    <w:rsid w:val="00B65B84"/>
    <w:rsid w:val="00B71C25"/>
    <w:rsid w:val="00B7272A"/>
    <w:rsid w:val="00B73133"/>
    <w:rsid w:val="00B74629"/>
    <w:rsid w:val="00B75F90"/>
    <w:rsid w:val="00B8036D"/>
    <w:rsid w:val="00B80DE8"/>
    <w:rsid w:val="00B82C78"/>
    <w:rsid w:val="00B84A5C"/>
    <w:rsid w:val="00B87124"/>
    <w:rsid w:val="00B876ED"/>
    <w:rsid w:val="00B93313"/>
    <w:rsid w:val="00B93841"/>
    <w:rsid w:val="00B948D2"/>
    <w:rsid w:val="00B95598"/>
    <w:rsid w:val="00B97D40"/>
    <w:rsid w:val="00BA1B31"/>
    <w:rsid w:val="00BA478A"/>
    <w:rsid w:val="00BA66F5"/>
    <w:rsid w:val="00BA726F"/>
    <w:rsid w:val="00BC421C"/>
    <w:rsid w:val="00BC47FF"/>
    <w:rsid w:val="00BD0327"/>
    <w:rsid w:val="00BD0FA0"/>
    <w:rsid w:val="00BD0FD6"/>
    <w:rsid w:val="00BD2B98"/>
    <w:rsid w:val="00BD5D06"/>
    <w:rsid w:val="00BD7382"/>
    <w:rsid w:val="00BD7BD3"/>
    <w:rsid w:val="00BD7C56"/>
    <w:rsid w:val="00BE0D0E"/>
    <w:rsid w:val="00BE1037"/>
    <w:rsid w:val="00BE348E"/>
    <w:rsid w:val="00BE395D"/>
    <w:rsid w:val="00BE482D"/>
    <w:rsid w:val="00BE5DB7"/>
    <w:rsid w:val="00BE6BFB"/>
    <w:rsid w:val="00BF0159"/>
    <w:rsid w:val="00BF3060"/>
    <w:rsid w:val="00BF5981"/>
    <w:rsid w:val="00BF5B8B"/>
    <w:rsid w:val="00C03495"/>
    <w:rsid w:val="00C10FB3"/>
    <w:rsid w:val="00C11946"/>
    <w:rsid w:val="00C129C4"/>
    <w:rsid w:val="00C1385A"/>
    <w:rsid w:val="00C15115"/>
    <w:rsid w:val="00C20178"/>
    <w:rsid w:val="00C20CDA"/>
    <w:rsid w:val="00C20DC3"/>
    <w:rsid w:val="00C216FA"/>
    <w:rsid w:val="00C2421A"/>
    <w:rsid w:val="00C24511"/>
    <w:rsid w:val="00C266A4"/>
    <w:rsid w:val="00C27D33"/>
    <w:rsid w:val="00C27F0A"/>
    <w:rsid w:val="00C31286"/>
    <w:rsid w:val="00C31A5B"/>
    <w:rsid w:val="00C32478"/>
    <w:rsid w:val="00C34C0E"/>
    <w:rsid w:val="00C35EF2"/>
    <w:rsid w:val="00C403B4"/>
    <w:rsid w:val="00C406DE"/>
    <w:rsid w:val="00C411FE"/>
    <w:rsid w:val="00C41B61"/>
    <w:rsid w:val="00C43296"/>
    <w:rsid w:val="00C434F9"/>
    <w:rsid w:val="00C44883"/>
    <w:rsid w:val="00C45CC3"/>
    <w:rsid w:val="00C45CCE"/>
    <w:rsid w:val="00C46170"/>
    <w:rsid w:val="00C467CA"/>
    <w:rsid w:val="00C467D4"/>
    <w:rsid w:val="00C46941"/>
    <w:rsid w:val="00C47381"/>
    <w:rsid w:val="00C51DBA"/>
    <w:rsid w:val="00C5278E"/>
    <w:rsid w:val="00C528AD"/>
    <w:rsid w:val="00C538D8"/>
    <w:rsid w:val="00C550DC"/>
    <w:rsid w:val="00C550EA"/>
    <w:rsid w:val="00C63AA7"/>
    <w:rsid w:val="00C666AF"/>
    <w:rsid w:val="00C718DA"/>
    <w:rsid w:val="00C71D8C"/>
    <w:rsid w:val="00C7273A"/>
    <w:rsid w:val="00C72BBA"/>
    <w:rsid w:val="00C73873"/>
    <w:rsid w:val="00C75FCC"/>
    <w:rsid w:val="00C86431"/>
    <w:rsid w:val="00C91224"/>
    <w:rsid w:val="00C91AE1"/>
    <w:rsid w:val="00C9316D"/>
    <w:rsid w:val="00C9387E"/>
    <w:rsid w:val="00C948FD"/>
    <w:rsid w:val="00C975B4"/>
    <w:rsid w:val="00C97FB9"/>
    <w:rsid w:val="00CA155E"/>
    <w:rsid w:val="00CA2E10"/>
    <w:rsid w:val="00CA3D9D"/>
    <w:rsid w:val="00CA5AE5"/>
    <w:rsid w:val="00CA6A60"/>
    <w:rsid w:val="00CA7999"/>
    <w:rsid w:val="00CB4E0C"/>
    <w:rsid w:val="00CB6814"/>
    <w:rsid w:val="00CC0DD8"/>
    <w:rsid w:val="00CC7B28"/>
    <w:rsid w:val="00CD056E"/>
    <w:rsid w:val="00CD1405"/>
    <w:rsid w:val="00CD518F"/>
    <w:rsid w:val="00CD6F72"/>
    <w:rsid w:val="00CD7C04"/>
    <w:rsid w:val="00CE1A25"/>
    <w:rsid w:val="00CE2A7F"/>
    <w:rsid w:val="00CE3610"/>
    <w:rsid w:val="00CE5975"/>
    <w:rsid w:val="00CF00CF"/>
    <w:rsid w:val="00CF24CD"/>
    <w:rsid w:val="00CF5221"/>
    <w:rsid w:val="00CF5822"/>
    <w:rsid w:val="00CF5A9B"/>
    <w:rsid w:val="00CF61A2"/>
    <w:rsid w:val="00CF6672"/>
    <w:rsid w:val="00D03A5F"/>
    <w:rsid w:val="00D07E6A"/>
    <w:rsid w:val="00D11E74"/>
    <w:rsid w:val="00D11FEB"/>
    <w:rsid w:val="00D144A4"/>
    <w:rsid w:val="00D1601D"/>
    <w:rsid w:val="00D22435"/>
    <w:rsid w:val="00D23711"/>
    <w:rsid w:val="00D23ED7"/>
    <w:rsid w:val="00D24A91"/>
    <w:rsid w:val="00D25823"/>
    <w:rsid w:val="00D2649F"/>
    <w:rsid w:val="00D2742F"/>
    <w:rsid w:val="00D32410"/>
    <w:rsid w:val="00D34D79"/>
    <w:rsid w:val="00D36CA4"/>
    <w:rsid w:val="00D37896"/>
    <w:rsid w:val="00D41A30"/>
    <w:rsid w:val="00D469E3"/>
    <w:rsid w:val="00D5313C"/>
    <w:rsid w:val="00D532DC"/>
    <w:rsid w:val="00D53C62"/>
    <w:rsid w:val="00D55415"/>
    <w:rsid w:val="00D60898"/>
    <w:rsid w:val="00D62F5A"/>
    <w:rsid w:val="00D63557"/>
    <w:rsid w:val="00D63E9B"/>
    <w:rsid w:val="00D71C75"/>
    <w:rsid w:val="00D76AAD"/>
    <w:rsid w:val="00D76DCC"/>
    <w:rsid w:val="00D76F04"/>
    <w:rsid w:val="00D824B2"/>
    <w:rsid w:val="00D82A70"/>
    <w:rsid w:val="00D82B55"/>
    <w:rsid w:val="00D83702"/>
    <w:rsid w:val="00D838C4"/>
    <w:rsid w:val="00D96DF5"/>
    <w:rsid w:val="00DA0F8B"/>
    <w:rsid w:val="00DA4C8E"/>
    <w:rsid w:val="00DB5EFB"/>
    <w:rsid w:val="00DB75E1"/>
    <w:rsid w:val="00DC60E2"/>
    <w:rsid w:val="00DC61A2"/>
    <w:rsid w:val="00DC69CD"/>
    <w:rsid w:val="00DD139E"/>
    <w:rsid w:val="00DD2C2B"/>
    <w:rsid w:val="00DD4DA6"/>
    <w:rsid w:val="00DD502C"/>
    <w:rsid w:val="00DD7AA4"/>
    <w:rsid w:val="00DE1C2F"/>
    <w:rsid w:val="00DE1C7B"/>
    <w:rsid w:val="00DE33B8"/>
    <w:rsid w:val="00DE370C"/>
    <w:rsid w:val="00DE48BE"/>
    <w:rsid w:val="00DE5489"/>
    <w:rsid w:val="00DE73BB"/>
    <w:rsid w:val="00DF25A4"/>
    <w:rsid w:val="00DF4AC7"/>
    <w:rsid w:val="00DF568A"/>
    <w:rsid w:val="00DF5EF4"/>
    <w:rsid w:val="00E00230"/>
    <w:rsid w:val="00E00442"/>
    <w:rsid w:val="00E015B8"/>
    <w:rsid w:val="00E02445"/>
    <w:rsid w:val="00E043C4"/>
    <w:rsid w:val="00E047E9"/>
    <w:rsid w:val="00E0521D"/>
    <w:rsid w:val="00E074E3"/>
    <w:rsid w:val="00E123B0"/>
    <w:rsid w:val="00E135B7"/>
    <w:rsid w:val="00E13B7B"/>
    <w:rsid w:val="00E142EC"/>
    <w:rsid w:val="00E158DF"/>
    <w:rsid w:val="00E2203D"/>
    <w:rsid w:val="00E220AD"/>
    <w:rsid w:val="00E222BB"/>
    <w:rsid w:val="00E26258"/>
    <w:rsid w:val="00E27E51"/>
    <w:rsid w:val="00E27FFC"/>
    <w:rsid w:val="00E3274A"/>
    <w:rsid w:val="00E33457"/>
    <w:rsid w:val="00E33AED"/>
    <w:rsid w:val="00E33E79"/>
    <w:rsid w:val="00E3454D"/>
    <w:rsid w:val="00E352D8"/>
    <w:rsid w:val="00E36D56"/>
    <w:rsid w:val="00E377AA"/>
    <w:rsid w:val="00E41613"/>
    <w:rsid w:val="00E4166F"/>
    <w:rsid w:val="00E41BB3"/>
    <w:rsid w:val="00E42966"/>
    <w:rsid w:val="00E44A1B"/>
    <w:rsid w:val="00E47E16"/>
    <w:rsid w:val="00E52B88"/>
    <w:rsid w:val="00E53B43"/>
    <w:rsid w:val="00E54558"/>
    <w:rsid w:val="00E55296"/>
    <w:rsid w:val="00E56265"/>
    <w:rsid w:val="00E61921"/>
    <w:rsid w:val="00E61C1E"/>
    <w:rsid w:val="00E61E3D"/>
    <w:rsid w:val="00E61F16"/>
    <w:rsid w:val="00E62795"/>
    <w:rsid w:val="00E64889"/>
    <w:rsid w:val="00E65C58"/>
    <w:rsid w:val="00E67755"/>
    <w:rsid w:val="00E67830"/>
    <w:rsid w:val="00E71294"/>
    <w:rsid w:val="00E72CDA"/>
    <w:rsid w:val="00E76BD1"/>
    <w:rsid w:val="00E77098"/>
    <w:rsid w:val="00E7735D"/>
    <w:rsid w:val="00E7793E"/>
    <w:rsid w:val="00E7794B"/>
    <w:rsid w:val="00E804F0"/>
    <w:rsid w:val="00E8474D"/>
    <w:rsid w:val="00E87046"/>
    <w:rsid w:val="00E87AAD"/>
    <w:rsid w:val="00E9076C"/>
    <w:rsid w:val="00E932E8"/>
    <w:rsid w:val="00E9569E"/>
    <w:rsid w:val="00E959BD"/>
    <w:rsid w:val="00E96851"/>
    <w:rsid w:val="00EA0351"/>
    <w:rsid w:val="00EA151B"/>
    <w:rsid w:val="00EA28DD"/>
    <w:rsid w:val="00EA2ADC"/>
    <w:rsid w:val="00EA3777"/>
    <w:rsid w:val="00EA6B4F"/>
    <w:rsid w:val="00EA759A"/>
    <w:rsid w:val="00EA76F1"/>
    <w:rsid w:val="00EA7FE4"/>
    <w:rsid w:val="00EB06DD"/>
    <w:rsid w:val="00EB11E2"/>
    <w:rsid w:val="00EB59D0"/>
    <w:rsid w:val="00EB648A"/>
    <w:rsid w:val="00EB6C95"/>
    <w:rsid w:val="00EB6E90"/>
    <w:rsid w:val="00EB71B3"/>
    <w:rsid w:val="00EC103F"/>
    <w:rsid w:val="00EC18A9"/>
    <w:rsid w:val="00EC2608"/>
    <w:rsid w:val="00EC2DD4"/>
    <w:rsid w:val="00EC388A"/>
    <w:rsid w:val="00EC5DBC"/>
    <w:rsid w:val="00ED14E1"/>
    <w:rsid w:val="00ED343A"/>
    <w:rsid w:val="00ED364A"/>
    <w:rsid w:val="00ED4074"/>
    <w:rsid w:val="00ED7690"/>
    <w:rsid w:val="00EE137A"/>
    <w:rsid w:val="00EE22E1"/>
    <w:rsid w:val="00EE3199"/>
    <w:rsid w:val="00EE34D1"/>
    <w:rsid w:val="00EE6EA0"/>
    <w:rsid w:val="00EF17B5"/>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15BAF"/>
    <w:rsid w:val="00F23427"/>
    <w:rsid w:val="00F30D37"/>
    <w:rsid w:val="00F37E2C"/>
    <w:rsid w:val="00F40089"/>
    <w:rsid w:val="00F40D45"/>
    <w:rsid w:val="00F426EE"/>
    <w:rsid w:val="00F43176"/>
    <w:rsid w:val="00F4439D"/>
    <w:rsid w:val="00F44CFD"/>
    <w:rsid w:val="00F456C2"/>
    <w:rsid w:val="00F4570D"/>
    <w:rsid w:val="00F5180C"/>
    <w:rsid w:val="00F51B36"/>
    <w:rsid w:val="00F521F4"/>
    <w:rsid w:val="00F524A6"/>
    <w:rsid w:val="00F54121"/>
    <w:rsid w:val="00F54AC6"/>
    <w:rsid w:val="00F5675C"/>
    <w:rsid w:val="00F61E91"/>
    <w:rsid w:val="00F70908"/>
    <w:rsid w:val="00F7291E"/>
    <w:rsid w:val="00F73987"/>
    <w:rsid w:val="00F7694A"/>
    <w:rsid w:val="00F80CD3"/>
    <w:rsid w:val="00F80FDF"/>
    <w:rsid w:val="00F818EE"/>
    <w:rsid w:val="00F8787B"/>
    <w:rsid w:val="00F87E94"/>
    <w:rsid w:val="00F92145"/>
    <w:rsid w:val="00F93CB3"/>
    <w:rsid w:val="00F94C2A"/>
    <w:rsid w:val="00F94E39"/>
    <w:rsid w:val="00F95194"/>
    <w:rsid w:val="00F95CFC"/>
    <w:rsid w:val="00F96E87"/>
    <w:rsid w:val="00F97925"/>
    <w:rsid w:val="00F97DD0"/>
    <w:rsid w:val="00FA029D"/>
    <w:rsid w:val="00FA26A0"/>
    <w:rsid w:val="00FA2D8D"/>
    <w:rsid w:val="00FA3B4C"/>
    <w:rsid w:val="00FA54B3"/>
    <w:rsid w:val="00FA59CF"/>
    <w:rsid w:val="00FA6E4F"/>
    <w:rsid w:val="00FA70A7"/>
    <w:rsid w:val="00FB0D80"/>
    <w:rsid w:val="00FB10AC"/>
    <w:rsid w:val="00FB1992"/>
    <w:rsid w:val="00FB4BB4"/>
    <w:rsid w:val="00FB55BD"/>
    <w:rsid w:val="00FB72EC"/>
    <w:rsid w:val="00FC3975"/>
    <w:rsid w:val="00FC53F3"/>
    <w:rsid w:val="00FC6675"/>
    <w:rsid w:val="00FC66C2"/>
    <w:rsid w:val="00FC6F59"/>
    <w:rsid w:val="00FD0C75"/>
    <w:rsid w:val="00FD0C89"/>
    <w:rsid w:val="00FD125F"/>
    <w:rsid w:val="00FD2E83"/>
    <w:rsid w:val="00FD49E9"/>
    <w:rsid w:val="00FD6185"/>
    <w:rsid w:val="00FE05A8"/>
    <w:rsid w:val="00FE237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3B3B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 w:type="character" w:customStyle="1" w:styleId="Heading4Char">
    <w:name w:val="Heading 4 Char"/>
    <w:basedOn w:val="DefaultParagraphFont"/>
    <w:link w:val="Heading4"/>
    <w:semiHidden/>
    <w:rsid w:val="003B3BE2"/>
    <w:rPr>
      <w:rFonts w:asciiTheme="majorHAnsi" w:eastAsiaTheme="majorEastAsia" w:hAnsiTheme="majorHAnsi" w:cstheme="majorBidi"/>
      <w:i/>
      <w:iCs/>
      <w:color w:val="365F91" w:themeColor="accent1" w:themeShade="BF"/>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3B3B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 w:type="character" w:customStyle="1" w:styleId="Heading4Char">
    <w:name w:val="Heading 4 Char"/>
    <w:basedOn w:val="DefaultParagraphFont"/>
    <w:link w:val="Heading4"/>
    <w:semiHidden/>
    <w:rsid w:val="003B3BE2"/>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76528847">
      <w:bodyDiv w:val="1"/>
      <w:marLeft w:val="0"/>
      <w:marRight w:val="0"/>
      <w:marTop w:val="0"/>
      <w:marBottom w:val="0"/>
      <w:divBdr>
        <w:top w:val="none" w:sz="0" w:space="0" w:color="auto"/>
        <w:left w:val="none" w:sz="0" w:space="0" w:color="auto"/>
        <w:bottom w:val="none" w:sz="0" w:space="0" w:color="auto"/>
        <w:right w:val="none" w:sz="0" w:space="0" w:color="auto"/>
      </w:divBdr>
    </w:div>
    <w:div w:id="636885110">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4702398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122B-35D6-44B8-96CB-E5CF6C1F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2604</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17139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2020-11-02T14:06:00Z</dcterms:created>
  <dcterms:modified xsi:type="dcterms:W3CDTF">2020-11-03T07:46:00Z</dcterms:modified>
</cp:coreProperties>
</file>