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E4B52" w14:textId="590B4CFB" w:rsidR="00353F6D" w:rsidRPr="009679A8" w:rsidRDefault="00353F6D" w:rsidP="00352B45">
      <w:pPr>
        <w:spacing w:line="360" w:lineRule="auto"/>
        <w:rPr>
          <w:rFonts w:ascii="Verdana" w:hAnsi="Verdana"/>
          <w:b/>
          <w:lang w:val="bg-BG"/>
        </w:rPr>
      </w:pPr>
      <w:bookmarkStart w:id="0" w:name="_GoBack"/>
      <w:bookmarkEnd w:id="0"/>
    </w:p>
    <w:p w14:paraId="6ADC55AA" w14:textId="77777777" w:rsidR="00353F6D" w:rsidRPr="009679A8" w:rsidRDefault="001C537C" w:rsidP="00352B45">
      <w:pPr>
        <w:spacing w:line="360" w:lineRule="auto"/>
        <w:rPr>
          <w:rFonts w:ascii="Verdana" w:hAnsi="Verdana"/>
          <w:b/>
          <w:lang w:val="bg-BG"/>
        </w:rPr>
      </w:pPr>
      <w:r w:rsidRPr="009679A8">
        <w:rPr>
          <w:rFonts w:ascii="Verdana" w:hAnsi="Verdana"/>
          <w:b/>
          <w:lang w:val="bg-BG"/>
        </w:rPr>
        <w:t>ДО</w:t>
      </w:r>
    </w:p>
    <w:p w14:paraId="21CF4289" w14:textId="77777777" w:rsidR="00353F6D" w:rsidRPr="009679A8" w:rsidRDefault="001C537C" w:rsidP="00352B45">
      <w:pPr>
        <w:spacing w:line="360" w:lineRule="auto"/>
        <w:jc w:val="both"/>
        <w:outlineLvl w:val="0"/>
        <w:rPr>
          <w:rFonts w:ascii="Verdana" w:hAnsi="Verdana"/>
          <w:b/>
          <w:lang w:val="bg-BG"/>
        </w:rPr>
      </w:pPr>
      <w:r w:rsidRPr="009679A8">
        <w:rPr>
          <w:rFonts w:ascii="Verdana" w:hAnsi="Verdana"/>
          <w:b/>
          <w:lang w:val="bg-BG"/>
        </w:rPr>
        <w:t>МИНИСТЕРСКИЯ СЪВЕТ</w:t>
      </w:r>
    </w:p>
    <w:p w14:paraId="27384B47" w14:textId="77777777" w:rsidR="00353F6D" w:rsidRPr="009679A8" w:rsidRDefault="001C537C" w:rsidP="00352B45">
      <w:pPr>
        <w:spacing w:line="360" w:lineRule="auto"/>
        <w:jc w:val="both"/>
        <w:outlineLvl w:val="0"/>
        <w:rPr>
          <w:rFonts w:ascii="Verdana" w:hAnsi="Verdana"/>
          <w:b/>
          <w:lang w:val="bg-BG"/>
        </w:rPr>
      </w:pPr>
      <w:r w:rsidRPr="009679A8">
        <w:rPr>
          <w:rFonts w:ascii="Verdana" w:hAnsi="Verdana"/>
          <w:b/>
          <w:lang w:val="bg-BG"/>
        </w:rPr>
        <w:t>НА РЕПУБЛИКА БЪЛГАРИЯ</w:t>
      </w:r>
    </w:p>
    <w:p w14:paraId="537487DB" w14:textId="77777777" w:rsidR="00C76FD3" w:rsidRPr="009679A8" w:rsidRDefault="00C76FD3" w:rsidP="00C83426">
      <w:pPr>
        <w:spacing w:line="360" w:lineRule="auto"/>
        <w:jc w:val="center"/>
        <w:rPr>
          <w:rFonts w:ascii="Verdana" w:hAnsi="Verdana"/>
          <w:b/>
          <w:spacing w:val="60"/>
          <w:lang w:val="bg-BG"/>
        </w:rPr>
      </w:pPr>
    </w:p>
    <w:p w14:paraId="24709972" w14:textId="77777777" w:rsidR="00353F6D" w:rsidRPr="009679A8" w:rsidRDefault="001C537C" w:rsidP="00352B45">
      <w:pPr>
        <w:spacing w:line="360" w:lineRule="auto"/>
        <w:jc w:val="center"/>
        <w:rPr>
          <w:rFonts w:ascii="Verdana" w:hAnsi="Verdana"/>
          <w:b/>
          <w:spacing w:val="60"/>
          <w:sz w:val="24"/>
          <w:szCs w:val="24"/>
          <w:lang w:val="bg-BG"/>
        </w:rPr>
      </w:pPr>
      <w:r w:rsidRPr="009679A8">
        <w:rPr>
          <w:rFonts w:ascii="Verdana" w:hAnsi="Verdana"/>
          <w:b/>
          <w:spacing w:val="60"/>
          <w:sz w:val="24"/>
          <w:szCs w:val="24"/>
          <w:lang w:val="bg-BG"/>
        </w:rPr>
        <w:t>ДОКЛАД</w:t>
      </w:r>
    </w:p>
    <w:p w14:paraId="0EBB769F" w14:textId="32859E3D" w:rsidR="00353F6D" w:rsidRPr="0076152B" w:rsidRDefault="009B7962" w:rsidP="00352B45">
      <w:pPr>
        <w:spacing w:line="360" w:lineRule="auto"/>
        <w:jc w:val="center"/>
        <w:rPr>
          <w:rFonts w:ascii="Verdana" w:hAnsi="Verdana"/>
          <w:b/>
          <w:smallCaps/>
          <w:lang w:val="bg-BG"/>
        </w:rPr>
      </w:pPr>
      <w:r w:rsidRPr="0076152B">
        <w:rPr>
          <w:rFonts w:ascii="Verdana" w:hAnsi="Verdana"/>
          <w:b/>
          <w:smallCaps/>
          <w:lang w:val="bg-BG"/>
        </w:rPr>
        <w:t>от</w:t>
      </w:r>
      <w:r w:rsidR="001C537C" w:rsidRPr="0076152B">
        <w:rPr>
          <w:rFonts w:ascii="Verdana" w:hAnsi="Verdana"/>
          <w:b/>
          <w:smallCaps/>
          <w:lang w:val="bg-BG"/>
        </w:rPr>
        <w:t xml:space="preserve"> </w:t>
      </w:r>
      <w:r w:rsidR="0076152B" w:rsidRPr="0076152B">
        <w:rPr>
          <w:rFonts w:ascii="Verdana" w:hAnsi="Verdana"/>
          <w:b/>
          <w:smallCaps/>
          <w:lang w:val="bg-BG"/>
        </w:rPr>
        <w:t xml:space="preserve">Десислава Танева </w:t>
      </w:r>
      <w:r w:rsidR="001C537C" w:rsidRPr="0076152B">
        <w:rPr>
          <w:rFonts w:ascii="Verdana" w:hAnsi="Verdana"/>
          <w:b/>
          <w:smallCaps/>
          <w:lang w:val="bg-BG"/>
        </w:rPr>
        <w:t xml:space="preserve">– </w:t>
      </w:r>
      <w:r w:rsidRPr="0076152B">
        <w:rPr>
          <w:rFonts w:ascii="Verdana" w:hAnsi="Verdana"/>
          <w:b/>
          <w:smallCaps/>
          <w:lang w:val="bg-BG"/>
        </w:rPr>
        <w:t>министър на земеделието, храните и горите</w:t>
      </w:r>
    </w:p>
    <w:p w14:paraId="6E6A6E8A" w14:textId="1174BA24" w:rsidR="000A35D5" w:rsidRDefault="000A35D5" w:rsidP="005E58AC">
      <w:pPr>
        <w:spacing w:line="360" w:lineRule="auto"/>
        <w:rPr>
          <w:rFonts w:ascii="Verdana" w:hAnsi="Verdana"/>
          <w:b/>
          <w:spacing w:val="60"/>
          <w:lang w:val="bg-BG"/>
        </w:rPr>
      </w:pPr>
    </w:p>
    <w:p w14:paraId="632318CE" w14:textId="77777777" w:rsidR="00422AB9" w:rsidRPr="009679A8" w:rsidRDefault="001C537C" w:rsidP="00352B45">
      <w:pPr>
        <w:spacing w:line="360" w:lineRule="auto"/>
        <w:ind w:left="1134" w:hanging="1134"/>
        <w:jc w:val="both"/>
        <w:rPr>
          <w:rFonts w:ascii="Verdana" w:hAnsi="Verdana"/>
          <w:lang w:val="bg-BG"/>
        </w:rPr>
      </w:pPr>
      <w:r w:rsidRPr="009679A8">
        <w:rPr>
          <w:rFonts w:ascii="Verdana" w:hAnsi="Verdana"/>
          <w:b/>
          <w:lang w:val="bg-BG"/>
        </w:rPr>
        <w:t>Относно:</w:t>
      </w:r>
      <w:r w:rsidRPr="009679A8">
        <w:rPr>
          <w:rFonts w:ascii="Verdana" w:hAnsi="Verdana"/>
          <w:lang w:val="bg-BG"/>
        </w:rPr>
        <w:t xml:space="preserve"> Проект на Постановление на Министерския съвет за приемане на Наредба</w:t>
      </w:r>
      <w:r w:rsidR="00422AB9" w:rsidRPr="009679A8">
        <w:rPr>
          <w:rFonts w:ascii="Verdana" w:hAnsi="Verdana"/>
          <w:lang w:val="bg-BG"/>
        </w:rPr>
        <w:t xml:space="preserve"> за специфичните изисквания за извършване на хранително банкиране и контрола върху тази дейност</w:t>
      </w:r>
    </w:p>
    <w:p w14:paraId="547B93F7" w14:textId="77777777" w:rsidR="00422AB9" w:rsidRPr="009679A8" w:rsidRDefault="00422AB9" w:rsidP="00352B45">
      <w:pPr>
        <w:spacing w:line="360" w:lineRule="auto"/>
        <w:ind w:left="1134" w:hanging="1134"/>
        <w:jc w:val="both"/>
        <w:rPr>
          <w:rFonts w:ascii="Verdana" w:hAnsi="Verdana"/>
          <w:lang w:val="bg-BG"/>
        </w:rPr>
      </w:pPr>
    </w:p>
    <w:p w14:paraId="197D25BC" w14:textId="77777777" w:rsidR="00353F6D" w:rsidRPr="009679A8" w:rsidRDefault="001C537C" w:rsidP="00352B45">
      <w:pPr>
        <w:spacing w:line="360" w:lineRule="auto"/>
        <w:rPr>
          <w:rFonts w:ascii="Verdana" w:hAnsi="Verdana"/>
          <w:b/>
          <w:lang w:val="bg-BG"/>
        </w:rPr>
      </w:pPr>
      <w:r w:rsidRPr="009679A8">
        <w:rPr>
          <w:rFonts w:ascii="Verdana" w:hAnsi="Verdana"/>
          <w:b/>
          <w:lang w:val="bg-BG"/>
        </w:rPr>
        <w:t>УВАЖАЕМИ ГОСПОДИН МИНИСТЪР-ПРЕДСЕДАТЕЛ,</w:t>
      </w:r>
    </w:p>
    <w:p w14:paraId="711D6A3F" w14:textId="77777777" w:rsidR="00353F6D" w:rsidRPr="009679A8" w:rsidRDefault="001C537C" w:rsidP="00352B45">
      <w:pPr>
        <w:spacing w:after="120" w:line="360" w:lineRule="auto"/>
        <w:rPr>
          <w:rFonts w:ascii="Verdana" w:hAnsi="Verdana"/>
          <w:b/>
          <w:lang w:val="bg-BG"/>
        </w:rPr>
      </w:pPr>
      <w:r w:rsidRPr="009679A8">
        <w:rPr>
          <w:rFonts w:ascii="Verdana" w:hAnsi="Verdana"/>
          <w:b/>
          <w:lang w:val="bg-BG"/>
        </w:rPr>
        <w:t>УВАЖАЕМИ ГОСПОЖИ И ГОСПОДА МИНИСТРИ,</w:t>
      </w:r>
    </w:p>
    <w:p w14:paraId="1081E1A2" w14:textId="77777777" w:rsidR="007E1B7C" w:rsidRPr="009679A8" w:rsidRDefault="001C537C" w:rsidP="00352B45">
      <w:pPr>
        <w:spacing w:line="360" w:lineRule="auto"/>
        <w:ind w:firstLine="709"/>
        <w:jc w:val="both"/>
        <w:rPr>
          <w:rFonts w:ascii="Verdana" w:hAnsi="Verdana" w:cs="Verdana"/>
          <w:lang w:val="bg-BG" w:eastAsia="zh-CN"/>
        </w:rPr>
      </w:pPr>
      <w:r w:rsidRPr="009679A8">
        <w:rPr>
          <w:rFonts w:ascii="Verdana" w:hAnsi="Verdana" w:cs="Verdana"/>
          <w:lang w:val="bg-BG" w:eastAsia="zh-CN"/>
        </w:rPr>
        <w:t xml:space="preserve">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Наредба за </w:t>
      </w:r>
      <w:r w:rsidR="007E1B7C" w:rsidRPr="009679A8">
        <w:rPr>
          <w:rFonts w:ascii="Verdana" w:hAnsi="Verdana"/>
          <w:lang w:val="bg-BG"/>
        </w:rPr>
        <w:t xml:space="preserve">специфичните изисквания за извършване на хранително банкиране и контрола върху тази дейност. </w:t>
      </w:r>
    </w:p>
    <w:p w14:paraId="61B9C94F" w14:textId="77777777" w:rsidR="007E1B7C" w:rsidRPr="009679A8" w:rsidRDefault="007E1B7C" w:rsidP="00352B45">
      <w:pPr>
        <w:spacing w:line="360" w:lineRule="auto"/>
        <w:rPr>
          <w:rFonts w:ascii="Verdana" w:hAnsi="Verdana"/>
          <w:b/>
          <w:lang w:val="bg-BG"/>
        </w:rPr>
      </w:pPr>
    </w:p>
    <w:p w14:paraId="2F6CC427" w14:textId="77777777" w:rsidR="007E1B7C" w:rsidRPr="009679A8" w:rsidRDefault="007E1B7C" w:rsidP="00352B45">
      <w:pPr>
        <w:spacing w:line="360" w:lineRule="auto"/>
        <w:ind w:firstLine="708"/>
        <w:rPr>
          <w:rFonts w:ascii="Verdana" w:hAnsi="Verdana"/>
          <w:b/>
          <w:lang w:val="bg-BG"/>
        </w:rPr>
      </w:pPr>
      <w:r w:rsidRPr="009679A8">
        <w:rPr>
          <w:rFonts w:ascii="Verdana" w:hAnsi="Verdana"/>
          <w:b/>
          <w:lang w:val="bg-BG"/>
        </w:rPr>
        <w:t>Причини, които налагат приемането на акта</w:t>
      </w:r>
    </w:p>
    <w:p w14:paraId="23E477A6" w14:textId="4B8D6AA8" w:rsidR="00200CED" w:rsidRPr="009679A8" w:rsidRDefault="00200CED" w:rsidP="00352B45">
      <w:pPr>
        <w:spacing w:line="360" w:lineRule="auto"/>
        <w:ind w:firstLine="709"/>
        <w:jc w:val="both"/>
        <w:rPr>
          <w:rFonts w:ascii="Verdana" w:hAnsi="Verdana" w:cs="Verdana"/>
          <w:lang w:val="bg-BG" w:eastAsia="zh-CN"/>
        </w:rPr>
      </w:pPr>
      <w:r w:rsidRPr="009679A8">
        <w:rPr>
          <w:rFonts w:ascii="Verdana" w:hAnsi="Verdana" w:cs="Verdana"/>
          <w:lang w:val="bg-BG" w:eastAsia="zh-CN"/>
        </w:rPr>
        <w:t xml:space="preserve">Новият Закон за храните </w:t>
      </w:r>
      <w:r w:rsidR="008560EE" w:rsidRPr="00127A99">
        <w:rPr>
          <w:rFonts w:ascii="Verdana" w:hAnsi="Verdana" w:cs="Verdana"/>
          <w:lang w:val="bg-BG" w:eastAsia="zh-CN"/>
        </w:rPr>
        <w:t>e</w:t>
      </w:r>
      <w:r w:rsidRPr="009679A8">
        <w:rPr>
          <w:rFonts w:ascii="Verdana" w:hAnsi="Verdana" w:cs="Verdana"/>
          <w:lang w:val="bg-BG" w:eastAsia="zh-CN"/>
        </w:rPr>
        <w:t xml:space="preserve"> обнародван в </w:t>
      </w:r>
      <w:r w:rsidR="00E12F73">
        <w:rPr>
          <w:rFonts w:ascii="Verdana" w:hAnsi="Verdana" w:cs="Verdana"/>
          <w:lang w:val="bg-BG" w:eastAsia="zh-CN"/>
        </w:rPr>
        <w:t>„</w:t>
      </w:r>
      <w:r w:rsidRPr="009679A8">
        <w:rPr>
          <w:rFonts w:ascii="Verdana" w:hAnsi="Verdana" w:cs="Verdana"/>
          <w:lang w:val="bg-BG" w:eastAsia="zh-CN"/>
        </w:rPr>
        <w:t>Държавен вестник</w:t>
      </w:r>
      <w:r w:rsidR="00E12F73">
        <w:rPr>
          <w:rFonts w:ascii="Verdana" w:hAnsi="Verdana" w:cs="Verdana"/>
          <w:lang w:val="bg-BG" w:eastAsia="zh-CN"/>
        </w:rPr>
        <w:t>“</w:t>
      </w:r>
      <w:r w:rsidRPr="009679A8">
        <w:rPr>
          <w:rFonts w:ascii="Verdana" w:hAnsi="Verdana" w:cs="Verdana"/>
          <w:lang w:val="bg-BG" w:eastAsia="zh-CN"/>
        </w:rPr>
        <w:t xml:space="preserve"> бр. 52 от 2020 г. Съгласно § 19 от </w:t>
      </w:r>
      <w:r w:rsidR="001A4BBB" w:rsidRPr="00127A99">
        <w:rPr>
          <w:rFonts w:ascii="Verdana" w:hAnsi="Verdana" w:cs="Verdana"/>
          <w:lang w:val="bg-BG" w:eastAsia="zh-CN"/>
        </w:rPr>
        <w:t>п</w:t>
      </w:r>
      <w:r w:rsidRPr="009679A8">
        <w:rPr>
          <w:rFonts w:ascii="Verdana" w:hAnsi="Verdana" w:cs="Verdana"/>
          <w:lang w:val="bg-BG" w:eastAsia="zh-CN"/>
        </w:rPr>
        <w:t xml:space="preserve">реходните и </w:t>
      </w:r>
      <w:r w:rsidR="001A4BBB" w:rsidRPr="00127A99">
        <w:rPr>
          <w:rFonts w:ascii="Verdana" w:hAnsi="Verdana" w:cs="Verdana"/>
          <w:lang w:val="bg-BG" w:eastAsia="zh-CN"/>
        </w:rPr>
        <w:t>з</w:t>
      </w:r>
      <w:r w:rsidRPr="009679A8">
        <w:rPr>
          <w:rFonts w:ascii="Verdana" w:hAnsi="Verdana" w:cs="Verdana"/>
          <w:lang w:val="bg-BG" w:eastAsia="zh-CN"/>
        </w:rPr>
        <w:t xml:space="preserve">аключителни разпоредби, законът </w:t>
      </w:r>
      <w:r w:rsidRPr="00127A99">
        <w:rPr>
          <w:rFonts w:ascii="Verdana" w:hAnsi="Verdana" w:cs="Verdana"/>
          <w:lang w:val="bg-BG" w:eastAsia="zh-CN"/>
        </w:rPr>
        <w:t>вл</w:t>
      </w:r>
      <w:r w:rsidR="00E07CA9" w:rsidRPr="00127A99">
        <w:rPr>
          <w:rFonts w:ascii="Verdana" w:hAnsi="Verdana" w:cs="Verdana"/>
          <w:lang w:val="bg-BG" w:eastAsia="zh-CN"/>
        </w:rPr>
        <w:t>иза</w:t>
      </w:r>
      <w:r w:rsidRPr="009679A8">
        <w:rPr>
          <w:rFonts w:ascii="Verdana" w:hAnsi="Verdana" w:cs="Verdana"/>
          <w:lang w:val="bg-BG" w:eastAsia="zh-CN"/>
        </w:rPr>
        <w:t xml:space="preserve"> в сила от деня на обнародването му в „Държавен вестник“.</w:t>
      </w:r>
    </w:p>
    <w:p w14:paraId="5DE9ECF8" w14:textId="4B552309" w:rsidR="00200CED" w:rsidRPr="009679A8" w:rsidRDefault="00200CED" w:rsidP="00352B45">
      <w:pPr>
        <w:spacing w:line="360" w:lineRule="auto"/>
        <w:ind w:firstLine="709"/>
        <w:jc w:val="both"/>
        <w:rPr>
          <w:rFonts w:ascii="Verdana" w:hAnsi="Verdana" w:cs="Verdana"/>
          <w:lang w:val="bg-BG" w:eastAsia="zh-CN"/>
        </w:rPr>
      </w:pPr>
      <w:r w:rsidRPr="009679A8">
        <w:rPr>
          <w:rFonts w:ascii="Verdana" w:hAnsi="Verdana" w:cs="Verdana"/>
          <w:lang w:val="bg-BG" w:eastAsia="zh-CN"/>
        </w:rPr>
        <w:t xml:space="preserve">Съгласно § 8, ал. 1 от </w:t>
      </w:r>
      <w:r w:rsidR="00E07CA9" w:rsidRPr="00127A99">
        <w:rPr>
          <w:rFonts w:ascii="Verdana" w:hAnsi="Verdana" w:cs="Verdana"/>
          <w:lang w:val="bg-BG" w:eastAsia="zh-CN"/>
        </w:rPr>
        <w:t>п</w:t>
      </w:r>
      <w:r w:rsidRPr="009679A8">
        <w:rPr>
          <w:rFonts w:ascii="Verdana" w:hAnsi="Verdana" w:cs="Verdana"/>
          <w:lang w:val="bg-BG" w:eastAsia="zh-CN"/>
        </w:rPr>
        <w:t xml:space="preserve">реходните и </w:t>
      </w:r>
      <w:r w:rsidR="00E07CA9" w:rsidRPr="00127A99">
        <w:rPr>
          <w:rFonts w:ascii="Verdana" w:hAnsi="Verdana" w:cs="Verdana"/>
          <w:lang w:val="bg-BG" w:eastAsia="zh-CN"/>
        </w:rPr>
        <w:t>з</w:t>
      </w:r>
      <w:r w:rsidRPr="009679A8">
        <w:rPr>
          <w:rFonts w:ascii="Verdana" w:hAnsi="Verdana" w:cs="Verdana"/>
          <w:lang w:val="bg-BG" w:eastAsia="zh-CN"/>
        </w:rPr>
        <w:t>аключителни разпоредби, подзаконовите нормативни актове по прилагането на този закон трябва да се приемат, съответно издадат в 6-месечен срок от влизането му в сила.</w:t>
      </w:r>
    </w:p>
    <w:p w14:paraId="77CEA0E7" w14:textId="114282A2" w:rsidR="007E1B7C" w:rsidRPr="009679A8" w:rsidRDefault="007E1B7C" w:rsidP="00352B45">
      <w:pPr>
        <w:spacing w:line="360" w:lineRule="auto"/>
        <w:ind w:firstLine="709"/>
        <w:jc w:val="both"/>
        <w:rPr>
          <w:rFonts w:ascii="Verdana" w:hAnsi="Verdana" w:cs="Verdana"/>
          <w:lang w:val="bg-BG" w:eastAsia="zh-CN"/>
        </w:rPr>
      </w:pPr>
      <w:r w:rsidRPr="009679A8">
        <w:rPr>
          <w:rFonts w:ascii="Verdana" w:hAnsi="Verdana" w:cs="Verdana"/>
          <w:lang w:val="bg-BG" w:eastAsia="zh-CN"/>
        </w:rPr>
        <w:t xml:space="preserve">Съгласно чл. 108 от </w:t>
      </w:r>
      <w:r w:rsidR="00200CED" w:rsidRPr="009679A8">
        <w:rPr>
          <w:rFonts w:ascii="Verdana" w:hAnsi="Verdana" w:cs="Verdana"/>
          <w:lang w:val="bg-BG" w:eastAsia="zh-CN"/>
        </w:rPr>
        <w:t>Закона</w:t>
      </w:r>
      <w:r w:rsidRPr="009679A8">
        <w:rPr>
          <w:rFonts w:ascii="Verdana" w:hAnsi="Verdana" w:cs="Verdana"/>
          <w:lang w:val="bg-BG" w:eastAsia="zh-CN"/>
        </w:rPr>
        <w:t xml:space="preserve"> за храните</w:t>
      </w:r>
      <w:r w:rsidR="00895F0D">
        <w:rPr>
          <w:rFonts w:ascii="Verdana" w:hAnsi="Verdana" w:cs="Verdana"/>
          <w:lang w:val="bg-BG" w:eastAsia="zh-CN"/>
        </w:rPr>
        <w:t xml:space="preserve"> </w:t>
      </w:r>
      <w:r w:rsidRPr="009679A8">
        <w:rPr>
          <w:rFonts w:ascii="Verdana" w:hAnsi="Verdana" w:cs="Verdana"/>
          <w:lang w:val="bg-BG" w:eastAsia="zh-CN"/>
        </w:rPr>
        <w:t>Министерският съвет с наредба определя специфичните изисквания за извършване на хранително банкиране и контрола върху тази дейност.</w:t>
      </w:r>
    </w:p>
    <w:p w14:paraId="4CFFAED6" w14:textId="50DD3F29" w:rsidR="007E1B7C" w:rsidRPr="009679A8" w:rsidRDefault="007E1B7C" w:rsidP="00806AAF">
      <w:pPr>
        <w:spacing w:line="360" w:lineRule="auto"/>
        <w:ind w:firstLine="709"/>
        <w:jc w:val="both"/>
        <w:rPr>
          <w:rFonts w:ascii="Verdana" w:hAnsi="Verdana" w:cs="Verdana"/>
          <w:lang w:val="bg-BG" w:eastAsia="zh-CN"/>
        </w:rPr>
      </w:pPr>
      <w:r w:rsidRPr="009679A8">
        <w:rPr>
          <w:rFonts w:ascii="Verdana" w:hAnsi="Verdana" w:cs="Verdana"/>
          <w:lang w:val="bg-BG" w:eastAsia="zh-CN"/>
        </w:rPr>
        <w:t xml:space="preserve">Работна група, създадена с моя Заповед РД 09-479/22.06.2020 г., изготви проект на Наредба за специфичните изисквания за извършване на хранително банкиране и контрола върху тази дейност. В състава на работната група </w:t>
      </w:r>
      <w:r w:rsidR="00A27639" w:rsidRPr="009679A8">
        <w:rPr>
          <w:rFonts w:ascii="Verdana" w:hAnsi="Verdana" w:cs="Verdana"/>
          <w:lang w:val="bg-BG" w:eastAsia="zh-CN"/>
        </w:rPr>
        <w:t>са</w:t>
      </w:r>
      <w:r w:rsidRPr="009679A8">
        <w:rPr>
          <w:rFonts w:ascii="Verdana" w:hAnsi="Verdana" w:cs="Verdana"/>
          <w:lang w:val="bg-BG" w:eastAsia="zh-CN"/>
        </w:rPr>
        <w:t xml:space="preserve"> включени представители на Министерство на земеделието, храните и горите, Българската агенция по безопасност на храните и Центъра за оценка на риска по хранителната верига.</w:t>
      </w:r>
    </w:p>
    <w:p w14:paraId="4EAB86A0" w14:textId="77777777" w:rsidR="007E1B7C" w:rsidRPr="009679A8" w:rsidRDefault="007E1B7C" w:rsidP="00352B45">
      <w:pPr>
        <w:spacing w:line="360" w:lineRule="auto"/>
        <w:ind w:firstLine="709"/>
        <w:jc w:val="both"/>
        <w:rPr>
          <w:rFonts w:ascii="Verdana" w:hAnsi="Verdana" w:cs="Verdana"/>
          <w:lang w:val="bg-BG" w:eastAsia="zh-CN"/>
        </w:rPr>
      </w:pPr>
    </w:p>
    <w:p w14:paraId="51DD371D" w14:textId="77777777" w:rsidR="007E1B7C" w:rsidRPr="009679A8" w:rsidRDefault="007E1B7C" w:rsidP="00352B45">
      <w:pPr>
        <w:spacing w:line="360" w:lineRule="auto"/>
        <w:ind w:firstLine="708"/>
        <w:rPr>
          <w:rFonts w:ascii="Verdana" w:hAnsi="Verdana"/>
          <w:b/>
          <w:lang w:val="bg-BG"/>
        </w:rPr>
      </w:pPr>
      <w:r w:rsidRPr="009679A8">
        <w:rPr>
          <w:rFonts w:ascii="Verdana" w:hAnsi="Verdana"/>
          <w:b/>
          <w:lang w:val="bg-BG"/>
        </w:rPr>
        <w:lastRenderedPageBreak/>
        <w:t>Цели</w:t>
      </w:r>
    </w:p>
    <w:p w14:paraId="3EB0AF01" w14:textId="4F4B3C3C" w:rsidR="00FE23E2" w:rsidRPr="009679A8" w:rsidRDefault="00FE23E2" w:rsidP="00127A99">
      <w:pPr>
        <w:spacing w:line="360" w:lineRule="auto"/>
        <w:ind w:firstLine="709"/>
        <w:jc w:val="both"/>
        <w:rPr>
          <w:rFonts w:ascii="Verdana" w:hAnsi="Verdana" w:cs="Verdana"/>
          <w:lang w:val="bg-BG" w:eastAsia="zh-CN"/>
        </w:rPr>
      </w:pPr>
      <w:r w:rsidRPr="009679A8">
        <w:rPr>
          <w:rFonts w:ascii="Verdana" w:hAnsi="Verdana" w:cs="Verdana"/>
          <w:lang w:val="bg-BG" w:eastAsia="zh-CN"/>
        </w:rPr>
        <w:t>С предложения проект на Наредба се цели да се разяснят условията, при които се извършва хранителното банкиране, да бъдат ясно определени изискванията към всички участници и да бъде въведена отговорност при осъществяването на контрол по спазването на утвърдените критерии и стандарти за извършване на социални услуги от оператора на хранителна банка.</w:t>
      </w:r>
    </w:p>
    <w:p w14:paraId="0DA701EB" w14:textId="6DF3677E" w:rsidR="00FE23E2" w:rsidRPr="009679A8" w:rsidRDefault="00FE23E2" w:rsidP="00127A99">
      <w:pPr>
        <w:spacing w:line="360" w:lineRule="auto"/>
        <w:ind w:firstLine="709"/>
        <w:jc w:val="both"/>
        <w:rPr>
          <w:rFonts w:ascii="Verdana" w:hAnsi="Verdana" w:cs="Verdana"/>
          <w:lang w:val="bg-BG" w:eastAsia="zh-CN"/>
        </w:rPr>
      </w:pPr>
      <w:r w:rsidRPr="009679A8">
        <w:rPr>
          <w:rFonts w:ascii="Verdana" w:hAnsi="Verdana" w:cs="Verdana"/>
          <w:lang w:val="bg-BG" w:eastAsia="zh-CN"/>
        </w:rPr>
        <w:t>Цел на проекта на Наредба е и създаване на условия за предотвратяване и намаляване на загубата и разхищението на годна и безопасна за консумация храна.</w:t>
      </w:r>
    </w:p>
    <w:p w14:paraId="0D4D87A5" w14:textId="1452AA3C" w:rsidR="00FE23E2" w:rsidRPr="009679A8" w:rsidRDefault="00FE23E2" w:rsidP="00127A99">
      <w:pPr>
        <w:spacing w:line="360" w:lineRule="auto"/>
        <w:ind w:firstLine="709"/>
        <w:jc w:val="both"/>
        <w:rPr>
          <w:rFonts w:ascii="Verdana" w:hAnsi="Verdana" w:cs="Verdana"/>
          <w:lang w:val="bg-BG" w:eastAsia="zh-CN"/>
        </w:rPr>
      </w:pPr>
      <w:r w:rsidRPr="009679A8">
        <w:rPr>
          <w:rFonts w:ascii="Verdana" w:hAnsi="Verdana" w:cs="Verdana"/>
          <w:lang w:val="bg-BG" w:eastAsia="zh-CN"/>
        </w:rPr>
        <w:t xml:space="preserve">В проекта на Наредба са </w:t>
      </w:r>
      <w:r w:rsidR="00E12F73">
        <w:rPr>
          <w:rFonts w:ascii="Verdana" w:hAnsi="Verdana" w:cs="Verdana"/>
          <w:lang w:val="bg-BG" w:eastAsia="zh-CN"/>
        </w:rPr>
        <w:t>посочени</w:t>
      </w:r>
      <w:r w:rsidR="00E12F73" w:rsidRPr="009679A8">
        <w:rPr>
          <w:rFonts w:ascii="Verdana" w:hAnsi="Verdana" w:cs="Verdana"/>
          <w:lang w:val="bg-BG" w:eastAsia="zh-CN"/>
        </w:rPr>
        <w:t xml:space="preserve"> </w:t>
      </w:r>
      <w:r w:rsidRPr="009679A8">
        <w:rPr>
          <w:rFonts w:ascii="Verdana" w:hAnsi="Verdana" w:cs="Verdana"/>
          <w:lang w:val="bg-BG" w:eastAsia="zh-CN"/>
        </w:rPr>
        <w:t>условията, при които операторът на хранителна банка може да приема храни с изтекъл срок на минимална трайност от бизнес оператори, може да предостави храни с изтекъл срок на минимална трайност на нуждаещи се лица и на лица, предоставящи социални услуги.</w:t>
      </w:r>
    </w:p>
    <w:p w14:paraId="6CDAF375" w14:textId="05789425" w:rsidR="005D5CD4" w:rsidRPr="009679A8" w:rsidRDefault="00FE23E2" w:rsidP="00127A99">
      <w:pPr>
        <w:spacing w:line="360" w:lineRule="auto"/>
        <w:ind w:firstLine="709"/>
        <w:jc w:val="both"/>
        <w:rPr>
          <w:rFonts w:ascii="Verdana" w:hAnsi="Verdana" w:cs="Verdana"/>
          <w:lang w:val="bg-BG" w:eastAsia="zh-CN"/>
        </w:rPr>
      </w:pPr>
      <w:r w:rsidRPr="009679A8">
        <w:rPr>
          <w:rFonts w:ascii="Verdana" w:hAnsi="Verdana" w:cs="Verdana"/>
          <w:lang w:val="bg-BG" w:eastAsia="zh-CN"/>
        </w:rPr>
        <w:t xml:space="preserve">Разписани са условията, при които храни, иззети от Българската агенция по безопасност на храните, могат да </w:t>
      </w:r>
      <w:r w:rsidR="00101B5F">
        <w:rPr>
          <w:rFonts w:ascii="Verdana" w:hAnsi="Verdana" w:cs="Verdana"/>
          <w:lang w:val="bg-BG" w:eastAsia="zh-CN"/>
        </w:rPr>
        <w:t xml:space="preserve">бъдат предоставяни </w:t>
      </w:r>
      <w:r w:rsidRPr="009679A8">
        <w:rPr>
          <w:rFonts w:ascii="Verdana" w:hAnsi="Verdana" w:cs="Verdana"/>
          <w:lang w:val="bg-BG" w:eastAsia="zh-CN"/>
        </w:rPr>
        <w:t>за хранително банкиране.</w:t>
      </w:r>
    </w:p>
    <w:p w14:paraId="12D24D36" w14:textId="77777777" w:rsidR="00D5400F" w:rsidRPr="00182B5C" w:rsidRDefault="00D5400F" w:rsidP="00352B45">
      <w:pPr>
        <w:spacing w:line="360" w:lineRule="auto"/>
        <w:ind w:firstLine="708"/>
        <w:rPr>
          <w:rFonts w:ascii="Verdana" w:hAnsi="Verdana"/>
          <w:lang w:val="bg-BG"/>
        </w:rPr>
      </w:pPr>
    </w:p>
    <w:p w14:paraId="28E8CFEF" w14:textId="77777777" w:rsidR="00D5400F" w:rsidRPr="009679A8" w:rsidRDefault="00D5400F" w:rsidP="00FF7271">
      <w:pPr>
        <w:spacing w:line="360" w:lineRule="auto"/>
        <w:ind w:firstLine="709"/>
        <w:jc w:val="both"/>
        <w:rPr>
          <w:rFonts w:ascii="Verdana" w:hAnsi="Verdana"/>
          <w:b/>
          <w:lang w:val="bg-BG"/>
        </w:rPr>
      </w:pPr>
      <w:r w:rsidRPr="009679A8">
        <w:rPr>
          <w:rFonts w:ascii="Verdana" w:hAnsi="Verdana"/>
          <w:b/>
          <w:lang w:val="bg-BG"/>
        </w:rPr>
        <w:t>Финансови и други средства, необходими за прилагането на новата уредба</w:t>
      </w:r>
    </w:p>
    <w:p w14:paraId="067DC9F6" w14:textId="77777777" w:rsidR="00353F6D" w:rsidRPr="009679A8" w:rsidRDefault="001C537C" w:rsidP="00352B45">
      <w:pPr>
        <w:spacing w:line="360" w:lineRule="auto"/>
        <w:ind w:firstLine="709"/>
        <w:jc w:val="both"/>
        <w:rPr>
          <w:rFonts w:ascii="Verdana" w:hAnsi="Verdana" w:cs="Verdana"/>
          <w:lang w:val="bg-BG" w:eastAsia="zh-CN"/>
        </w:rPr>
      </w:pPr>
      <w:r w:rsidRPr="009679A8">
        <w:rPr>
          <w:rFonts w:ascii="Verdana" w:hAnsi="Verdana" w:cs="Verdana"/>
          <w:lang w:val="bg-BG" w:eastAsia="zh-CN"/>
        </w:rPr>
        <w:t xml:space="preserve">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Не са необходими допълнителни разходи, трансфери или други </w:t>
      </w:r>
      <w:r w:rsidRPr="00127A99">
        <w:rPr>
          <w:rFonts w:ascii="Verdana" w:hAnsi="Verdana" w:cs="Verdana"/>
          <w:lang w:val="bg-BG" w:eastAsia="zh-CN"/>
        </w:rPr>
        <w:t>плащания по бюджета на Министерството на земеделието, храните и горите за 2020 г.</w:t>
      </w:r>
      <w:r w:rsidRPr="009679A8">
        <w:rPr>
          <w:rFonts w:ascii="Verdana" w:hAnsi="Verdana" w:cs="Verdana"/>
          <w:lang w:val="bg-BG" w:eastAsia="zh-CN"/>
        </w:rPr>
        <w:t xml:space="preserve"> Проект</w:t>
      </w:r>
      <w:r w:rsidR="00401520" w:rsidRPr="009679A8">
        <w:rPr>
          <w:rFonts w:ascii="Verdana" w:hAnsi="Verdana" w:cs="Verdana"/>
          <w:lang w:val="bg-BG" w:eastAsia="zh-CN"/>
        </w:rPr>
        <w:t xml:space="preserve">ът </w:t>
      </w:r>
      <w:r w:rsidRPr="009679A8">
        <w:rPr>
          <w:rFonts w:ascii="Verdana" w:hAnsi="Verdana" w:cs="Verdana"/>
          <w:lang w:val="bg-BG" w:eastAsia="zh-CN"/>
        </w:rPr>
        <w:t xml:space="preserve">на акт не води до изменения в целевите стойности на показателите за изпълнение, в т.ч. ключовите индикатори. </w:t>
      </w:r>
    </w:p>
    <w:p w14:paraId="22B99672" w14:textId="77777777" w:rsidR="00D5400F" w:rsidRPr="009679A8" w:rsidRDefault="00D5400F" w:rsidP="00352B45">
      <w:pPr>
        <w:overflowPunct/>
        <w:spacing w:line="360" w:lineRule="auto"/>
        <w:ind w:firstLine="709"/>
        <w:jc w:val="both"/>
        <w:textAlignment w:val="auto"/>
        <w:rPr>
          <w:rFonts w:ascii="Verdana" w:hAnsi="Verdana" w:cs="Verdana"/>
          <w:lang w:val="bg-BG" w:eastAsia="zh-CN"/>
        </w:rPr>
      </w:pPr>
    </w:p>
    <w:p w14:paraId="1386FA99" w14:textId="77777777" w:rsidR="00D5400F" w:rsidRPr="009679A8" w:rsidRDefault="00D5400F" w:rsidP="00352B45">
      <w:pPr>
        <w:spacing w:line="360" w:lineRule="auto"/>
        <w:ind w:firstLine="708"/>
        <w:rPr>
          <w:rFonts w:ascii="Verdana" w:hAnsi="Verdana"/>
          <w:b/>
          <w:lang w:val="bg-BG"/>
        </w:rPr>
      </w:pPr>
      <w:r w:rsidRPr="009679A8">
        <w:rPr>
          <w:rFonts w:ascii="Verdana" w:hAnsi="Verdana"/>
          <w:b/>
          <w:lang w:val="bg-BG"/>
        </w:rPr>
        <w:t>Очаквани резултати от прилагането на акта</w:t>
      </w:r>
    </w:p>
    <w:p w14:paraId="3C486A71" w14:textId="77777777" w:rsidR="00401520" w:rsidRPr="009679A8" w:rsidRDefault="00401520" w:rsidP="00352B45">
      <w:pPr>
        <w:spacing w:line="360" w:lineRule="auto"/>
        <w:ind w:firstLine="709"/>
        <w:jc w:val="both"/>
        <w:rPr>
          <w:rFonts w:ascii="Verdana" w:hAnsi="Verdana" w:cs="Verdana"/>
          <w:lang w:val="bg-BG" w:eastAsia="zh-CN"/>
        </w:rPr>
      </w:pPr>
      <w:r w:rsidRPr="009679A8">
        <w:rPr>
          <w:rFonts w:ascii="Verdana" w:hAnsi="Verdana" w:cs="Verdana"/>
          <w:lang w:val="bg-BG" w:eastAsia="zh-CN"/>
        </w:rPr>
        <w:t xml:space="preserve">Прилагането на наредбата ще създаде възможност храната, която не се е превърнала в хранителен отпадък и все още е годна за консумация, да бъде оползотворена и социално преразпределена за консумация от нуждаещи се лица. Това е една форма на превенция, при която храните остават в хранителната верига с предназначение за човешка консумация. </w:t>
      </w:r>
    </w:p>
    <w:p w14:paraId="412846FE" w14:textId="77777777" w:rsidR="00401520" w:rsidRPr="00127A99" w:rsidRDefault="00401520" w:rsidP="00127A99">
      <w:pPr>
        <w:spacing w:line="360" w:lineRule="auto"/>
        <w:ind w:firstLine="709"/>
        <w:jc w:val="both"/>
        <w:rPr>
          <w:rFonts w:ascii="Verdana" w:hAnsi="Verdana" w:cs="Verdana"/>
          <w:lang w:val="bg-BG" w:eastAsia="zh-CN"/>
        </w:rPr>
      </w:pPr>
      <w:r w:rsidRPr="00127A99">
        <w:rPr>
          <w:rFonts w:ascii="Verdana" w:hAnsi="Verdana" w:cs="Verdana"/>
          <w:lang w:val="bg-BG" w:eastAsia="zh-CN"/>
        </w:rPr>
        <w:t>Предлага се достъп на нуждаещи се лица до годна за консумация храна, която те иначе не биха могли да си позволят.</w:t>
      </w:r>
    </w:p>
    <w:p w14:paraId="52D61384" w14:textId="74D9E14B" w:rsidR="00101B5F" w:rsidRPr="00127A99" w:rsidRDefault="00401520" w:rsidP="00127A99">
      <w:pPr>
        <w:spacing w:line="360" w:lineRule="auto"/>
        <w:ind w:firstLine="709"/>
        <w:jc w:val="both"/>
        <w:rPr>
          <w:rFonts w:ascii="Verdana" w:hAnsi="Verdana" w:cs="Verdana"/>
          <w:lang w:val="bg-BG" w:eastAsia="zh-CN"/>
        </w:rPr>
      </w:pPr>
      <w:r w:rsidRPr="00127A99">
        <w:rPr>
          <w:rFonts w:ascii="Verdana" w:hAnsi="Verdana" w:cs="Verdana"/>
          <w:lang w:val="bg-BG" w:eastAsia="zh-CN"/>
        </w:rPr>
        <w:t xml:space="preserve">С акта ще се </w:t>
      </w:r>
      <w:r w:rsidR="00101B5F" w:rsidRPr="00127A99">
        <w:rPr>
          <w:rFonts w:ascii="Verdana" w:hAnsi="Verdana" w:cs="Verdana"/>
          <w:lang w:val="bg-BG" w:eastAsia="zh-CN"/>
        </w:rPr>
        <w:t xml:space="preserve">създаде възможност за значително намаляване на процента на загубата и разхищението на храни и по този начин ще се стимулира даряването им. </w:t>
      </w:r>
    </w:p>
    <w:p w14:paraId="5D370A86" w14:textId="24C1706F" w:rsidR="00101B5F" w:rsidRPr="00127A99" w:rsidRDefault="00401520" w:rsidP="00127A99">
      <w:pPr>
        <w:spacing w:line="360" w:lineRule="auto"/>
        <w:ind w:firstLine="709"/>
        <w:jc w:val="both"/>
        <w:rPr>
          <w:rFonts w:ascii="Verdana" w:hAnsi="Verdana" w:cs="Verdana"/>
          <w:lang w:val="bg-BG" w:eastAsia="zh-CN"/>
        </w:rPr>
      </w:pPr>
      <w:r w:rsidRPr="00127A99">
        <w:rPr>
          <w:rFonts w:ascii="Verdana" w:hAnsi="Verdana" w:cs="Verdana"/>
          <w:lang w:val="bg-BG" w:eastAsia="zh-CN"/>
        </w:rPr>
        <w:t xml:space="preserve">Предизвиканият икономически ефект ще поддържа социалното подпомагане на най-нуждаещите се групи в обществото. </w:t>
      </w:r>
      <w:r w:rsidR="00101B5F" w:rsidRPr="00127A99">
        <w:rPr>
          <w:rFonts w:ascii="Verdana" w:hAnsi="Verdana" w:cs="Verdana"/>
          <w:lang w:val="bg-BG" w:eastAsia="zh-CN"/>
        </w:rPr>
        <w:t xml:space="preserve">Бизнесът ще ограничи значително разходите си, извършвани при унищожаването на храни и това ще създаде възможност за инвестиране в квалифицирани служители. По този начин българските компании ще се </w:t>
      </w:r>
      <w:r w:rsidR="00101B5F" w:rsidRPr="00127A99">
        <w:rPr>
          <w:rFonts w:ascii="Verdana" w:hAnsi="Verdana" w:cs="Verdana"/>
          <w:lang w:val="bg-BG" w:eastAsia="zh-CN"/>
        </w:rPr>
        <w:lastRenderedPageBreak/>
        <w:t>конкурират по-успешно с тези на другите държави членки. С акта, освен подобряване на бизнес средата в държавата, ще се подобри и социалното подпомагане, което ще е от голяма полза в условията на пандемия.</w:t>
      </w:r>
    </w:p>
    <w:p w14:paraId="4A3CF4F8" w14:textId="416EF720" w:rsidR="0069705A" w:rsidRPr="00127A99" w:rsidRDefault="004821ED" w:rsidP="00127A99">
      <w:pPr>
        <w:spacing w:line="360" w:lineRule="auto"/>
        <w:ind w:firstLine="709"/>
        <w:jc w:val="both"/>
        <w:rPr>
          <w:rFonts w:ascii="Verdana" w:hAnsi="Verdana" w:cs="Verdana"/>
          <w:lang w:val="bg-BG" w:eastAsia="zh-CN"/>
        </w:rPr>
      </w:pPr>
      <w:r w:rsidRPr="00127A99">
        <w:rPr>
          <w:rFonts w:ascii="Verdana" w:hAnsi="Verdana" w:cs="Verdana"/>
          <w:lang w:val="bg-BG" w:eastAsia="zh-CN"/>
        </w:rPr>
        <w:t xml:space="preserve">Постановлението на Министерския съвет за приемане на Наредба за специфичните изисквания за извършване на хранително банкиране и контрола върху тази дейност </w:t>
      </w:r>
      <w:r w:rsidR="006B10D0" w:rsidRPr="00127A99">
        <w:rPr>
          <w:rFonts w:ascii="Verdana" w:hAnsi="Verdana" w:cs="Verdana"/>
          <w:lang w:val="bg-BG" w:eastAsia="zh-CN"/>
        </w:rPr>
        <w:t>отменя Наредба за условията и реда за изграждане на система за бързо предупреждение за храни и фуражи в Република България</w:t>
      </w:r>
      <w:r w:rsidR="00623967">
        <w:rPr>
          <w:rFonts w:ascii="Verdana" w:hAnsi="Verdana" w:cs="Verdana"/>
          <w:lang w:val="bg-BG" w:eastAsia="zh-CN"/>
        </w:rPr>
        <w:t>,</w:t>
      </w:r>
      <w:r w:rsidR="009D17FB">
        <w:rPr>
          <w:rFonts w:ascii="Verdana" w:hAnsi="Verdana" w:cs="Verdana"/>
          <w:lang w:eastAsia="zh-CN"/>
        </w:rPr>
        <w:t xml:space="preserve"> </w:t>
      </w:r>
      <w:r w:rsidR="009D17FB">
        <w:rPr>
          <w:rFonts w:ascii="Verdana" w:hAnsi="Verdana" w:cs="Verdana"/>
          <w:lang w:val="bg-BG" w:eastAsia="zh-CN"/>
        </w:rPr>
        <w:t>приета с Постановление № 17 на Министерския съвет от 2015 г. (</w:t>
      </w:r>
      <w:proofErr w:type="spellStart"/>
      <w:r w:rsidR="009D17FB">
        <w:rPr>
          <w:rFonts w:ascii="Verdana" w:hAnsi="Verdana" w:cs="Verdana"/>
          <w:lang w:val="bg-BG" w:eastAsia="zh-CN"/>
        </w:rPr>
        <w:t>обн</w:t>
      </w:r>
      <w:proofErr w:type="spellEnd"/>
      <w:r w:rsidR="009D17FB">
        <w:rPr>
          <w:rFonts w:ascii="Verdana" w:hAnsi="Verdana" w:cs="Verdana"/>
          <w:lang w:val="bg-BG" w:eastAsia="zh-CN"/>
        </w:rPr>
        <w:t>., ДВ, бр. 10 от 2015 г.)</w:t>
      </w:r>
      <w:r w:rsidR="006B10D0" w:rsidRPr="00127A99">
        <w:rPr>
          <w:rFonts w:ascii="Verdana" w:hAnsi="Verdana" w:cs="Verdana"/>
          <w:lang w:val="bg-BG" w:eastAsia="zh-CN"/>
        </w:rPr>
        <w:t xml:space="preserve">, </w:t>
      </w:r>
      <w:r w:rsidR="0069705A" w:rsidRPr="00127A99">
        <w:rPr>
          <w:rFonts w:ascii="Verdana" w:hAnsi="Verdana" w:cs="Verdana"/>
          <w:lang w:val="bg-BG" w:eastAsia="zh-CN"/>
        </w:rPr>
        <w:t>поради отпаднала необходимост от нейното прилагане във връзка с влизането в сила на Регламент за изпълнение (ЕС) 2019/1715 на Комисията от 30 септември 2019 година за определяне на правила за функционирането на системата за управление на информацията относно официалния контрол и нейните компоненти („Регламент за IМSOC“).</w:t>
      </w:r>
    </w:p>
    <w:p w14:paraId="2B902B94" w14:textId="6507AF7D" w:rsidR="00D5400F" w:rsidRPr="009679A8" w:rsidRDefault="00D5400F" w:rsidP="00352B45">
      <w:pPr>
        <w:spacing w:line="360" w:lineRule="auto"/>
        <w:ind w:firstLine="709"/>
        <w:jc w:val="both"/>
        <w:rPr>
          <w:rFonts w:ascii="Verdana" w:hAnsi="Verdana"/>
          <w:b/>
          <w:lang w:val="bg-BG"/>
        </w:rPr>
      </w:pPr>
    </w:p>
    <w:p w14:paraId="54E48782" w14:textId="77777777" w:rsidR="00D5400F" w:rsidRPr="009679A8" w:rsidRDefault="00D5400F" w:rsidP="00352B45">
      <w:pPr>
        <w:pStyle w:val="NormalWeb"/>
        <w:spacing w:line="360" w:lineRule="auto"/>
        <w:ind w:firstLine="720"/>
        <w:rPr>
          <w:rFonts w:ascii="Verdana" w:hAnsi="Verdana"/>
          <w:b/>
          <w:color w:val="auto"/>
          <w:sz w:val="20"/>
          <w:szCs w:val="20"/>
          <w:lang w:eastAsia="en-US"/>
        </w:rPr>
      </w:pPr>
      <w:r w:rsidRPr="009679A8">
        <w:rPr>
          <w:rFonts w:ascii="Verdana" w:hAnsi="Verdana"/>
          <w:b/>
          <w:color w:val="auto"/>
          <w:sz w:val="20"/>
          <w:szCs w:val="20"/>
          <w:lang w:eastAsia="en-US"/>
        </w:rPr>
        <w:t>Анализ за съответствие с правото на Европейския съюз</w:t>
      </w:r>
    </w:p>
    <w:p w14:paraId="5E2F6FA6" w14:textId="77777777" w:rsidR="00D5400F" w:rsidRDefault="00D5400F" w:rsidP="00352B45">
      <w:pPr>
        <w:spacing w:line="360" w:lineRule="auto"/>
        <w:ind w:firstLine="709"/>
        <w:jc w:val="both"/>
        <w:rPr>
          <w:rFonts w:ascii="Verdana" w:hAnsi="Verdana"/>
          <w:lang w:val="bg-BG"/>
        </w:rPr>
      </w:pPr>
      <w:r w:rsidRPr="009679A8">
        <w:rPr>
          <w:rFonts w:ascii="Verdana" w:hAnsi="Verdana"/>
          <w:lang w:val="bg-BG"/>
        </w:rPr>
        <w:t>С проекта не се транспонират актове на институции на Европейския съюз, поради което не е изготвена и приложена таблица за съответствието с правото на Европейския съюз.</w:t>
      </w:r>
    </w:p>
    <w:p w14:paraId="0FF0D777" w14:textId="23804749" w:rsidR="00895F0D" w:rsidRPr="00127A99" w:rsidRDefault="0002056F" w:rsidP="00352B45">
      <w:pPr>
        <w:spacing w:line="360" w:lineRule="auto"/>
        <w:ind w:firstLine="709"/>
        <w:jc w:val="both"/>
        <w:rPr>
          <w:rFonts w:ascii="Verdana" w:hAnsi="Verdana"/>
          <w:lang w:val="bg-BG"/>
        </w:rPr>
      </w:pPr>
      <w:r>
        <w:rPr>
          <w:rFonts w:ascii="Verdana" w:hAnsi="Verdana"/>
          <w:lang w:val="bg-BG"/>
        </w:rPr>
        <w:t xml:space="preserve">С наредбата се осигурява </w:t>
      </w:r>
      <w:r w:rsidR="006A0FA2">
        <w:rPr>
          <w:rFonts w:ascii="Verdana" w:hAnsi="Verdana"/>
          <w:lang w:val="bg-BG"/>
        </w:rPr>
        <w:t xml:space="preserve">прилагане на </w:t>
      </w:r>
      <w:r w:rsidR="00895F0D" w:rsidRPr="00101B5F">
        <w:rPr>
          <w:rFonts w:ascii="Verdana" w:hAnsi="Verdana"/>
          <w:lang w:val="bg-BG"/>
        </w:rPr>
        <w:t xml:space="preserve">чл. 138 от 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w:t>
      </w:r>
      <w:r w:rsidR="00895F0D" w:rsidRPr="00127A99">
        <w:rPr>
          <w:rFonts w:ascii="Verdana" w:hAnsi="Verdana"/>
          <w:lang w:val="bg-BG"/>
        </w:rPr>
        <w:t>(ЕО)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(OB L 95, 7.4.2017г.)</w:t>
      </w:r>
      <w:r w:rsidR="006A0FA2">
        <w:rPr>
          <w:rFonts w:ascii="Verdana" w:hAnsi="Verdana"/>
          <w:lang w:val="bg-BG"/>
        </w:rPr>
        <w:t>, поради което в правното основание за издаване на наредбата е добавен и чл. 7а от Закона за нормативните актове</w:t>
      </w:r>
      <w:r w:rsidR="00101B5F" w:rsidRPr="00127A99">
        <w:rPr>
          <w:rFonts w:ascii="Verdana" w:hAnsi="Verdana"/>
          <w:lang w:val="bg-BG"/>
        </w:rPr>
        <w:t>.</w:t>
      </w:r>
    </w:p>
    <w:p w14:paraId="5CDB22F2" w14:textId="77777777" w:rsidR="00D5400F" w:rsidRPr="009679A8" w:rsidRDefault="00D5400F" w:rsidP="00352B45">
      <w:pPr>
        <w:spacing w:line="360" w:lineRule="auto"/>
        <w:ind w:firstLine="708"/>
        <w:rPr>
          <w:rFonts w:ascii="Verdana" w:hAnsi="Verdana"/>
          <w:b/>
          <w:lang w:val="bg-BG"/>
        </w:rPr>
      </w:pPr>
    </w:p>
    <w:p w14:paraId="5DD8907A" w14:textId="77777777" w:rsidR="00D5400F" w:rsidRPr="009679A8" w:rsidRDefault="00D5400F" w:rsidP="00352B45">
      <w:pPr>
        <w:spacing w:line="360" w:lineRule="auto"/>
        <w:ind w:firstLine="708"/>
        <w:rPr>
          <w:rFonts w:ascii="Verdana" w:hAnsi="Verdana"/>
          <w:b/>
          <w:lang w:val="bg-BG"/>
        </w:rPr>
      </w:pPr>
      <w:r w:rsidRPr="009679A8">
        <w:rPr>
          <w:rFonts w:ascii="Verdana" w:hAnsi="Verdana"/>
          <w:b/>
          <w:lang w:val="bg-BG"/>
        </w:rPr>
        <w:t>Информация за проведените обществени консултации</w:t>
      </w:r>
    </w:p>
    <w:p w14:paraId="582B8E1B" w14:textId="2E4C5BD6" w:rsidR="00353F6D" w:rsidRPr="00127A99" w:rsidRDefault="00C76FD3" w:rsidP="00127A99">
      <w:pPr>
        <w:overflowPunct/>
        <w:autoSpaceDE/>
        <w:autoSpaceDN/>
        <w:adjustRightInd/>
        <w:spacing w:line="360" w:lineRule="auto"/>
        <w:ind w:firstLine="709"/>
        <w:jc w:val="both"/>
        <w:textAlignment w:val="auto"/>
        <w:rPr>
          <w:rFonts w:ascii="Verdana" w:hAnsi="Verdana" w:cs="Verdana"/>
          <w:lang w:val="bg-BG"/>
        </w:rPr>
      </w:pPr>
      <w:r w:rsidRPr="00127A99">
        <w:rPr>
          <w:rFonts w:ascii="Verdana" w:hAnsi="Verdana" w:cs="Verdana"/>
          <w:lang w:val="bg-BG"/>
        </w:rPr>
        <w:t>На основание</w:t>
      </w:r>
      <w:r w:rsidR="001C537C" w:rsidRPr="00127A99">
        <w:rPr>
          <w:rFonts w:ascii="Verdana" w:hAnsi="Verdana" w:cs="Verdana"/>
          <w:lang w:val="bg-BG"/>
        </w:rPr>
        <w:t xml:space="preserve"> чл. 26, ал. 3 и 4 от Закона за нормативните актове </w:t>
      </w:r>
      <w:r w:rsidR="00E03DAF" w:rsidRPr="00127A99">
        <w:rPr>
          <w:rFonts w:ascii="Verdana" w:hAnsi="Verdana" w:cs="Verdana"/>
          <w:lang w:val="bg-BG"/>
        </w:rPr>
        <w:t xml:space="preserve">проекта на постановление, проекта на наредба, доклада (мотивите), </w:t>
      </w:r>
      <w:r w:rsidR="001C537C" w:rsidRPr="00127A99">
        <w:rPr>
          <w:rFonts w:ascii="Verdana" w:hAnsi="Verdana" w:cs="Verdana"/>
          <w:lang w:val="bg-BG"/>
        </w:rPr>
        <w:t xml:space="preserve">частичната предварителната оценка на въздействието и становището на дирекция „Модернизация на администрацията“ в администрацията на Министерския съвет са публикувани на </w:t>
      </w:r>
      <w:r w:rsidR="001C537C" w:rsidRPr="00127A99">
        <w:rPr>
          <w:rFonts w:ascii="Verdana" w:hAnsi="Verdana" w:cs="Verdana"/>
          <w:lang w:val="bg-BG"/>
        </w:rPr>
        <w:lastRenderedPageBreak/>
        <w:t xml:space="preserve">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14:paraId="611A2CB3" w14:textId="3BEEE89F" w:rsidR="000A35D5" w:rsidRPr="00127A99" w:rsidRDefault="001C537C" w:rsidP="00127A99">
      <w:pPr>
        <w:spacing w:line="360" w:lineRule="auto"/>
        <w:ind w:firstLine="709"/>
        <w:jc w:val="both"/>
        <w:rPr>
          <w:rFonts w:ascii="Verdana" w:hAnsi="Verdana"/>
          <w:lang w:val="bg-BG"/>
        </w:rPr>
      </w:pPr>
      <w:r w:rsidRPr="00127A99">
        <w:rPr>
          <w:rFonts w:ascii="Verdana" w:hAnsi="Verdana"/>
          <w:lang w:val="bg-BG"/>
        </w:rPr>
        <w:t xml:space="preserve">В съответствие с </w:t>
      </w:r>
      <w:r w:rsidR="00C76FD3" w:rsidRPr="00127A99">
        <w:rPr>
          <w:rFonts w:ascii="Verdana" w:hAnsi="Verdana"/>
          <w:lang w:val="bg-BG"/>
        </w:rPr>
        <w:t xml:space="preserve">изискванията на </w:t>
      </w:r>
      <w:r w:rsidRPr="00127A99">
        <w:rPr>
          <w:rFonts w:ascii="Verdana" w:hAnsi="Verdana"/>
          <w:lang w:val="bg-BG"/>
        </w:rPr>
        <w:t xml:space="preserve">чл. 26, ал.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 храните и горите и на Портала за обществени консултации. </w:t>
      </w:r>
    </w:p>
    <w:p w14:paraId="4968BD48" w14:textId="403F6256" w:rsidR="00353F6D" w:rsidRPr="00127A99" w:rsidRDefault="001C537C" w:rsidP="00127A99">
      <w:pPr>
        <w:spacing w:line="360" w:lineRule="auto"/>
        <w:ind w:firstLine="709"/>
        <w:jc w:val="both"/>
        <w:rPr>
          <w:rFonts w:ascii="Verdana" w:hAnsi="Verdana"/>
          <w:lang w:val="bg-BG"/>
        </w:rPr>
      </w:pPr>
      <w:r w:rsidRPr="00127A99">
        <w:rPr>
          <w:rFonts w:ascii="Verdana" w:hAnsi="Verdana"/>
          <w:lang w:val="bg-BG"/>
        </w:rPr>
        <w:t xml:space="preserve">Проектът на Постановление на Министерския съвет за приемане на Наредба за </w:t>
      </w:r>
      <w:r w:rsidR="00D5400F" w:rsidRPr="00127A99">
        <w:rPr>
          <w:rFonts w:ascii="Verdana" w:hAnsi="Verdana"/>
          <w:lang w:val="bg-BG"/>
        </w:rPr>
        <w:t>специфичните изисквания за извършване на хранително банкиране и контрола върху тази дейност</w:t>
      </w:r>
      <w:r w:rsidR="009150D2" w:rsidRPr="00127A99">
        <w:rPr>
          <w:rFonts w:ascii="Verdana" w:hAnsi="Verdana"/>
          <w:lang w:val="bg-BG"/>
        </w:rPr>
        <w:t xml:space="preserve"> </w:t>
      </w:r>
      <w:r w:rsidRPr="00127A99">
        <w:rPr>
          <w:rFonts w:ascii="Verdana" w:hAnsi="Verdana"/>
          <w:lang w:val="bg-BG"/>
        </w:rPr>
        <w:t>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p>
    <w:p w14:paraId="5AAC4552" w14:textId="77777777" w:rsidR="00C76FD3" w:rsidRPr="009679A8" w:rsidRDefault="00C76FD3" w:rsidP="00352B45">
      <w:pPr>
        <w:overflowPunct/>
        <w:autoSpaceDE/>
        <w:autoSpaceDN/>
        <w:adjustRightInd/>
        <w:spacing w:line="360" w:lineRule="auto"/>
        <w:ind w:firstLine="709"/>
        <w:jc w:val="both"/>
        <w:textAlignment w:val="auto"/>
        <w:rPr>
          <w:rFonts w:ascii="Verdana" w:hAnsi="Verdana" w:cs="Verdana"/>
          <w:lang w:val="bg-BG"/>
        </w:rPr>
      </w:pPr>
    </w:p>
    <w:p w14:paraId="70B4CDCE" w14:textId="77777777" w:rsidR="00353F6D" w:rsidRPr="009679A8" w:rsidRDefault="001C537C" w:rsidP="005E58AC">
      <w:pPr>
        <w:spacing w:before="120" w:line="360" w:lineRule="auto"/>
        <w:rPr>
          <w:rFonts w:ascii="Verdana" w:hAnsi="Verdana"/>
          <w:b/>
          <w:lang w:val="bg-BG"/>
        </w:rPr>
      </w:pPr>
      <w:r w:rsidRPr="009679A8">
        <w:rPr>
          <w:rFonts w:ascii="Verdana" w:hAnsi="Verdana"/>
          <w:b/>
          <w:lang w:val="bg-BG"/>
        </w:rPr>
        <w:t>УВАЖАЕМИ ГОСПОДИН МИНИСТЪР-ПРЕДСЕДАТЕЛ,</w:t>
      </w:r>
    </w:p>
    <w:p w14:paraId="63483D10" w14:textId="77777777" w:rsidR="00353F6D" w:rsidRPr="009679A8" w:rsidRDefault="001C537C" w:rsidP="000A35D5">
      <w:pPr>
        <w:spacing w:after="120" w:line="360" w:lineRule="auto"/>
        <w:rPr>
          <w:rFonts w:ascii="Verdana" w:hAnsi="Verdana"/>
          <w:b/>
          <w:lang w:val="bg-BG"/>
        </w:rPr>
      </w:pPr>
      <w:r w:rsidRPr="009679A8">
        <w:rPr>
          <w:rFonts w:ascii="Verdana" w:hAnsi="Verdana"/>
          <w:b/>
          <w:lang w:val="bg-BG"/>
        </w:rPr>
        <w:t>УВАЖАЕМИ ГОСПОЖИ И ГОСПОДА МИНИСТРИ,</w:t>
      </w:r>
    </w:p>
    <w:p w14:paraId="655B77EF" w14:textId="53E1A12E" w:rsidR="00353F6D" w:rsidRPr="009679A8" w:rsidRDefault="001C537C" w:rsidP="00352B45">
      <w:pPr>
        <w:widowControl w:val="0"/>
        <w:overflowPunct/>
        <w:spacing w:line="360" w:lineRule="auto"/>
        <w:ind w:firstLine="720"/>
        <w:jc w:val="both"/>
        <w:textAlignment w:val="auto"/>
        <w:rPr>
          <w:rFonts w:ascii="Verdana" w:hAnsi="Verdana" w:cs="Verdana"/>
          <w:strike/>
          <w:lang w:val="bg-BG" w:eastAsia="zh-CN"/>
        </w:rPr>
      </w:pPr>
      <w:r w:rsidRPr="009679A8">
        <w:rPr>
          <w:rFonts w:ascii="Verdana" w:hAnsi="Verdana" w:cs="Verdana"/>
          <w:lang w:val="bg-BG" w:eastAsia="zh-CN"/>
        </w:rPr>
        <w:t>Във връзка с гореи</w:t>
      </w:r>
      <w:r w:rsidR="009150D2" w:rsidRPr="009679A8">
        <w:rPr>
          <w:rFonts w:ascii="Verdana" w:hAnsi="Verdana" w:cs="Verdana"/>
          <w:lang w:val="bg-BG" w:eastAsia="zh-CN"/>
        </w:rPr>
        <w:t xml:space="preserve">зложеното и на основание чл. 108 </w:t>
      </w:r>
      <w:r w:rsidRPr="009679A8">
        <w:rPr>
          <w:rFonts w:ascii="Verdana" w:hAnsi="Verdana" w:cs="Verdana"/>
          <w:lang w:val="bg-BG" w:eastAsia="zh-CN"/>
        </w:rPr>
        <w:t xml:space="preserve">от Закона за </w:t>
      </w:r>
      <w:r w:rsidR="009150D2" w:rsidRPr="009679A8">
        <w:rPr>
          <w:rFonts w:ascii="Verdana" w:hAnsi="Verdana" w:cs="Verdana"/>
          <w:lang w:val="bg-BG" w:eastAsia="zh-CN"/>
        </w:rPr>
        <w:t xml:space="preserve">храните </w:t>
      </w:r>
      <w:r w:rsidRPr="009679A8">
        <w:rPr>
          <w:rFonts w:ascii="Verdana" w:hAnsi="Verdana" w:cs="Verdana"/>
          <w:lang w:val="bg-BG" w:eastAsia="zh-CN"/>
        </w:rPr>
        <w:t>и чл. 8, ал. 2 от Устройствения правилник на Министерския съвет и на неговата администрация предлагам Министерския</w:t>
      </w:r>
      <w:r w:rsidR="00A91235">
        <w:rPr>
          <w:rFonts w:ascii="Verdana" w:hAnsi="Verdana" w:cs="Verdana"/>
          <w:lang w:val="bg-BG" w:eastAsia="zh-CN"/>
        </w:rPr>
        <w:t>т</w:t>
      </w:r>
      <w:r w:rsidRPr="009679A8">
        <w:rPr>
          <w:rFonts w:ascii="Verdana" w:hAnsi="Verdana" w:cs="Verdana"/>
          <w:lang w:val="bg-BG" w:eastAsia="zh-CN"/>
        </w:rPr>
        <w:t xml:space="preserve"> съвет да приеме приложения проект на Постановление. </w:t>
      </w:r>
    </w:p>
    <w:p w14:paraId="011505F6" w14:textId="77777777" w:rsidR="00353F6D" w:rsidRPr="009679A8" w:rsidRDefault="00353F6D" w:rsidP="00352B45">
      <w:pPr>
        <w:widowControl w:val="0"/>
        <w:spacing w:line="360" w:lineRule="auto"/>
        <w:rPr>
          <w:rFonts w:ascii="Verdana" w:hAnsi="Verdana" w:cs="Verdana"/>
          <w:szCs w:val="24"/>
          <w:lang w:val="bg-BG" w:eastAsia="bg-BG"/>
        </w:rPr>
      </w:pPr>
    </w:p>
    <w:tbl>
      <w:tblPr>
        <w:tblW w:w="8796" w:type="dxa"/>
        <w:tblInd w:w="668" w:type="dxa"/>
        <w:tblLook w:val="01E0" w:firstRow="1" w:lastRow="1" w:firstColumn="1" w:lastColumn="1" w:noHBand="0" w:noVBand="0"/>
      </w:tblPr>
      <w:tblGrid>
        <w:gridCol w:w="1781"/>
        <w:gridCol w:w="7015"/>
      </w:tblGrid>
      <w:tr w:rsidR="00353F6D" w:rsidRPr="00975385" w14:paraId="5C9B3AB0" w14:textId="77777777" w:rsidTr="00806AAF">
        <w:tc>
          <w:tcPr>
            <w:tcW w:w="1781" w:type="dxa"/>
          </w:tcPr>
          <w:p w14:paraId="1E9264B1" w14:textId="77777777" w:rsidR="00353F6D" w:rsidRPr="009679A8" w:rsidRDefault="001C537C" w:rsidP="00352B45">
            <w:pPr>
              <w:spacing w:line="360" w:lineRule="auto"/>
              <w:rPr>
                <w:rFonts w:ascii="Verdana" w:hAnsi="Verdana"/>
                <w:b/>
                <w:bCs/>
                <w:lang w:val="bg-BG"/>
              </w:rPr>
            </w:pPr>
            <w:proofErr w:type="spellStart"/>
            <w:r w:rsidRPr="009679A8">
              <w:rPr>
                <w:rFonts w:ascii="Verdana" w:hAnsi="Verdana"/>
                <w:b/>
                <w:bCs/>
                <w:lang w:val="bg-BG"/>
              </w:rPr>
              <w:t>Приложениe</w:t>
            </w:r>
            <w:proofErr w:type="spellEnd"/>
            <w:r w:rsidRPr="009679A8">
              <w:rPr>
                <w:rFonts w:ascii="Verdana" w:hAnsi="Verdana"/>
                <w:b/>
                <w:bCs/>
                <w:lang w:val="bg-BG"/>
              </w:rPr>
              <w:t xml:space="preserve">: </w:t>
            </w:r>
          </w:p>
        </w:tc>
        <w:tc>
          <w:tcPr>
            <w:tcW w:w="7015" w:type="dxa"/>
          </w:tcPr>
          <w:p w14:paraId="712DA83A" w14:textId="530AA737" w:rsidR="00353F6D" w:rsidRPr="009679A8" w:rsidRDefault="001C537C" w:rsidP="0006181D">
            <w:pPr>
              <w:pStyle w:val="ListParagraph"/>
              <w:numPr>
                <w:ilvl w:val="0"/>
                <w:numId w:val="33"/>
              </w:numPr>
              <w:overflowPunct/>
              <w:autoSpaceDE/>
              <w:autoSpaceDN/>
              <w:adjustRightInd/>
              <w:spacing w:line="360" w:lineRule="auto"/>
              <w:ind w:left="170"/>
              <w:jc w:val="both"/>
              <w:textAlignment w:val="auto"/>
              <w:rPr>
                <w:rFonts w:ascii="Verdana" w:hAnsi="Verdana"/>
                <w:lang w:val="bg-BG"/>
              </w:rPr>
            </w:pPr>
            <w:r w:rsidRPr="009679A8">
              <w:rPr>
                <w:rFonts w:ascii="Verdana" w:hAnsi="Verdana"/>
                <w:lang w:val="bg-BG"/>
              </w:rPr>
              <w:t xml:space="preserve">Проект на </w:t>
            </w:r>
            <w:r w:rsidR="008764AD">
              <w:rPr>
                <w:rFonts w:ascii="Verdana" w:hAnsi="Verdana"/>
                <w:lang w:val="bg-BG"/>
              </w:rPr>
              <w:t>Постановление</w:t>
            </w:r>
            <w:r w:rsidR="008764AD" w:rsidRPr="003E1DC4">
              <w:rPr>
                <w:rFonts w:ascii="Verdana" w:hAnsi="Verdana"/>
                <w:lang w:val="bg-BG"/>
              </w:rPr>
              <w:t xml:space="preserve"> на Министерския съвет</w:t>
            </w:r>
            <w:r w:rsidRPr="009679A8">
              <w:rPr>
                <w:rFonts w:ascii="Verdana" w:hAnsi="Verdana"/>
                <w:lang w:val="bg-BG"/>
              </w:rPr>
              <w:t xml:space="preserve">; </w:t>
            </w:r>
          </w:p>
          <w:p w14:paraId="7F9B9AD0" w14:textId="2A26CBD5" w:rsidR="00353F6D" w:rsidRPr="009679A8" w:rsidRDefault="001C537C" w:rsidP="00806AAF">
            <w:pPr>
              <w:pStyle w:val="ListParagraph"/>
              <w:numPr>
                <w:ilvl w:val="0"/>
                <w:numId w:val="33"/>
              </w:numPr>
              <w:overflowPunct/>
              <w:autoSpaceDE/>
              <w:autoSpaceDN/>
              <w:adjustRightInd/>
              <w:spacing w:line="360" w:lineRule="auto"/>
              <w:ind w:left="170"/>
              <w:textAlignment w:val="auto"/>
              <w:rPr>
                <w:rFonts w:ascii="Verdana" w:hAnsi="Verdana"/>
                <w:lang w:val="bg-BG"/>
              </w:rPr>
            </w:pPr>
            <w:r w:rsidRPr="009679A8">
              <w:rPr>
                <w:rFonts w:ascii="Verdana" w:hAnsi="Verdana"/>
                <w:lang w:val="bg-BG"/>
              </w:rPr>
              <w:t xml:space="preserve">Проект на </w:t>
            </w:r>
            <w:r w:rsidR="008764AD">
              <w:rPr>
                <w:rFonts w:ascii="Verdana" w:hAnsi="Verdana"/>
                <w:lang w:val="bg-BG"/>
              </w:rPr>
              <w:t>Наредба</w:t>
            </w:r>
            <w:r w:rsidR="008764AD" w:rsidRPr="00AB5F70">
              <w:rPr>
                <w:rFonts w:ascii="Verdana" w:hAnsi="Verdana"/>
                <w:bCs/>
                <w:lang w:val="ru-RU"/>
              </w:rPr>
              <w:t xml:space="preserve"> за специфичните изисквания за извършване на хранително банкиране и контрола върху тази дейност</w:t>
            </w:r>
            <w:r w:rsidRPr="009679A8">
              <w:rPr>
                <w:rFonts w:ascii="Verdana" w:hAnsi="Verdana"/>
                <w:lang w:val="bg-BG"/>
              </w:rPr>
              <w:t xml:space="preserve">; </w:t>
            </w:r>
          </w:p>
          <w:p w14:paraId="0F8F08CA" w14:textId="77777777" w:rsidR="00353F6D" w:rsidRPr="009679A8" w:rsidRDefault="001C537C" w:rsidP="0006181D">
            <w:pPr>
              <w:pStyle w:val="ListParagraph"/>
              <w:numPr>
                <w:ilvl w:val="0"/>
                <w:numId w:val="33"/>
              </w:numPr>
              <w:overflowPunct/>
              <w:autoSpaceDE/>
              <w:autoSpaceDN/>
              <w:adjustRightInd/>
              <w:spacing w:line="360" w:lineRule="auto"/>
              <w:ind w:left="170"/>
              <w:jc w:val="both"/>
              <w:textAlignment w:val="auto"/>
              <w:rPr>
                <w:rFonts w:ascii="Verdana" w:hAnsi="Verdana"/>
                <w:lang w:val="bg-BG"/>
              </w:rPr>
            </w:pPr>
            <w:r w:rsidRPr="009679A8">
              <w:rPr>
                <w:rFonts w:ascii="Verdana" w:hAnsi="Verdana"/>
                <w:lang w:val="bg-BG"/>
              </w:rPr>
              <w:t>Финансова обосновка;</w:t>
            </w:r>
          </w:p>
          <w:p w14:paraId="7D50DE28" w14:textId="77777777" w:rsidR="00353F6D" w:rsidRPr="009679A8" w:rsidRDefault="001C537C" w:rsidP="0006181D">
            <w:pPr>
              <w:pStyle w:val="ListParagraph"/>
              <w:numPr>
                <w:ilvl w:val="0"/>
                <w:numId w:val="33"/>
              </w:numPr>
              <w:overflowPunct/>
              <w:autoSpaceDE/>
              <w:autoSpaceDN/>
              <w:adjustRightInd/>
              <w:spacing w:line="360" w:lineRule="auto"/>
              <w:ind w:left="170"/>
              <w:jc w:val="both"/>
              <w:textAlignment w:val="auto"/>
              <w:rPr>
                <w:rFonts w:ascii="Verdana" w:hAnsi="Verdana"/>
                <w:lang w:val="bg-BG"/>
              </w:rPr>
            </w:pPr>
            <w:r w:rsidRPr="009679A8">
              <w:rPr>
                <w:rFonts w:ascii="Verdana" w:hAnsi="Verdana"/>
                <w:lang w:val="bg-BG"/>
              </w:rPr>
              <w:t xml:space="preserve">Частична предварителна оценка на въздействието; </w:t>
            </w:r>
          </w:p>
          <w:p w14:paraId="2267AE40" w14:textId="074E9E1D" w:rsidR="00353F6D" w:rsidRPr="0006181D" w:rsidRDefault="001C537C" w:rsidP="0006181D">
            <w:pPr>
              <w:pStyle w:val="ListParagraph"/>
              <w:numPr>
                <w:ilvl w:val="0"/>
                <w:numId w:val="33"/>
              </w:numPr>
              <w:overflowPunct/>
              <w:autoSpaceDE/>
              <w:autoSpaceDN/>
              <w:adjustRightInd/>
              <w:spacing w:line="360" w:lineRule="auto"/>
              <w:ind w:left="170"/>
              <w:jc w:val="both"/>
              <w:textAlignment w:val="auto"/>
              <w:rPr>
                <w:rFonts w:ascii="Verdana" w:hAnsi="Verdana"/>
                <w:lang w:val="bg-BG"/>
              </w:rPr>
            </w:pPr>
            <w:r w:rsidRPr="0006181D">
              <w:rPr>
                <w:rFonts w:ascii="Verdana" w:hAnsi="Verdana"/>
                <w:lang w:val="bg-BG"/>
              </w:rPr>
              <w:t xml:space="preserve">Становище на </w:t>
            </w:r>
            <w:r w:rsidR="00C83426" w:rsidRPr="0006181D">
              <w:rPr>
                <w:rFonts w:ascii="Verdana" w:hAnsi="Verdana"/>
                <w:lang w:val="bg-BG"/>
              </w:rPr>
              <w:t>дирекция „Модернизация на администрацията“ на Министерския съвет по частичната предварителна оценка на въздействието</w:t>
            </w:r>
            <w:r w:rsidRPr="0006181D">
              <w:rPr>
                <w:rFonts w:ascii="Verdana" w:hAnsi="Verdana"/>
                <w:lang w:val="bg-BG"/>
              </w:rPr>
              <w:t>;</w:t>
            </w:r>
          </w:p>
          <w:p w14:paraId="7E94A1B1" w14:textId="77777777" w:rsidR="00353F6D" w:rsidRPr="009679A8" w:rsidRDefault="001C537C" w:rsidP="0006181D">
            <w:pPr>
              <w:pStyle w:val="ListParagraph"/>
              <w:numPr>
                <w:ilvl w:val="0"/>
                <w:numId w:val="33"/>
              </w:numPr>
              <w:overflowPunct/>
              <w:autoSpaceDE/>
              <w:autoSpaceDN/>
              <w:adjustRightInd/>
              <w:spacing w:line="360" w:lineRule="auto"/>
              <w:ind w:left="170"/>
              <w:jc w:val="both"/>
              <w:textAlignment w:val="auto"/>
              <w:rPr>
                <w:rFonts w:ascii="Verdana" w:hAnsi="Verdana"/>
                <w:lang w:val="bg-BG"/>
              </w:rPr>
            </w:pPr>
            <w:r w:rsidRPr="009679A8">
              <w:rPr>
                <w:rFonts w:ascii="Verdana" w:hAnsi="Verdana"/>
                <w:lang w:val="bg-BG"/>
              </w:rPr>
              <w:t>Справка за отразяване на постъпилите по реда на чл. 32 – 34 от УПМСНА становища;</w:t>
            </w:r>
          </w:p>
          <w:p w14:paraId="270BF857" w14:textId="77777777" w:rsidR="00353F6D" w:rsidRPr="009679A8" w:rsidRDefault="001C537C" w:rsidP="0006181D">
            <w:pPr>
              <w:pStyle w:val="ListParagraph"/>
              <w:numPr>
                <w:ilvl w:val="0"/>
                <w:numId w:val="33"/>
              </w:numPr>
              <w:overflowPunct/>
              <w:autoSpaceDE/>
              <w:autoSpaceDN/>
              <w:adjustRightInd/>
              <w:spacing w:line="360" w:lineRule="auto"/>
              <w:ind w:left="170"/>
              <w:jc w:val="both"/>
              <w:textAlignment w:val="auto"/>
              <w:rPr>
                <w:rFonts w:ascii="Verdana" w:hAnsi="Verdana"/>
                <w:lang w:val="bg-BG"/>
              </w:rPr>
            </w:pPr>
            <w:r w:rsidRPr="009679A8">
              <w:rPr>
                <w:rFonts w:ascii="Verdana" w:hAnsi="Verdana"/>
                <w:lang w:val="bg-BG"/>
              </w:rPr>
              <w:t xml:space="preserve">Справка за отразяване на постъпилите предложения от обществената консултация на проекта; </w:t>
            </w:r>
          </w:p>
          <w:p w14:paraId="1142F0F5" w14:textId="77777777" w:rsidR="00353F6D" w:rsidRPr="009679A8" w:rsidRDefault="001C537C" w:rsidP="0006181D">
            <w:pPr>
              <w:pStyle w:val="ListParagraph"/>
              <w:numPr>
                <w:ilvl w:val="0"/>
                <w:numId w:val="33"/>
              </w:numPr>
              <w:overflowPunct/>
              <w:autoSpaceDE/>
              <w:autoSpaceDN/>
              <w:adjustRightInd/>
              <w:spacing w:line="360" w:lineRule="auto"/>
              <w:ind w:left="170"/>
              <w:jc w:val="both"/>
              <w:textAlignment w:val="auto"/>
              <w:rPr>
                <w:rFonts w:ascii="Verdana" w:hAnsi="Verdana"/>
                <w:lang w:val="bg-BG"/>
              </w:rPr>
            </w:pPr>
            <w:r w:rsidRPr="009679A8">
              <w:rPr>
                <w:rFonts w:ascii="Verdana" w:hAnsi="Verdana"/>
                <w:lang w:val="bg-BG"/>
              </w:rPr>
              <w:t>Постъпилите становища;</w:t>
            </w:r>
          </w:p>
          <w:p w14:paraId="5022A831" w14:textId="77777777" w:rsidR="00353F6D" w:rsidRPr="009679A8" w:rsidRDefault="001C537C" w:rsidP="0006181D">
            <w:pPr>
              <w:pStyle w:val="ListParagraph"/>
              <w:numPr>
                <w:ilvl w:val="0"/>
                <w:numId w:val="33"/>
              </w:numPr>
              <w:overflowPunct/>
              <w:autoSpaceDE/>
              <w:autoSpaceDN/>
              <w:adjustRightInd/>
              <w:spacing w:line="360" w:lineRule="auto"/>
              <w:ind w:left="170"/>
              <w:jc w:val="both"/>
              <w:textAlignment w:val="auto"/>
              <w:rPr>
                <w:rFonts w:ascii="Verdana" w:hAnsi="Verdana"/>
                <w:lang w:val="bg-BG"/>
              </w:rPr>
            </w:pPr>
            <w:r w:rsidRPr="009679A8">
              <w:rPr>
                <w:rFonts w:ascii="Verdana" w:hAnsi="Verdana"/>
                <w:lang w:val="bg-BG"/>
              </w:rPr>
              <w:t>Проект на съобщение за средствата за масово осведомяване.</w:t>
            </w:r>
          </w:p>
        </w:tc>
      </w:tr>
    </w:tbl>
    <w:p w14:paraId="4A275870" w14:textId="77777777" w:rsidR="00353F6D" w:rsidRDefault="00353F6D" w:rsidP="00352B45">
      <w:pPr>
        <w:widowControl w:val="0"/>
        <w:overflowPunct/>
        <w:spacing w:line="360" w:lineRule="auto"/>
        <w:textAlignment w:val="auto"/>
        <w:rPr>
          <w:rFonts w:ascii="Verdana" w:hAnsi="Verdana" w:cs="Verdana"/>
          <w:szCs w:val="24"/>
          <w:lang w:val="bg-BG" w:eastAsia="bg-BG"/>
        </w:rPr>
      </w:pPr>
    </w:p>
    <w:p w14:paraId="26A2560B" w14:textId="77777777" w:rsidR="00513274" w:rsidRPr="009679A8" w:rsidRDefault="00513274" w:rsidP="00352B45">
      <w:pPr>
        <w:widowControl w:val="0"/>
        <w:overflowPunct/>
        <w:spacing w:line="360" w:lineRule="auto"/>
        <w:textAlignment w:val="auto"/>
        <w:rPr>
          <w:rFonts w:ascii="Verdana" w:hAnsi="Verdana" w:cs="Verdana"/>
          <w:szCs w:val="24"/>
          <w:lang w:val="bg-BG" w:eastAsia="bg-BG"/>
        </w:rPr>
      </w:pPr>
    </w:p>
    <w:p w14:paraId="728B20C0" w14:textId="77777777" w:rsidR="00353F6D" w:rsidRPr="009679A8" w:rsidRDefault="001C537C" w:rsidP="00352B45">
      <w:pPr>
        <w:spacing w:line="360" w:lineRule="auto"/>
        <w:jc w:val="both"/>
        <w:rPr>
          <w:rFonts w:ascii="Verdana" w:eastAsia="PMingLiU" w:hAnsi="Verdana" w:cs="Verdana"/>
          <w:b/>
          <w:bCs/>
          <w:lang w:val="bg-BG"/>
        </w:rPr>
      </w:pPr>
      <w:r w:rsidRPr="009679A8">
        <w:rPr>
          <w:rFonts w:ascii="Verdana" w:eastAsia="PMingLiU" w:hAnsi="Verdana" w:cs="Verdana"/>
          <w:b/>
          <w:bCs/>
          <w:lang w:val="bg-BG"/>
        </w:rPr>
        <w:t>ДЕСИСЛАВА ТАНЕВА</w:t>
      </w:r>
    </w:p>
    <w:p w14:paraId="5E746A85" w14:textId="77777777" w:rsidR="00353F6D" w:rsidRPr="009679A8" w:rsidRDefault="001C537C" w:rsidP="00352B45">
      <w:pPr>
        <w:tabs>
          <w:tab w:val="left" w:pos="0"/>
        </w:tabs>
        <w:spacing w:line="360" w:lineRule="auto"/>
        <w:jc w:val="both"/>
        <w:outlineLvl w:val="0"/>
        <w:rPr>
          <w:rFonts w:ascii="Verdana" w:eastAsia="PMingLiU" w:hAnsi="Verdana" w:cs="Verdana"/>
          <w:i/>
          <w:iCs/>
          <w:lang w:val="bg-BG"/>
        </w:rPr>
      </w:pPr>
      <w:r w:rsidRPr="009679A8">
        <w:rPr>
          <w:rFonts w:ascii="Verdana" w:eastAsia="PMingLiU" w:hAnsi="Verdana" w:cs="Verdana"/>
          <w:i/>
          <w:iCs/>
          <w:lang w:val="bg-BG"/>
        </w:rPr>
        <w:t>Министър на земеделието, храните и горите</w:t>
      </w:r>
    </w:p>
    <w:p w14:paraId="33276B6D" w14:textId="77777777" w:rsidR="00353F6D" w:rsidRPr="009679A8" w:rsidRDefault="00353F6D">
      <w:pPr>
        <w:tabs>
          <w:tab w:val="left" w:pos="0"/>
        </w:tabs>
        <w:spacing w:line="360" w:lineRule="auto"/>
        <w:jc w:val="both"/>
        <w:outlineLvl w:val="0"/>
        <w:rPr>
          <w:rFonts w:ascii="Verdana" w:eastAsia="PMingLiU" w:hAnsi="Verdana" w:cs="Verdana"/>
          <w:iCs/>
          <w:sz w:val="18"/>
          <w:szCs w:val="18"/>
          <w:lang w:val="bg-BG"/>
        </w:rPr>
      </w:pPr>
    </w:p>
    <w:sectPr w:rsidR="00353F6D" w:rsidRPr="009679A8" w:rsidSect="00806AAF">
      <w:footerReference w:type="even" r:id="rId8"/>
      <w:footerReference w:type="default" r:id="rId9"/>
      <w:headerReference w:type="first" r:id="rId10"/>
      <w:pgSz w:w="11907" w:h="16840" w:code="9"/>
      <w:pgMar w:top="1134" w:right="1021" w:bottom="340" w:left="1701"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47C9" w16cex:dateUtc="2020-07-30T10:21:00Z"/>
  <w16cex:commentExtensible w16cex:durableId="22CD483B" w16cex:dateUtc="2020-07-30T10:23:00Z"/>
  <w16cex:commentExtensible w16cex:durableId="22CD4897" w16cex:dateUtc="2020-07-30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39D565" w16cid:durableId="22CD47C9"/>
  <w16cid:commentId w16cid:paraId="48BC7A14" w16cid:durableId="22CD483B"/>
  <w16cid:commentId w16cid:paraId="01A42ACF" w16cid:durableId="22CD48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103F5" w14:textId="77777777" w:rsidR="007F6328" w:rsidRDefault="007F6328">
      <w:r>
        <w:separator/>
      </w:r>
    </w:p>
  </w:endnote>
  <w:endnote w:type="continuationSeparator" w:id="0">
    <w:p w14:paraId="44B76821" w14:textId="77777777" w:rsidR="007F6328" w:rsidRDefault="007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0582" w14:textId="77777777" w:rsidR="00353F6D" w:rsidRDefault="001C5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20D7E" w14:textId="77777777" w:rsidR="00353F6D" w:rsidRDefault="00353F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65115" w14:textId="47DE0662" w:rsidR="00353F6D" w:rsidRDefault="001C537C">
    <w:pPr>
      <w:pStyle w:val="Footer"/>
      <w:jc w:val="right"/>
      <w:rPr>
        <w:rFonts w:ascii="Verdana" w:hAnsi="Verdana"/>
        <w:sz w:val="16"/>
        <w:szCs w:val="16"/>
        <w:lang w:val="bg-BG"/>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E214D4">
      <w:rPr>
        <w:rFonts w:ascii="Verdana" w:hAnsi="Verdana"/>
        <w:noProof/>
        <w:sz w:val="16"/>
        <w:szCs w:val="16"/>
      </w:rPr>
      <w:t>4</w:t>
    </w:r>
    <w:r>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729E4" w14:textId="77777777" w:rsidR="007F6328" w:rsidRDefault="007F6328">
      <w:r>
        <w:separator/>
      </w:r>
    </w:p>
  </w:footnote>
  <w:footnote w:type="continuationSeparator" w:id="0">
    <w:p w14:paraId="7568A6E2" w14:textId="77777777" w:rsidR="007F6328" w:rsidRDefault="007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488B" w14:textId="77777777" w:rsidR="00353F6D" w:rsidRDefault="001C537C">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9264" behindDoc="1" locked="0" layoutInCell="1" allowOverlap="1" wp14:anchorId="5F0D32F6" wp14:editId="21D532C3">
          <wp:simplePos x="0" y="0"/>
          <wp:positionH relativeFrom="column">
            <wp:posOffset>2205355</wp:posOffset>
          </wp:positionH>
          <wp:positionV relativeFrom="paragraph">
            <wp:posOffset>-159385</wp:posOffset>
          </wp:positionV>
          <wp:extent cx="1223645" cy="1214755"/>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14:paraId="7B45F56D" w14:textId="77777777" w:rsidR="00353F6D" w:rsidRDefault="00353F6D">
    <w:pPr>
      <w:pStyle w:val="Heading1"/>
      <w:framePr w:w="0" w:hRule="auto" w:wrap="auto" w:vAnchor="margin" w:hAnchor="text" w:xAlign="left" w:yAlign="inline"/>
      <w:rPr>
        <w:rFonts w:ascii="Platinum Bg" w:hAnsi="Platinum Bg"/>
        <w:spacing w:val="40"/>
        <w:sz w:val="40"/>
        <w:szCs w:val="40"/>
      </w:rPr>
    </w:pPr>
  </w:p>
  <w:p w14:paraId="45E55D3E" w14:textId="77777777" w:rsidR="00353F6D" w:rsidRDefault="00353F6D">
    <w:pPr>
      <w:pStyle w:val="Heading1"/>
      <w:framePr w:w="0" w:hRule="auto" w:wrap="auto" w:vAnchor="margin" w:hAnchor="text" w:xAlign="left" w:yAlign="inline"/>
      <w:rPr>
        <w:rFonts w:ascii="Platinum Bg" w:hAnsi="Platinum Bg"/>
        <w:spacing w:val="40"/>
        <w:sz w:val="40"/>
        <w:szCs w:val="40"/>
      </w:rPr>
    </w:pPr>
  </w:p>
  <w:p w14:paraId="0B36FD1A" w14:textId="77777777" w:rsidR="00353F6D" w:rsidRDefault="00353F6D">
    <w:pPr>
      <w:pStyle w:val="Heading1"/>
      <w:framePr w:w="0" w:hRule="auto" w:wrap="auto" w:vAnchor="margin" w:hAnchor="text" w:xAlign="left" w:yAlign="inline"/>
      <w:rPr>
        <w:rFonts w:ascii="Platinum Bg" w:hAnsi="Platinum Bg"/>
        <w:spacing w:val="40"/>
        <w:sz w:val="40"/>
        <w:szCs w:val="40"/>
      </w:rPr>
    </w:pPr>
  </w:p>
  <w:p w14:paraId="57987F4C" w14:textId="77777777" w:rsidR="00353F6D" w:rsidRDefault="00353F6D">
    <w:pPr>
      <w:pStyle w:val="Heading1"/>
      <w:framePr w:w="0" w:hRule="auto" w:wrap="auto" w:vAnchor="margin" w:hAnchor="text" w:xAlign="left" w:yAlign="inline"/>
      <w:rPr>
        <w:rFonts w:ascii="Platinum Bg" w:hAnsi="Platinum Bg"/>
        <w:b w:val="0"/>
        <w:spacing w:val="40"/>
        <w:sz w:val="36"/>
        <w:szCs w:val="36"/>
      </w:rPr>
    </w:pPr>
  </w:p>
  <w:p w14:paraId="2BF15100" w14:textId="77777777" w:rsidR="000541C7" w:rsidRPr="00721F12" w:rsidRDefault="000541C7" w:rsidP="000541C7">
    <w:pPr>
      <w:keepNext/>
      <w:overflowPunct/>
      <w:autoSpaceDE/>
      <w:autoSpaceDN/>
      <w:adjustRightInd/>
      <w:jc w:val="center"/>
      <w:textAlignment w:val="auto"/>
      <w:outlineLvl w:val="0"/>
      <w:rPr>
        <w:rFonts w:ascii="Verdana" w:hAnsi="Verdana" w:cs="Verdana"/>
        <w:color w:val="000000" w:themeColor="text1"/>
        <w:spacing w:val="40"/>
        <w:kern w:val="32"/>
        <w:sz w:val="36"/>
        <w:szCs w:val="36"/>
        <w:lang w:val="bg-BG" w:eastAsia="bg-BG"/>
      </w:rPr>
    </w:pPr>
    <w:r w:rsidRPr="00721F12">
      <w:rPr>
        <w:rFonts w:ascii="Verdana" w:hAnsi="Verdana" w:cs="Verdana"/>
        <w:color w:val="000000" w:themeColor="text1"/>
        <w:spacing w:val="40"/>
        <w:kern w:val="32"/>
        <w:sz w:val="36"/>
        <w:szCs w:val="36"/>
        <w:lang w:val="bg-BG" w:eastAsia="bg-BG"/>
      </w:rPr>
      <w:t>РЕПУБЛИКА БЪЛГАРИЯ</w:t>
    </w:r>
  </w:p>
  <w:p w14:paraId="63BD2E1C" w14:textId="77777777" w:rsidR="00353F6D" w:rsidRPr="00721F12" w:rsidRDefault="000541C7" w:rsidP="000541C7">
    <w:pPr>
      <w:pStyle w:val="Heading1"/>
      <w:framePr w:w="0" w:hRule="auto" w:wrap="auto" w:vAnchor="margin" w:hAnchor="text" w:xAlign="left" w:yAlign="inline"/>
      <w:pBdr>
        <w:bottom w:val="single" w:sz="4" w:space="1" w:color="auto"/>
      </w:pBdr>
      <w:rPr>
        <w:color w:val="000000" w:themeColor="text1"/>
        <w:lang w:val="ru-RU"/>
      </w:rPr>
    </w:pPr>
    <w:r w:rsidRPr="00721F12">
      <w:rPr>
        <w:rFonts w:ascii="Verdana" w:hAnsi="Verdana" w:cs="Verdana"/>
        <w:b w:val="0"/>
        <w:color w:val="000000" w:themeColor="text1"/>
        <w:spacing w:val="40"/>
        <w:kern w:val="0"/>
        <w:sz w:val="30"/>
        <w:szCs w:val="30"/>
        <w:lang w:val="bg-BG" w:eastAsia="bg-BG"/>
      </w:rPr>
      <w:t>Министър на земеделието, храните и горите</w:t>
    </w:r>
    <w:r w:rsidRPr="00721F12">
      <w:rPr>
        <w:noProof/>
        <w:color w:val="000000" w:themeColor="text1"/>
        <w:lang w:val="ru-RU"/>
      </w:rPr>
      <w:t xml:space="preserve"> </w:t>
    </w:r>
    <w:r w:rsidR="001C537C" w:rsidRPr="00721F12">
      <w:rPr>
        <w:noProof/>
        <w:color w:val="000000" w:themeColor="text1"/>
      </w:rPr>
      <mc:AlternateContent>
        <mc:Choice Requires="wps">
          <w:drawing>
            <wp:anchor distT="4294967295" distB="4294967295" distL="114300" distR="114300" simplePos="0" relativeHeight="251656192" behindDoc="0" locked="0" layoutInCell="0" allowOverlap="1" wp14:anchorId="0B3298D1" wp14:editId="2F1D407A">
              <wp:simplePos x="0" y="0"/>
              <wp:positionH relativeFrom="column">
                <wp:posOffset>-226695</wp:posOffset>
              </wp:positionH>
              <wp:positionV relativeFrom="paragraph">
                <wp:posOffset>9744074</wp:posOffset>
              </wp:positionV>
              <wp:extent cx="758952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1285"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6"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0"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1" w15:restartNumberingAfterBreak="0">
    <w:nsid w:val="5C980A77"/>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2"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BB9D8A3"/>
    <w:multiLevelType w:val="hybridMultilevel"/>
    <w:tmpl w:val="5C215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8"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1"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1"/>
  </w:num>
  <w:num w:numId="4">
    <w:abstractNumId w:val="22"/>
  </w:num>
  <w:num w:numId="5">
    <w:abstractNumId w:val="23"/>
  </w:num>
  <w:num w:numId="6">
    <w:abstractNumId w:val="12"/>
  </w:num>
  <w:num w:numId="7">
    <w:abstractNumId w:val="27"/>
  </w:num>
  <w:num w:numId="8">
    <w:abstractNumId w:val="33"/>
  </w:num>
  <w:num w:numId="9">
    <w:abstractNumId w:val="29"/>
  </w:num>
  <w:num w:numId="10">
    <w:abstractNumId w:val="28"/>
  </w:num>
  <w:num w:numId="11">
    <w:abstractNumId w:val="17"/>
  </w:num>
  <w:num w:numId="12">
    <w:abstractNumId w:val="2"/>
  </w:num>
  <w:num w:numId="13">
    <w:abstractNumId w:val="8"/>
  </w:num>
  <w:num w:numId="14">
    <w:abstractNumId w:val="30"/>
  </w:num>
  <w:num w:numId="15">
    <w:abstractNumId w:val="15"/>
  </w:num>
  <w:num w:numId="16">
    <w:abstractNumId w:val="10"/>
  </w:num>
  <w:num w:numId="17">
    <w:abstractNumId w:val="18"/>
  </w:num>
  <w:num w:numId="18">
    <w:abstractNumId w:val="3"/>
  </w:num>
  <w:num w:numId="19">
    <w:abstractNumId w:val="25"/>
  </w:num>
  <w:num w:numId="20">
    <w:abstractNumId w:val="0"/>
  </w:num>
  <w:num w:numId="21">
    <w:abstractNumId w:val="20"/>
  </w:num>
  <w:num w:numId="22">
    <w:abstractNumId w:val="7"/>
  </w:num>
  <w:num w:numId="23">
    <w:abstractNumId w:val="5"/>
  </w:num>
  <w:num w:numId="24">
    <w:abstractNumId w:val="32"/>
  </w:num>
  <w:num w:numId="25">
    <w:abstractNumId w:val="6"/>
  </w:num>
  <w:num w:numId="26">
    <w:abstractNumId w:val="9"/>
  </w:num>
  <w:num w:numId="27">
    <w:abstractNumId w:val="16"/>
  </w:num>
  <w:num w:numId="28">
    <w:abstractNumId w:val="1"/>
  </w:num>
  <w:num w:numId="29">
    <w:abstractNumId w:val="11"/>
  </w:num>
  <w:num w:numId="30">
    <w:abstractNumId w:val="4"/>
  </w:num>
  <w:num w:numId="31">
    <w:abstractNumId w:val="13"/>
  </w:num>
  <w:num w:numId="32">
    <w:abstractNumId w:val="24"/>
  </w:num>
  <w:num w:numId="33">
    <w:abstractNumId w:val="2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6D"/>
    <w:rsid w:val="0002056F"/>
    <w:rsid w:val="000541C7"/>
    <w:rsid w:val="0006181D"/>
    <w:rsid w:val="000A35D5"/>
    <w:rsid w:val="000C006D"/>
    <w:rsid w:val="000C2D45"/>
    <w:rsid w:val="000E517E"/>
    <w:rsid w:val="000E6AC6"/>
    <w:rsid w:val="00101B5F"/>
    <w:rsid w:val="00107DB1"/>
    <w:rsid w:val="00127A99"/>
    <w:rsid w:val="001633C7"/>
    <w:rsid w:val="00182B5C"/>
    <w:rsid w:val="001A4BBB"/>
    <w:rsid w:val="001C537C"/>
    <w:rsid w:val="00200CED"/>
    <w:rsid w:val="00240384"/>
    <w:rsid w:val="002774E4"/>
    <w:rsid w:val="002E2900"/>
    <w:rsid w:val="002E7D08"/>
    <w:rsid w:val="00323C0B"/>
    <w:rsid w:val="00352B45"/>
    <w:rsid w:val="00353F6D"/>
    <w:rsid w:val="00387394"/>
    <w:rsid w:val="003A6657"/>
    <w:rsid w:val="003B52D6"/>
    <w:rsid w:val="00401520"/>
    <w:rsid w:val="00422AB9"/>
    <w:rsid w:val="00441418"/>
    <w:rsid w:val="00441B1D"/>
    <w:rsid w:val="00460D3D"/>
    <w:rsid w:val="004821ED"/>
    <w:rsid w:val="004B35C8"/>
    <w:rsid w:val="004B620D"/>
    <w:rsid w:val="00506C35"/>
    <w:rsid w:val="00513274"/>
    <w:rsid w:val="005179D4"/>
    <w:rsid w:val="0057095D"/>
    <w:rsid w:val="005715AE"/>
    <w:rsid w:val="005963F7"/>
    <w:rsid w:val="005D5CD4"/>
    <w:rsid w:val="005E03E6"/>
    <w:rsid w:val="005E58AC"/>
    <w:rsid w:val="005F7019"/>
    <w:rsid w:val="00603F2D"/>
    <w:rsid w:val="0061202E"/>
    <w:rsid w:val="00623967"/>
    <w:rsid w:val="00624E52"/>
    <w:rsid w:val="0063034D"/>
    <w:rsid w:val="00646FEE"/>
    <w:rsid w:val="00690A39"/>
    <w:rsid w:val="0069705A"/>
    <w:rsid w:val="006A0FA2"/>
    <w:rsid w:val="006B10D0"/>
    <w:rsid w:val="007031B5"/>
    <w:rsid w:val="007138F5"/>
    <w:rsid w:val="00721F12"/>
    <w:rsid w:val="00737688"/>
    <w:rsid w:val="00743EEE"/>
    <w:rsid w:val="00746F54"/>
    <w:rsid w:val="0076152B"/>
    <w:rsid w:val="00763508"/>
    <w:rsid w:val="007A1F90"/>
    <w:rsid w:val="007A650F"/>
    <w:rsid w:val="007B37C5"/>
    <w:rsid w:val="007B6FCD"/>
    <w:rsid w:val="007C4C8F"/>
    <w:rsid w:val="007E1B7C"/>
    <w:rsid w:val="007F04F3"/>
    <w:rsid w:val="007F6328"/>
    <w:rsid w:val="00806AAF"/>
    <w:rsid w:val="00825162"/>
    <w:rsid w:val="008519C6"/>
    <w:rsid w:val="008560EE"/>
    <w:rsid w:val="008764AD"/>
    <w:rsid w:val="008836E6"/>
    <w:rsid w:val="00895F0D"/>
    <w:rsid w:val="008A0E95"/>
    <w:rsid w:val="008D5D84"/>
    <w:rsid w:val="008F6D68"/>
    <w:rsid w:val="00902A7B"/>
    <w:rsid w:val="009150D2"/>
    <w:rsid w:val="009333F4"/>
    <w:rsid w:val="009432BB"/>
    <w:rsid w:val="009437DE"/>
    <w:rsid w:val="00952480"/>
    <w:rsid w:val="00963461"/>
    <w:rsid w:val="009679A8"/>
    <w:rsid w:val="0097109A"/>
    <w:rsid w:val="00975385"/>
    <w:rsid w:val="009B7962"/>
    <w:rsid w:val="009C0900"/>
    <w:rsid w:val="009D17FB"/>
    <w:rsid w:val="009D33CC"/>
    <w:rsid w:val="00A27639"/>
    <w:rsid w:val="00A8290B"/>
    <w:rsid w:val="00A91235"/>
    <w:rsid w:val="00A94335"/>
    <w:rsid w:val="00AD0C4C"/>
    <w:rsid w:val="00B0395D"/>
    <w:rsid w:val="00B10F18"/>
    <w:rsid w:val="00B55173"/>
    <w:rsid w:val="00B75982"/>
    <w:rsid w:val="00BA785F"/>
    <w:rsid w:val="00BB5445"/>
    <w:rsid w:val="00BE7987"/>
    <w:rsid w:val="00BF2EA1"/>
    <w:rsid w:val="00BF3C90"/>
    <w:rsid w:val="00C647ED"/>
    <w:rsid w:val="00C73C03"/>
    <w:rsid w:val="00C76FD3"/>
    <w:rsid w:val="00C83426"/>
    <w:rsid w:val="00C90ABA"/>
    <w:rsid w:val="00C9548C"/>
    <w:rsid w:val="00D20DF3"/>
    <w:rsid w:val="00D317B8"/>
    <w:rsid w:val="00D5400F"/>
    <w:rsid w:val="00D71C06"/>
    <w:rsid w:val="00D82197"/>
    <w:rsid w:val="00D94D2D"/>
    <w:rsid w:val="00DA24CA"/>
    <w:rsid w:val="00DC4D5D"/>
    <w:rsid w:val="00DF7258"/>
    <w:rsid w:val="00E03DAF"/>
    <w:rsid w:val="00E07CA9"/>
    <w:rsid w:val="00E12F73"/>
    <w:rsid w:val="00E214D4"/>
    <w:rsid w:val="00E5778F"/>
    <w:rsid w:val="00E62A2E"/>
    <w:rsid w:val="00EA374D"/>
    <w:rsid w:val="00ED3550"/>
    <w:rsid w:val="00EF5CF9"/>
    <w:rsid w:val="00F36DDD"/>
    <w:rsid w:val="00F52522"/>
    <w:rsid w:val="00F7387B"/>
    <w:rsid w:val="00FA16CF"/>
    <w:rsid w:val="00FA3BB0"/>
    <w:rsid w:val="00FB7D93"/>
    <w:rsid w:val="00FE23E2"/>
    <w:rsid w:val="00FF7271"/>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4B5E6"/>
  <w15:docId w15:val="{D07C6AA6-A705-4054-A2AD-E5A8B024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99"/>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NormalWeb">
    <w:name w:val="Normal (Web)"/>
    <w:basedOn w:val="Normal"/>
    <w:uiPriority w:val="99"/>
    <w:rsid w:val="00D5400F"/>
    <w:pPr>
      <w:overflowPunct/>
      <w:autoSpaceDE/>
      <w:autoSpaceDN/>
      <w:adjustRightInd/>
      <w:ind w:firstLine="990"/>
      <w:jc w:val="both"/>
      <w:textAlignment w:val="auto"/>
    </w:pPr>
    <w:rPr>
      <w:rFonts w:ascii="Times New Roman" w:hAnsi="Times New Roman"/>
      <w:color w:val="000000"/>
      <w:sz w:val="24"/>
      <w:szCs w:val="24"/>
      <w:lang w:val="bg-BG" w:eastAsia="bg-BG"/>
    </w:rPr>
  </w:style>
  <w:style w:type="character" w:styleId="CommentReference">
    <w:name w:val="annotation reference"/>
    <w:basedOn w:val="DefaultParagraphFont"/>
    <w:uiPriority w:val="99"/>
    <w:semiHidden/>
    <w:unhideWhenUsed/>
    <w:rsid w:val="00A27639"/>
    <w:rPr>
      <w:sz w:val="16"/>
      <w:szCs w:val="16"/>
    </w:rPr>
  </w:style>
  <w:style w:type="paragraph" w:styleId="CommentText">
    <w:name w:val="annotation text"/>
    <w:basedOn w:val="Normal"/>
    <w:link w:val="CommentTextChar"/>
    <w:uiPriority w:val="99"/>
    <w:semiHidden/>
    <w:unhideWhenUsed/>
    <w:rsid w:val="00A27639"/>
  </w:style>
  <w:style w:type="character" w:customStyle="1" w:styleId="CommentTextChar">
    <w:name w:val="Comment Text Char"/>
    <w:basedOn w:val="DefaultParagraphFont"/>
    <w:link w:val="CommentText"/>
    <w:uiPriority w:val="99"/>
    <w:semiHidden/>
    <w:rsid w:val="00A2763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A27639"/>
    <w:rPr>
      <w:b/>
      <w:bCs/>
    </w:rPr>
  </w:style>
  <w:style w:type="character" w:customStyle="1" w:styleId="CommentSubjectChar">
    <w:name w:val="Comment Subject Char"/>
    <w:basedOn w:val="CommentTextChar"/>
    <w:link w:val="CommentSubject"/>
    <w:uiPriority w:val="99"/>
    <w:semiHidden/>
    <w:rsid w:val="00A27639"/>
    <w:rPr>
      <w:rFonts w:ascii="Arial" w:hAnsi="Arial"/>
      <w:b/>
      <w:bCs/>
      <w:lang w:val="en-US" w:eastAsia="en-US"/>
    </w:rPr>
  </w:style>
  <w:style w:type="paragraph" w:styleId="Revision">
    <w:name w:val="Revision"/>
    <w:hidden/>
    <w:uiPriority w:val="99"/>
    <w:semiHidden/>
    <w:rsid w:val="00A27639"/>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191526833">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DD82E-B8F7-4622-90BE-78FE3E1D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7320</Characters>
  <Application>Microsoft Office Word</Application>
  <DocSecurity>0</DocSecurity>
  <Lines>61</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Cvetelina Stamboliyska </cp:lastModifiedBy>
  <cp:revision>2</cp:revision>
  <cp:lastPrinted>2020-01-22T15:56:00Z</cp:lastPrinted>
  <dcterms:created xsi:type="dcterms:W3CDTF">2020-10-29T14:43:00Z</dcterms:created>
  <dcterms:modified xsi:type="dcterms:W3CDTF">2020-10-29T14:43:00Z</dcterms:modified>
</cp:coreProperties>
</file>