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5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786"/>
        <w:gridCol w:w="5471"/>
      </w:tblGrid>
      <w:tr w:rsidR="006222FE" w:rsidRPr="00A925A9" w:rsidTr="00D96F7C">
        <w:trPr>
          <w:trHeight w:val="142"/>
        </w:trPr>
        <w:tc>
          <w:tcPr>
            <w:tcW w:w="10257" w:type="dxa"/>
            <w:gridSpan w:val="2"/>
            <w:shd w:val="clear" w:color="auto" w:fill="D9D9D9"/>
          </w:tcPr>
          <w:p w:rsidR="006222FE" w:rsidRPr="00A925A9" w:rsidRDefault="006222FE" w:rsidP="00AA0CFB">
            <w:pPr>
              <w:spacing w:before="0" w:beforeAutospacing="0" w:line="360" w:lineRule="auto"/>
              <w:ind w:left="142" w:right="475"/>
              <w:jc w:val="both"/>
              <w:rPr>
                <w:rFonts w:ascii="Verdana" w:hAnsi="Verdana"/>
                <w:b/>
                <w:sz w:val="20"/>
                <w:szCs w:val="20"/>
              </w:rPr>
            </w:pPr>
            <w:bookmarkStart w:id="0" w:name="_GoBack"/>
            <w:bookmarkEnd w:id="0"/>
            <w:r w:rsidRPr="00A925A9">
              <w:rPr>
                <w:rFonts w:ascii="Verdana" w:hAnsi="Verdana"/>
                <w:b/>
                <w:sz w:val="20"/>
                <w:szCs w:val="20"/>
              </w:rPr>
              <w:t>Формуляр за частична предварителна оценка на въздействието*</w:t>
            </w:r>
          </w:p>
          <w:p w:rsidR="006222FE" w:rsidRPr="00A925A9" w:rsidRDefault="006222FE" w:rsidP="00CC3C6C">
            <w:pPr>
              <w:spacing w:before="0" w:beforeAutospacing="0" w:after="0" w:line="360" w:lineRule="auto"/>
              <w:ind w:left="142" w:right="475"/>
              <w:jc w:val="both"/>
              <w:rPr>
                <w:rFonts w:ascii="Verdana" w:hAnsi="Verdana"/>
                <w:sz w:val="20"/>
                <w:szCs w:val="20"/>
              </w:rPr>
            </w:pPr>
            <w:r w:rsidRPr="00A925A9">
              <w:rPr>
                <w:rFonts w:ascii="Verdana" w:hAnsi="Verdana"/>
                <w:b/>
                <w:sz w:val="20"/>
                <w:szCs w:val="20"/>
              </w:rPr>
              <w:t>(Приложете към формуляра допълнителна информация/документи)</w:t>
            </w:r>
          </w:p>
        </w:tc>
      </w:tr>
      <w:tr w:rsidR="006222FE" w:rsidRPr="00A925A9" w:rsidTr="002B23BF">
        <w:trPr>
          <w:trHeight w:val="142"/>
        </w:trPr>
        <w:tc>
          <w:tcPr>
            <w:tcW w:w="4786" w:type="dxa"/>
            <w:shd w:val="clear" w:color="auto" w:fill="auto"/>
          </w:tcPr>
          <w:p w:rsidR="006222FE" w:rsidRPr="00A925A9" w:rsidRDefault="006222FE" w:rsidP="002B23BF">
            <w:pPr>
              <w:spacing w:before="0" w:beforeAutospacing="0" w:after="0" w:line="360" w:lineRule="auto"/>
              <w:ind w:left="142" w:right="475"/>
              <w:rPr>
                <w:rFonts w:ascii="Verdana" w:hAnsi="Verdana"/>
                <w:b/>
                <w:sz w:val="20"/>
                <w:szCs w:val="20"/>
              </w:rPr>
            </w:pPr>
            <w:r w:rsidRPr="00A925A9">
              <w:rPr>
                <w:rFonts w:ascii="Verdana" w:hAnsi="Verdana"/>
                <w:b/>
                <w:sz w:val="20"/>
                <w:szCs w:val="20"/>
              </w:rPr>
              <w:t>Институция:</w:t>
            </w:r>
            <w:r w:rsidR="004B7FBF" w:rsidRPr="00A925A9">
              <w:rPr>
                <w:rFonts w:ascii="Verdana" w:hAnsi="Verdana"/>
                <w:b/>
                <w:sz w:val="20"/>
                <w:szCs w:val="20"/>
                <w:lang w:val="ru-RU"/>
              </w:rPr>
              <w:t xml:space="preserve"> </w:t>
            </w:r>
            <w:r w:rsidRPr="00A925A9">
              <w:rPr>
                <w:rFonts w:ascii="Verdana" w:hAnsi="Verdana"/>
                <w:sz w:val="20"/>
                <w:szCs w:val="20"/>
              </w:rPr>
              <w:t>Министерство на земеделието</w:t>
            </w:r>
            <w:r w:rsidR="004B7FBF" w:rsidRPr="00A925A9">
              <w:rPr>
                <w:rFonts w:ascii="Verdana" w:hAnsi="Verdana"/>
                <w:sz w:val="20"/>
                <w:szCs w:val="20"/>
                <w:lang w:val="ru-RU"/>
              </w:rPr>
              <w:t>,</w:t>
            </w:r>
            <w:r w:rsidRPr="00A925A9">
              <w:rPr>
                <w:rFonts w:ascii="Verdana" w:hAnsi="Verdana"/>
                <w:sz w:val="20"/>
                <w:szCs w:val="20"/>
              </w:rPr>
              <w:t xml:space="preserve"> храни</w:t>
            </w:r>
            <w:r w:rsidRPr="00A925A9">
              <w:rPr>
                <w:rFonts w:ascii="Verdana" w:hAnsi="Verdana"/>
                <w:sz w:val="20"/>
                <w:szCs w:val="20"/>
                <w:lang w:val="ru-RU"/>
              </w:rPr>
              <w:t>те</w:t>
            </w:r>
            <w:r w:rsidR="004B7FBF" w:rsidRPr="00A925A9">
              <w:rPr>
                <w:rFonts w:ascii="Verdana" w:hAnsi="Verdana"/>
                <w:sz w:val="20"/>
                <w:szCs w:val="20"/>
                <w:lang w:val="ru-RU"/>
              </w:rPr>
              <w:t xml:space="preserve"> </w:t>
            </w:r>
            <w:r w:rsidR="004B7FBF" w:rsidRPr="00A925A9">
              <w:rPr>
                <w:rFonts w:ascii="Verdana" w:hAnsi="Verdana"/>
                <w:sz w:val="20"/>
                <w:szCs w:val="20"/>
              </w:rPr>
              <w:t>и горите</w:t>
            </w:r>
          </w:p>
        </w:tc>
        <w:tc>
          <w:tcPr>
            <w:tcW w:w="5471" w:type="dxa"/>
            <w:shd w:val="clear" w:color="auto" w:fill="auto"/>
          </w:tcPr>
          <w:p w:rsidR="006222FE" w:rsidRPr="00A925A9" w:rsidRDefault="006222FE" w:rsidP="0011385D">
            <w:pPr>
              <w:spacing w:before="0" w:beforeAutospacing="0" w:after="0" w:line="360" w:lineRule="auto"/>
              <w:ind w:left="142" w:right="-24"/>
              <w:jc w:val="both"/>
              <w:rPr>
                <w:rFonts w:ascii="Verdana" w:hAnsi="Verdana"/>
                <w:sz w:val="20"/>
                <w:szCs w:val="20"/>
                <w:highlight w:val="white"/>
                <w:shd w:val="clear" w:color="auto" w:fill="FEFEFE"/>
              </w:rPr>
            </w:pPr>
            <w:r w:rsidRPr="00A925A9">
              <w:rPr>
                <w:rFonts w:ascii="Verdana" w:hAnsi="Verdana"/>
                <w:b/>
                <w:sz w:val="20"/>
                <w:szCs w:val="20"/>
              </w:rPr>
              <w:t xml:space="preserve">Нормативен акт: </w:t>
            </w:r>
            <w:r w:rsidRPr="00A925A9">
              <w:rPr>
                <w:rFonts w:ascii="Verdana" w:hAnsi="Verdana"/>
                <w:sz w:val="20"/>
                <w:szCs w:val="20"/>
              </w:rPr>
              <w:t xml:space="preserve">Проект на </w:t>
            </w:r>
            <w:r w:rsidR="00AA0CFB">
              <w:rPr>
                <w:rFonts w:ascii="Verdana" w:hAnsi="Verdana"/>
                <w:sz w:val="20"/>
                <w:szCs w:val="20"/>
              </w:rPr>
              <w:t>Постановление на Министерския съвет</w:t>
            </w:r>
            <w:r w:rsidR="00E13A8B" w:rsidRPr="00A925A9">
              <w:rPr>
                <w:rFonts w:ascii="Verdana" w:hAnsi="Verdana"/>
                <w:sz w:val="20"/>
                <w:szCs w:val="20"/>
              </w:rPr>
              <w:t xml:space="preserve"> за </w:t>
            </w:r>
            <w:r w:rsidR="00FD728D">
              <w:rPr>
                <w:rFonts w:ascii="Verdana" w:hAnsi="Verdana"/>
                <w:sz w:val="20"/>
                <w:szCs w:val="20"/>
              </w:rPr>
              <w:t xml:space="preserve">приемане </w:t>
            </w:r>
            <w:r w:rsidR="00E13A8B" w:rsidRPr="00A925A9">
              <w:rPr>
                <w:rFonts w:ascii="Verdana" w:hAnsi="Verdana"/>
                <w:sz w:val="20"/>
                <w:szCs w:val="20"/>
              </w:rPr>
              <w:t xml:space="preserve">на </w:t>
            </w:r>
            <w:r w:rsidR="00E5009F" w:rsidRPr="00A925A9">
              <w:rPr>
                <w:rFonts w:ascii="Verdana" w:hAnsi="Verdana"/>
                <w:sz w:val="20"/>
                <w:szCs w:val="20"/>
              </w:rPr>
              <w:t>Наредба</w:t>
            </w:r>
            <w:r w:rsidR="00AA0CFB">
              <w:rPr>
                <w:rFonts w:ascii="Verdana" w:hAnsi="Verdana"/>
                <w:sz w:val="20"/>
                <w:szCs w:val="20"/>
              </w:rPr>
              <w:t>та</w:t>
            </w:r>
            <w:r w:rsidR="00E5009F" w:rsidRPr="00A925A9">
              <w:rPr>
                <w:rFonts w:ascii="Verdana" w:hAnsi="Verdana"/>
                <w:sz w:val="20"/>
                <w:szCs w:val="20"/>
              </w:rPr>
              <w:t xml:space="preserve"> за </w:t>
            </w:r>
            <w:r w:rsidR="0011385D">
              <w:rPr>
                <w:rFonts w:ascii="Verdana" w:hAnsi="Verdana"/>
                <w:sz w:val="20"/>
                <w:szCs w:val="20"/>
              </w:rPr>
              <w:t>предоставянето на информация на потребителите за храните</w:t>
            </w:r>
          </w:p>
        </w:tc>
      </w:tr>
      <w:tr w:rsidR="00FB7459" w:rsidRPr="00A925A9" w:rsidTr="002B23BF">
        <w:trPr>
          <w:trHeight w:val="142"/>
        </w:trPr>
        <w:tc>
          <w:tcPr>
            <w:tcW w:w="4786" w:type="dxa"/>
            <w:shd w:val="clear" w:color="auto" w:fill="auto"/>
          </w:tcPr>
          <w:p w:rsidR="00FB7459" w:rsidRPr="00A925A9" w:rsidRDefault="00FB7459" w:rsidP="002B23BF">
            <w:pPr>
              <w:spacing w:before="0" w:beforeAutospacing="0" w:after="0" w:line="360" w:lineRule="auto"/>
              <w:ind w:left="142" w:right="475"/>
              <w:rPr>
                <w:rFonts w:ascii="Verdana" w:hAnsi="Verdana"/>
                <w:b/>
                <w:sz w:val="20"/>
                <w:szCs w:val="20"/>
              </w:rPr>
            </w:pPr>
            <w:r w:rsidRPr="00FB7459">
              <w:rPr>
                <w:rFonts w:ascii="Verdana" w:hAnsi="Verdana"/>
                <w:b/>
                <w:sz w:val="20"/>
                <w:szCs w:val="20"/>
              </w:rPr>
              <w:t>За включване в законодателната/</w:t>
            </w:r>
            <w:r w:rsidRPr="00FB7459">
              <w:rPr>
                <w:rFonts w:ascii="Verdana" w:hAnsi="Verdana"/>
                <w:b/>
                <w:sz w:val="20"/>
                <w:szCs w:val="20"/>
                <w:u w:val="single"/>
              </w:rPr>
              <w:t>оперативната</w:t>
            </w:r>
            <w:r w:rsidRPr="00FB7459">
              <w:rPr>
                <w:rFonts w:ascii="Verdana" w:hAnsi="Verdana"/>
                <w:b/>
                <w:sz w:val="20"/>
                <w:szCs w:val="20"/>
              </w:rPr>
              <w:t xml:space="preserve"> програма на Министерския съвет за периода: </w:t>
            </w:r>
          </w:p>
        </w:tc>
        <w:tc>
          <w:tcPr>
            <w:tcW w:w="5471" w:type="dxa"/>
            <w:shd w:val="clear" w:color="auto" w:fill="auto"/>
          </w:tcPr>
          <w:p w:rsidR="00FB7459" w:rsidRPr="00A925A9" w:rsidRDefault="001A082F" w:rsidP="00FD728D">
            <w:pPr>
              <w:spacing w:before="0" w:beforeAutospacing="0" w:after="0" w:line="360" w:lineRule="auto"/>
              <w:ind w:left="142" w:right="-24"/>
              <w:jc w:val="both"/>
              <w:rPr>
                <w:rFonts w:ascii="Verdana" w:hAnsi="Verdana"/>
                <w:b/>
                <w:sz w:val="20"/>
                <w:szCs w:val="20"/>
              </w:rPr>
            </w:pPr>
            <w:r>
              <w:rPr>
                <w:rFonts w:ascii="Verdana" w:hAnsi="Verdana"/>
                <w:b/>
                <w:sz w:val="20"/>
                <w:szCs w:val="20"/>
                <w:lang w:val="en-US"/>
              </w:rPr>
              <w:t>07</w:t>
            </w:r>
            <w:r w:rsidR="00C53392">
              <w:rPr>
                <w:rFonts w:ascii="Verdana" w:hAnsi="Verdana"/>
                <w:b/>
                <w:sz w:val="20"/>
                <w:szCs w:val="20"/>
                <w:lang w:val="en-US"/>
              </w:rPr>
              <w:t>.10</w:t>
            </w:r>
            <w:r w:rsidR="00DA11ED">
              <w:rPr>
                <w:rFonts w:ascii="Verdana" w:hAnsi="Verdana"/>
                <w:b/>
                <w:sz w:val="20"/>
                <w:szCs w:val="20"/>
              </w:rPr>
              <w:t>.202</w:t>
            </w:r>
            <w:r w:rsidR="00DA11ED">
              <w:rPr>
                <w:rFonts w:ascii="Verdana" w:hAnsi="Verdana"/>
                <w:b/>
                <w:sz w:val="20"/>
                <w:szCs w:val="20"/>
                <w:lang w:val="en-US"/>
              </w:rPr>
              <w:t>0</w:t>
            </w:r>
            <w:r w:rsidR="00FB7459" w:rsidRPr="00FB7459">
              <w:rPr>
                <w:rFonts w:ascii="Verdana" w:hAnsi="Verdana"/>
                <w:b/>
                <w:sz w:val="20"/>
                <w:szCs w:val="20"/>
              </w:rPr>
              <w:t xml:space="preserve"> г.</w:t>
            </w:r>
          </w:p>
        </w:tc>
      </w:tr>
      <w:tr w:rsidR="006222FE" w:rsidRPr="00A925A9" w:rsidTr="002B23BF">
        <w:trPr>
          <w:trHeight w:val="142"/>
        </w:trPr>
        <w:tc>
          <w:tcPr>
            <w:tcW w:w="4786" w:type="dxa"/>
            <w:shd w:val="clear" w:color="auto" w:fill="auto"/>
          </w:tcPr>
          <w:p w:rsidR="00E5009F" w:rsidRPr="00A925A9" w:rsidRDefault="006222FE" w:rsidP="002B23BF">
            <w:pPr>
              <w:spacing w:before="0" w:beforeAutospacing="0" w:after="0" w:line="360" w:lineRule="auto"/>
              <w:ind w:left="142" w:right="475"/>
              <w:rPr>
                <w:rFonts w:ascii="Verdana" w:hAnsi="Verdana"/>
                <w:b/>
                <w:sz w:val="20"/>
                <w:szCs w:val="20"/>
                <w:lang w:val="en-US"/>
              </w:rPr>
            </w:pPr>
            <w:r w:rsidRPr="00A925A9">
              <w:rPr>
                <w:rFonts w:ascii="Verdana" w:hAnsi="Verdana"/>
                <w:b/>
                <w:sz w:val="20"/>
                <w:szCs w:val="20"/>
              </w:rPr>
              <w:t xml:space="preserve">Контакт за въпроси: </w:t>
            </w:r>
          </w:p>
          <w:p w:rsidR="00574EC9" w:rsidRPr="00A925A9" w:rsidRDefault="00D9795E" w:rsidP="002B23BF">
            <w:pPr>
              <w:spacing w:before="0" w:beforeAutospacing="0" w:after="0" w:line="360" w:lineRule="auto"/>
              <w:ind w:left="142" w:right="475"/>
              <w:rPr>
                <w:rFonts w:ascii="Verdana" w:hAnsi="Verdana"/>
                <w:sz w:val="20"/>
                <w:szCs w:val="20"/>
                <w:lang w:val="en-US"/>
              </w:rPr>
            </w:pPr>
            <w:r>
              <w:rPr>
                <w:rFonts w:ascii="Verdana" w:hAnsi="Verdana"/>
                <w:sz w:val="20"/>
                <w:szCs w:val="20"/>
              </w:rPr>
              <w:t>Ива Янчева</w:t>
            </w:r>
            <w:r w:rsidR="00574EC9" w:rsidRPr="00A925A9">
              <w:rPr>
                <w:rFonts w:ascii="Verdana" w:hAnsi="Verdana"/>
                <w:sz w:val="20"/>
                <w:szCs w:val="20"/>
              </w:rPr>
              <w:t xml:space="preserve"> –</w:t>
            </w:r>
            <w:r>
              <w:rPr>
                <w:rFonts w:ascii="Verdana" w:hAnsi="Verdana"/>
                <w:sz w:val="20"/>
                <w:szCs w:val="20"/>
              </w:rPr>
              <w:t xml:space="preserve"> главен </w:t>
            </w:r>
            <w:r w:rsidR="00574EC9" w:rsidRPr="00A925A9">
              <w:rPr>
                <w:rFonts w:ascii="Verdana" w:hAnsi="Verdana"/>
                <w:sz w:val="20"/>
                <w:szCs w:val="20"/>
              </w:rPr>
              <w:t xml:space="preserve">експерт в дирекция „Политики по агрохранителната верига“ </w:t>
            </w:r>
            <w:r>
              <w:rPr>
                <w:rFonts w:ascii="Verdana" w:hAnsi="Verdana"/>
                <w:sz w:val="20"/>
                <w:szCs w:val="20"/>
                <w:lang w:val="en-US"/>
              </w:rPr>
              <w:t>IYancheva</w:t>
            </w:r>
            <w:r w:rsidR="00574EC9" w:rsidRPr="00A925A9">
              <w:rPr>
                <w:rFonts w:ascii="Verdana" w:hAnsi="Verdana"/>
                <w:sz w:val="20"/>
                <w:szCs w:val="20"/>
                <w:lang w:val="ru-RU"/>
              </w:rPr>
              <w:t>@</w:t>
            </w:r>
            <w:r w:rsidR="00574EC9" w:rsidRPr="00A925A9">
              <w:rPr>
                <w:rFonts w:ascii="Verdana" w:hAnsi="Verdana"/>
                <w:sz w:val="20"/>
                <w:szCs w:val="20"/>
              </w:rPr>
              <w:t>mzh</w:t>
            </w:r>
            <w:r w:rsidR="00574EC9" w:rsidRPr="00A925A9">
              <w:rPr>
                <w:rFonts w:ascii="Verdana" w:hAnsi="Verdana"/>
                <w:sz w:val="20"/>
                <w:szCs w:val="20"/>
                <w:lang w:val="ru-RU"/>
              </w:rPr>
              <w:t>.</w:t>
            </w:r>
            <w:r w:rsidR="00574EC9" w:rsidRPr="00A925A9">
              <w:rPr>
                <w:rFonts w:ascii="Verdana" w:hAnsi="Verdana"/>
                <w:sz w:val="20"/>
                <w:szCs w:val="20"/>
              </w:rPr>
              <w:t>government</w:t>
            </w:r>
            <w:r w:rsidR="00574EC9" w:rsidRPr="00A925A9">
              <w:rPr>
                <w:rFonts w:ascii="Verdana" w:hAnsi="Verdana"/>
                <w:sz w:val="20"/>
                <w:szCs w:val="20"/>
                <w:lang w:val="ru-RU"/>
              </w:rPr>
              <w:t>.</w:t>
            </w:r>
            <w:r w:rsidR="00574EC9" w:rsidRPr="00A925A9">
              <w:rPr>
                <w:rFonts w:ascii="Verdana" w:hAnsi="Verdana"/>
                <w:sz w:val="20"/>
                <w:szCs w:val="20"/>
              </w:rPr>
              <w:t>bg</w:t>
            </w:r>
          </w:p>
          <w:p w:rsidR="006222FE" w:rsidRPr="00A925A9" w:rsidRDefault="006222FE" w:rsidP="002B23BF">
            <w:pPr>
              <w:spacing w:before="0" w:beforeAutospacing="0" w:after="0" w:line="360" w:lineRule="auto"/>
              <w:ind w:left="142" w:right="475"/>
              <w:rPr>
                <w:rFonts w:ascii="Verdana" w:hAnsi="Verdana"/>
                <w:sz w:val="20"/>
                <w:szCs w:val="20"/>
                <w:lang w:val="ru-RU"/>
              </w:rPr>
            </w:pPr>
          </w:p>
        </w:tc>
        <w:tc>
          <w:tcPr>
            <w:tcW w:w="5471" w:type="dxa"/>
            <w:shd w:val="clear" w:color="auto" w:fill="auto"/>
          </w:tcPr>
          <w:p w:rsidR="00574EC9" w:rsidRPr="00A925A9" w:rsidRDefault="007222E8" w:rsidP="00CC3C6C">
            <w:pPr>
              <w:spacing w:before="0" w:beforeAutospacing="0" w:after="0" w:line="360" w:lineRule="auto"/>
              <w:ind w:left="142" w:right="475"/>
              <w:jc w:val="both"/>
              <w:rPr>
                <w:rFonts w:ascii="Verdana" w:hAnsi="Verdana"/>
                <w:b/>
                <w:sz w:val="20"/>
                <w:szCs w:val="20"/>
              </w:rPr>
            </w:pPr>
            <w:r w:rsidRPr="00A925A9">
              <w:rPr>
                <w:rFonts w:ascii="Verdana" w:hAnsi="Verdana"/>
                <w:b/>
                <w:sz w:val="20"/>
                <w:szCs w:val="20"/>
              </w:rPr>
              <w:t xml:space="preserve">Телефон: </w:t>
            </w:r>
          </w:p>
          <w:p w:rsidR="00574EC9" w:rsidRPr="00A925A9" w:rsidRDefault="00982C43" w:rsidP="00CC3C6C">
            <w:pPr>
              <w:spacing w:before="0" w:beforeAutospacing="0" w:after="0" w:line="360" w:lineRule="auto"/>
              <w:ind w:left="142" w:right="475"/>
              <w:jc w:val="both"/>
              <w:rPr>
                <w:rFonts w:ascii="Verdana" w:hAnsi="Verdana"/>
                <w:b/>
                <w:sz w:val="20"/>
                <w:szCs w:val="20"/>
              </w:rPr>
            </w:pPr>
            <w:r>
              <w:rPr>
                <w:rFonts w:ascii="Verdana" w:hAnsi="Verdana"/>
                <w:sz w:val="20"/>
                <w:szCs w:val="20"/>
              </w:rPr>
              <w:t xml:space="preserve">02/98511301 </w:t>
            </w:r>
            <w:r w:rsidR="001E3A3F">
              <w:rPr>
                <w:rFonts w:ascii="Verdana" w:hAnsi="Verdana"/>
                <w:sz w:val="20"/>
                <w:szCs w:val="20"/>
              </w:rPr>
              <w:t xml:space="preserve"> 02/98511305</w:t>
            </w:r>
            <w:r w:rsidR="00574EC9" w:rsidRPr="00A925A9">
              <w:rPr>
                <w:rFonts w:ascii="Verdana" w:hAnsi="Verdana"/>
                <w:sz w:val="20"/>
                <w:szCs w:val="20"/>
              </w:rPr>
              <w:t xml:space="preserve"> </w:t>
            </w:r>
          </w:p>
          <w:p w:rsidR="00574EC9" w:rsidRPr="00A925A9" w:rsidRDefault="00574EC9" w:rsidP="00CC3C6C">
            <w:pPr>
              <w:spacing w:before="0" w:beforeAutospacing="0" w:after="0" w:line="360" w:lineRule="auto"/>
              <w:ind w:left="142" w:right="475"/>
              <w:jc w:val="both"/>
              <w:rPr>
                <w:rFonts w:ascii="Verdana" w:hAnsi="Verdana"/>
                <w:b/>
                <w:sz w:val="20"/>
                <w:szCs w:val="20"/>
              </w:rPr>
            </w:pPr>
          </w:p>
        </w:tc>
      </w:tr>
      <w:tr w:rsidR="006222FE" w:rsidRPr="00A925A9" w:rsidTr="00D96F7C">
        <w:trPr>
          <w:trHeight w:val="142"/>
        </w:trPr>
        <w:tc>
          <w:tcPr>
            <w:tcW w:w="10257" w:type="dxa"/>
            <w:gridSpan w:val="2"/>
            <w:shd w:val="clear" w:color="auto" w:fill="auto"/>
          </w:tcPr>
          <w:p w:rsidR="006222FE" w:rsidRPr="00A925A9" w:rsidRDefault="006222FE" w:rsidP="00CC3C6C">
            <w:pPr>
              <w:spacing w:before="0" w:beforeAutospacing="0" w:after="0" w:line="360" w:lineRule="auto"/>
              <w:ind w:left="142" w:right="475"/>
              <w:jc w:val="both"/>
              <w:rPr>
                <w:rFonts w:ascii="Verdana" w:hAnsi="Verdana"/>
                <w:b/>
                <w:sz w:val="20"/>
                <w:szCs w:val="20"/>
              </w:rPr>
            </w:pPr>
            <w:r w:rsidRPr="00A925A9">
              <w:rPr>
                <w:rFonts w:ascii="Verdana" w:hAnsi="Verdana"/>
                <w:b/>
                <w:sz w:val="20"/>
                <w:szCs w:val="20"/>
              </w:rPr>
              <w:t>1. Дефиниране на проблема:</w:t>
            </w:r>
          </w:p>
          <w:p w:rsidR="000C78E8" w:rsidRPr="00A925A9" w:rsidRDefault="002801AE" w:rsidP="00CC3C6C">
            <w:pPr>
              <w:spacing w:before="0" w:beforeAutospacing="0" w:after="0" w:line="360" w:lineRule="auto"/>
              <w:jc w:val="both"/>
              <w:rPr>
                <w:rFonts w:ascii="Verdana" w:hAnsi="Verdana"/>
                <w:sz w:val="20"/>
                <w:szCs w:val="20"/>
                <w:lang w:val="ru-RU"/>
              </w:rPr>
            </w:pPr>
            <w:r w:rsidRPr="00A925A9">
              <w:rPr>
                <w:rFonts w:ascii="Verdana" w:hAnsi="Verdana"/>
                <w:sz w:val="20"/>
                <w:szCs w:val="20"/>
              </w:rPr>
              <w:t xml:space="preserve">     </w:t>
            </w:r>
            <w:r w:rsidR="000C78E8" w:rsidRPr="00A925A9">
              <w:rPr>
                <w:rFonts w:ascii="Verdana" w:hAnsi="Verdana"/>
                <w:sz w:val="20"/>
                <w:szCs w:val="20"/>
              </w:rPr>
              <w:t xml:space="preserve">Липса на </w:t>
            </w:r>
            <w:r w:rsidR="00A92C54" w:rsidRPr="00A925A9">
              <w:rPr>
                <w:rFonts w:ascii="Verdana" w:hAnsi="Verdana"/>
                <w:sz w:val="20"/>
                <w:szCs w:val="20"/>
              </w:rPr>
              <w:t>информация</w:t>
            </w:r>
            <w:r w:rsidR="0041373D">
              <w:rPr>
                <w:rFonts w:ascii="Verdana" w:hAnsi="Verdana"/>
                <w:sz w:val="20"/>
                <w:szCs w:val="20"/>
              </w:rPr>
              <w:t xml:space="preserve"> за извършване на информиран избор</w:t>
            </w:r>
            <w:r w:rsidR="00B81647">
              <w:rPr>
                <w:rFonts w:ascii="Verdana" w:hAnsi="Verdana"/>
                <w:sz w:val="20"/>
                <w:szCs w:val="20"/>
              </w:rPr>
              <w:t xml:space="preserve"> от потребителите</w:t>
            </w:r>
            <w:r w:rsidR="00D9795E">
              <w:rPr>
                <w:rFonts w:ascii="Verdana" w:hAnsi="Verdana"/>
                <w:sz w:val="20"/>
                <w:szCs w:val="20"/>
              </w:rPr>
              <w:t>, липса на достатъчна информация</w:t>
            </w:r>
            <w:r w:rsidR="00551D32">
              <w:rPr>
                <w:rFonts w:ascii="Verdana" w:hAnsi="Verdana"/>
                <w:sz w:val="20"/>
                <w:szCs w:val="20"/>
              </w:rPr>
              <w:t xml:space="preserve"> по отношение на идентичността на продуктите</w:t>
            </w:r>
            <w:r w:rsidR="003F6DCE" w:rsidRPr="00A925A9">
              <w:rPr>
                <w:rFonts w:ascii="Verdana" w:hAnsi="Verdana"/>
                <w:sz w:val="20"/>
                <w:szCs w:val="20"/>
              </w:rPr>
              <w:t xml:space="preserve">. </w:t>
            </w:r>
          </w:p>
          <w:p w:rsidR="006222FE" w:rsidRPr="00A925A9" w:rsidRDefault="006222FE" w:rsidP="00CC3C6C">
            <w:pPr>
              <w:spacing w:before="0" w:beforeAutospacing="0" w:after="0" w:line="360" w:lineRule="auto"/>
              <w:ind w:left="142" w:right="475"/>
              <w:jc w:val="both"/>
              <w:rPr>
                <w:rFonts w:ascii="Verdana" w:hAnsi="Verdana"/>
                <w:b/>
                <w:i/>
                <w:sz w:val="20"/>
                <w:szCs w:val="20"/>
              </w:rPr>
            </w:pPr>
            <w:r w:rsidRPr="00A925A9">
              <w:rPr>
                <w:rFonts w:ascii="Verdana" w:hAnsi="Verdana"/>
                <w:b/>
                <w:i/>
                <w:sz w:val="20"/>
                <w:szCs w:val="20"/>
              </w:rPr>
              <w:t>1</w:t>
            </w:r>
            <w:r w:rsidRPr="00A925A9">
              <w:rPr>
                <w:rFonts w:ascii="Verdana" w:hAnsi="Verdana"/>
                <w:b/>
                <w:sz w:val="20"/>
                <w:szCs w:val="20"/>
              </w:rPr>
              <w:t>.</w:t>
            </w:r>
            <w:r w:rsidRPr="00A925A9">
              <w:rPr>
                <w:rFonts w:ascii="Verdana" w:hAnsi="Verdana"/>
                <w:b/>
                <w:i/>
                <w:sz w:val="20"/>
                <w:szCs w:val="20"/>
              </w:rPr>
              <w:t>1. Кратко опишете проблема и причините за неговото възникване. Посочете аргументите, които обосновават нормативната промяна.</w:t>
            </w:r>
            <w:r w:rsidR="00B81647">
              <w:rPr>
                <w:rFonts w:ascii="Verdana" w:hAnsi="Verdana"/>
                <w:b/>
                <w:i/>
                <w:sz w:val="20"/>
                <w:szCs w:val="20"/>
              </w:rPr>
              <w:t xml:space="preserve"> </w:t>
            </w:r>
          </w:p>
          <w:p w:rsidR="0011385D" w:rsidRPr="0011385D" w:rsidRDefault="0011385D" w:rsidP="0011385D">
            <w:pPr>
              <w:spacing w:before="0" w:beforeAutospacing="0" w:after="200" w:afterAutospacing="0" w:line="360" w:lineRule="auto"/>
              <w:jc w:val="both"/>
              <w:rPr>
                <w:rFonts w:ascii="Verdana" w:eastAsia="Calibri" w:hAnsi="Verdana"/>
                <w:bCs/>
                <w:iCs/>
                <w:sz w:val="20"/>
                <w:szCs w:val="20"/>
                <w:lang w:eastAsia="en-US"/>
              </w:rPr>
            </w:pPr>
            <w:r>
              <w:rPr>
                <w:rFonts w:ascii="Verdana" w:eastAsia="Calibri" w:hAnsi="Verdana"/>
                <w:bCs/>
                <w:iCs/>
                <w:sz w:val="20"/>
                <w:szCs w:val="20"/>
                <w:lang w:eastAsia="en-US"/>
              </w:rPr>
              <w:t xml:space="preserve">      </w:t>
            </w:r>
            <w:r w:rsidRPr="0011385D">
              <w:rPr>
                <w:rFonts w:ascii="Verdana" w:eastAsia="Calibri" w:hAnsi="Verdana"/>
                <w:bCs/>
                <w:iCs/>
                <w:sz w:val="20"/>
                <w:szCs w:val="20"/>
                <w:lang w:eastAsia="en-US"/>
              </w:rPr>
              <w:t xml:space="preserve">В </w:t>
            </w:r>
            <w:r w:rsidR="00AA6BD2">
              <w:rPr>
                <w:rFonts w:ascii="Verdana" w:hAnsi="Verdana"/>
              </w:rPr>
              <w:t>„</w:t>
            </w:r>
            <w:r w:rsidRPr="0011385D">
              <w:rPr>
                <w:rFonts w:ascii="Verdana" w:eastAsia="Calibri" w:hAnsi="Verdana"/>
                <w:bCs/>
                <w:iCs/>
                <w:sz w:val="20"/>
                <w:szCs w:val="20"/>
                <w:lang w:eastAsia="en-US"/>
              </w:rPr>
              <w:t>Държавен вестник</w:t>
            </w:r>
            <w:r w:rsidR="009513FE">
              <w:rPr>
                <w:rFonts w:ascii="Verdana" w:eastAsia="Calibri" w:hAnsi="Verdana"/>
                <w:bCs/>
                <w:iCs/>
                <w:sz w:val="20"/>
                <w:szCs w:val="20"/>
                <w:lang w:val="en-US" w:eastAsia="en-US"/>
              </w:rPr>
              <w:t>”</w:t>
            </w:r>
            <w:r w:rsidRPr="0011385D">
              <w:rPr>
                <w:rFonts w:ascii="Verdana" w:eastAsia="Calibri" w:hAnsi="Verdana"/>
                <w:bCs/>
                <w:iCs/>
                <w:sz w:val="20"/>
                <w:szCs w:val="20"/>
                <w:lang w:eastAsia="en-US"/>
              </w:rPr>
              <w:t xml:space="preserve"> бр. 52 от 2020</w:t>
            </w:r>
            <w:r w:rsidR="00EE4C69">
              <w:rPr>
                <w:rFonts w:ascii="Verdana" w:eastAsia="Calibri" w:hAnsi="Verdana"/>
                <w:bCs/>
                <w:iCs/>
                <w:sz w:val="20"/>
                <w:szCs w:val="20"/>
                <w:lang w:val="en-US" w:eastAsia="en-US"/>
              </w:rPr>
              <w:t xml:space="preserve"> </w:t>
            </w:r>
            <w:r w:rsidR="00EE4C69">
              <w:rPr>
                <w:rFonts w:ascii="Verdana" w:eastAsia="Calibri" w:hAnsi="Verdana"/>
                <w:bCs/>
                <w:iCs/>
                <w:sz w:val="20"/>
                <w:szCs w:val="20"/>
                <w:lang w:eastAsia="en-US"/>
              </w:rPr>
              <w:t>г.</w:t>
            </w:r>
            <w:r w:rsidRPr="0011385D">
              <w:rPr>
                <w:rFonts w:ascii="Verdana" w:eastAsia="Calibri" w:hAnsi="Verdana"/>
                <w:bCs/>
                <w:iCs/>
                <w:sz w:val="20"/>
                <w:szCs w:val="20"/>
                <w:lang w:eastAsia="en-US"/>
              </w:rPr>
              <w:t xml:space="preserve"> е публикуван новият Закон за храните. Законът влиза в сила в деня на обнародването му в </w:t>
            </w:r>
            <w:r w:rsidR="00EE4C69">
              <w:rPr>
                <w:rFonts w:ascii="Verdana" w:eastAsia="Calibri" w:hAnsi="Verdana"/>
                <w:bCs/>
                <w:iCs/>
                <w:sz w:val="20"/>
                <w:szCs w:val="20"/>
                <w:lang w:eastAsia="en-US"/>
              </w:rPr>
              <w:t>„</w:t>
            </w:r>
            <w:r w:rsidRPr="0011385D">
              <w:rPr>
                <w:rFonts w:ascii="Verdana" w:eastAsia="Calibri" w:hAnsi="Verdana"/>
                <w:bCs/>
                <w:iCs/>
                <w:sz w:val="20"/>
                <w:szCs w:val="20"/>
                <w:lang w:eastAsia="en-US"/>
              </w:rPr>
              <w:t>Държавен вестник</w:t>
            </w:r>
            <w:r w:rsidR="00EE4C69">
              <w:rPr>
                <w:rFonts w:ascii="Verdana" w:eastAsia="Calibri" w:hAnsi="Verdana"/>
                <w:bCs/>
                <w:iCs/>
                <w:sz w:val="20"/>
                <w:szCs w:val="20"/>
                <w:lang w:eastAsia="en-US"/>
              </w:rPr>
              <w:t>“</w:t>
            </w:r>
            <w:r w:rsidRPr="0011385D">
              <w:rPr>
                <w:rFonts w:ascii="Verdana" w:eastAsia="Calibri" w:hAnsi="Verdana"/>
                <w:bCs/>
                <w:iCs/>
                <w:sz w:val="20"/>
                <w:szCs w:val="20"/>
                <w:lang w:eastAsia="en-US"/>
              </w:rPr>
              <w:t>.</w:t>
            </w:r>
          </w:p>
          <w:p w:rsidR="0011385D" w:rsidRPr="0011385D" w:rsidRDefault="0011385D" w:rsidP="0011385D">
            <w:pPr>
              <w:spacing w:before="0" w:beforeAutospacing="0" w:after="200" w:afterAutospacing="0" w:line="360" w:lineRule="auto"/>
              <w:jc w:val="both"/>
              <w:rPr>
                <w:rFonts w:ascii="Verdana" w:eastAsia="Calibri" w:hAnsi="Verdana"/>
                <w:bCs/>
                <w:iCs/>
                <w:sz w:val="20"/>
                <w:szCs w:val="20"/>
                <w:lang w:eastAsia="en-US"/>
              </w:rPr>
            </w:pPr>
            <w:r>
              <w:rPr>
                <w:rFonts w:ascii="Verdana" w:eastAsia="Calibri" w:hAnsi="Verdana"/>
                <w:bCs/>
                <w:iCs/>
                <w:sz w:val="20"/>
                <w:szCs w:val="20"/>
                <w:lang w:eastAsia="en-US"/>
              </w:rPr>
              <w:t xml:space="preserve">      </w:t>
            </w:r>
            <w:r w:rsidR="000214DE">
              <w:rPr>
                <w:rFonts w:ascii="Verdana" w:eastAsia="Calibri" w:hAnsi="Verdana"/>
                <w:bCs/>
                <w:iCs/>
                <w:sz w:val="20"/>
                <w:szCs w:val="20"/>
                <w:lang w:eastAsia="en-US"/>
              </w:rPr>
              <w:t>Съгласно § 8, ал. 1 от п</w:t>
            </w:r>
            <w:r w:rsidRPr="0011385D">
              <w:rPr>
                <w:rFonts w:ascii="Verdana" w:eastAsia="Calibri" w:hAnsi="Verdana"/>
                <w:bCs/>
                <w:iCs/>
                <w:sz w:val="20"/>
                <w:szCs w:val="20"/>
                <w:lang w:eastAsia="en-US"/>
              </w:rPr>
              <w:t>реходните и заключителни разпоредби на Закона за храните, подзаконовите нормативни актове по прилагането му се приемат, съответно издават, в 6-месечен срок от влизането на закона в сила, а съгласно ал.</w:t>
            </w:r>
            <w:r w:rsidR="006A4485">
              <w:rPr>
                <w:rFonts w:ascii="Verdana" w:eastAsia="Calibri" w:hAnsi="Verdana"/>
                <w:bCs/>
                <w:iCs/>
                <w:sz w:val="20"/>
                <w:szCs w:val="20"/>
                <w:lang w:eastAsia="en-US"/>
              </w:rPr>
              <w:t xml:space="preserve"> </w:t>
            </w:r>
            <w:r w:rsidRPr="0011385D">
              <w:rPr>
                <w:rFonts w:ascii="Verdana" w:eastAsia="Calibri" w:hAnsi="Verdana"/>
                <w:bCs/>
                <w:iCs/>
                <w:sz w:val="20"/>
                <w:szCs w:val="20"/>
                <w:lang w:eastAsia="en-US"/>
              </w:rPr>
              <w:t>3, до приемането, съответно издаването на актовете по ал.</w:t>
            </w:r>
            <w:r w:rsidR="006A4485">
              <w:rPr>
                <w:rFonts w:ascii="Verdana" w:eastAsia="Calibri" w:hAnsi="Verdana"/>
                <w:bCs/>
                <w:iCs/>
                <w:sz w:val="20"/>
                <w:szCs w:val="20"/>
                <w:lang w:eastAsia="en-US"/>
              </w:rPr>
              <w:t xml:space="preserve"> </w:t>
            </w:r>
            <w:r w:rsidRPr="0011385D">
              <w:rPr>
                <w:rFonts w:ascii="Verdana" w:eastAsia="Calibri" w:hAnsi="Verdana"/>
                <w:bCs/>
                <w:iCs/>
                <w:sz w:val="20"/>
                <w:szCs w:val="20"/>
                <w:lang w:eastAsia="en-US"/>
              </w:rPr>
              <w:t>1</w:t>
            </w:r>
            <w:r w:rsidR="00AA6BD2">
              <w:rPr>
                <w:rFonts w:ascii="Verdana" w:eastAsia="Calibri" w:hAnsi="Verdana"/>
                <w:bCs/>
                <w:iCs/>
                <w:sz w:val="20"/>
                <w:szCs w:val="20"/>
                <w:lang w:val="en-US" w:eastAsia="en-US"/>
              </w:rPr>
              <w:t>,</w:t>
            </w:r>
            <w:r w:rsidRPr="0011385D">
              <w:rPr>
                <w:rFonts w:ascii="Verdana" w:eastAsia="Calibri" w:hAnsi="Verdana"/>
                <w:bCs/>
                <w:iCs/>
                <w:sz w:val="20"/>
                <w:szCs w:val="20"/>
                <w:lang w:eastAsia="en-US"/>
              </w:rPr>
              <w:t xml:space="preserve"> се прилагат подзаконовите нормативни актове по прилагането на отменения Закон за храните, доколкото не противоречат на този закон. </w:t>
            </w:r>
          </w:p>
          <w:p w:rsidR="0011385D" w:rsidRPr="0011385D" w:rsidRDefault="002F2569" w:rsidP="0011385D">
            <w:pPr>
              <w:spacing w:before="0" w:beforeAutospacing="0" w:after="200" w:afterAutospacing="0" w:line="360" w:lineRule="auto"/>
              <w:jc w:val="both"/>
              <w:rPr>
                <w:rFonts w:ascii="Verdana" w:eastAsia="Calibri" w:hAnsi="Verdana"/>
                <w:bCs/>
                <w:iCs/>
                <w:sz w:val="20"/>
                <w:szCs w:val="20"/>
                <w:lang w:eastAsia="en-US"/>
              </w:rPr>
            </w:pPr>
            <w:r>
              <w:rPr>
                <w:rFonts w:ascii="Verdana" w:eastAsia="Calibri" w:hAnsi="Verdana"/>
                <w:bCs/>
                <w:iCs/>
                <w:sz w:val="20"/>
                <w:szCs w:val="20"/>
                <w:lang w:eastAsia="en-US"/>
              </w:rPr>
              <w:lastRenderedPageBreak/>
              <w:t xml:space="preserve">      </w:t>
            </w:r>
            <w:r w:rsidR="009615FF">
              <w:rPr>
                <w:rFonts w:ascii="Verdana" w:eastAsia="Calibri" w:hAnsi="Verdana"/>
                <w:bCs/>
                <w:iCs/>
                <w:sz w:val="20"/>
                <w:szCs w:val="20"/>
                <w:lang w:eastAsia="en-US"/>
              </w:rPr>
              <w:t>На основание чл.</w:t>
            </w:r>
            <w:r w:rsidR="006A4485">
              <w:rPr>
                <w:rFonts w:ascii="Verdana" w:eastAsia="Calibri" w:hAnsi="Verdana"/>
                <w:bCs/>
                <w:iCs/>
                <w:sz w:val="20"/>
                <w:szCs w:val="20"/>
                <w:lang w:eastAsia="en-US"/>
              </w:rPr>
              <w:t xml:space="preserve"> </w:t>
            </w:r>
            <w:r w:rsidR="009615FF">
              <w:rPr>
                <w:rFonts w:ascii="Verdana" w:eastAsia="Calibri" w:hAnsi="Verdana"/>
                <w:bCs/>
                <w:iCs/>
                <w:sz w:val="20"/>
                <w:szCs w:val="20"/>
                <w:lang w:eastAsia="en-US"/>
              </w:rPr>
              <w:t>19 от З</w:t>
            </w:r>
            <w:r w:rsidR="0011385D" w:rsidRPr="0011385D">
              <w:rPr>
                <w:rFonts w:ascii="Verdana" w:eastAsia="Calibri" w:hAnsi="Verdana"/>
                <w:bCs/>
                <w:iCs/>
                <w:sz w:val="20"/>
                <w:szCs w:val="20"/>
                <w:lang w:eastAsia="en-US"/>
              </w:rPr>
              <w:t>акона</w:t>
            </w:r>
            <w:r w:rsidR="009615FF">
              <w:rPr>
                <w:rFonts w:ascii="Verdana" w:eastAsia="Calibri" w:hAnsi="Verdana"/>
                <w:bCs/>
                <w:iCs/>
                <w:sz w:val="20"/>
                <w:szCs w:val="20"/>
                <w:lang w:eastAsia="en-US"/>
              </w:rPr>
              <w:t xml:space="preserve"> за храните</w:t>
            </w:r>
            <w:r w:rsidR="0011385D" w:rsidRPr="0011385D">
              <w:rPr>
                <w:rFonts w:ascii="Verdana" w:eastAsia="Calibri" w:hAnsi="Verdana"/>
                <w:bCs/>
                <w:iCs/>
                <w:sz w:val="20"/>
                <w:szCs w:val="20"/>
                <w:lang w:eastAsia="en-US"/>
              </w:rPr>
              <w:t xml:space="preserve">, изискванията за предоставянето на информация на потребителите за храните се определят с наредба на Министерския съвет, с която се: </w:t>
            </w:r>
          </w:p>
          <w:p w:rsidR="0011385D" w:rsidRPr="0011385D" w:rsidRDefault="0011385D" w:rsidP="0011385D">
            <w:pPr>
              <w:spacing w:before="0" w:beforeAutospacing="0" w:after="200" w:afterAutospacing="0" w:line="360" w:lineRule="auto"/>
              <w:jc w:val="both"/>
              <w:rPr>
                <w:rFonts w:ascii="Verdana" w:eastAsia="Calibri" w:hAnsi="Verdana"/>
                <w:bCs/>
                <w:iCs/>
                <w:sz w:val="20"/>
                <w:szCs w:val="20"/>
                <w:lang w:eastAsia="en-US"/>
              </w:rPr>
            </w:pPr>
            <w:r w:rsidRPr="0011385D">
              <w:rPr>
                <w:rFonts w:ascii="Verdana" w:eastAsia="Calibri" w:hAnsi="Verdana"/>
                <w:bCs/>
                <w:iCs/>
                <w:sz w:val="20"/>
                <w:szCs w:val="20"/>
                <w:lang w:eastAsia="en-US"/>
              </w:rPr>
              <w:t>1. въвеждат изискванията на Директива 2011/91/ЕС на Европейския парламент и на Съвета от 13 декември 2011 г. относно означенията или маркировките, идентифициращи партидата, към която принадлежи дадена храна (ОВ, L 334/1 от 16 декември 2011 г.)</w:t>
            </w:r>
            <w:r w:rsidR="006A4485">
              <w:rPr>
                <w:rFonts w:ascii="Verdana" w:eastAsia="Calibri" w:hAnsi="Verdana"/>
                <w:bCs/>
                <w:iCs/>
                <w:sz w:val="20"/>
                <w:szCs w:val="20"/>
                <w:lang w:eastAsia="en-US"/>
              </w:rPr>
              <w:t xml:space="preserve"> </w:t>
            </w:r>
            <w:r w:rsidR="006A4485">
              <w:rPr>
                <w:rFonts w:ascii="Verdana" w:eastAsia="Calibri" w:hAnsi="Verdana"/>
                <w:bCs/>
                <w:iCs/>
                <w:sz w:val="20"/>
                <w:szCs w:val="20"/>
                <w:lang w:val="en-US" w:eastAsia="en-US"/>
              </w:rPr>
              <w:t>(</w:t>
            </w:r>
            <w:r w:rsidR="006A4485" w:rsidRPr="006A4485">
              <w:rPr>
                <w:rFonts w:ascii="Verdana" w:eastAsia="Calibri" w:hAnsi="Verdana"/>
                <w:bCs/>
                <w:iCs/>
                <w:sz w:val="20"/>
                <w:szCs w:val="20"/>
                <w:lang w:val="en-US" w:eastAsia="en-US"/>
              </w:rPr>
              <w:t>Директива 2011/91/ЕС</w:t>
            </w:r>
            <w:r w:rsidR="006A4485">
              <w:rPr>
                <w:rFonts w:ascii="Verdana" w:eastAsia="Calibri" w:hAnsi="Verdana"/>
                <w:bCs/>
                <w:iCs/>
                <w:sz w:val="20"/>
                <w:szCs w:val="20"/>
                <w:lang w:val="en-US" w:eastAsia="en-US"/>
              </w:rPr>
              <w:t>)</w:t>
            </w:r>
            <w:r w:rsidRPr="0011385D">
              <w:rPr>
                <w:rFonts w:ascii="Verdana" w:eastAsia="Calibri" w:hAnsi="Verdana"/>
                <w:bCs/>
                <w:iCs/>
                <w:sz w:val="20"/>
                <w:szCs w:val="20"/>
                <w:lang w:eastAsia="en-US"/>
              </w:rPr>
              <w:t>;</w:t>
            </w:r>
          </w:p>
          <w:p w:rsidR="0011385D" w:rsidRPr="00B95F06" w:rsidRDefault="0011385D" w:rsidP="0011385D">
            <w:pPr>
              <w:spacing w:before="0" w:beforeAutospacing="0" w:after="200" w:afterAutospacing="0" w:line="360" w:lineRule="auto"/>
              <w:jc w:val="both"/>
              <w:rPr>
                <w:rFonts w:ascii="Verdana" w:eastAsia="Calibri" w:hAnsi="Verdana"/>
                <w:bCs/>
                <w:iCs/>
                <w:sz w:val="20"/>
                <w:szCs w:val="20"/>
                <w:lang w:val="en-US" w:eastAsia="en-US"/>
              </w:rPr>
            </w:pPr>
            <w:r w:rsidRPr="0011385D">
              <w:rPr>
                <w:rFonts w:ascii="Verdana" w:eastAsia="Calibri" w:hAnsi="Verdana"/>
                <w:bCs/>
                <w:iCs/>
                <w:sz w:val="20"/>
                <w:szCs w:val="20"/>
                <w:lang w:eastAsia="en-US"/>
              </w:rPr>
              <w:t>2. определят национални мерки за предоставянето на информация за храните на потребителите съгласно чл. 38-44 на Регламент (ЕС) № 1169/2011</w:t>
            </w:r>
            <w:r w:rsidR="00B95F06">
              <w:rPr>
                <w:rFonts w:ascii="Verdana" w:eastAsia="Calibri" w:hAnsi="Verdana"/>
                <w:bCs/>
                <w:iCs/>
                <w:sz w:val="20"/>
                <w:szCs w:val="20"/>
                <w:lang w:val="en-US" w:eastAsia="en-US"/>
              </w:rPr>
              <w:t xml:space="preserve"> </w:t>
            </w:r>
            <w:r w:rsidR="00B95F06" w:rsidRPr="00B95F06">
              <w:rPr>
                <w:rFonts w:ascii="Verdana" w:eastAsia="Calibri" w:hAnsi="Verdana"/>
                <w:bCs/>
                <w:iCs/>
                <w:sz w:val="20"/>
                <w:szCs w:val="20"/>
                <w:lang w:val="x-none" w:eastAsia="en-US"/>
              </w:rPr>
              <w:t>на Европейския парламент и на Съвета от 25 октомври 2011 г. за предоставянето на информация за храните на потребителите, за изменение на регламенти (ЕО) № 1924/2006 и (ЕО) № 1925/2006 на Европейския парламент и на Съвета и за отмяна на Директива 87/250/ЕИО на Комисията, Директива 90/496/ЕИО на Съвета, Директива 1999/10/ЕО на Комисията, Директива 2000/13/ЕО на Европейския парламент и на Съвета, директиви 2002/67/ЕО и 2008/5/ЕО на Комисията и на Регламент (ЕО) № 608/2004 на Комисията (ОВ, L 304 от 22.11.2011 г.)</w:t>
            </w:r>
            <w:r w:rsidR="006A4485">
              <w:t xml:space="preserve"> </w:t>
            </w:r>
            <w:r w:rsidR="006A4485" w:rsidRPr="006A4485">
              <w:rPr>
                <w:rFonts w:ascii="Verdana" w:eastAsia="Calibri" w:hAnsi="Verdana"/>
                <w:bCs/>
                <w:iCs/>
                <w:sz w:val="20"/>
                <w:szCs w:val="20"/>
                <w:lang w:val="x-none" w:eastAsia="en-US"/>
              </w:rPr>
              <w:t>(Регламент (ЕС) 1169/2011)</w:t>
            </w:r>
          </w:p>
          <w:p w:rsidR="0011385D" w:rsidRPr="0011385D" w:rsidRDefault="0089049B" w:rsidP="0011385D">
            <w:pPr>
              <w:spacing w:before="0" w:beforeAutospacing="0" w:after="200" w:afterAutospacing="0" w:line="360" w:lineRule="auto"/>
              <w:jc w:val="both"/>
              <w:rPr>
                <w:rFonts w:ascii="Verdana" w:eastAsia="Calibri" w:hAnsi="Verdana"/>
                <w:bCs/>
                <w:iCs/>
                <w:sz w:val="20"/>
                <w:szCs w:val="20"/>
                <w:lang w:eastAsia="en-US"/>
              </w:rPr>
            </w:pPr>
            <w:r>
              <w:rPr>
                <w:rFonts w:ascii="Verdana" w:eastAsia="Calibri" w:hAnsi="Verdana"/>
                <w:bCs/>
                <w:iCs/>
                <w:sz w:val="20"/>
                <w:szCs w:val="20"/>
                <w:lang w:eastAsia="en-US"/>
              </w:rPr>
              <w:t xml:space="preserve">     </w:t>
            </w:r>
            <w:r w:rsidR="0011385D" w:rsidRPr="0011385D">
              <w:rPr>
                <w:rFonts w:ascii="Verdana" w:eastAsia="Calibri" w:hAnsi="Verdana"/>
                <w:bCs/>
                <w:iCs/>
                <w:sz w:val="20"/>
                <w:szCs w:val="20"/>
                <w:lang w:eastAsia="en-US"/>
              </w:rPr>
              <w:t xml:space="preserve">В тази връзка на това основание е необходимо да бъде </w:t>
            </w:r>
            <w:r w:rsidR="004D3E11">
              <w:rPr>
                <w:rFonts w:ascii="Verdana" w:eastAsia="Calibri" w:hAnsi="Verdana"/>
                <w:bCs/>
                <w:iCs/>
                <w:sz w:val="20"/>
                <w:szCs w:val="20"/>
                <w:lang w:eastAsia="en-US"/>
              </w:rPr>
              <w:t xml:space="preserve">издадена нова </w:t>
            </w:r>
            <w:r w:rsidR="00D54917">
              <w:rPr>
                <w:rFonts w:ascii="Verdana" w:eastAsia="Calibri" w:hAnsi="Verdana"/>
                <w:bCs/>
                <w:iCs/>
                <w:sz w:val="20"/>
                <w:szCs w:val="20"/>
                <w:lang w:eastAsia="en-US"/>
              </w:rPr>
              <w:t>н</w:t>
            </w:r>
            <w:r w:rsidR="0011385D" w:rsidRPr="0011385D">
              <w:rPr>
                <w:rFonts w:ascii="Verdana" w:eastAsia="Calibri" w:hAnsi="Verdana"/>
                <w:bCs/>
                <w:iCs/>
                <w:sz w:val="20"/>
                <w:szCs w:val="20"/>
                <w:lang w:eastAsia="en-US"/>
              </w:rPr>
              <w:t>аредба</w:t>
            </w:r>
            <w:r w:rsidR="00D54917">
              <w:rPr>
                <w:rFonts w:ascii="Verdana" w:eastAsia="Calibri" w:hAnsi="Verdana"/>
                <w:bCs/>
                <w:iCs/>
                <w:sz w:val="20"/>
                <w:szCs w:val="20"/>
                <w:lang w:eastAsia="en-US"/>
              </w:rPr>
              <w:t xml:space="preserve"> – Наредба за</w:t>
            </w:r>
            <w:r w:rsidR="0011385D" w:rsidRPr="0011385D">
              <w:rPr>
                <w:rFonts w:ascii="Verdana" w:eastAsia="Calibri" w:hAnsi="Verdana"/>
                <w:bCs/>
                <w:iCs/>
                <w:sz w:val="20"/>
                <w:szCs w:val="20"/>
                <w:lang w:eastAsia="en-US"/>
              </w:rPr>
              <w:t xml:space="preserve"> представянето на</w:t>
            </w:r>
            <w:r w:rsidR="00E1757B">
              <w:rPr>
                <w:rFonts w:ascii="Verdana" w:eastAsia="Calibri" w:hAnsi="Verdana"/>
                <w:bCs/>
                <w:iCs/>
                <w:sz w:val="20"/>
                <w:szCs w:val="20"/>
                <w:lang w:eastAsia="en-US"/>
              </w:rPr>
              <w:t xml:space="preserve"> информация на потребителите за</w:t>
            </w:r>
            <w:r w:rsidR="0011385D" w:rsidRPr="0011385D">
              <w:rPr>
                <w:rFonts w:ascii="Verdana" w:eastAsia="Calibri" w:hAnsi="Verdana"/>
                <w:bCs/>
                <w:iCs/>
                <w:sz w:val="20"/>
                <w:szCs w:val="20"/>
                <w:lang w:eastAsia="en-US"/>
              </w:rPr>
              <w:t xml:space="preserve"> храните</w:t>
            </w:r>
            <w:r w:rsidR="00D54917">
              <w:rPr>
                <w:rFonts w:ascii="Verdana" w:eastAsia="Calibri" w:hAnsi="Verdana"/>
                <w:bCs/>
                <w:iCs/>
                <w:sz w:val="20"/>
                <w:szCs w:val="20"/>
                <w:lang w:eastAsia="en-US"/>
              </w:rPr>
              <w:t xml:space="preserve">. </w:t>
            </w:r>
          </w:p>
          <w:p w:rsidR="00E45C77" w:rsidRPr="000A4D19" w:rsidRDefault="0089049B" w:rsidP="00CC3C6C">
            <w:pPr>
              <w:spacing w:before="0" w:beforeAutospacing="0" w:after="200" w:afterAutospacing="0" w:line="360" w:lineRule="auto"/>
              <w:jc w:val="both"/>
              <w:rPr>
                <w:rFonts w:ascii="Verdana" w:eastAsia="Calibri" w:hAnsi="Verdana"/>
                <w:bCs/>
                <w:iCs/>
                <w:sz w:val="20"/>
                <w:szCs w:val="20"/>
                <w:lang w:eastAsia="en-US"/>
              </w:rPr>
            </w:pPr>
            <w:r>
              <w:rPr>
                <w:rFonts w:ascii="Verdana" w:eastAsia="Calibri" w:hAnsi="Verdana"/>
                <w:bCs/>
                <w:iCs/>
                <w:sz w:val="20"/>
                <w:szCs w:val="20"/>
                <w:lang w:eastAsia="en-US"/>
              </w:rPr>
              <w:t xml:space="preserve">    </w:t>
            </w:r>
            <w:r w:rsidR="0011385D" w:rsidRPr="0011385D">
              <w:rPr>
                <w:rFonts w:ascii="Verdana" w:eastAsia="Calibri" w:hAnsi="Verdana"/>
                <w:bCs/>
                <w:iCs/>
                <w:sz w:val="20"/>
                <w:szCs w:val="20"/>
                <w:lang w:eastAsia="en-US"/>
              </w:rPr>
              <w:t xml:space="preserve">Проектът на наредба следва структурата и съдържанието на сега действащата Наредба за изискванията за етикетирането и представянето на храните, като са </w:t>
            </w:r>
            <w:r w:rsidR="00795AB9">
              <w:rPr>
                <w:rFonts w:ascii="Verdana" w:eastAsia="Calibri" w:hAnsi="Verdana"/>
                <w:bCs/>
                <w:iCs/>
                <w:sz w:val="20"/>
                <w:szCs w:val="20"/>
                <w:lang w:eastAsia="en-US"/>
              </w:rPr>
              <w:t>дефинирани по-ясно някои разпоредби</w:t>
            </w:r>
            <w:r w:rsidR="00F74E9E">
              <w:rPr>
                <w:rFonts w:ascii="Verdana" w:eastAsia="Calibri" w:hAnsi="Verdana"/>
                <w:bCs/>
                <w:iCs/>
                <w:sz w:val="20"/>
                <w:szCs w:val="20"/>
                <w:lang w:eastAsia="en-US"/>
              </w:rPr>
              <w:t>,</w:t>
            </w:r>
            <w:r w:rsidR="00795AB9">
              <w:rPr>
                <w:rFonts w:ascii="Verdana" w:eastAsia="Calibri" w:hAnsi="Verdana"/>
                <w:bCs/>
                <w:iCs/>
                <w:sz w:val="20"/>
                <w:szCs w:val="20"/>
                <w:lang w:eastAsia="en-US"/>
              </w:rPr>
              <w:t xml:space="preserve"> свързани с предоставянето на информация на потребителите за храните в съответствие с изискванията на Регламент (ЕС) 1169/2011, изискванията</w:t>
            </w:r>
            <w:r w:rsidR="00F74E9E">
              <w:rPr>
                <w:rFonts w:ascii="Verdana" w:eastAsia="Calibri" w:hAnsi="Verdana"/>
                <w:bCs/>
                <w:iCs/>
                <w:sz w:val="20"/>
                <w:szCs w:val="20"/>
                <w:lang w:eastAsia="en-US"/>
              </w:rPr>
              <w:t>,</w:t>
            </w:r>
            <w:r w:rsidR="00795AB9">
              <w:rPr>
                <w:rFonts w:ascii="Verdana" w:eastAsia="Calibri" w:hAnsi="Verdana"/>
                <w:bCs/>
                <w:iCs/>
                <w:sz w:val="20"/>
                <w:szCs w:val="20"/>
                <w:lang w:eastAsia="en-US"/>
              </w:rPr>
              <w:t xml:space="preserve"> предвидени в специални разпоредби на регламентите на ЕС за определени храни, Закона за храните и на подзаконовите нормативни актове по прилагането му, както и разпоредбите</w:t>
            </w:r>
            <w:r w:rsidR="006B04E6">
              <w:rPr>
                <w:rFonts w:ascii="Verdana" w:eastAsia="Calibri" w:hAnsi="Verdana"/>
                <w:bCs/>
                <w:iCs/>
                <w:sz w:val="20"/>
                <w:szCs w:val="20"/>
                <w:lang w:eastAsia="en-US"/>
              </w:rPr>
              <w:t>,</w:t>
            </w:r>
            <w:r w:rsidR="00795AB9">
              <w:rPr>
                <w:rFonts w:ascii="Verdana" w:eastAsia="Calibri" w:hAnsi="Verdana"/>
                <w:bCs/>
                <w:iCs/>
                <w:sz w:val="20"/>
                <w:szCs w:val="20"/>
                <w:lang w:eastAsia="en-US"/>
              </w:rPr>
              <w:t xml:space="preserve"> </w:t>
            </w:r>
            <w:r w:rsidR="0011385D" w:rsidRPr="0011385D">
              <w:rPr>
                <w:rFonts w:ascii="Verdana" w:eastAsia="Calibri" w:hAnsi="Verdana"/>
                <w:bCs/>
                <w:iCs/>
                <w:sz w:val="20"/>
                <w:szCs w:val="20"/>
                <w:lang w:eastAsia="en-US"/>
              </w:rPr>
              <w:t>имащи за цел да въведат определени изисквания по отношение на означенията или маркировките, идентифициращи партидата, към която принадлежи дадена храна</w:t>
            </w:r>
            <w:r w:rsidR="00795AB9">
              <w:rPr>
                <w:rFonts w:ascii="Verdana" w:eastAsia="Calibri" w:hAnsi="Verdana"/>
                <w:bCs/>
                <w:iCs/>
                <w:sz w:val="20"/>
                <w:szCs w:val="20"/>
                <w:lang w:eastAsia="en-US"/>
              </w:rPr>
              <w:t>.</w:t>
            </w:r>
            <w:r w:rsidR="004D3E11">
              <w:rPr>
                <w:rFonts w:ascii="Verdana" w:eastAsia="Calibri" w:hAnsi="Verdana"/>
                <w:bCs/>
                <w:iCs/>
                <w:sz w:val="20"/>
                <w:szCs w:val="20"/>
                <w:lang w:eastAsia="en-US"/>
              </w:rPr>
              <w:t xml:space="preserve"> С проекта се въвеждат и национални мерки</w:t>
            </w:r>
            <w:r w:rsidR="000A4D19">
              <w:rPr>
                <w:rFonts w:ascii="Verdana" w:eastAsia="Calibri" w:hAnsi="Verdana"/>
                <w:bCs/>
                <w:iCs/>
                <w:sz w:val="20"/>
                <w:szCs w:val="20"/>
                <w:lang w:val="en-US" w:eastAsia="en-US"/>
              </w:rPr>
              <w:t xml:space="preserve"> </w:t>
            </w:r>
            <w:r w:rsidR="000A4D19">
              <w:rPr>
                <w:rFonts w:ascii="Verdana" w:hAnsi="Verdana"/>
                <w:sz w:val="20"/>
                <w:szCs w:val="20"/>
              </w:rPr>
              <w:t xml:space="preserve">съгласно </w:t>
            </w:r>
            <w:r w:rsidR="006A4485">
              <w:rPr>
                <w:rFonts w:ascii="Verdana" w:hAnsi="Verdana"/>
                <w:sz w:val="20"/>
                <w:szCs w:val="20"/>
              </w:rPr>
              <w:t xml:space="preserve">чл. </w:t>
            </w:r>
            <w:r w:rsidR="000A4D19">
              <w:rPr>
                <w:rFonts w:ascii="Verdana" w:hAnsi="Verdana"/>
                <w:sz w:val="20"/>
                <w:szCs w:val="20"/>
              </w:rPr>
              <w:t>44 на Регламент (ЕС) 1169 /2011</w:t>
            </w:r>
            <w:r w:rsidR="000A4D19">
              <w:rPr>
                <w:rFonts w:ascii="Verdana" w:hAnsi="Verdana"/>
                <w:sz w:val="20"/>
                <w:szCs w:val="20"/>
                <w:lang w:val="en-US"/>
              </w:rPr>
              <w:t xml:space="preserve"> </w:t>
            </w:r>
            <w:r w:rsidR="004D3E11">
              <w:rPr>
                <w:rFonts w:ascii="Verdana" w:eastAsia="Calibri" w:hAnsi="Verdana"/>
                <w:bCs/>
                <w:iCs/>
                <w:sz w:val="20"/>
                <w:szCs w:val="20"/>
                <w:lang w:eastAsia="en-US"/>
              </w:rPr>
              <w:t>за предоставянето на информация</w:t>
            </w:r>
            <w:r w:rsidR="003F48B3">
              <w:rPr>
                <w:rFonts w:ascii="Verdana" w:eastAsia="Calibri" w:hAnsi="Verdana"/>
                <w:bCs/>
                <w:iCs/>
                <w:sz w:val="20"/>
                <w:szCs w:val="20"/>
                <w:lang w:val="en-US" w:eastAsia="en-US"/>
              </w:rPr>
              <w:t xml:space="preserve"> </w:t>
            </w:r>
            <w:r w:rsidR="003F48B3">
              <w:rPr>
                <w:rFonts w:ascii="Verdana" w:eastAsia="Calibri" w:hAnsi="Verdana"/>
                <w:bCs/>
                <w:iCs/>
                <w:sz w:val="20"/>
                <w:szCs w:val="20"/>
                <w:lang w:eastAsia="en-US"/>
              </w:rPr>
              <w:t>при предлагане за продажба на храни на краен потребител или на заведение за обществено хранене без предварително опаковане, или когато храните са опаковани в търговските помещения по искане на потребителя или са предварително</w:t>
            </w:r>
            <w:r w:rsidR="004622A3">
              <w:rPr>
                <w:rFonts w:ascii="Verdana" w:eastAsia="Calibri" w:hAnsi="Verdana"/>
                <w:bCs/>
                <w:iCs/>
                <w:sz w:val="20"/>
                <w:szCs w:val="20"/>
                <w:lang w:eastAsia="en-US"/>
              </w:rPr>
              <w:t xml:space="preserve"> опаковани за директна продажба</w:t>
            </w:r>
            <w:r w:rsidR="000A4D19">
              <w:rPr>
                <w:rFonts w:ascii="Verdana" w:hAnsi="Verdana"/>
                <w:sz w:val="20"/>
                <w:szCs w:val="20"/>
                <w:lang w:val="en-US"/>
              </w:rPr>
              <w:t>.</w:t>
            </w:r>
          </w:p>
          <w:p w:rsidR="0031265E" w:rsidRPr="001B0D9D" w:rsidRDefault="006222FE" w:rsidP="001B0D9D">
            <w:pPr>
              <w:spacing w:before="0" w:beforeAutospacing="0" w:after="0" w:line="360" w:lineRule="auto"/>
              <w:ind w:left="142" w:right="475"/>
              <w:jc w:val="both"/>
              <w:rPr>
                <w:rFonts w:ascii="Verdana" w:hAnsi="Verdana"/>
                <w:b/>
                <w:i/>
                <w:sz w:val="20"/>
                <w:szCs w:val="20"/>
              </w:rPr>
            </w:pPr>
            <w:r w:rsidRPr="00A925A9">
              <w:rPr>
                <w:rFonts w:ascii="Verdana" w:hAnsi="Verdana"/>
                <w:b/>
                <w:i/>
                <w:sz w:val="20"/>
                <w:szCs w:val="20"/>
              </w:rPr>
              <w:t xml:space="preserve">1.2. Опишете какви са проблемите в прилагането на съществуващото законодателство или възникналите обстоятелства, които налагат приемането </w:t>
            </w:r>
            <w:r w:rsidRPr="00A925A9">
              <w:rPr>
                <w:rFonts w:ascii="Verdana" w:hAnsi="Verdana"/>
                <w:b/>
                <w:i/>
                <w:sz w:val="20"/>
                <w:szCs w:val="20"/>
              </w:rPr>
              <w:lastRenderedPageBreak/>
              <w:t>на ново законодателство.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rsidR="001B0D9D" w:rsidRDefault="002801AE" w:rsidP="00CC3C6C">
            <w:pPr>
              <w:spacing w:before="0" w:beforeAutospacing="0" w:after="0" w:afterAutospacing="0" w:line="360" w:lineRule="auto"/>
              <w:jc w:val="both"/>
              <w:rPr>
                <w:rFonts w:ascii="Verdana" w:eastAsia="Calibri" w:hAnsi="Verdana"/>
                <w:sz w:val="20"/>
                <w:szCs w:val="20"/>
                <w:lang w:eastAsia="en-US"/>
              </w:rPr>
            </w:pPr>
            <w:r w:rsidRPr="00A925A9">
              <w:rPr>
                <w:rFonts w:ascii="Verdana" w:eastAsia="Calibri" w:hAnsi="Verdana"/>
                <w:sz w:val="20"/>
                <w:szCs w:val="20"/>
                <w:lang w:eastAsia="en-US"/>
              </w:rPr>
              <w:t xml:space="preserve">     </w:t>
            </w:r>
            <w:r w:rsidR="009615FF">
              <w:rPr>
                <w:rFonts w:ascii="Verdana" w:eastAsia="Calibri" w:hAnsi="Verdana"/>
                <w:sz w:val="20"/>
                <w:szCs w:val="20"/>
                <w:lang w:eastAsia="en-US"/>
              </w:rPr>
              <w:t>Постоянните проверки на Българска агенция по безопасност на храните (БАБХ)</w:t>
            </w:r>
            <w:r w:rsidR="00B8384E">
              <w:rPr>
                <w:rFonts w:ascii="Verdana" w:eastAsia="Calibri" w:hAnsi="Verdana"/>
                <w:sz w:val="20"/>
                <w:szCs w:val="20"/>
                <w:lang w:eastAsia="en-US"/>
              </w:rPr>
              <w:t>,</w:t>
            </w:r>
            <w:r w:rsidR="001B0D9D">
              <w:rPr>
                <w:rFonts w:ascii="Verdana" w:eastAsia="Calibri" w:hAnsi="Verdana"/>
                <w:sz w:val="20"/>
                <w:szCs w:val="20"/>
                <w:lang w:val="en-US" w:eastAsia="en-US"/>
              </w:rPr>
              <w:t xml:space="preserve"> </w:t>
            </w:r>
            <w:r w:rsidR="00F0222A">
              <w:rPr>
                <w:rFonts w:ascii="Verdana" w:eastAsia="Calibri" w:hAnsi="Verdana"/>
                <w:sz w:val="20"/>
                <w:szCs w:val="20"/>
                <w:lang w:eastAsia="en-US"/>
              </w:rPr>
              <w:t>извършени за 2019 г.</w:t>
            </w:r>
            <w:r w:rsidR="00B8384E">
              <w:rPr>
                <w:rFonts w:ascii="Verdana" w:eastAsia="Calibri" w:hAnsi="Verdana"/>
                <w:sz w:val="20"/>
                <w:szCs w:val="20"/>
                <w:lang w:eastAsia="en-US"/>
              </w:rPr>
              <w:t>,</w:t>
            </w:r>
            <w:r w:rsidR="00371A35" w:rsidRPr="00A925A9">
              <w:rPr>
                <w:rFonts w:ascii="Verdana" w:eastAsia="Calibri" w:hAnsi="Verdana"/>
                <w:sz w:val="20"/>
                <w:szCs w:val="20"/>
                <w:lang w:eastAsia="en-US"/>
              </w:rPr>
              <w:t xml:space="preserve"> </w:t>
            </w:r>
            <w:r w:rsidR="001B0D9D">
              <w:rPr>
                <w:rFonts w:ascii="Verdana" w:eastAsia="Calibri" w:hAnsi="Verdana"/>
                <w:sz w:val="20"/>
                <w:szCs w:val="20"/>
                <w:lang w:eastAsia="en-US"/>
              </w:rPr>
              <w:t>показват следните тенденции:</w:t>
            </w:r>
          </w:p>
          <w:p w:rsidR="001B0D9D" w:rsidRPr="001B0D9D" w:rsidRDefault="001B0D9D" w:rsidP="001B0D9D">
            <w:pPr>
              <w:numPr>
                <w:ilvl w:val="0"/>
                <w:numId w:val="35"/>
              </w:numPr>
              <w:tabs>
                <w:tab w:val="num" w:pos="644"/>
              </w:tabs>
              <w:spacing w:before="0" w:beforeAutospacing="0" w:after="0" w:afterAutospacing="0" w:line="360" w:lineRule="auto"/>
              <w:jc w:val="both"/>
              <w:rPr>
                <w:rFonts w:ascii="Verdana" w:eastAsia="Calibri" w:hAnsi="Verdana"/>
                <w:b/>
                <w:bCs/>
                <w:sz w:val="20"/>
                <w:szCs w:val="20"/>
                <w:lang w:eastAsia="en-US"/>
              </w:rPr>
            </w:pPr>
            <w:r w:rsidRPr="001B0D9D">
              <w:rPr>
                <w:rFonts w:ascii="Verdana" w:eastAsia="Calibri" w:hAnsi="Verdana"/>
                <w:sz w:val="20"/>
                <w:szCs w:val="20"/>
                <w:lang w:eastAsia="en-US"/>
              </w:rPr>
              <w:t xml:space="preserve">Общ брой извършени проверки в цялата страна – </w:t>
            </w:r>
            <w:r w:rsidRPr="001B0D9D">
              <w:rPr>
                <w:rFonts w:ascii="Verdana" w:eastAsia="Calibri" w:hAnsi="Verdana"/>
                <w:b/>
                <w:sz w:val="20"/>
                <w:szCs w:val="20"/>
                <w:lang w:eastAsia="en-US"/>
              </w:rPr>
              <w:t xml:space="preserve">27 342 </w:t>
            </w:r>
            <w:r w:rsidRPr="001B0D9D">
              <w:rPr>
                <w:rFonts w:ascii="Verdana" w:eastAsia="Calibri" w:hAnsi="Verdana"/>
                <w:b/>
                <w:bCs/>
                <w:sz w:val="20"/>
                <w:szCs w:val="20"/>
                <w:lang w:eastAsia="en-US"/>
              </w:rPr>
              <w:t>бр.</w:t>
            </w:r>
          </w:p>
          <w:p w:rsidR="001B0D9D" w:rsidRPr="001B0D9D" w:rsidRDefault="001B0D9D" w:rsidP="001B0D9D">
            <w:pPr>
              <w:numPr>
                <w:ilvl w:val="0"/>
                <w:numId w:val="35"/>
              </w:numPr>
              <w:tabs>
                <w:tab w:val="num" w:pos="644"/>
              </w:tabs>
              <w:spacing w:before="0" w:beforeAutospacing="0" w:after="0" w:afterAutospacing="0" w:line="360" w:lineRule="auto"/>
              <w:jc w:val="both"/>
              <w:rPr>
                <w:rFonts w:ascii="Verdana" w:eastAsia="Calibri" w:hAnsi="Verdana"/>
                <w:b/>
                <w:bCs/>
                <w:sz w:val="20"/>
                <w:szCs w:val="20"/>
                <w:lang w:eastAsia="en-US"/>
              </w:rPr>
            </w:pPr>
            <w:r w:rsidRPr="001B0D9D">
              <w:rPr>
                <w:rFonts w:ascii="Verdana" w:eastAsia="Calibri" w:hAnsi="Verdana"/>
                <w:sz w:val="20"/>
                <w:szCs w:val="20"/>
                <w:lang w:eastAsia="en-US"/>
              </w:rPr>
              <w:t xml:space="preserve">Издадени предписания – </w:t>
            </w:r>
            <w:r w:rsidRPr="001B0D9D">
              <w:rPr>
                <w:rFonts w:ascii="Verdana" w:eastAsia="Calibri" w:hAnsi="Verdana"/>
                <w:b/>
                <w:sz w:val="20"/>
                <w:szCs w:val="20"/>
                <w:lang w:eastAsia="en-US"/>
              </w:rPr>
              <w:t>1</w:t>
            </w:r>
            <w:r w:rsidR="00B8384E">
              <w:rPr>
                <w:rFonts w:ascii="Verdana" w:eastAsia="Calibri" w:hAnsi="Verdana"/>
                <w:b/>
                <w:sz w:val="20"/>
                <w:szCs w:val="20"/>
                <w:lang w:eastAsia="en-US"/>
              </w:rPr>
              <w:t xml:space="preserve"> </w:t>
            </w:r>
            <w:r w:rsidRPr="001B0D9D">
              <w:rPr>
                <w:rFonts w:ascii="Verdana" w:eastAsia="Calibri" w:hAnsi="Verdana"/>
                <w:b/>
                <w:sz w:val="20"/>
                <w:szCs w:val="20"/>
                <w:lang w:eastAsia="en-US"/>
              </w:rPr>
              <w:t xml:space="preserve">910 </w:t>
            </w:r>
            <w:r w:rsidRPr="001B0D9D">
              <w:rPr>
                <w:rFonts w:ascii="Verdana" w:eastAsia="Calibri" w:hAnsi="Verdana"/>
                <w:b/>
                <w:bCs/>
                <w:sz w:val="20"/>
                <w:szCs w:val="20"/>
                <w:lang w:eastAsia="en-US"/>
              </w:rPr>
              <w:t>бр.</w:t>
            </w:r>
          </w:p>
          <w:p w:rsidR="001B0D9D" w:rsidRPr="001B0D9D" w:rsidRDefault="009A256D" w:rsidP="001B0D9D">
            <w:pPr>
              <w:numPr>
                <w:ilvl w:val="0"/>
                <w:numId w:val="35"/>
              </w:numPr>
              <w:tabs>
                <w:tab w:val="num" w:pos="644"/>
              </w:tabs>
              <w:spacing w:before="0" w:beforeAutospacing="0" w:after="0" w:afterAutospacing="0" w:line="360" w:lineRule="auto"/>
              <w:jc w:val="both"/>
              <w:rPr>
                <w:rFonts w:ascii="Verdana" w:eastAsia="Calibri" w:hAnsi="Verdana"/>
                <w:b/>
                <w:bCs/>
                <w:sz w:val="20"/>
                <w:szCs w:val="20"/>
                <w:lang w:eastAsia="en-US"/>
              </w:rPr>
            </w:pPr>
            <w:r>
              <w:rPr>
                <w:rFonts w:ascii="Verdana" w:eastAsia="Calibri" w:hAnsi="Verdana"/>
                <w:sz w:val="20"/>
                <w:szCs w:val="20"/>
                <w:lang w:eastAsia="en-US"/>
              </w:rPr>
              <w:t>Съставени Актове за установяване на административно нарушение (АУАН)</w:t>
            </w:r>
            <w:r w:rsidR="001B0D9D" w:rsidRPr="001B0D9D">
              <w:rPr>
                <w:rFonts w:ascii="Verdana" w:eastAsia="Calibri" w:hAnsi="Verdana"/>
                <w:sz w:val="20"/>
                <w:szCs w:val="20"/>
                <w:lang w:eastAsia="en-US"/>
              </w:rPr>
              <w:t xml:space="preserve"> – </w:t>
            </w:r>
            <w:r w:rsidR="001B0D9D" w:rsidRPr="001B0D9D">
              <w:rPr>
                <w:rFonts w:ascii="Verdana" w:eastAsia="Calibri" w:hAnsi="Verdana"/>
                <w:b/>
                <w:bCs/>
                <w:sz w:val="20"/>
                <w:szCs w:val="20"/>
                <w:lang w:eastAsia="en-US"/>
              </w:rPr>
              <w:t>307 бр.</w:t>
            </w:r>
          </w:p>
          <w:p w:rsidR="001B0D9D" w:rsidRDefault="009A256D" w:rsidP="009A72B1">
            <w:pPr>
              <w:numPr>
                <w:ilvl w:val="0"/>
                <w:numId w:val="35"/>
              </w:numPr>
              <w:spacing w:before="0" w:beforeAutospacing="0" w:after="0" w:afterAutospacing="0" w:line="360" w:lineRule="auto"/>
              <w:jc w:val="both"/>
              <w:rPr>
                <w:rFonts w:ascii="Verdana" w:eastAsia="Calibri" w:hAnsi="Verdana"/>
                <w:sz w:val="20"/>
                <w:szCs w:val="20"/>
                <w:lang w:eastAsia="en-US"/>
              </w:rPr>
            </w:pPr>
            <w:r>
              <w:rPr>
                <w:rFonts w:ascii="Verdana" w:eastAsia="Calibri" w:hAnsi="Verdana"/>
                <w:sz w:val="20"/>
                <w:szCs w:val="20"/>
                <w:lang w:eastAsia="en-US"/>
              </w:rPr>
              <w:t xml:space="preserve"> </w:t>
            </w:r>
            <w:r w:rsidR="004A4B71">
              <w:rPr>
                <w:rFonts w:ascii="Verdana" w:eastAsia="Calibri" w:hAnsi="Verdana"/>
                <w:sz w:val="20"/>
                <w:szCs w:val="20"/>
                <w:lang w:eastAsia="en-US"/>
              </w:rPr>
              <w:t>Възбранени и бракувани храни</w:t>
            </w:r>
            <w:r w:rsidR="001B0D9D" w:rsidRPr="001B0D9D">
              <w:rPr>
                <w:rFonts w:ascii="Verdana" w:eastAsia="Calibri" w:hAnsi="Verdana"/>
                <w:sz w:val="20"/>
                <w:szCs w:val="20"/>
                <w:lang w:eastAsia="en-US"/>
              </w:rPr>
              <w:t xml:space="preserve"> – </w:t>
            </w:r>
            <w:r w:rsidR="001B0D9D" w:rsidRPr="001B0D9D">
              <w:rPr>
                <w:rFonts w:ascii="Verdana" w:eastAsia="Calibri" w:hAnsi="Verdana"/>
                <w:b/>
                <w:sz w:val="20"/>
                <w:szCs w:val="20"/>
                <w:lang w:eastAsia="en-US"/>
              </w:rPr>
              <w:t>4 380 кг</w:t>
            </w:r>
            <w:r w:rsidR="001B0D9D" w:rsidRPr="001B0D9D">
              <w:rPr>
                <w:rFonts w:ascii="Verdana" w:eastAsia="Calibri" w:hAnsi="Verdana"/>
                <w:sz w:val="20"/>
                <w:szCs w:val="20"/>
                <w:lang w:eastAsia="en-US"/>
              </w:rPr>
              <w:t>. храни от животински и неживотински произход /</w:t>
            </w:r>
            <w:r w:rsidR="000A7122">
              <w:rPr>
                <w:rFonts w:ascii="Verdana" w:eastAsia="Calibri" w:hAnsi="Verdana"/>
                <w:sz w:val="20"/>
                <w:szCs w:val="20"/>
                <w:lang w:eastAsia="en-US"/>
              </w:rPr>
              <w:t xml:space="preserve">неправилно етикетирани, </w:t>
            </w:r>
            <w:r w:rsidR="001B0D9D" w:rsidRPr="00B21DF6">
              <w:rPr>
                <w:rFonts w:ascii="Verdana" w:eastAsia="Calibri" w:hAnsi="Verdana"/>
                <w:sz w:val="20"/>
                <w:szCs w:val="20"/>
                <w:lang w:eastAsia="en-US"/>
              </w:rPr>
              <w:t>без етикети, изтекъл срок на годност</w:t>
            </w:r>
            <w:r w:rsidR="000A7122" w:rsidRPr="00B21DF6">
              <w:rPr>
                <w:rFonts w:ascii="Verdana" w:eastAsia="Calibri" w:hAnsi="Verdana"/>
                <w:sz w:val="20"/>
                <w:szCs w:val="20"/>
                <w:lang w:eastAsia="en-US"/>
              </w:rPr>
              <w:t>,</w:t>
            </w:r>
            <w:r w:rsidR="001B0D9D" w:rsidRPr="00B21DF6">
              <w:rPr>
                <w:rFonts w:ascii="Verdana" w:eastAsia="Calibri" w:hAnsi="Verdana"/>
                <w:sz w:val="20"/>
                <w:szCs w:val="20"/>
                <w:lang w:eastAsia="en-US"/>
              </w:rPr>
              <w:t xml:space="preserve"> без здравн</w:t>
            </w:r>
            <w:r w:rsidR="000A7122" w:rsidRPr="00B21DF6">
              <w:rPr>
                <w:rFonts w:ascii="Verdana" w:eastAsia="Calibri" w:hAnsi="Verdana"/>
                <w:sz w:val="20"/>
                <w:szCs w:val="20"/>
                <w:lang w:eastAsia="en-US"/>
              </w:rPr>
              <w:t>а и идентификационна маркировка</w:t>
            </w:r>
            <w:r w:rsidR="001B0D9D" w:rsidRPr="00B21DF6">
              <w:rPr>
                <w:rFonts w:ascii="Verdana" w:eastAsia="Calibri" w:hAnsi="Verdana"/>
                <w:sz w:val="20"/>
                <w:szCs w:val="20"/>
                <w:lang w:eastAsia="en-US"/>
              </w:rPr>
              <w:t xml:space="preserve"> и документи за произход, неправилно съхранение</w:t>
            </w:r>
            <w:r w:rsidR="00A05E09" w:rsidRPr="00B21DF6">
              <w:rPr>
                <w:rFonts w:ascii="Verdana" w:eastAsia="Calibri" w:hAnsi="Verdana"/>
                <w:sz w:val="20"/>
                <w:szCs w:val="20"/>
                <w:lang w:eastAsia="en-US"/>
              </w:rPr>
              <w:t xml:space="preserve"> на</w:t>
            </w:r>
            <w:r w:rsidR="001B0D9D" w:rsidRPr="00B21DF6">
              <w:rPr>
                <w:rFonts w:ascii="Verdana" w:eastAsia="Calibri" w:hAnsi="Verdana"/>
                <w:sz w:val="20"/>
                <w:szCs w:val="20"/>
                <w:lang w:eastAsia="en-US"/>
              </w:rPr>
              <w:t xml:space="preserve"> храни</w:t>
            </w:r>
            <w:r w:rsidR="00B21DF6" w:rsidRPr="00B21DF6">
              <w:rPr>
                <w:rFonts w:ascii="Verdana" w:eastAsia="Calibri" w:hAnsi="Verdana"/>
                <w:sz w:val="20"/>
                <w:szCs w:val="20"/>
                <w:lang w:eastAsia="en-US"/>
              </w:rPr>
              <w:t>,</w:t>
            </w:r>
            <w:r w:rsidR="001B0D9D" w:rsidRPr="00B21DF6">
              <w:rPr>
                <w:rFonts w:ascii="Verdana" w:eastAsia="Calibri" w:hAnsi="Verdana"/>
                <w:sz w:val="20"/>
                <w:szCs w:val="20"/>
                <w:lang w:eastAsia="en-US"/>
              </w:rPr>
              <w:t xml:space="preserve"> неразрешени за предлагане при организирано хранене на деца, съгласно изискванията </w:t>
            </w:r>
            <w:r w:rsidR="001B0D9D" w:rsidRPr="001B0D9D">
              <w:rPr>
                <w:rFonts w:ascii="Verdana" w:eastAsia="Calibri" w:hAnsi="Verdana"/>
                <w:i/>
                <w:sz w:val="20"/>
                <w:szCs w:val="20"/>
                <w:lang w:eastAsia="en-US"/>
              </w:rPr>
              <w:t>на</w:t>
            </w:r>
            <w:r w:rsidR="0090186A">
              <w:rPr>
                <w:rFonts w:ascii="Verdana" w:eastAsia="Calibri" w:hAnsi="Verdana"/>
                <w:i/>
                <w:sz w:val="20"/>
                <w:szCs w:val="20"/>
                <w:lang w:eastAsia="en-US"/>
              </w:rPr>
              <w:t xml:space="preserve"> </w:t>
            </w:r>
            <w:r w:rsidR="0090186A">
              <w:rPr>
                <w:rFonts w:ascii="Verdana" w:eastAsia="Calibri" w:hAnsi="Verdana"/>
                <w:sz w:val="20"/>
                <w:szCs w:val="20"/>
                <w:lang w:eastAsia="en-US"/>
              </w:rPr>
              <w:t>Наредба</w:t>
            </w:r>
            <w:r w:rsidR="0090186A" w:rsidRPr="0090186A">
              <w:rPr>
                <w:rFonts w:ascii="Verdana" w:eastAsia="Calibri" w:hAnsi="Verdana"/>
                <w:sz w:val="20"/>
                <w:szCs w:val="20"/>
                <w:lang w:eastAsia="en-US"/>
              </w:rPr>
              <w:t xml:space="preserve"> № 8 от 2018 г. за специфичните изисквания към безопасността и качеството на храните, предлагани в детските заведения, училищните столове и обектите за търговия на дребно на територията на училищата и на детските заведения, както и към храни, предлагани при организирани мероприятия за деца и ученици</w:t>
            </w:r>
            <w:r w:rsidR="000438E0">
              <w:rPr>
                <w:rFonts w:ascii="Verdana" w:eastAsia="Calibri" w:hAnsi="Verdana"/>
                <w:sz w:val="20"/>
                <w:szCs w:val="20"/>
                <w:lang w:eastAsia="en-US"/>
              </w:rPr>
              <w:t xml:space="preserve"> (</w:t>
            </w:r>
            <w:r w:rsidR="00D119C2">
              <w:rPr>
                <w:rFonts w:ascii="Verdana" w:eastAsia="Calibri" w:hAnsi="Verdana"/>
                <w:sz w:val="20"/>
                <w:szCs w:val="20"/>
                <w:lang w:eastAsia="en-US"/>
              </w:rPr>
              <w:t>обн.</w:t>
            </w:r>
            <w:r w:rsidR="00B21DF6">
              <w:rPr>
                <w:rFonts w:ascii="Verdana" w:eastAsia="Calibri" w:hAnsi="Verdana"/>
                <w:sz w:val="20"/>
                <w:szCs w:val="20"/>
                <w:lang w:eastAsia="en-US"/>
              </w:rPr>
              <w:t xml:space="preserve"> </w:t>
            </w:r>
            <w:r w:rsidR="00D119C2" w:rsidRPr="00D119C2">
              <w:rPr>
                <w:rFonts w:ascii="Verdana" w:eastAsia="Calibri" w:hAnsi="Verdana"/>
                <w:sz w:val="20"/>
                <w:szCs w:val="20"/>
                <w:lang w:eastAsia="en-US"/>
              </w:rPr>
              <w:t>ДВ, бр. 104 от 2018 г</w:t>
            </w:r>
            <w:r w:rsidR="00F04245">
              <w:rPr>
                <w:rFonts w:ascii="Verdana" w:eastAsia="Calibri" w:hAnsi="Verdana"/>
                <w:sz w:val="20"/>
                <w:szCs w:val="20"/>
                <w:lang w:eastAsia="en-US"/>
              </w:rPr>
              <w:t>.</w:t>
            </w:r>
            <w:r w:rsidR="00D119C2">
              <w:rPr>
                <w:rFonts w:ascii="Verdana" w:eastAsia="Calibri" w:hAnsi="Verdana"/>
                <w:sz w:val="20"/>
                <w:szCs w:val="20"/>
                <w:lang w:eastAsia="en-US"/>
              </w:rPr>
              <w:t>)</w:t>
            </w:r>
            <w:r w:rsidR="00D119C2" w:rsidRPr="00D119C2">
              <w:rPr>
                <w:rFonts w:ascii="Verdana" w:eastAsia="Calibri" w:hAnsi="Verdana"/>
                <w:sz w:val="20"/>
                <w:szCs w:val="20"/>
                <w:lang w:eastAsia="en-US"/>
              </w:rPr>
              <w:t>,</w:t>
            </w:r>
            <w:r w:rsidR="00EA04AF">
              <w:rPr>
                <w:rFonts w:ascii="Verdana" w:eastAsia="Calibri" w:hAnsi="Verdana"/>
                <w:sz w:val="20"/>
                <w:szCs w:val="20"/>
                <w:lang w:eastAsia="en-US"/>
              </w:rPr>
              <w:t xml:space="preserve"> </w:t>
            </w:r>
            <w:r w:rsidR="009A72B1" w:rsidRPr="00993EF7">
              <w:rPr>
                <w:rFonts w:ascii="Verdana" w:eastAsia="Calibri" w:hAnsi="Verdana"/>
                <w:sz w:val="20"/>
                <w:szCs w:val="20"/>
                <w:lang w:val="en-US" w:eastAsia="en-US"/>
              </w:rPr>
              <w:t>(</w:t>
            </w:r>
            <w:r w:rsidR="009A72B1" w:rsidRPr="00993EF7">
              <w:t xml:space="preserve"> </w:t>
            </w:r>
            <w:r w:rsidR="009A72B1" w:rsidRPr="00993EF7">
              <w:rPr>
                <w:rFonts w:ascii="Verdana" w:eastAsia="Calibri" w:hAnsi="Verdana"/>
                <w:sz w:val="20"/>
                <w:szCs w:val="20"/>
                <w:lang w:val="en-US" w:eastAsia="en-US"/>
              </w:rPr>
              <w:t>Наредба № 8 от 2018 г.)</w:t>
            </w:r>
            <w:r w:rsidR="00D119C2" w:rsidRPr="00993EF7">
              <w:rPr>
                <w:rFonts w:ascii="Verdana" w:eastAsia="Calibri" w:hAnsi="Verdana"/>
                <w:sz w:val="20"/>
                <w:szCs w:val="20"/>
                <w:lang w:eastAsia="en-US"/>
              </w:rPr>
              <w:t xml:space="preserve"> </w:t>
            </w:r>
            <w:r w:rsidR="001B0D9D" w:rsidRPr="001B0D9D">
              <w:rPr>
                <w:rFonts w:ascii="Verdana" w:eastAsia="Calibri" w:hAnsi="Verdana"/>
                <w:b/>
                <w:sz w:val="20"/>
                <w:szCs w:val="20"/>
                <w:lang w:eastAsia="en-US"/>
              </w:rPr>
              <w:t>73 л.</w:t>
            </w:r>
            <w:r w:rsidR="001B0D9D" w:rsidRPr="001B0D9D">
              <w:rPr>
                <w:rFonts w:ascii="Verdana" w:eastAsia="Calibri" w:hAnsi="Verdana"/>
                <w:sz w:val="20"/>
                <w:szCs w:val="20"/>
                <w:lang w:eastAsia="en-US"/>
              </w:rPr>
              <w:t xml:space="preserve"> храни от животински и неживотински произход /</w:t>
            </w:r>
            <w:r w:rsidR="001B0D9D" w:rsidRPr="001B0D9D">
              <w:rPr>
                <w:rFonts w:ascii="Verdana" w:eastAsia="Calibri" w:hAnsi="Verdana"/>
                <w:i/>
                <w:sz w:val="20"/>
                <w:szCs w:val="20"/>
                <w:lang w:eastAsia="en-US"/>
              </w:rPr>
              <w:t>изтекъл срок на годност и документи за произход</w:t>
            </w:r>
            <w:r w:rsidR="001B0D9D" w:rsidRPr="001B0D9D">
              <w:rPr>
                <w:rFonts w:ascii="Verdana" w:eastAsia="Calibri" w:hAnsi="Verdana"/>
                <w:sz w:val="20"/>
                <w:szCs w:val="20"/>
                <w:lang w:eastAsia="en-US"/>
              </w:rPr>
              <w:t>/ и 510 бр. яйца /</w:t>
            </w:r>
            <w:r w:rsidR="001B0D9D" w:rsidRPr="001B0D9D">
              <w:rPr>
                <w:rFonts w:ascii="Verdana" w:eastAsia="Calibri" w:hAnsi="Verdana"/>
                <w:i/>
                <w:sz w:val="20"/>
                <w:szCs w:val="20"/>
                <w:lang w:eastAsia="en-US"/>
              </w:rPr>
              <w:t>без маркировка и търговски документи</w:t>
            </w:r>
            <w:r w:rsidR="001B0D9D" w:rsidRPr="001B0D9D">
              <w:rPr>
                <w:rFonts w:ascii="Verdana" w:eastAsia="Calibri" w:hAnsi="Verdana"/>
                <w:sz w:val="20"/>
                <w:szCs w:val="20"/>
                <w:lang w:eastAsia="en-US"/>
              </w:rPr>
              <w:t>/.</w:t>
            </w:r>
          </w:p>
          <w:p w:rsidR="000A7122" w:rsidRDefault="000A7122" w:rsidP="00CC3C6C">
            <w:pPr>
              <w:numPr>
                <w:ilvl w:val="0"/>
                <w:numId w:val="35"/>
              </w:numPr>
              <w:tabs>
                <w:tab w:val="num" w:pos="567"/>
              </w:tabs>
              <w:spacing w:before="0" w:beforeAutospacing="0" w:after="0" w:afterAutospacing="0" w:line="360" w:lineRule="auto"/>
              <w:jc w:val="both"/>
              <w:rPr>
                <w:rFonts w:ascii="Verdana" w:eastAsia="Calibri" w:hAnsi="Verdana"/>
                <w:sz w:val="20"/>
                <w:szCs w:val="20"/>
                <w:lang w:eastAsia="en-US"/>
              </w:rPr>
            </w:pPr>
            <w:r w:rsidRPr="000A7122">
              <w:rPr>
                <w:rFonts w:ascii="Verdana" w:eastAsia="Calibri" w:hAnsi="Verdana"/>
                <w:sz w:val="20"/>
                <w:szCs w:val="20"/>
                <w:lang w:eastAsia="en-US"/>
              </w:rPr>
              <w:t>За о</w:t>
            </w:r>
            <w:r w:rsidR="00792CFB">
              <w:rPr>
                <w:rFonts w:ascii="Verdana" w:eastAsia="Calibri" w:hAnsi="Verdana"/>
                <w:sz w:val="20"/>
                <w:szCs w:val="20"/>
                <w:lang w:eastAsia="en-US"/>
              </w:rPr>
              <w:t>пределяне на енергийна стойност</w:t>
            </w:r>
            <w:r w:rsidRPr="000A7122">
              <w:rPr>
                <w:rFonts w:ascii="Verdana" w:eastAsia="Calibri" w:hAnsi="Verdana"/>
                <w:sz w:val="20"/>
                <w:szCs w:val="20"/>
                <w:lang w:eastAsia="en-US"/>
              </w:rPr>
              <w:t xml:space="preserve"> съгласно Регламент (ЕС) № 1169/2011</w:t>
            </w:r>
            <w:r w:rsidR="00F61BA1">
              <w:rPr>
                <w:rFonts w:ascii="Verdana" w:eastAsia="Calibri" w:hAnsi="Verdana"/>
                <w:sz w:val="20"/>
                <w:szCs w:val="20"/>
                <w:lang w:eastAsia="en-US"/>
              </w:rPr>
              <w:t xml:space="preserve"> в годишния план</w:t>
            </w:r>
            <w:r w:rsidRPr="000A7122">
              <w:rPr>
                <w:rFonts w:ascii="Verdana" w:eastAsia="Calibri" w:hAnsi="Verdana"/>
                <w:sz w:val="20"/>
                <w:szCs w:val="20"/>
                <w:lang w:eastAsia="en-US"/>
              </w:rPr>
              <w:t xml:space="preserve"> за 2019 г. бяха заложени да бъдат изпитани 112 бр. проби храни</w:t>
            </w:r>
            <w:r w:rsidR="00B21DF6">
              <w:rPr>
                <w:rFonts w:ascii="Verdana" w:eastAsia="Calibri" w:hAnsi="Verdana"/>
                <w:sz w:val="20"/>
                <w:szCs w:val="20"/>
                <w:lang w:eastAsia="en-US"/>
              </w:rPr>
              <w:t>,</w:t>
            </w:r>
            <w:r w:rsidRPr="000A7122">
              <w:rPr>
                <w:rFonts w:ascii="Verdana" w:eastAsia="Calibri" w:hAnsi="Verdana"/>
                <w:sz w:val="20"/>
                <w:szCs w:val="20"/>
                <w:lang w:eastAsia="en-US"/>
              </w:rPr>
              <w:t xml:space="preserve"> разпределени в следните групи: „месо и месни продукти“ – 28 бр</w:t>
            </w:r>
            <w:r w:rsidR="00B21DF6">
              <w:rPr>
                <w:rFonts w:ascii="Verdana" w:eastAsia="Calibri" w:hAnsi="Verdana"/>
                <w:sz w:val="20"/>
                <w:szCs w:val="20"/>
                <w:lang w:eastAsia="en-US"/>
              </w:rPr>
              <w:t>.</w:t>
            </w:r>
            <w:r w:rsidRPr="000A7122">
              <w:rPr>
                <w:rFonts w:ascii="Verdana" w:eastAsia="Calibri" w:hAnsi="Verdana"/>
                <w:sz w:val="20"/>
                <w:szCs w:val="20"/>
                <w:lang w:eastAsia="en-US"/>
              </w:rPr>
              <w:t xml:space="preserve"> проби, „мляко и млечни продукти“ – 28 бр. проби, „брашно, хляб, хлебни и зърнени продукти“ –</w:t>
            </w:r>
            <w:r w:rsidR="00F61BA1">
              <w:rPr>
                <w:rFonts w:ascii="Verdana" w:eastAsia="Calibri" w:hAnsi="Verdana"/>
                <w:sz w:val="20"/>
                <w:szCs w:val="20"/>
                <w:lang w:eastAsia="en-US"/>
              </w:rPr>
              <w:t xml:space="preserve"> 28 бр. проби и „захар и захарни</w:t>
            </w:r>
            <w:r w:rsidRPr="000A7122">
              <w:rPr>
                <w:rFonts w:ascii="Verdana" w:eastAsia="Calibri" w:hAnsi="Verdana"/>
                <w:sz w:val="20"/>
                <w:szCs w:val="20"/>
                <w:lang w:eastAsia="en-US"/>
              </w:rPr>
              <w:t xml:space="preserve"> изделия“ – 28 бр. проби.</w:t>
            </w:r>
            <w:r>
              <w:rPr>
                <w:rFonts w:ascii="Verdana" w:eastAsia="Calibri" w:hAnsi="Verdana"/>
                <w:sz w:val="20"/>
                <w:szCs w:val="20"/>
                <w:lang w:eastAsia="en-US"/>
              </w:rPr>
              <w:t xml:space="preserve"> Открити са голям брой несъответстващи проби. </w:t>
            </w:r>
          </w:p>
          <w:p w:rsidR="00A05E09" w:rsidRPr="00A05E09" w:rsidRDefault="00A05E09" w:rsidP="00A05E09">
            <w:pPr>
              <w:spacing w:before="0" w:beforeAutospacing="0" w:after="0" w:afterAutospacing="0" w:line="360" w:lineRule="auto"/>
              <w:jc w:val="both"/>
              <w:rPr>
                <w:rFonts w:ascii="Verdana" w:eastAsia="Calibri" w:hAnsi="Verdana"/>
                <w:sz w:val="20"/>
                <w:szCs w:val="20"/>
                <w:lang w:eastAsia="en-US"/>
              </w:rPr>
            </w:pPr>
          </w:p>
          <w:p w:rsidR="00583A28" w:rsidRPr="00FE4B73" w:rsidRDefault="00FA74A5" w:rsidP="00583A28">
            <w:pPr>
              <w:spacing w:before="0" w:beforeAutospacing="0" w:after="0" w:afterAutospacing="0" w:line="360" w:lineRule="auto"/>
              <w:jc w:val="both"/>
              <w:rPr>
                <w:rFonts w:ascii="Verdana" w:eastAsia="Calibri" w:hAnsi="Verdana"/>
                <w:sz w:val="20"/>
                <w:szCs w:val="20"/>
                <w:lang w:eastAsia="en-US"/>
              </w:rPr>
            </w:pPr>
            <w:r>
              <w:rPr>
                <w:rFonts w:ascii="Verdana" w:eastAsia="Calibri" w:hAnsi="Verdana"/>
                <w:sz w:val="20"/>
                <w:szCs w:val="20"/>
                <w:lang w:eastAsia="en-US"/>
              </w:rPr>
              <w:t xml:space="preserve">    </w:t>
            </w:r>
            <w:r w:rsidR="00A05E09" w:rsidRPr="00A05E09">
              <w:rPr>
                <w:rFonts w:ascii="Verdana" w:eastAsia="Calibri" w:hAnsi="Verdana"/>
                <w:sz w:val="20"/>
                <w:szCs w:val="20"/>
                <w:lang w:eastAsia="en-US"/>
              </w:rPr>
              <w:t xml:space="preserve">Търговията с храни заема много важно място на вътрешния пазар. </w:t>
            </w:r>
            <w:r w:rsidR="00A05E09">
              <w:rPr>
                <w:rFonts w:ascii="Verdana" w:eastAsia="Calibri" w:hAnsi="Verdana"/>
                <w:sz w:val="20"/>
                <w:szCs w:val="20"/>
                <w:lang w:eastAsia="en-US"/>
              </w:rPr>
              <w:t>При много от нап</w:t>
            </w:r>
            <w:r w:rsidR="00B21DF6">
              <w:rPr>
                <w:rFonts w:ascii="Verdana" w:eastAsia="Calibri" w:hAnsi="Verdana"/>
                <w:sz w:val="20"/>
                <w:szCs w:val="20"/>
                <w:lang w:eastAsia="en-US"/>
              </w:rPr>
              <w:t>равените проверки се констатира</w:t>
            </w:r>
            <w:r w:rsidR="00371A35" w:rsidRPr="00A925A9">
              <w:rPr>
                <w:rFonts w:ascii="Verdana" w:eastAsia="Calibri" w:hAnsi="Verdana"/>
                <w:sz w:val="20"/>
                <w:szCs w:val="20"/>
                <w:lang w:eastAsia="en-US"/>
              </w:rPr>
              <w:t xml:space="preserve">, че </w:t>
            </w:r>
            <w:r w:rsidR="00882E63">
              <w:rPr>
                <w:rFonts w:ascii="Verdana" w:eastAsia="Calibri" w:hAnsi="Verdana"/>
                <w:sz w:val="20"/>
                <w:szCs w:val="20"/>
                <w:lang w:eastAsia="en-US"/>
              </w:rPr>
              <w:t xml:space="preserve">в обектите за производство и търговия с храни </w:t>
            </w:r>
            <w:r w:rsidR="00371A35" w:rsidRPr="00A925A9">
              <w:rPr>
                <w:rFonts w:ascii="Verdana" w:eastAsia="Calibri" w:hAnsi="Verdana"/>
                <w:sz w:val="20"/>
                <w:szCs w:val="20"/>
                <w:lang w:eastAsia="en-US"/>
              </w:rPr>
              <w:t>се установяват повтарящи се нарушения, свързани</w:t>
            </w:r>
            <w:r w:rsidR="0058359C">
              <w:rPr>
                <w:rFonts w:ascii="Verdana" w:eastAsia="Calibri" w:hAnsi="Verdana"/>
                <w:sz w:val="20"/>
                <w:szCs w:val="20"/>
                <w:lang w:eastAsia="en-US"/>
              </w:rPr>
              <w:t xml:space="preserve"> с</w:t>
            </w:r>
            <w:r w:rsidR="00A05E09">
              <w:rPr>
                <w:rFonts w:ascii="Verdana" w:eastAsia="Calibri" w:hAnsi="Verdana"/>
                <w:sz w:val="20"/>
                <w:szCs w:val="20"/>
                <w:lang w:eastAsia="en-US"/>
              </w:rPr>
              <w:t xml:space="preserve"> етикетирането и представянето на храните</w:t>
            </w:r>
            <w:r w:rsidR="00417C1F">
              <w:rPr>
                <w:rFonts w:ascii="Verdana" w:eastAsia="Calibri" w:hAnsi="Verdana"/>
                <w:sz w:val="20"/>
                <w:szCs w:val="20"/>
                <w:lang w:eastAsia="en-US"/>
              </w:rPr>
              <w:t xml:space="preserve"> и </w:t>
            </w:r>
            <w:r w:rsidR="00417C1F" w:rsidRPr="00417C1F">
              <w:rPr>
                <w:rFonts w:ascii="Verdana" w:eastAsia="Calibri" w:hAnsi="Verdana"/>
                <w:sz w:val="20"/>
                <w:szCs w:val="20"/>
                <w:lang w:eastAsia="en-US"/>
              </w:rPr>
              <w:t>производствената или опаковъчната партида на предварително опакованите храни</w:t>
            </w:r>
            <w:r w:rsidR="00417C1F">
              <w:rPr>
                <w:rFonts w:ascii="Verdana" w:eastAsia="Calibri" w:hAnsi="Verdana"/>
                <w:sz w:val="20"/>
                <w:szCs w:val="20"/>
                <w:lang w:eastAsia="en-US"/>
              </w:rPr>
              <w:t>.</w:t>
            </w:r>
            <w:r w:rsidR="00417C1F" w:rsidRPr="00417C1F">
              <w:rPr>
                <w:rFonts w:ascii="Verdana" w:eastAsia="Calibri" w:hAnsi="Verdana"/>
                <w:sz w:val="20"/>
                <w:szCs w:val="20"/>
                <w:lang w:eastAsia="en-US"/>
              </w:rPr>
              <w:t xml:space="preserve"> </w:t>
            </w:r>
            <w:r w:rsidR="007F5262" w:rsidRPr="00A925A9">
              <w:rPr>
                <w:rFonts w:ascii="Verdana" w:eastAsia="Calibri" w:hAnsi="Verdana"/>
                <w:sz w:val="20"/>
                <w:szCs w:val="20"/>
                <w:lang w:eastAsia="en-US"/>
              </w:rPr>
              <w:t xml:space="preserve"> </w:t>
            </w:r>
          </w:p>
          <w:p w:rsidR="008D3381" w:rsidRPr="00B76D9A" w:rsidRDefault="008D3381" w:rsidP="00B76D9A">
            <w:pPr>
              <w:spacing w:before="0" w:beforeAutospacing="0" w:after="0" w:afterAutospacing="0" w:line="360" w:lineRule="auto"/>
              <w:jc w:val="both"/>
              <w:rPr>
                <w:rFonts w:ascii="Verdana" w:hAnsi="Verdana"/>
                <w:sz w:val="20"/>
                <w:szCs w:val="20"/>
              </w:rPr>
            </w:pPr>
          </w:p>
          <w:p w:rsidR="0040585F" w:rsidRPr="00A925A9" w:rsidRDefault="008969C6" w:rsidP="00CC3C6C">
            <w:pPr>
              <w:spacing w:before="0" w:beforeAutospacing="0" w:after="200" w:afterAutospacing="0" w:line="360" w:lineRule="auto"/>
              <w:jc w:val="both"/>
              <w:rPr>
                <w:rFonts w:ascii="Verdana" w:eastAsia="Calibri" w:hAnsi="Verdana"/>
                <w:sz w:val="20"/>
                <w:szCs w:val="20"/>
                <w:lang w:eastAsia="en-US"/>
              </w:rPr>
            </w:pPr>
            <w:r w:rsidRPr="00A925A9">
              <w:rPr>
                <w:rFonts w:ascii="Verdana" w:eastAsia="Calibri" w:hAnsi="Verdana"/>
                <w:sz w:val="20"/>
                <w:szCs w:val="20"/>
                <w:lang w:eastAsia="en-US"/>
              </w:rPr>
              <w:t xml:space="preserve">     </w:t>
            </w:r>
            <w:r w:rsidR="00377195">
              <w:rPr>
                <w:rFonts w:ascii="Verdana" w:eastAsia="Calibri" w:hAnsi="Verdana"/>
                <w:sz w:val="20"/>
                <w:szCs w:val="20"/>
                <w:lang w:eastAsia="en-US"/>
              </w:rPr>
              <w:t>Проектът</w:t>
            </w:r>
            <w:r w:rsidR="007A6686">
              <w:rPr>
                <w:rFonts w:ascii="Verdana" w:eastAsia="Calibri" w:hAnsi="Verdana"/>
                <w:sz w:val="20"/>
                <w:szCs w:val="20"/>
                <w:lang w:eastAsia="en-US"/>
              </w:rPr>
              <w:t xml:space="preserve"> на </w:t>
            </w:r>
            <w:r w:rsidR="00C05C0E">
              <w:rPr>
                <w:rFonts w:ascii="Verdana" w:eastAsia="Calibri" w:hAnsi="Verdana"/>
                <w:sz w:val="20"/>
                <w:szCs w:val="20"/>
                <w:lang w:eastAsia="en-US"/>
              </w:rPr>
              <w:t>Наредба</w:t>
            </w:r>
            <w:r w:rsidR="0040585F" w:rsidRPr="00A925A9">
              <w:rPr>
                <w:rFonts w:ascii="Verdana" w:eastAsia="Calibri" w:hAnsi="Verdana"/>
                <w:sz w:val="20"/>
                <w:szCs w:val="20"/>
                <w:lang w:eastAsia="en-US"/>
              </w:rPr>
              <w:t xml:space="preserve"> за </w:t>
            </w:r>
            <w:r w:rsidR="00CB3BE2">
              <w:rPr>
                <w:rFonts w:ascii="Verdana" w:eastAsia="Calibri" w:hAnsi="Verdana"/>
                <w:sz w:val="20"/>
                <w:szCs w:val="20"/>
                <w:lang w:eastAsia="en-US"/>
              </w:rPr>
              <w:t xml:space="preserve">предоставянето на информация на потребителите за храните </w:t>
            </w:r>
            <w:r w:rsidR="00694A19">
              <w:rPr>
                <w:rFonts w:ascii="Verdana" w:eastAsia="Calibri" w:hAnsi="Verdana"/>
                <w:sz w:val="20"/>
                <w:szCs w:val="20"/>
                <w:lang w:eastAsia="en-US"/>
              </w:rPr>
              <w:t>е насочен</w:t>
            </w:r>
            <w:r w:rsidR="0040585F" w:rsidRPr="00A925A9">
              <w:rPr>
                <w:rFonts w:ascii="Verdana" w:eastAsia="Calibri" w:hAnsi="Verdana"/>
                <w:sz w:val="20"/>
                <w:szCs w:val="20"/>
                <w:lang w:eastAsia="en-US"/>
              </w:rPr>
              <w:t xml:space="preserve"> към разрешаването на следните по-съществени специфични проблеми:</w:t>
            </w:r>
          </w:p>
          <w:p w:rsidR="00D07750" w:rsidRPr="00A925A9" w:rsidRDefault="0040585F" w:rsidP="00CC3C6C">
            <w:pPr>
              <w:numPr>
                <w:ilvl w:val="0"/>
                <w:numId w:val="21"/>
              </w:numPr>
              <w:spacing w:before="0" w:beforeAutospacing="0" w:after="200" w:afterAutospacing="0" w:line="360" w:lineRule="auto"/>
              <w:contextualSpacing/>
              <w:jc w:val="both"/>
              <w:rPr>
                <w:rFonts w:ascii="Verdana" w:eastAsia="Calibri" w:hAnsi="Verdana"/>
                <w:sz w:val="20"/>
                <w:szCs w:val="20"/>
                <w:lang w:eastAsia="en-US"/>
              </w:rPr>
            </w:pPr>
            <w:r w:rsidRPr="00A925A9">
              <w:rPr>
                <w:rFonts w:ascii="Verdana" w:eastAsia="Calibri" w:hAnsi="Verdana"/>
                <w:sz w:val="20"/>
                <w:szCs w:val="20"/>
                <w:lang w:eastAsia="en-US"/>
              </w:rPr>
              <w:t>Трудност при прилагане на</w:t>
            </w:r>
            <w:r w:rsidRPr="00A925A9">
              <w:rPr>
                <w:rFonts w:ascii="Verdana" w:eastAsia="Calibri" w:hAnsi="Verdana"/>
                <w:sz w:val="20"/>
                <w:szCs w:val="20"/>
                <w:lang w:val="en-US" w:eastAsia="en-US"/>
              </w:rPr>
              <w:t xml:space="preserve"> </w:t>
            </w:r>
            <w:r w:rsidRPr="00A925A9">
              <w:rPr>
                <w:rFonts w:ascii="Verdana" w:eastAsia="Calibri" w:hAnsi="Verdana"/>
                <w:sz w:val="20"/>
                <w:szCs w:val="20"/>
                <w:lang w:eastAsia="en-US"/>
              </w:rPr>
              <w:t>ефективен контрол и прослед</w:t>
            </w:r>
            <w:r w:rsidR="00236851">
              <w:rPr>
                <w:rFonts w:ascii="Verdana" w:eastAsia="Calibri" w:hAnsi="Verdana"/>
                <w:sz w:val="20"/>
                <w:szCs w:val="20"/>
                <w:lang w:eastAsia="en-US"/>
              </w:rPr>
              <w:t xml:space="preserve">яване на продуктите и </w:t>
            </w:r>
            <w:r w:rsidR="00236851">
              <w:rPr>
                <w:rFonts w:ascii="Verdana" w:eastAsia="Calibri" w:hAnsi="Verdana"/>
                <w:sz w:val="20"/>
                <w:szCs w:val="20"/>
                <w:lang w:eastAsia="en-US"/>
              </w:rPr>
              <w:lastRenderedPageBreak/>
              <w:t>партидите</w:t>
            </w:r>
            <w:r w:rsidRPr="00A925A9">
              <w:rPr>
                <w:rFonts w:ascii="Verdana" w:eastAsia="Calibri" w:hAnsi="Verdana"/>
                <w:sz w:val="20"/>
                <w:szCs w:val="20"/>
                <w:lang w:eastAsia="en-US"/>
              </w:rPr>
              <w:t>. Контролният орган използва максимално</w:t>
            </w:r>
            <w:r w:rsidR="00236851">
              <w:rPr>
                <w:rFonts w:ascii="Verdana" w:eastAsia="Calibri" w:hAnsi="Verdana"/>
                <w:sz w:val="20"/>
                <w:szCs w:val="20"/>
                <w:lang w:eastAsia="en-US"/>
              </w:rPr>
              <w:t xml:space="preserve"> наличните ресурси</w:t>
            </w:r>
            <w:r w:rsidRPr="00A925A9">
              <w:rPr>
                <w:rFonts w:ascii="Verdana" w:eastAsia="Calibri" w:hAnsi="Verdana"/>
                <w:sz w:val="20"/>
                <w:szCs w:val="20"/>
                <w:lang w:eastAsia="en-US"/>
              </w:rPr>
              <w:t xml:space="preserve">, като затруднения </w:t>
            </w:r>
            <w:r w:rsidR="007A67B9" w:rsidRPr="00A925A9">
              <w:rPr>
                <w:rFonts w:ascii="Verdana" w:eastAsia="Calibri" w:hAnsi="Verdana"/>
                <w:sz w:val="20"/>
                <w:szCs w:val="20"/>
                <w:lang w:eastAsia="en-US"/>
              </w:rPr>
              <w:t xml:space="preserve">продължават да </w:t>
            </w:r>
            <w:r w:rsidRPr="00A925A9">
              <w:rPr>
                <w:rFonts w:ascii="Verdana" w:eastAsia="Calibri" w:hAnsi="Verdana"/>
                <w:sz w:val="20"/>
                <w:szCs w:val="20"/>
                <w:lang w:eastAsia="en-US"/>
              </w:rPr>
              <w:t>се срещат при обхващането на об</w:t>
            </w:r>
            <w:r w:rsidR="00D07750" w:rsidRPr="00A925A9">
              <w:rPr>
                <w:rFonts w:ascii="Verdana" w:eastAsia="Calibri" w:hAnsi="Verdana"/>
                <w:sz w:val="20"/>
                <w:szCs w:val="20"/>
                <w:lang w:eastAsia="en-US"/>
              </w:rPr>
              <w:t>ектите в малките населени места;</w:t>
            </w:r>
          </w:p>
          <w:p w:rsidR="00D07750" w:rsidRDefault="0040585F" w:rsidP="00CC3C6C">
            <w:pPr>
              <w:numPr>
                <w:ilvl w:val="0"/>
                <w:numId w:val="21"/>
              </w:numPr>
              <w:spacing w:before="0" w:beforeAutospacing="0" w:after="200" w:afterAutospacing="0" w:line="360" w:lineRule="auto"/>
              <w:contextualSpacing/>
              <w:jc w:val="both"/>
              <w:rPr>
                <w:rFonts w:ascii="Verdana" w:eastAsia="Calibri" w:hAnsi="Verdana"/>
                <w:sz w:val="20"/>
                <w:szCs w:val="20"/>
                <w:lang w:eastAsia="en-US"/>
              </w:rPr>
            </w:pPr>
            <w:r w:rsidRPr="00A925A9">
              <w:rPr>
                <w:rFonts w:ascii="Verdana" w:eastAsia="Calibri" w:hAnsi="Verdana"/>
                <w:sz w:val="20"/>
                <w:szCs w:val="20"/>
                <w:lang w:eastAsia="en-US"/>
              </w:rPr>
              <w:t xml:space="preserve">Липса на </w:t>
            </w:r>
            <w:r w:rsidR="004036A4">
              <w:rPr>
                <w:rFonts w:ascii="Verdana" w:eastAsia="Calibri" w:hAnsi="Verdana"/>
                <w:sz w:val="20"/>
                <w:szCs w:val="20"/>
                <w:lang w:eastAsia="en-US"/>
              </w:rPr>
              <w:t xml:space="preserve">ясни правила за предоставянето на информация на потребителите </w:t>
            </w:r>
            <w:r w:rsidRPr="00A925A9">
              <w:rPr>
                <w:rFonts w:ascii="Verdana" w:eastAsia="Calibri" w:hAnsi="Verdana"/>
                <w:sz w:val="20"/>
                <w:szCs w:val="20"/>
                <w:lang w:eastAsia="en-US"/>
              </w:rPr>
              <w:t>при етикетирането на продуктите за</w:t>
            </w:r>
            <w:r w:rsidR="00561B7F">
              <w:rPr>
                <w:rFonts w:ascii="Verdana" w:eastAsia="Calibri" w:hAnsi="Verdana"/>
                <w:sz w:val="20"/>
                <w:szCs w:val="20"/>
                <w:lang w:eastAsia="en-US"/>
              </w:rPr>
              <w:t xml:space="preserve"> прилагане на информиран избор от</w:t>
            </w:r>
            <w:r w:rsidRPr="00A925A9">
              <w:rPr>
                <w:rFonts w:ascii="Verdana" w:eastAsia="Calibri" w:hAnsi="Verdana"/>
                <w:sz w:val="20"/>
                <w:szCs w:val="20"/>
                <w:lang w:eastAsia="en-US"/>
              </w:rPr>
              <w:t xml:space="preserve"> потребителите. </w:t>
            </w:r>
            <w:r w:rsidR="00CB3BE2">
              <w:rPr>
                <w:rFonts w:ascii="Verdana" w:eastAsia="Calibri" w:hAnsi="Verdana"/>
                <w:sz w:val="20"/>
                <w:szCs w:val="20"/>
                <w:lang w:eastAsia="en-US"/>
              </w:rPr>
              <w:t>В текстовете на Наредбата са заложени</w:t>
            </w:r>
            <w:r w:rsidR="00505230">
              <w:rPr>
                <w:rFonts w:ascii="Verdana" w:eastAsia="Calibri" w:hAnsi="Verdana"/>
                <w:sz w:val="20"/>
                <w:szCs w:val="20"/>
                <w:lang w:eastAsia="en-US"/>
              </w:rPr>
              <w:t xml:space="preserve"> </w:t>
            </w:r>
            <w:r w:rsidR="00CB3BE2">
              <w:rPr>
                <w:rFonts w:ascii="Verdana" w:eastAsia="Calibri" w:hAnsi="Verdana"/>
                <w:sz w:val="20"/>
                <w:szCs w:val="20"/>
                <w:lang w:eastAsia="en-US"/>
              </w:rPr>
              <w:t>ясни</w:t>
            </w:r>
            <w:r w:rsidRPr="00A925A9">
              <w:rPr>
                <w:rFonts w:ascii="Verdana" w:eastAsia="Calibri" w:hAnsi="Verdana"/>
                <w:sz w:val="20"/>
                <w:szCs w:val="20"/>
                <w:lang w:eastAsia="en-US"/>
              </w:rPr>
              <w:t xml:space="preserve"> </w:t>
            </w:r>
            <w:r w:rsidR="00CB3BE2">
              <w:rPr>
                <w:rFonts w:ascii="Verdana" w:eastAsia="Calibri" w:hAnsi="Verdana"/>
                <w:sz w:val="20"/>
                <w:szCs w:val="20"/>
                <w:lang w:eastAsia="en-US"/>
              </w:rPr>
              <w:t>изисквания</w:t>
            </w:r>
            <w:r w:rsidRPr="00A925A9">
              <w:rPr>
                <w:rFonts w:ascii="Verdana" w:eastAsia="Calibri" w:hAnsi="Verdana"/>
                <w:sz w:val="20"/>
                <w:szCs w:val="20"/>
                <w:lang w:eastAsia="en-US"/>
              </w:rPr>
              <w:t xml:space="preserve"> за</w:t>
            </w:r>
            <w:r w:rsidR="00583A28">
              <w:rPr>
                <w:rFonts w:ascii="Verdana" w:eastAsia="Calibri" w:hAnsi="Verdana"/>
                <w:sz w:val="20"/>
                <w:szCs w:val="20"/>
                <w:lang w:eastAsia="en-US"/>
              </w:rPr>
              <w:t xml:space="preserve"> етикетиране и</w:t>
            </w:r>
            <w:r w:rsidR="00CB3BE2">
              <w:rPr>
                <w:rFonts w:ascii="Verdana" w:eastAsia="Calibri" w:hAnsi="Verdana"/>
                <w:sz w:val="20"/>
                <w:szCs w:val="20"/>
                <w:lang w:eastAsia="en-US"/>
              </w:rPr>
              <w:t xml:space="preserve"> представяне на храните</w:t>
            </w:r>
            <w:r w:rsidRPr="00A925A9">
              <w:rPr>
                <w:rFonts w:ascii="Verdana" w:eastAsia="Calibri" w:hAnsi="Verdana"/>
                <w:sz w:val="20"/>
                <w:szCs w:val="20"/>
                <w:lang w:eastAsia="en-US"/>
              </w:rPr>
              <w:t xml:space="preserve">, </w:t>
            </w:r>
            <w:r w:rsidR="00BC7D19">
              <w:rPr>
                <w:rFonts w:ascii="Verdana" w:eastAsia="Calibri" w:hAnsi="Verdana"/>
                <w:sz w:val="20"/>
                <w:szCs w:val="20"/>
                <w:lang w:eastAsia="en-US"/>
              </w:rPr>
              <w:t xml:space="preserve">по начин който не би могъл </w:t>
            </w:r>
            <w:r w:rsidRPr="00A925A9">
              <w:rPr>
                <w:rFonts w:ascii="Verdana" w:eastAsia="Calibri" w:hAnsi="Verdana"/>
                <w:sz w:val="20"/>
                <w:szCs w:val="20"/>
                <w:lang w:eastAsia="en-US"/>
              </w:rPr>
              <w:t>да до</w:t>
            </w:r>
            <w:r w:rsidR="00694A19">
              <w:rPr>
                <w:rFonts w:ascii="Verdana" w:eastAsia="Calibri" w:hAnsi="Verdana"/>
                <w:sz w:val="20"/>
                <w:szCs w:val="20"/>
                <w:lang w:eastAsia="en-US"/>
              </w:rPr>
              <w:t xml:space="preserve">веде до заблуда на потребителя, определени са изискванията </w:t>
            </w:r>
            <w:r w:rsidR="00CB3BE2">
              <w:rPr>
                <w:rFonts w:ascii="Verdana" w:eastAsia="Calibri" w:hAnsi="Verdana"/>
                <w:sz w:val="20"/>
                <w:szCs w:val="20"/>
                <w:lang w:eastAsia="en-US"/>
              </w:rPr>
              <w:t>към означенията или маркировките, идентифициращи партидата, към която принадлежи дадена храна;</w:t>
            </w:r>
            <w:r w:rsidR="00694A19">
              <w:rPr>
                <w:rFonts w:ascii="Verdana" w:eastAsia="Calibri" w:hAnsi="Verdana"/>
                <w:sz w:val="20"/>
                <w:szCs w:val="20"/>
                <w:lang w:eastAsia="en-US"/>
              </w:rPr>
              <w:t xml:space="preserve"> </w:t>
            </w:r>
          </w:p>
          <w:p w:rsidR="00DF17BC" w:rsidRDefault="00DF17BC" w:rsidP="00DF17BC">
            <w:pPr>
              <w:numPr>
                <w:ilvl w:val="0"/>
                <w:numId w:val="21"/>
              </w:numPr>
              <w:spacing w:before="0" w:beforeAutospacing="0" w:after="200" w:afterAutospacing="0" w:line="360" w:lineRule="auto"/>
              <w:contextualSpacing/>
              <w:jc w:val="both"/>
              <w:rPr>
                <w:rFonts w:ascii="Verdana" w:eastAsia="Calibri" w:hAnsi="Verdana"/>
                <w:sz w:val="20"/>
                <w:szCs w:val="20"/>
                <w:lang w:eastAsia="en-US"/>
              </w:rPr>
            </w:pPr>
            <w:r w:rsidRPr="00DF17BC">
              <w:rPr>
                <w:rFonts w:ascii="Verdana" w:eastAsia="Calibri" w:hAnsi="Verdana"/>
                <w:sz w:val="20"/>
                <w:szCs w:val="20"/>
                <w:lang w:eastAsia="en-US"/>
              </w:rPr>
              <w:t>Поради разнообразието от използвани методи за идентификация определянето на партидата и нанасянето на съответното означение или маркировка зависят от търговеца.</w:t>
            </w:r>
            <w:r>
              <w:rPr>
                <w:rFonts w:ascii="Verdana" w:eastAsia="Calibri" w:hAnsi="Verdana"/>
                <w:sz w:val="20"/>
                <w:szCs w:val="20"/>
                <w:lang w:eastAsia="en-US"/>
              </w:rPr>
              <w:t xml:space="preserve"> </w:t>
            </w:r>
            <w:r w:rsidRPr="00DF17BC">
              <w:rPr>
                <w:rFonts w:ascii="Verdana" w:eastAsia="Calibri" w:hAnsi="Verdana"/>
                <w:sz w:val="20"/>
                <w:szCs w:val="20"/>
                <w:lang w:eastAsia="en-US"/>
              </w:rPr>
              <w:t>За да се изпълнят изискванията за предоставяне на информация, за които то е предназначено, означението следва да е ясно различимо и разпознаваемо като такова.</w:t>
            </w:r>
            <w:r>
              <w:rPr>
                <w:rFonts w:ascii="Verdana" w:eastAsia="Calibri" w:hAnsi="Verdana"/>
                <w:sz w:val="20"/>
                <w:szCs w:val="20"/>
                <w:lang w:eastAsia="en-US"/>
              </w:rPr>
              <w:t xml:space="preserve"> С текстовете на Наредбата се определят ясни изисквания към </w:t>
            </w:r>
            <w:r w:rsidRPr="00DF17BC">
              <w:rPr>
                <w:rFonts w:ascii="Verdana" w:eastAsia="Calibri" w:hAnsi="Verdana"/>
                <w:sz w:val="20"/>
                <w:szCs w:val="20"/>
                <w:lang w:eastAsia="en-US"/>
              </w:rPr>
              <w:t>означението, позволяващо идентифициране на партидата, към която принадлежи дадена храна</w:t>
            </w:r>
            <w:r w:rsidR="001B5366">
              <w:rPr>
                <w:rFonts w:ascii="Verdana" w:eastAsia="Calibri" w:hAnsi="Verdana"/>
                <w:sz w:val="20"/>
                <w:szCs w:val="20"/>
                <w:lang w:eastAsia="en-US"/>
              </w:rPr>
              <w:t xml:space="preserve">. </w:t>
            </w:r>
          </w:p>
          <w:p w:rsidR="00FF0DDF" w:rsidRPr="00DF17BC" w:rsidRDefault="00FF0DDF" w:rsidP="00DF17BC">
            <w:pPr>
              <w:numPr>
                <w:ilvl w:val="0"/>
                <w:numId w:val="21"/>
              </w:numPr>
              <w:spacing w:before="0" w:beforeAutospacing="0" w:after="200" w:afterAutospacing="0" w:line="360" w:lineRule="auto"/>
              <w:contextualSpacing/>
              <w:jc w:val="both"/>
              <w:rPr>
                <w:rFonts w:ascii="Verdana" w:eastAsia="Calibri" w:hAnsi="Verdana"/>
                <w:sz w:val="20"/>
                <w:szCs w:val="20"/>
                <w:lang w:eastAsia="en-US"/>
              </w:rPr>
            </w:pPr>
            <w:r>
              <w:rPr>
                <w:rFonts w:ascii="Verdana" w:eastAsia="Calibri" w:hAnsi="Verdana"/>
                <w:sz w:val="20"/>
                <w:szCs w:val="20"/>
                <w:lang w:eastAsia="en-US"/>
              </w:rPr>
              <w:t xml:space="preserve">Липса на национални правила по отношение на </w:t>
            </w:r>
            <w:r w:rsidRPr="00583A28">
              <w:rPr>
                <w:rFonts w:ascii="Verdana" w:hAnsi="Verdana"/>
                <w:bCs/>
                <w:iCs/>
                <w:sz w:val="20"/>
                <w:szCs w:val="20"/>
              </w:rPr>
              <w:t>предоставянето на информация</w:t>
            </w:r>
            <w:r w:rsidRPr="00583A28">
              <w:rPr>
                <w:rFonts w:ascii="Verdana" w:hAnsi="Verdana"/>
                <w:bCs/>
                <w:iCs/>
                <w:sz w:val="20"/>
                <w:szCs w:val="20"/>
                <w:lang w:val="en-US"/>
              </w:rPr>
              <w:t xml:space="preserve"> </w:t>
            </w:r>
            <w:r w:rsidRPr="00583A28">
              <w:rPr>
                <w:rFonts w:ascii="Verdana" w:hAnsi="Verdana"/>
                <w:bCs/>
                <w:iCs/>
                <w:sz w:val="20"/>
                <w:szCs w:val="20"/>
              </w:rPr>
              <w:t>при предлагане за продажба на храни на краен потребител или на заведение за обществено хранене без предварително опаковане, или когато храните са опаковани в търговските помещения по искане на потребителя или са предварително опаковани за директна продажба</w:t>
            </w:r>
            <w:r>
              <w:rPr>
                <w:rFonts w:ascii="Verdana" w:hAnsi="Verdana"/>
                <w:bCs/>
                <w:iCs/>
                <w:sz w:val="20"/>
                <w:szCs w:val="20"/>
              </w:rPr>
              <w:t xml:space="preserve">. </w:t>
            </w:r>
            <w:r w:rsidR="002A75DC">
              <w:rPr>
                <w:rFonts w:ascii="Verdana" w:hAnsi="Verdana"/>
                <w:bCs/>
                <w:iCs/>
                <w:sz w:val="20"/>
                <w:szCs w:val="20"/>
              </w:rPr>
              <w:t>Тези правила са необходими за извършване на напълно информиран избор от потребителя по отношение на срока на минимална трайност или срока на годност, името и адреса на производителя, което е особено важно в случа</w:t>
            </w:r>
            <w:r w:rsidR="000E136F">
              <w:rPr>
                <w:rFonts w:ascii="Verdana" w:hAnsi="Verdana"/>
                <w:bCs/>
                <w:iCs/>
                <w:sz w:val="20"/>
                <w:szCs w:val="20"/>
              </w:rPr>
              <w:t>ите на храни от животински произ</w:t>
            </w:r>
            <w:r w:rsidR="002A75DC">
              <w:rPr>
                <w:rFonts w:ascii="Verdana" w:hAnsi="Verdana"/>
                <w:bCs/>
                <w:iCs/>
                <w:sz w:val="20"/>
                <w:szCs w:val="20"/>
              </w:rPr>
              <w:t>ход.</w:t>
            </w:r>
          </w:p>
          <w:p w:rsidR="00387946" w:rsidRPr="006A4282" w:rsidRDefault="00387946" w:rsidP="00F75668">
            <w:pPr>
              <w:spacing w:before="0" w:beforeAutospacing="0" w:after="0" w:afterAutospacing="0" w:line="360" w:lineRule="auto"/>
              <w:contextualSpacing/>
              <w:jc w:val="both"/>
              <w:rPr>
                <w:rFonts w:ascii="Verdana" w:eastAsia="Calibri" w:hAnsi="Verdana"/>
                <w:sz w:val="20"/>
                <w:szCs w:val="20"/>
                <w:lang w:eastAsia="en-US"/>
              </w:rPr>
            </w:pPr>
          </w:p>
          <w:p w:rsidR="007F5262" w:rsidRDefault="007F5262" w:rsidP="007F5262">
            <w:pPr>
              <w:spacing w:before="0" w:beforeAutospacing="0" w:after="0" w:afterAutospacing="0" w:line="360" w:lineRule="auto"/>
              <w:ind w:firstLine="720"/>
              <w:jc w:val="both"/>
              <w:outlineLvl w:val="0"/>
              <w:rPr>
                <w:rFonts w:ascii="Verdana" w:hAnsi="Verdana"/>
                <w:sz w:val="20"/>
                <w:szCs w:val="20"/>
              </w:rPr>
            </w:pPr>
            <w:r w:rsidRPr="00A925A9">
              <w:rPr>
                <w:rFonts w:ascii="Verdana" w:hAnsi="Verdana"/>
                <w:sz w:val="20"/>
                <w:szCs w:val="20"/>
              </w:rPr>
              <w:t>Проблемите не могат да се решат в рамките на съществуващото законодателство чрез промяна в организацията на работа и/или чрез въвеждане на</w:t>
            </w:r>
            <w:r w:rsidR="008A6EC3">
              <w:rPr>
                <w:rFonts w:ascii="Verdana" w:hAnsi="Verdana"/>
                <w:sz w:val="20"/>
                <w:szCs w:val="20"/>
              </w:rPr>
              <w:t xml:space="preserve"> нови технологични възможности, тъй като </w:t>
            </w:r>
            <w:r w:rsidR="008A6EC3">
              <w:rPr>
                <w:rFonts w:ascii="Verdana" w:hAnsi="Verdana"/>
                <w:bCs/>
                <w:sz w:val="20"/>
                <w:szCs w:val="20"/>
              </w:rPr>
              <w:t>с</w:t>
            </w:r>
            <w:r w:rsidR="008A6EC3" w:rsidRPr="008A6EC3">
              <w:rPr>
                <w:rFonts w:ascii="Verdana" w:hAnsi="Verdana"/>
                <w:bCs/>
                <w:sz w:val="20"/>
                <w:szCs w:val="20"/>
              </w:rPr>
              <w:t xml:space="preserve">ъгласно § 8, ал. 1 от </w:t>
            </w:r>
            <w:r w:rsidR="006A4485">
              <w:rPr>
                <w:rFonts w:ascii="Verdana" w:hAnsi="Verdana"/>
                <w:bCs/>
                <w:sz w:val="20"/>
                <w:szCs w:val="20"/>
              </w:rPr>
              <w:t>п</w:t>
            </w:r>
            <w:r w:rsidR="008A6EC3" w:rsidRPr="008A6EC3">
              <w:rPr>
                <w:rFonts w:ascii="Verdana" w:hAnsi="Verdana"/>
                <w:bCs/>
                <w:sz w:val="20"/>
                <w:szCs w:val="20"/>
              </w:rPr>
              <w:t xml:space="preserve">реходните и заключителни разпоредби на </w:t>
            </w:r>
            <w:r w:rsidR="00BC2BC7">
              <w:rPr>
                <w:rFonts w:ascii="Verdana" w:hAnsi="Verdana"/>
                <w:bCs/>
                <w:sz w:val="20"/>
                <w:szCs w:val="20"/>
              </w:rPr>
              <w:t>новия</w:t>
            </w:r>
            <w:r w:rsidR="008A6EC3">
              <w:rPr>
                <w:rFonts w:ascii="Verdana" w:hAnsi="Verdana"/>
                <w:bCs/>
                <w:sz w:val="20"/>
                <w:szCs w:val="20"/>
              </w:rPr>
              <w:t xml:space="preserve"> Закон</w:t>
            </w:r>
            <w:r w:rsidR="008A6EC3" w:rsidRPr="008A6EC3">
              <w:rPr>
                <w:rFonts w:ascii="Verdana" w:hAnsi="Verdana"/>
                <w:bCs/>
                <w:sz w:val="20"/>
                <w:szCs w:val="20"/>
              </w:rPr>
              <w:t xml:space="preserve"> за храните, подзаконовите нормативни актове по прилагането му се приемат, съответно издават, в 6-месечен срок от влизането на закона в сила</w:t>
            </w:r>
            <w:r w:rsidR="008A6EC3">
              <w:rPr>
                <w:rFonts w:ascii="Verdana" w:hAnsi="Verdana"/>
                <w:sz w:val="20"/>
                <w:szCs w:val="20"/>
              </w:rPr>
              <w:t xml:space="preserve">. </w:t>
            </w:r>
          </w:p>
          <w:p w:rsidR="00521FE2" w:rsidRPr="00694261" w:rsidRDefault="00521FE2" w:rsidP="007F5262">
            <w:pPr>
              <w:spacing w:before="0" w:beforeAutospacing="0" w:after="0" w:afterAutospacing="0" w:line="360" w:lineRule="auto"/>
              <w:ind w:firstLine="720"/>
              <w:jc w:val="both"/>
              <w:outlineLvl w:val="0"/>
              <w:rPr>
                <w:rFonts w:ascii="Verdana" w:hAnsi="Verdana"/>
                <w:sz w:val="20"/>
                <w:szCs w:val="20"/>
              </w:rPr>
            </w:pPr>
            <w:r w:rsidRPr="00521FE2">
              <w:rPr>
                <w:rFonts w:ascii="Verdana" w:hAnsi="Verdana"/>
                <w:bCs/>
                <w:iCs/>
                <w:sz w:val="20"/>
                <w:szCs w:val="20"/>
              </w:rPr>
              <w:t>Идентифицираните проблеми не могат да се решат по достатъчно ефективен начин в рамките на действащата нормативна уредба и ресурси на контролните органи, което налага приемането на Наредбата и предвиждането на правила за предоставянето на информация на потребителите и такива за управление на обща система за означение на партидите, както и по отношение на предоставянето на информация</w:t>
            </w:r>
            <w:r w:rsidRPr="00521FE2">
              <w:rPr>
                <w:rFonts w:ascii="Verdana" w:hAnsi="Verdana"/>
                <w:bCs/>
                <w:iCs/>
                <w:sz w:val="20"/>
                <w:szCs w:val="20"/>
                <w:lang w:val="en-US"/>
              </w:rPr>
              <w:t xml:space="preserve"> </w:t>
            </w:r>
            <w:r w:rsidRPr="00521FE2">
              <w:rPr>
                <w:rFonts w:ascii="Verdana" w:hAnsi="Verdana"/>
                <w:bCs/>
                <w:iCs/>
                <w:sz w:val="20"/>
                <w:szCs w:val="20"/>
              </w:rPr>
              <w:t xml:space="preserve">при предлагане за продажба на храни на краен потребител или на заведение за обществено хранене без предварително опаковане, </w:t>
            </w:r>
            <w:r w:rsidRPr="00521FE2">
              <w:rPr>
                <w:rFonts w:ascii="Verdana" w:hAnsi="Verdana"/>
                <w:bCs/>
                <w:iCs/>
                <w:sz w:val="20"/>
                <w:szCs w:val="20"/>
              </w:rPr>
              <w:lastRenderedPageBreak/>
              <w:t>или когато храните са опаковани в търговските помещения по искане на потребителя или са предварително опаковани за директна продажба</w:t>
            </w:r>
            <w:r>
              <w:rPr>
                <w:rFonts w:ascii="Verdana" w:hAnsi="Verdana"/>
                <w:bCs/>
                <w:iCs/>
                <w:sz w:val="20"/>
                <w:szCs w:val="20"/>
              </w:rPr>
              <w:t>.</w:t>
            </w:r>
          </w:p>
          <w:p w:rsidR="006B11D4" w:rsidRPr="006B11D4" w:rsidRDefault="00FE4B73" w:rsidP="006B11D4">
            <w:pPr>
              <w:spacing w:before="0" w:beforeAutospacing="0" w:after="0" w:line="360" w:lineRule="auto"/>
              <w:ind w:right="-24"/>
              <w:jc w:val="both"/>
              <w:rPr>
                <w:rFonts w:ascii="Verdana" w:hAnsi="Verdana"/>
                <w:bCs/>
                <w:iCs/>
                <w:sz w:val="20"/>
                <w:szCs w:val="20"/>
              </w:rPr>
            </w:pPr>
            <w:r>
              <w:rPr>
                <w:rFonts w:ascii="Verdana" w:hAnsi="Verdana"/>
                <w:bCs/>
                <w:iCs/>
                <w:sz w:val="20"/>
                <w:szCs w:val="20"/>
              </w:rPr>
              <w:t xml:space="preserve">        </w:t>
            </w:r>
            <w:r w:rsidR="00774FAF">
              <w:rPr>
                <w:rFonts w:ascii="Verdana" w:hAnsi="Verdana"/>
                <w:bCs/>
                <w:iCs/>
                <w:sz w:val="20"/>
                <w:szCs w:val="20"/>
              </w:rPr>
              <w:t xml:space="preserve"> </w:t>
            </w:r>
            <w:r w:rsidRPr="00FE4B73">
              <w:rPr>
                <w:rFonts w:ascii="Verdana" w:hAnsi="Verdana"/>
                <w:bCs/>
                <w:iCs/>
                <w:sz w:val="20"/>
                <w:szCs w:val="20"/>
              </w:rPr>
              <w:t>С проекта се въвеждат изискванията на Директива 2011/91/ЕС</w:t>
            </w:r>
            <w:r w:rsidR="00201E0A">
              <w:rPr>
                <w:rFonts w:ascii="Verdana" w:hAnsi="Verdana"/>
                <w:bCs/>
                <w:iCs/>
                <w:sz w:val="20"/>
                <w:szCs w:val="20"/>
              </w:rPr>
              <w:t>.</w:t>
            </w:r>
            <w:r>
              <w:rPr>
                <w:rFonts w:ascii="Verdana" w:hAnsi="Verdana"/>
                <w:bCs/>
                <w:iCs/>
                <w:sz w:val="20"/>
                <w:szCs w:val="20"/>
              </w:rPr>
              <w:t xml:space="preserve"> </w:t>
            </w:r>
            <w:r w:rsidR="00CB3916" w:rsidRPr="00CB3916">
              <w:rPr>
                <w:rFonts w:ascii="Verdana" w:hAnsi="Verdana"/>
                <w:bCs/>
                <w:iCs/>
                <w:sz w:val="20"/>
                <w:szCs w:val="20"/>
              </w:rPr>
              <w:t>Означението на партидата, към която принадлежи даденa хранa, отговаря на необходимостта от по-добра информация за идентичността на продуктите. Следователно това е полезен източник на информация, когато храните са предмет на спор или представляват риск за здравето на потребителите.</w:t>
            </w:r>
          </w:p>
          <w:p w:rsidR="006222FE" w:rsidRPr="00A925A9" w:rsidRDefault="006222FE" w:rsidP="00CC3C6C">
            <w:pPr>
              <w:spacing w:before="0" w:beforeAutospacing="0" w:after="0" w:line="360" w:lineRule="auto"/>
              <w:ind w:left="142" w:right="475"/>
              <w:jc w:val="both"/>
              <w:rPr>
                <w:rFonts w:ascii="Verdana" w:hAnsi="Verdana"/>
                <w:b/>
                <w:i/>
                <w:sz w:val="20"/>
                <w:szCs w:val="20"/>
              </w:rPr>
            </w:pPr>
            <w:r w:rsidRPr="00A925A9">
              <w:rPr>
                <w:rFonts w:ascii="Verdana" w:hAnsi="Verdana"/>
                <w:b/>
                <w:i/>
                <w:sz w:val="20"/>
                <w:szCs w:val="20"/>
              </w:rPr>
              <w:t>1.3. Посочете дали са извършени последващи оценки на нормативния акт, или анализи за изпълнението на политиката и какви са резултатите от тях?</w:t>
            </w:r>
          </w:p>
          <w:p w:rsidR="006222FE" w:rsidRPr="00A925A9" w:rsidRDefault="006222FE" w:rsidP="00CC3C6C">
            <w:pPr>
              <w:spacing w:before="0" w:beforeAutospacing="0" w:after="0" w:line="360" w:lineRule="auto"/>
              <w:ind w:left="142" w:right="475"/>
              <w:jc w:val="both"/>
              <w:rPr>
                <w:rFonts w:ascii="Verdana" w:hAnsi="Verdana"/>
                <w:sz w:val="20"/>
                <w:szCs w:val="20"/>
              </w:rPr>
            </w:pPr>
            <w:r w:rsidRPr="00A925A9">
              <w:rPr>
                <w:rFonts w:ascii="Verdana" w:hAnsi="Verdana"/>
                <w:sz w:val="20"/>
                <w:szCs w:val="20"/>
                <w:lang w:val="ru-RU"/>
              </w:rPr>
              <w:t>Последваща</w:t>
            </w:r>
            <w:r w:rsidRPr="00A925A9">
              <w:rPr>
                <w:rFonts w:ascii="Verdana" w:hAnsi="Verdana"/>
                <w:sz w:val="20"/>
                <w:szCs w:val="20"/>
              </w:rPr>
              <w:t xml:space="preserve"> оценка на въздействие не е извършвана.</w:t>
            </w:r>
          </w:p>
        </w:tc>
      </w:tr>
      <w:tr w:rsidR="006222FE" w:rsidRPr="00A925A9" w:rsidTr="00D96F7C">
        <w:trPr>
          <w:trHeight w:val="142"/>
        </w:trPr>
        <w:tc>
          <w:tcPr>
            <w:tcW w:w="10257" w:type="dxa"/>
            <w:gridSpan w:val="2"/>
            <w:shd w:val="clear" w:color="auto" w:fill="auto"/>
          </w:tcPr>
          <w:p w:rsidR="006222FE" w:rsidRPr="00A925A9" w:rsidRDefault="006222FE" w:rsidP="00CC3C6C">
            <w:pPr>
              <w:spacing w:before="0" w:beforeAutospacing="0" w:after="0" w:line="360" w:lineRule="auto"/>
              <w:ind w:left="142" w:right="475"/>
              <w:jc w:val="both"/>
              <w:rPr>
                <w:rFonts w:ascii="Verdana" w:hAnsi="Verdana"/>
                <w:sz w:val="20"/>
                <w:szCs w:val="20"/>
              </w:rPr>
            </w:pPr>
            <w:r w:rsidRPr="00A925A9">
              <w:rPr>
                <w:rFonts w:ascii="Verdana" w:hAnsi="Verdana"/>
                <w:b/>
                <w:sz w:val="20"/>
                <w:szCs w:val="20"/>
              </w:rPr>
              <w:lastRenderedPageBreak/>
              <w:t>2.</w:t>
            </w:r>
            <w:r w:rsidRPr="00A925A9">
              <w:rPr>
                <w:rFonts w:ascii="Verdana" w:hAnsi="Verdana"/>
                <w:b/>
                <w:sz w:val="20"/>
                <w:szCs w:val="20"/>
                <w:lang w:val="ru-RU"/>
              </w:rPr>
              <w:t xml:space="preserve"> </w:t>
            </w:r>
            <w:r w:rsidRPr="00A925A9">
              <w:rPr>
                <w:rFonts w:ascii="Verdana" w:hAnsi="Verdana"/>
                <w:b/>
                <w:sz w:val="20"/>
                <w:szCs w:val="20"/>
              </w:rPr>
              <w:t>Цели:</w:t>
            </w:r>
          </w:p>
          <w:p w:rsidR="006222FE" w:rsidRPr="00A925A9" w:rsidRDefault="006222FE" w:rsidP="00CC3C6C">
            <w:pPr>
              <w:spacing w:before="0" w:beforeAutospacing="0" w:after="0" w:line="360" w:lineRule="auto"/>
              <w:ind w:left="142" w:right="475"/>
              <w:jc w:val="both"/>
              <w:rPr>
                <w:rFonts w:ascii="Verdana" w:hAnsi="Verdana"/>
                <w:b/>
                <w:i/>
                <w:sz w:val="20"/>
                <w:szCs w:val="20"/>
              </w:rPr>
            </w:pPr>
            <w:r w:rsidRPr="00A925A9">
              <w:rPr>
                <w:rFonts w:ascii="Verdana" w:hAnsi="Verdana"/>
                <w:b/>
                <w:i/>
                <w:sz w:val="20"/>
                <w:szCs w:val="20"/>
              </w:rPr>
              <w:t>Посочете целите, които си поставя нормативната промяна, по конкретен и измерим начин и график, ако е приложимо, за тяхното постигане. Съответстват ли целите на действащата стратегическа рамка?</w:t>
            </w:r>
          </w:p>
          <w:p w:rsidR="00B70859" w:rsidRPr="00A925A9" w:rsidRDefault="00B70859" w:rsidP="00CC3C6C">
            <w:pPr>
              <w:spacing w:before="0" w:beforeAutospacing="0" w:after="0" w:line="360" w:lineRule="auto"/>
              <w:ind w:right="475"/>
              <w:jc w:val="both"/>
              <w:rPr>
                <w:rFonts w:ascii="Verdana" w:hAnsi="Verdana"/>
                <w:b/>
                <w:i/>
                <w:sz w:val="20"/>
                <w:szCs w:val="20"/>
              </w:rPr>
            </w:pPr>
            <w:r w:rsidRPr="00A925A9">
              <w:rPr>
                <w:rFonts w:ascii="Verdana" w:hAnsi="Verdana"/>
                <w:sz w:val="20"/>
                <w:szCs w:val="20"/>
                <w:shd w:val="clear" w:color="auto" w:fill="FEFEFE"/>
              </w:rPr>
              <w:t xml:space="preserve">     </w:t>
            </w:r>
            <w:r w:rsidR="00CF3E54">
              <w:rPr>
                <w:rFonts w:ascii="Verdana" w:hAnsi="Verdana"/>
                <w:sz w:val="20"/>
                <w:szCs w:val="20"/>
                <w:shd w:val="clear" w:color="auto" w:fill="FEFEFE"/>
              </w:rPr>
              <w:t>Ц</w:t>
            </w:r>
            <w:r w:rsidRPr="00A925A9">
              <w:rPr>
                <w:rFonts w:ascii="Verdana" w:hAnsi="Verdana"/>
                <w:sz w:val="20"/>
                <w:szCs w:val="20"/>
                <w:shd w:val="clear" w:color="auto" w:fill="FEFEFE"/>
              </w:rPr>
              <w:t>ели</w:t>
            </w:r>
            <w:r w:rsidR="00372BA2">
              <w:rPr>
                <w:rFonts w:ascii="Verdana" w:hAnsi="Verdana"/>
                <w:sz w:val="20"/>
                <w:szCs w:val="20"/>
                <w:shd w:val="clear" w:color="auto" w:fill="FEFEFE"/>
              </w:rPr>
              <w:t>те</w:t>
            </w:r>
            <w:r w:rsidRPr="00A925A9">
              <w:rPr>
                <w:rFonts w:ascii="Verdana" w:hAnsi="Verdana"/>
                <w:sz w:val="20"/>
                <w:szCs w:val="20"/>
                <w:shd w:val="clear" w:color="auto" w:fill="FEFEFE"/>
              </w:rPr>
              <w:t xml:space="preserve"> на проект</w:t>
            </w:r>
            <w:r w:rsidR="00952F45" w:rsidRPr="00A925A9">
              <w:rPr>
                <w:rFonts w:ascii="Verdana" w:hAnsi="Verdana"/>
                <w:sz w:val="20"/>
                <w:szCs w:val="20"/>
                <w:shd w:val="clear" w:color="auto" w:fill="FEFEFE"/>
              </w:rPr>
              <w:t>а</w:t>
            </w:r>
            <w:r w:rsidRPr="00A925A9">
              <w:rPr>
                <w:rFonts w:ascii="Verdana" w:hAnsi="Verdana"/>
                <w:sz w:val="20"/>
                <w:szCs w:val="20"/>
                <w:shd w:val="clear" w:color="auto" w:fill="FEFEFE"/>
              </w:rPr>
              <w:t xml:space="preserve"> </w:t>
            </w:r>
            <w:r w:rsidR="00922030">
              <w:rPr>
                <w:rFonts w:ascii="Verdana" w:hAnsi="Verdana"/>
                <w:sz w:val="20"/>
                <w:szCs w:val="20"/>
                <w:shd w:val="clear" w:color="auto" w:fill="FEFEFE"/>
              </w:rPr>
              <w:t xml:space="preserve">на </w:t>
            </w:r>
            <w:r w:rsidR="006A4485" w:rsidRPr="006A4485">
              <w:rPr>
                <w:rFonts w:ascii="Verdana" w:hAnsi="Verdana"/>
                <w:sz w:val="20"/>
                <w:szCs w:val="20"/>
                <w:shd w:val="clear" w:color="auto" w:fill="FEFEFE"/>
              </w:rPr>
              <w:t xml:space="preserve">Постановление на Министерския съвет </w:t>
            </w:r>
            <w:r w:rsidR="006A4485">
              <w:rPr>
                <w:rFonts w:ascii="Verdana" w:hAnsi="Verdana"/>
                <w:sz w:val="20"/>
                <w:szCs w:val="20"/>
                <w:shd w:val="clear" w:color="auto" w:fill="FEFEFE"/>
                <w:lang w:val="en-US"/>
              </w:rPr>
              <w:t>(</w:t>
            </w:r>
            <w:r w:rsidR="00922030">
              <w:rPr>
                <w:rFonts w:ascii="Verdana" w:hAnsi="Verdana"/>
                <w:sz w:val="20"/>
                <w:szCs w:val="20"/>
                <w:shd w:val="clear" w:color="auto" w:fill="FEFEFE"/>
              </w:rPr>
              <w:t>ПМС</w:t>
            </w:r>
            <w:r w:rsidR="006A4485">
              <w:rPr>
                <w:rFonts w:ascii="Verdana" w:hAnsi="Verdana"/>
                <w:sz w:val="20"/>
                <w:szCs w:val="20"/>
                <w:shd w:val="clear" w:color="auto" w:fill="FEFEFE"/>
                <w:lang w:val="en-US"/>
              </w:rPr>
              <w:t>)</w:t>
            </w:r>
            <w:r w:rsidR="00922030">
              <w:rPr>
                <w:rFonts w:ascii="Verdana" w:hAnsi="Verdana"/>
                <w:sz w:val="20"/>
                <w:szCs w:val="20"/>
                <w:shd w:val="clear" w:color="auto" w:fill="FEFEFE"/>
              </w:rPr>
              <w:t xml:space="preserve"> </w:t>
            </w:r>
            <w:r w:rsidRPr="00A925A9">
              <w:rPr>
                <w:rFonts w:ascii="Verdana" w:hAnsi="Verdana"/>
                <w:sz w:val="20"/>
                <w:szCs w:val="20"/>
                <w:shd w:val="clear" w:color="auto" w:fill="FEFEFE"/>
              </w:rPr>
              <w:t xml:space="preserve">за </w:t>
            </w:r>
            <w:r w:rsidR="0053669E">
              <w:rPr>
                <w:rFonts w:ascii="Verdana" w:hAnsi="Verdana"/>
                <w:sz w:val="20"/>
                <w:szCs w:val="20"/>
                <w:shd w:val="clear" w:color="auto" w:fill="FEFEFE"/>
              </w:rPr>
              <w:t xml:space="preserve">приемане </w:t>
            </w:r>
            <w:r w:rsidRPr="00A925A9">
              <w:rPr>
                <w:rFonts w:ascii="Verdana" w:hAnsi="Verdana"/>
                <w:sz w:val="20"/>
                <w:szCs w:val="20"/>
                <w:shd w:val="clear" w:color="auto" w:fill="FEFEFE"/>
              </w:rPr>
              <w:t xml:space="preserve">на Наредбата за </w:t>
            </w:r>
            <w:r w:rsidR="00FC081C">
              <w:rPr>
                <w:rFonts w:ascii="Verdana" w:hAnsi="Verdana"/>
                <w:sz w:val="20"/>
                <w:szCs w:val="20"/>
                <w:shd w:val="clear" w:color="auto" w:fill="FEFEFE"/>
              </w:rPr>
              <w:t xml:space="preserve">предоставянето на информация на потребителите за храните </w:t>
            </w:r>
            <w:r w:rsidR="00922030">
              <w:rPr>
                <w:rFonts w:ascii="Verdana" w:hAnsi="Verdana"/>
                <w:sz w:val="20"/>
                <w:szCs w:val="20"/>
                <w:shd w:val="clear" w:color="auto" w:fill="FEFEFE"/>
              </w:rPr>
              <w:t>са</w:t>
            </w:r>
            <w:r w:rsidRPr="00A925A9">
              <w:rPr>
                <w:rFonts w:ascii="Verdana" w:hAnsi="Verdana"/>
                <w:sz w:val="20"/>
                <w:szCs w:val="20"/>
                <w:shd w:val="clear" w:color="auto" w:fill="FEFEFE"/>
              </w:rPr>
              <w:t>:</w:t>
            </w:r>
          </w:p>
          <w:p w:rsidR="00FD4FAE" w:rsidRPr="00A925A9" w:rsidRDefault="00FD4FAE" w:rsidP="00CC3C6C">
            <w:pPr>
              <w:numPr>
                <w:ilvl w:val="0"/>
                <w:numId w:val="22"/>
              </w:numPr>
              <w:overflowPunct w:val="0"/>
              <w:autoSpaceDE w:val="0"/>
              <w:autoSpaceDN w:val="0"/>
              <w:adjustRightInd w:val="0"/>
              <w:spacing w:before="0" w:beforeAutospacing="0" w:after="0" w:afterAutospacing="0" w:line="360" w:lineRule="auto"/>
              <w:contextualSpacing/>
              <w:jc w:val="both"/>
              <w:textAlignment w:val="baseline"/>
              <w:rPr>
                <w:rFonts w:ascii="Verdana" w:eastAsia="Calibri" w:hAnsi="Verdana"/>
                <w:sz w:val="20"/>
                <w:szCs w:val="20"/>
                <w:lang w:eastAsia="en-US"/>
              </w:rPr>
            </w:pPr>
            <w:r w:rsidRPr="00A925A9">
              <w:rPr>
                <w:rFonts w:ascii="Verdana" w:eastAsia="Calibri" w:hAnsi="Verdana"/>
                <w:sz w:val="20"/>
                <w:szCs w:val="20"/>
                <w:lang w:eastAsia="en-US"/>
              </w:rPr>
              <w:t xml:space="preserve">Гарантиране на висока степен на защита на здравето на потребителите на територията на Република България; </w:t>
            </w:r>
          </w:p>
          <w:p w:rsidR="00FD4FAE" w:rsidRPr="00A925A9" w:rsidRDefault="00FD4FAE" w:rsidP="00CC3C6C">
            <w:pPr>
              <w:numPr>
                <w:ilvl w:val="0"/>
                <w:numId w:val="22"/>
              </w:numPr>
              <w:overflowPunct w:val="0"/>
              <w:autoSpaceDE w:val="0"/>
              <w:autoSpaceDN w:val="0"/>
              <w:adjustRightInd w:val="0"/>
              <w:spacing w:before="0" w:beforeAutospacing="0" w:after="0" w:afterAutospacing="0" w:line="360" w:lineRule="auto"/>
              <w:contextualSpacing/>
              <w:jc w:val="both"/>
              <w:textAlignment w:val="baseline"/>
              <w:rPr>
                <w:rFonts w:ascii="Verdana" w:eastAsia="Calibri" w:hAnsi="Verdana"/>
                <w:sz w:val="20"/>
                <w:szCs w:val="20"/>
                <w:lang w:eastAsia="en-US"/>
              </w:rPr>
            </w:pPr>
            <w:r w:rsidRPr="00A925A9">
              <w:rPr>
                <w:rFonts w:ascii="Verdana" w:eastAsia="Calibri" w:hAnsi="Verdana"/>
                <w:sz w:val="20"/>
                <w:szCs w:val="20"/>
                <w:lang w:eastAsia="en-US"/>
              </w:rPr>
              <w:t xml:space="preserve">Защита на правата на потребителите чрез предоставяне на информиран избор и намаляване на риска от заблуда; </w:t>
            </w:r>
          </w:p>
          <w:p w:rsidR="00FD4FAE" w:rsidRPr="00A925A9" w:rsidRDefault="00FD4FAE" w:rsidP="00CC3C6C">
            <w:pPr>
              <w:numPr>
                <w:ilvl w:val="0"/>
                <w:numId w:val="22"/>
              </w:numPr>
              <w:overflowPunct w:val="0"/>
              <w:autoSpaceDE w:val="0"/>
              <w:autoSpaceDN w:val="0"/>
              <w:adjustRightInd w:val="0"/>
              <w:spacing w:before="0" w:beforeAutospacing="0" w:after="0" w:afterAutospacing="0" w:line="360" w:lineRule="auto"/>
              <w:contextualSpacing/>
              <w:jc w:val="both"/>
              <w:textAlignment w:val="baseline"/>
              <w:rPr>
                <w:rFonts w:ascii="Verdana" w:eastAsia="Calibri" w:hAnsi="Verdana"/>
                <w:sz w:val="20"/>
                <w:szCs w:val="20"/>
                <w:lang w:eastAsia="en-US"/>
              </w:rPr>
            </w:pPr>
            <w:r w:rsidRPr="00A925A9">
              <w:rPr>
                <w:rFonts w:ascii="Verdana" w:eastAsia="Calibri" w:hAnsi="Verdana"/>
                <w:sz w:val="20"/>
                <w:szCs w:val="20"/>
                <w:lang w:eastAsia="en-US"/>
              </w:rPr>
              <w:t>Ограничаване на възможностите за системни нарушения;</w:t>
            </w:r>
          </w:p>
          <w:p w:rsidR="00FD4FAE" w:rsidRDefault="00CC3C6C" w:rsidP="00CC3C6C">
            <w:pPr>
              <w:numPr>
                <w:ilvl w:val="0"/>
                <w:numId w:val="22"/>
              </w:numPr>
              <w:overflowPunct w:val="0"/>
              <w:autoSpaceDE w:val="0"/>
              <w:autoSpaceDN w:val="0"/>
              <w:adjustRightInd w:val="0"/>
              <w:spacing w:before="0" w:beforeAutospacing="0" w:after="0" w:afterAutospacing="0" w:line="360" w:lineRule="auto"/>
              <w:contextualSpacing/>
              <w:jc w:val="both"/>
              <w:textAlignment w:val="baseline"/>
              <w:rPr>
                <w:rFonts w:ascii="Verdana" w:eastAsia="Calibri" w:hAnsi="Verdana"/>
                <w:sz w:val="20"/>
                <w:szCs w:val="20"/>
                <w:lang w:eastAsia="en-US"/>
              </w:rPr>
            </w:pPr>
            <w:r w:rsidRPr="00A925A9">
              <w:rPr>
                <w:rFonts w:ascii="Verdana" w:eastAsia="Calibri" w:hAnsi="Verdana"/>
                <w:sz w:val="20"/>
                <w:szCs w:val="20"/>
                <w:lang w:eastAsia="en-US"/>
              </w:rPr>
              <w:t>Повишаване ефективността на контрола</w:t>
            </w:r>
            <w:r w:rsidR="00FD4FAE" w:rsidRPr="00A925A9">
              <w:rPr>
                <w:rFonts w:ascii="Verdana" w:eastAsia="Calibri" w:hAnsi="Verdana"/>
                <w:sz w:val="20"/>
                <w:szCs w:val="20"/>
                <w:lang w:eastAsia="en-US"/>
              </w:rPr>
              <w:t>.</w:t>
            </w:r>
          </w:p>
          <w:p w:rsidR="0028162E" w:rsidRDefault="0028162E" w:rsidP="00CC3C6C">
            <w:pPr>
              <w:numPr>
                <w:ilvl w:val="0"/>
                <w:numId w:val="22"/>
              </w:numPr>
              <w:overflowPunct w:val="0"/>
              <w:autoSpaceDE w:val="0"/>
              <w:autoSpaceDN w:val="0"/>
              <w:adjustRightInd w:val="0"/>
              <w:spacing w:before="0" w:beforeAutospacing="0" w:after="0" w:afterAutospacing="0" w:line="360" w:lineRule="auto"/>
              <w:contextualSpacing/>
              <w:jc w:val="both"/>
              <w:textAlignment w:val="baseline"/>
              <w:rPr>
                <w:rFonts w:ascii="Verdana" w:eastAsia="Calibri" w:hAnsi="Verdana"/>
                <w:sz w:val="20"/>
                <w:szCs w:val="20"/>
                <w:lang w:eastAsia="en-US"/>
              </w:rPr>
            </w:pPr>
            <w:r>
              <w:rPr>
                <w:rFonts w:ascii="Verdana" w:eastAsia="Calibri" w:hAnsi="Verdana"/>
                <w:sz w:val="20"/>
                <w:szCs w:val="20"/>
                <w:lang w:eastAsia="en-US"/>
              </w:rPr>
              <w:t>Въвеждане на разпоредбите н</w:t>
            </w:r>
            <w:r w:rsidR="00D07B1E">
              <w:rPr>
                <w:rFonts w:ascii="Verdana" w:eastAsia="Calibri" w:hAnsi="Verdana"/>
                <w:sz w:val="20"/>
                <w:szCs w:val="20"/>
                <w:lang w:eastAsia="en-US"/>
              </w:rPr>
              <w:t>а Директива 2011/91/ЕС</w:t>
            </w:r>
            <w:r>
              <w:rPr>
                <w:rFonts w:ascii="Verdana" w:eastAsia="Calibri" w:hAnsi="Verdana"/>
                <w:sz w:val="20"/>
                <w:szCs w:val="20"/>
                <w:lang w:eastAsia="en-US"/>
              </w:rPr>
              <w:t xml:space="preserve">. </w:t>
            </w:r>
          </w:p>
          <w:p w:rsidR="00D941D2" w:rsidRDefault="00FC2E6B" w:rsidP="00D941D2">
            <w:pPr>
              <w:numPr>
                <w:ilvl w:val="0"/>
                <w:numId w:val="22"/>
              </w:numPr>
              <w:overflowPunct w:val="0"/>
              <w:autoSpaceDE w:val="0"/>
              <w:autoSpaceDN w:val="0"/>
              <w:adjustRightInd w:val="0"/>
              <w:spacing w:before="0" w:beforeAutospacing="0" w:after="0" w:afterAutospacing="0" w:line="360" w:lineRule="auto"/>
              <w:contextualSpacing/>
              <w:jc w:val="both"/>
              <w:textAlignment w:val="baseline"/>
              <w:rPr>
                <w:rFonts w:ascii="Verdana" w:eastAsia="Calibri" w:hAnsi="Verdana"/>
                <w:sz w:val="20"/>
                <w:szCs w:val="20"/>
                <w:lang w:eastAsia="en-US"/>
              </w:rPr>
            </w:pPr>
            <w:r>
              <w:rPr>
                <w:rFonts w:ascii="Verdana" w:eastAsia="Calibri" w:hAnsi="Verdana"/>
                <w:sz w:val="20"/>
                <w:szCs w:val="20"/>
                <w:lang w:eastAsia="en-US"/>
              </w:rPr>
              <w:t>Прилагане на изискванията на Регламент (ЕС) 1169/2011, изискванията, предвидени в специални разпоредби на регламентите на ЕС за опреде</w:t>
            </w:r>
            <w:r w:rsidR="00463D08">
              <w:rPr>
                <w:rFonts w:ascii="Verdana" w:eastAsia="Calibri" w:hAnsi="Verdana"/>
                <w:sz w:val="20"/>
                <w:szCs w:val="20"/>
                <w:lang w:eastAsia="en-US"/>
              </w:rPr>
              <w:t>ле</w:t>
            </w:r>
            <w:r>
              <w:rPr>
                <w:rFonts w:ascii="Verdana" w:eastAsia="Calibri" w:hAnsi="Verdana"/>
                <w:sz w:val="20"/>
                <w:szCs w:val="20"/>
                <w:lang w:eastAsia="en-US"/>
              </w:rPr>
              <w:t xml:space="preserve">ни храни, Закона за храните и на подзаконовите нормативни актове по прилагането му. </w:t>
            </w:r>
          </w:p>
          <w:p w:rsidR="00D941D2" w:rsidRPr="00D941D2" w:rsidRDefault="00D941D2" w:rsidP="00D941D2">
            <w:pPr>
              <w:numPr>
                <w:ilvl w:val="0"/>
                <w:numId w:val="22"/>
              </w:numPr>
              <w:overflowPunct w:val="0"/>
              <w:autoSpaceDE w:val="0"/>
              <w:autoSpaceDN w:val="0"/>
              <w:adjustRightInd w:val="0"/>
              <w:spacing w:before="0" w:beforeAutospacing="0" w:after="0" w:afterAutospacing="0" w:line="360" w:lineRule="auto"/>
              <w:contextualSpacing/>
              <w:jc w:val="both"/>
              <w:textAlignment w:val="baseline"/>
              <w:rPr>
                <w:rFonts w:ascii="Verdana" w:eastAsia="Calibri" w:hAnsi="Verdana"/>
                <w:sz w:val="20"/>
                <w:szCs w:val="20"/>
                <w:lang w:eastAsia="en-US"/>
              </w:rPr>
            </w:pPr>
            <w:r w:rsidRPr="00D941D2">
              <w:rPr>
                <w:rFonts w:ascii="Verdana" w:eastAsia="Calibri" w:hAnsi="Verdana"/>
                <w:sz w:val="20"/>
                <w:szCs w:val="20"/>
                <w:lang w:eastAsia="en-US"/>
              </w:rPr>
              <w:t xml:space="preserve">Определянето на национални мерки по отношение на </w:t>
            </w:r>
            <w:r w:rsidRPr="00D941D2">
              <w:rPr>
                <w:rFonts w:ascii="Verdana" w:hAnsi="Verdana"/>
                <w:bCs/>
                <w:iCs/>
                <w:sz w:val="20"/>
                <w:szCs w:val="20"/>
              </w:rPr>
              <w:t>предоставянето на информация</w:t>
            </w:r>
            <w:r w:rsidRPr="00D941D2">
              <w:rPr>
                <w:rFonts w:ascii="Verdana" w:hAnsi="Verdana"/>
                <w:bCs/>
                <w:iCs/>
                <w:sz w:val="20"/>
                <w:szCs w:val="20"/>
                <w:lang w:val="en-US"/>
              </w:rPr>
              <w:t xml:space="preserve"> </w:t>
            </w:r>
            <w:r w:rsidRPr="00D941D2">
              <w:rPr>
                <w:rFonts w:ascii="Verdana" w:hAnsi="Verdana"/>
                <w:bCs/>
                <w:iCs/>
                <w:sz w:val="20"/>
                <w:szCs w:val="20"/>
              </w:rPr>
              <w:t>при предлагане за продажба на храни на краен потребител или на заведение за обществено хранене без предварително опаковане, или когато храните са опаковани в търговските помещения по искане на потребителя или са предварително</w:t>
            </w:r>
            <w:r w:rsidR="00FA3309">
              <w:rPr>
                <w:rFonts w:ascii="Verdana" w:hAnsi="Verdana"/>
                <w:bCs/>
                <w:iCs/>
                <w:sz w:val="20"/>
                <w:szCs w:val="20"/>
              </w:rPr>
              <w:t xml:space="preserve"> опаковани за директна продажба</w:t>
            </w:r>
            <w:r w:rsidRPr="00D941D2">
              <w:rPr>
                <w:rFonts w:ascii="Verdana" w:hAnsi="Verdana"/>
                <w:sz w:val="20"/>
                <w:szCs w:val="20"/>
                <w:lang w:val="en-US"/>
              </w:rPr>
              <w:t>.</w:t>
            </w:r>
          </w:p>
          <w:p w:rsidR="005F33F4" w:rsidRPr="00A925A9" w:rsidRDefault="003D51AB" w:rsidP="007E3775">
            <w:pPr>
              <w:spacing w:before="0" w:beforeAutospacing="0" w:after="0" w:afterAutospacing="0" w:line="360" w:lineRule="auto"/>
              <w:jc w:val="both"/>
              <w:rPr>
                <w:rFonts w:ascii="Verdana" w:hAnsi="Verdana"/>
                <w:sz w:val="20"/>
                <w:szCs w:val="20"/>
              </w:rPr>
            </w:pPr>
            <w:r>
              <w:rPr>
                <w:rFonts w:ascii="Verdana" w:hAnsi="Verdana"/>
                <w:sz w:val="20"/>
                <w:szCs w:val="20"/>
              </w:rPr>
              <w:lastRenderedPageBreak/>
              <w:t xml:space="preserve">     </w:t>
            </w:r>
            <w:r w:rsidR="006F572F" w:rsidRPr="00A925A9">
              <w:rPr>
                <w:rFonts w:ascii="Verdana" w:hAnsi="Verdana" w:cs="Verdana"/>
                <w:sz w:val="20"/>
                <w:szCs w:val="20"/>
              </w:rPr>
              <w:t xml:space="preserve"> </w:t>
            </w:r>
            <w:r w:rsidR="005F33F4" w:rsidRPr="00A925A9">
              <w:rPr>
                <w:rFonts w:ascii="Verdana" w:hAnsi="Verdana"/>
                <w:sz w:val="20"/>
                <w:szCs w:val="20"/>
              </w:rPr>
              <w:t>Създават се предпоставки за повишаване на ефективността на контрола върху спазването на изискванията за обозначаване</w:t>
            </w:r>
            <w:r w:rsidR="00F544D2">
              <w:rPr>
                <w:rFonts w:ascii="Verdana" w:hAnsi="Verdana"/>
                <w:sz w:val="20"/>
                <w:szCs w:val="20"/>
              </w:rPr>
              <w:t>, етикетиране, предлагане, рекламиране и продажба</w:t>
            </w:r>
            <w:r w:rsidR="005F33F4" w:rsidRPr="00A925A9">
              <w:rPr>
                <w:rFonts w:ascii="Verdana" w:hAnsi="Verdana"/>
                <w:sz w:val="20"/>
                <w:szCs w:val="20"/>
              </w:rPr>
              <w:t xml:space="preserve">. </w:t>
            </w:r>
          </w:p>
        </w:tc>
      </w:tr>
      <w:tr w:rsidR="006222FE" w:rsidRPr="00A925A9" w:rsidTr="00D96F7C">
        <w:trPr>
          <w:trHeight w:val="142"/>
        </w:trPr>
        <w:tc>
          <w:tcPr>
            <w:tcW w:w="10257" w:type="dxa"/>
            <w:gridSpan w:val="2"/>
            <w:shd w:val="clear" w:color="auto" w:fill="auto"/>
          </w:tcPr>
          <w:p w:rsidR="006222FE" w:rsidRPr="00A925A9" w:rsidRDefault="006222FE" w:rsidP="00CC3C6C">
            <w:pPr>
              <w:spacing w:before="0" w:beforeAutospacing="0" w:after="0" w:line="360" w:lineRule="auto"/>
              <w:ind w:left="142" w:right="475"/>
              <w:jc w:val="both"/>
              <w:rPr>
                <w:rFonts w:ascii="Verdana" w:hAnsi="Verdana"/>
                <w:sz w:val="20"/>
                <w:szCs w:val="20"/>
              </w:rPr>
            </w:pPr>
            <w:r w:rsidRPr="00A925A9">
              <w:rPr>
                <w:rFonts w:ascii="Verdana" w:hAnsi="Verdana"/>
                <w:b/>
                <w:sz w:val="20"/>
                <w:szCs w:val="20"/>
              </w:rPr>
              <w:lastRenderedPageBreak/>
              <w:t>3. Идентифициране на заинтересованите страни:</w:t>
            </w:r>
          </w:p>
          <w:p w:rsidR="006222FE" w:rsidRPr="00A925A9" w:rsidRDefault="006222FE" w:rsidP="00CC3C6C">
            <w:pPr>
              <w:spacing w:before="0" w:beforeAutospacing="0" w:after="0" w:line="360" w:lineRule="auto"/>
              <w:ind w:left="142" w:right="475"/>
              <w:jc w:val="both"/>
              <w:rPr>
                <w:rFonts w:ascii="Verdana" w:hAnsi="Verdana"/>
                <w:b/>
                <w:i/>
                <w:sz w:val="20"/>
                <w:szCs w:val="20"/>
              </w:rPr>
            </w:pPr>
            <w:r w:rsidRPr="00A925A9">
              <w:rPr>
                <w:rFonts w:ascii="Verdana" w:hAnsi="Verdana"/>
                <w:b/>
                <w:i/>
                <w:sz w:val="20"/>
                <w:szCs w:val="20"/>
              </w:rPr>
              <w:t>Посочете всички потенциални засегнати и заинтересовани страни, върху които предложението ще окаже пряко или косве</w:t>
            </w:r>
            <w:r w:rsidR="00954228" w:rsidRPr="00A925A9">
              <w:rPr>
                <w:rFonts w:ascii="Verdana" w:hAnsi="Verdana"/>
                <w:b/>
                <w:i/>
                <w:sz w:val="20"/>
                <w:szCs w:val="20"/>
              </w:rPr>
              <w:t xml:space="preserve">но въздействие (бизнес в дадена </w:t>
            </w:r>
            <w:r w:rsidRPr="00A925A9">
              <w:rPr>
                <w:rFonts w:ascii="Verdana" w:hAnsi="Verdana"/>
                <w:b/>
                <w:i/>
                <w:sz w:val="20"/>
                <w:szCs w:val="20"/>
              </w:rPr>
              <w:t>област/всички предприемачи, неправителствени организации, граждани/техни представители, държавни органи, др.).</w:t>
            </w:r>
          </w:p>
          <w:p w:rsidR="00CD1C2D" w:rsidRPr="00A925A9" w:rsidRDefault="00CD1C2D" w:rsidP="00CC3C6C">
            <w:pPr>
              <w:numPr>
                <w:ilvl w:val="0"/>
                <w:numId w:val="7"/>
              </w:numPr>
              <w:spacing w:before="0" w:beforeAutospacing="0" w:after="120" w:afterAutospacing="0" w:line="360" w:lineRule="auto"/>
              <w:contextualSpacing/>
              <w:jc w:val="both"/>
              <w:rPr>
                <w:rFonts w:ascii="Verdana" w:eastAsia="Calibri" w:hAnsi="Verdana"/>
                <w:b/>
                <w:bCs/>
                <w:sz w:val="20"/>
                <w:szCs w:val="20"/>
                <w:lang w:eastAsia="en-US"/>
              </w:rPr>
            </w:pPr>
            <w:r w:rsidRPr="00A925A9">
              <w:rPr>
                <w:rFonts w:ascii="Verdana" w:eastAsia="Calibri" w:hAnsi="Verdana"/>
                <w:b/>
                <w:sz w:val="20"/>
                <w:szCs w:val="20"/>
                <w:lang w:eastAsia="en-US"/>
              </w:rPr>
              <w:t>Министерство н</w:t>
            </w:r>
            <w:r w:rsidR="00FC4D98" w:rsidRPr="00A925A9">
              <w:rPr>
                <w:rFonts w:ascii="Verdana" w:eastAsia="Calibri" w:hAnsi="Verdana"/>
                <w:b/>
                <w:sz w:val="20"/>
                <w:szCs w:val="20"/>
                <w:lang w:eastAsia="en-US"/>
              </w:rPr>
              <w:t>а земеделието, храните и горите</w:t>
            </w:r>
            <w:r w:rsidR="00D6127E" w:rsidRPr="00A925A9">
              <w:rPr>
                <w:rFonts w:ascii="Verdana" w:eastAsia="Calibri" w:hAnsi="Verdana"/>
                <w:b/>
                <w:sz w:val="20"/>
                <w:szCs w:val="20"/>
                <w:lang w:eastAsia="en-US"/>
              </w:rPr>
              <w:t xml:space="preserve"> (МЗХГ)</w:t>
            </w:r>
          </w:p>
          <w:p w:rsidR="00F63937" w:rsidRPr="00A925A9" w:rsidRDefault="00CD1C2D" w:rsidP="00CC3C6C">
            <w:pPr>
              <w:numPr>
                <w:ilvl w:val="0"/>
                <w:numId w:val="23"/>
              </w:numPr>
              <w:spacing w:before="0" w:beforeAutospacing="0" w:after="120" w:afterAutospacing="0" w:line="360" w:lineRule="auto"/>
              <w:contextualSpacing/>
              <w:jc w:val="both"/>
              <w:rPr>
                <w:rFonts w:ascii="Verdana" w:eastAsia="Calibri" w:hAnsi="Verdana"/>
                <w:sz w:val="20"/>
                <w:szCs w:val="20"/>
                <w:lang w:eastAsia="en-US"/>
              </w:rPr>
            </w:pPr>
            <w:r w:rsidRPr="00A925A9">
              <w:rPr>
                <w:rFonts w:ascii="Verdana" w:eastAsia="Calibri" w:hAnsi="Verdana"/>
                <w:sz w:val="20"/>
                <w:szCs w:val="20"/>
                <w:lang w:eastAsia="en-US"/>
              </w:rPr>
              <w:t xml:space="preserve">Българска агенция по безопасност на храните; </w:t>
            </w:r>
          </w:p>
          <w:p w:rsidR="00CD1C2D" w:rsidRPr="00A925A9" w:rsidRDefault="00CD1C2D" w:rsidP="00CC3C6C">
            <w:pPr>
              <w:numPr>
                <w:ilvl w:val="0"/>
                <w:numId w:val="23"/>
              </w:numPr>
              <w:spacing w:before="0" w:beforeAutospacing="0" w:after="120" w:afterAutospacing="0" w:line="360" w:lineRule="auto"/>
              <w:contextualSpacing/>
              <w:jc w:val="both"/>
              <w:rPr>
                <w:rFonts w:ascii="Verdana" w:eastAsia="Calibri" w:hAnsi="Verdana"/>
                <w:sz w:val="20"/>
                <w:szCs w:val="20"/>
                <w:lang w:eastAsia="en-US"/>
              </w:rPr>
            </w:pPr>
            <w:r w:rsidRPr="00A925A9">
              <w:rPr>
                <w:rFonts w:ascii="Verdana" w:eastAsia="Calibri" w:hAnsi="Verdana"/>
                <w:sz w:val="20"/>
                <w:szCs w:val="20"/>
                <w:lang w:eastAsia="en-US"/>
              </w:rPr>
              <w:t xml:space="preserve">Център за оценка </w:t>
            </w:r>
            <w:r w:rsidR="00FC4D98" w:rsidRPr="00A925A9">
              <w:rPr>
                <w:rFonts w:ascii="Verdana" w:eastAsia="Calibri" w:hAnsi="Verdana"/>
                <w:sz w:val="20"/>
                <w:szCs w:val="20"/>
                <w:lang w:eastAsia="en-US"/>
              </w:rPr>
              <w:t>на риска по хранителната верига.</w:t>
            </w:r>
            <w:r w:rsidRPr="00A925A9">
              <w:rPr>
                <w:rFonts w:ascii="Verdana" w:eastAsia="Calibri" w:hAnsi="Verdana"/>
                <w:sz w:val="20"/>
                <w:szCs w:val="20"/>
                <w:lang w:eastAsia="en-US"/>
              </w:rPr>
              <w:t xml:space="preserve"> </w:t>
            </w:r>
          </w:p>
          <w:p w:rsidR="00334AC3" w:rsidRDefault="00334AC3" w:rsidP="00CC3C6C">
            <w:pPr>
              <w:spacing w:before="0" w:beforeAutospacing="0" w:after="120" w:afterAutospacing="0" w:line="360" w:lineRule="auto"/>
              <w:ind w:left="360"/>
              <w:contextualSpacing/>
              <w:jc w:val="both"/>
              <w:rPr>
                <w:rFonts w:ascii="Verdana" w:eastAsia="Calibri" w:hAnsi="Verdana"/>
                <w:b/>
                <w:bCs/>
                <w:sz w:val="20"/>
                <w:szCs w:val="20"/>
                <w:lang w:eastAsia="en-US"/>
              </w:rPr>
            </w:pPr>
          </w:p>
          <w:p w:rsidR="00334AC3" w:rsidRDefault="00334AC3" w:rsidP="00CC3C6C">
            <w:pPr>
              <w:spacing w:before="0" w:beforeAutospacing="0" w:after="120" w:afterAutospacing="0" w:line="360" w:lineRule="auto"/>
              <w:ind w:left="360"/>
              <w:contextualSpacing/>
              <w:jc w:val="both"/>
              <w:rPr>
                <w:rFonts w:ascii="Verdana" w:eastAsia="Calibri" w:hAnsi="Verdana"/>
                <w:b/>
                <w:bCs/>
                <w:sz w:val="20"/>
                <w:szCs w:val="20"/>
                <w:lang w:eastAsia="en-US"/>
              </w:rPr>
            </w:pPr>
          </w:p>
          <w:p w:rsidR="00FC4D98" w:rsidRPr="00A925A9" w:rsidRDefault="00FC4D98" w:rsidP="00CC3C6C">
            <w:pPr>
              <w:spacing w:before="0" w:beforeAutospacing="0" w:after="120" w:afterAutospacing="0" w:line="360" w:lineRule="auto"/>
              <w:ind w:left="360"/>
              <w:contextualSpacing/>
              <w:jc w:val="both"/>
              <w:rPr>
                <w:rFonts w:ascii="Verdana" w:hAnsi="Verdana" w:cs="Arial"/>
                <w:b/>
                <w:color w:val="000000"/>
                <w:sz w:val="20"/>
                <w:szCs w:val="20"/>
                <w:shd w:val="clear" w:color="auto" w:fill="FFFFFF"/>
              </w:rPr>
            </w:pPr>
            <w:r w:rsidRPr="00A925A9">
              <w:rPr>
                <w:rFonts w:ascii="Verdana" w:eastAsia="Calibri" w:hAnsi="Verdana"/>
                <w:b/>
                <w:bCs/>
                <w:sz w:val="20"/>
                <w:szCs w:val="20"/>
                <w:lang w:eastAsia="en-US"/>
              </w:rPr>
              <w:t xml:space="preserve">2. </w:t>
            </w:r>
            <w:r w:rsidRPr="00A925A9">
              <w:rPr>
                <w:rFonts w:ascii="Verdana" w:hAnsi="Verdana" w:cs="Arial"/>
                <w:b/>
                <w:color w:val="000000"/>
                <w:sz w:val="20"/>
                <w:szCs w:val="20"/>
                <w:shd w:val="clear" w:color="auto" w:fill="FFFFFF"/>
              </w:rPr>
              <w:t xml:space="preserve"> Министерство на здравеопазването</w:t>
            </w:r>
            <w:r w:rsidR="00D6127E" w:rsidRPr="00A925A9">
              <w:rPr>
                <w:rFonts w:ascii="Verdana" w:hAnsi="Verdana" w:cs="Arial"/>
                <w:b/>
                <w:color w:val="000000"/>
                <w:sz w:val="20"/>
                <w:szCs w:val="20"/>
                <w:shd w:val="clear" w:color="auto" w:fill="FFFFFF"/>
              </w:rPr>
              <w:t xml:space="preserve"> (МЗ)</w:t>
            </w:r>
          </w:p>
          <w:p w:rsidR="00F63937" w:rsidRPr="00A925A9" w:rsidRDefault="00FC4D98" w:rsidP="00CC3C6C">
            <w:pPr>
              <w:numPr>
                <w:ilvl w:val="0"/>
                <w:numId w:val="24"/>
              </w:numPr>
              <w:spacing w:before="0" w:beforeAutospacing="0" w:after="120" w:afterAutospacing="0" w:line="360" w:lineRule="auto"/>
              <w:contextualSpacing/>
              <w:jc w:val="both"/>
              <w:rPr>
                <w:rFonts w:ascii="Verdana" w:eastAsia="Calibri" w:hAnsi="Verdana"/>
                <w:bCs/>
                <w:sz w:val="20"/>
                <w:szCs w:val="20"/>
              </w:rPr>
            </w:pPr>
            <w:r w:rsidRPr="00A925A9">
              <w:rPr>
                <w:rFonts w:ascii="Verdana" w:eastAsia="Calibri" w:hAnsi="Verdana"/>
                <w:bCs/>
                <w:sz w:val="20"/>
                <w:szCs w:val="20"/>
              </w:rPr>
              <w:t>Регионални здравни инспекции;</w:t>
            </w:r>
          </w:p>
          <w:p w:rsidR="00FC4D98" w:rsidRPr="00A925A9" w:rsidRDefault="00FC4D98" w:rsidP="00CC3C6C">
            <w:pPr>
              <w:numPr>
                <w:ilvl w:val="0"/>
                <w:numId w:val="24"/>
              </w:numPr>
              <w:spacing w:before="0" w:beforeAutospacing="0" w:after="120" w:afterAutospacing="0" w:line="360" w:lineRule="auto"/>
              <w:contextualSpacing/>
              <w:jc w:val="both"/>
              <w:rPr>
                <w:rFonts w:ascii="Verdana" w:eastAsia="Calibri" w:hAnsi="Verdana"/>
                <w:bCs/>
                <w:sz w:val="20"/>
                <w:szCs w:val="20"/>
              </w:rPr>
            </w:pPr>
            <w:r w:rsidRPr="00A925A9">
              <w:rPr>
                <w:rFonts w:ascii="Verdana" w:hAnsi="Verdana" w:cs="Arial"/>
                <w:color w:val="000000"/>
                <w:sz w:val="20"/>
                <w:szCs w:val="20"/>
                <w:shd w:val="clear" w:color="auto" w:fill="FFFFFF"/>
              </w:rPr>
              <w:t>Национален център по общественото здраве и анализи.</w:t>
            </w:r>
          </w:p>
          <w:p w:rsidR="00C04085" w:rsidRDefault="00C04085" w:rsidP="00CC3C6C">
            <w:pPr>
              <w:autoSpaceDE w:val="0"/>
              <w:autoSpaceDN w:val="0"/>
              <w:adjustRightInd w:val="0"/>
              <w:spacing w:before="0" w:beforeAutospacing="0" w:line="360" w:lineRule="auto"/>
              <w:ind w:left="360"/>
              <w:jc w:val="both"/>
              <w:rPr>
                <w:rFonts w:ascii="Verdana" w:eastAsia="Calibri" w:hAnsi="Verdana"/>
                <w:b/>
                <w:sz w:val="20"/>
                <w:szCs w:val="20"/>
              </w:rPr>
            </w:pPr>
          </w:p>
          <w:p w:rsidR="00CD1C2D" w:rsidRPr="00A925A9" w:rsidRDefault="00FC4D98" w:rsidP="00CC3C6C">
            <w:pPr>
              <w:autoSpaceDE w:val="0"/>
              <w:autoSpaceDN w:val="0"/>
              <w:adjustRightInd w:val="0"/>
              <w:spacing w:before="0" w:beforeAutospacing="0" w:line="360" w:lineRule="auto"/>
              <w:ind w:left="360"/>
              <w:jc w:val="both"/>
              <w:rPr>
                <w:rFonts w:ascii="Verdana" w:eastAsia="Calibri" w:hAnsi="Verdana"/>
                <w:b/>
                <w:bCs/>
                <w:sz w:val="20"/>
                <w:szCs w:val="20"/>
              </w:rPr>
            </w:pPr>
            <w:r w:rsidRPr="00A925A9">
              <w:rPr>
                <w:rFonts w:ascii="Verdana" w:eastAsia="Calibri" w:hAnsi="Verdana"/>
                <w:b/>
                <w:sz w:val="20"/>
                <w:szCs w:val="20"/>
              </w:rPr>
              <w:t>3</w:t>
            </w:r>
            <w:r w:rsidR="00CD1C2D" w:rsidRPr="00A925A9">
              <w:rPr>
                <w:rFonts w:ascii="Verdana" w:eastAsia="Calibri" w:hAnsi="Verdana"/>
                <w:b/>
                <w:sz w:val="20"/>
                <w:szCs w:val="20"/>
              </w:rPr>
              <w:t xml:space="preserve">. Браншови </w:t>
            </w:r>
            <w:r w:rsidR="00CD1C2D" w:rsidRPr="00A925A9">
              <w:rPr>
                <w:rFonts w:ascii="Verdana" w:eastAsia="Calibri" w:hAnsi="Verdana"/>
                <w:b/>
                <w:bCs/>
                <w:sz w:val="20"/>
                <w:szCs w:val="20"/>
              </w:rPr>
              <w:t>организации в областта на хранителната верига</w:t>
            </w:r>
          </w:p>
          <w:p w:rsidR="00D763D5" w:rsidRPr="002413E6" w:rsidRDefault="0030210B" w:rsidP="0030210B">
            <w:pPr>
              <w:pStyle w:val="ListParagraph"/>
              <w:numPr>
                <w:ilvl w:val="0"/>
                <w:numId w:val="39"/>
              </w:numPr>
              <w:spacing w:after="0" w:line="360" w:lineRule="auto"/>
              <w:rPr>
                <w:rFonts w:ascii="Verdana" w:hAnsi="Verdana"/>
                <w:sz w:val="20"/>
                <w:szCs w:val="20"/>
                <w:shd w:val="clear" w:color="auto" w:fill="FFFFFF"/>
              </w:rPr>
            </w:pPr>
            <w:r w:rsidRPr="002413E6">
              <w:rPr>
                <w:rFonts w:ascii="Verdana" w:hAnsi="Verdana"/>
                <w:sz w:val="20"/>
                <w:szCs w:val="20"/>
                <w:shd w:val="clear" w:color="auto" w:fill="FFFFFF"/>
              </w:rPr>
              <w:t>Асоциация на млекопреработвателите в България</w:t>
            </w:r>
          </w:p>
          <w:p w:rsidR="0030210B" w:rsidRPr="002413E6" w:rsidRDefault="0030210B" w:rsidP="0030210B">
            <w:pPr>
              <w:pStyle w:val="ListParagraph"/>
              <w:numPr>
                <w:ilvl w:val="0"/>
                <w:numId w:val="39"/>
              </w:numPr>
              <w:spacing w:after="0" w:line="360" w:lineRule="auto"/>
              <w:rPr>
                <w:rFonts w:ascii="Verdana" w:hAnsi="Verdana"/>
                <w:sz w:val="20"/>
                <w:szCs w:val="20"/>
                <w:shd w:val="clear" w:color="auto" w:fill="FFFFFF"/>
              </w:rPr>
            </w:pPr>
            <w:r w:rsidRPr="002413E6">
              <w:rPr>
                <w:rFonts w:ascii="Verdana" w:hAnsi="Verdana"/>
                <w:sz w:val="20"/>
                <w:szCs w:val="20"/>
                <w:shd w:val="clear" w:color="auto" w:fill="FFFFFF"/>
              </w:rPr>
              <w:t>Национална асоциация на млекопреработвателите</w:t>
            </w:r>
          </w:p>
          <w:p w:rsidR="0030210B" w:rsidRPr="002413E6" w:rsidRDefault="0030210B" w:rsidP="0030210B">
            <w:pPr>
              <w:pStyle w:val="ListParagraph"/>
              <w:numPr>
                <w:ilvl w:val="0"/>
                <w:numId w:val="39"/>
              </w:numPr>
              <w:spacing w:after="0" w:line="360" w:lineRule="auto"/>
              <w:rPr>
                <w:rFonts w:ascii="Verdana" w:hAnsi="Verdana"/>
                <w:sz w:val="20"/>
                <w:szCs w:val="20"/>
                <w:shd w:val="clear" w:color="auto" w:fill="FFFFFF"/>
              </w:rPr>
            </w:pPr>
            <w:r w:rsidRPr="002413E6">
              <w:rPr>
                <w:rFonts w:ascii="Verdana" w:hAnsi="Verdana"/>
                <w:sz w:val="20"/>
                <w:szCs w:val="20"/>
                <w:shd w:val="clear" w:color="auto" w:fill="FFFFFF"/>
              </w:rPr>
              <w:t>Национален браншови съюз на хлебарите и сладкарите</w:t>
            </w:r>
          </w:p>
          <w:p w:rsidR="0030210B" w:rsidRPr="002413E6" w:rsidRDefault="006B3661" w:rsidP="0030210B">
            <w:pPr>
              <w:pStyle w:val="ListParagraph"/>
              <w:numPr>
                <w:ilvl w:val="0"/>
                <w:numId w:val="39"/>
              </w:numPr>
              <w:spacing w:after="0" w:line="360" w:lineRule="auto"/>
              <w:rPr>
                <w:rFonts w:ascii="Verdana" w:hAnsi="Verdana"/>
                <w:sz w:val="20"/>
                <w:szCs w:val="20"/>
                <w:shd w:val="clear" w:color="auto" w:fill="FFFFFF"/>
              </w:rPr>
            </w:pPr>
            <w:r w:rsidRPr="002413E6">
              <w:rPr>
                <w:rFonts w:ascii="Verdana" w:hAnsi="Verdana"/>
                <w:sz w:val="20"/>
                <w:szCs w:val="20"/>
                <w:shd w:val="clear" w:color="auto" w:fill="FFFFFF"/>
              </w:rPr>
              <w:t>Асоциация на месопреработвателите в България</w:t>
            </w:r>
          </w:p>
          <w:p w:rsidR="006B3661" w:rsidRPr="002413E6" w:rsidRDefault="00B44B71" w:rsidP="0030210B">
            <w:pPr>
              <w:pStyle w:val="ListParagraph"/>
              <w:numPr>
                <w:ilvl w:val="0"/>
                <w:numId w:val="39"/>
              </w:numPr>
              <w:spacing w:after="0" w:line="360" w:lineRule="auto"/>
              <w:rPr>
                <w:rFonts w:ascii="Verdana" w:hAnsi="Verdana"/>
                <w:sz w:val="20"/>
                <w:szCs w:val="20"/>
                <w:shd w:val="clear" w:color="auto" w:fill="FFFFFF"/>
              </w:rPr>
            </w:pPr>
            <w:r w:rsidRPr="002413E6">
              <w:rPr>
                <w:rFonts w:ascii="Verdana" w:hAnsi="Verdana"/>
                <w:sz w:val="20"/>
                <w:szCs w:val="20"/>
                <w:shd w:val="clear" w:color="auto" w:fill="FFFFFF"/>
              </w:rPr>
              <w:t>Съюз на преработвателите на плодове и зеленчуци</w:t>
            </w:r>
          </w:p>
          <w:p w:rsidR="00B44B71" w:rsidRPr="002413E6" w:rsidRDefault="00F3504D" w:rsidP="0030210B">
            <w:pPr>
              <w:pStyle w:val="ListParagraph"/>
              <w:numPr>
                <w:ilvl w:val="0"/>
                <w:numId w:val="39"/>
              </w:numPr>
              <w:spacing w:after="0" w:line="360" w:lineRule="auto"/>
              <w:rPr>
                <w:rFonts w:ascii="Verdana" w:hAnsi="Verdana"/>
                <w:sz w:val="20"/>
                <w:szCs w:val="20"/>
                <w:shd w:val="clear" w:color="auto" w:fill="FFFFFF"/>
              </w:rPr>
            </w:pPr>
            <w:r w:rsidRPr="002413E6">
              <w:rPr>
                <w:rFonts w:ascii="Verdana" w:hAnsi="Verdana"/>
                <w:sz w:val="20"/>
                <w:szCs w:val="20"/>
                <w:shd w:val="clear" w:color="auto" w:fill="FFFFFF"/>
              </w:rPr>
              <w:t>Асоциация на производителите на рибни продукти – БГ ФИШ</w:t>
            </w:r>
          </w:p>
          <w:p w:rsidR="00F3504D" w:rsidRPr="002413E6" w:rsidRDefault="002413E6" w:rsidP="0030210B">
            <w:pPr>
              <w:pStyle w:val="ListParagraph"/>
              <w:numPr>
                <w:ilvl w:val="0"/>
                <w:numId w:val="39"/>
              </w:numPr>
              <w:spacing w:after="0" w:line="360" w:lineRule="auto"/>
              <w:rPr>
                <w:rFonts w:ascii="Verdana" w:hAnsi="Verdana"/>
                <w:sz w:val="20"/>
                <w:szCs w:val="20"/>
                <w:shd w:val="clear" w:color="auto" w:fill="FFFFFF"/>
              </w:rPr>
            </w:pPr>
            <w:r w:rsidRPr="002413E6">
              <w:rPr>
                <w:rFonts w:ascii="Verdana" w:hAnsi="Verdana"/>
                <w:sz w:val="20"/>
                <w:szCs w:val="20"/>
                <w:shd w:val="clear" w:color="auto" w:fill="FFFFFF"/>
              </w:rPr>
              <w:t>Сдружение „Храни и напитки в България“</w:t>
            </w:r>
          </w:p>
          <w:p w:rsidR="002413E6" w:rsidRDefault="006948DD" w:rsidP="0030210B">
            <w:pPr>
              <w:pStyle w:val="ListParagraph"/>
              <w:numPr>
                <w:ilvl w:val="0"/>
                <w:numId w:val="39"/>
              </w:numPr>
              <w:spacing w:after="0" w:line="360" w:lineRule="auto"/>
              <w:rPr>
                <w:rFonts w:ascii="Verdana" w:hAnsi="Verdana"/>
                <w:sz w:val="20"/>
                <w:szCs w:val="20"/>
                <w:shd w:val="clear" w:color="auto" w:fill="FFFFFF"/>
              </w:rPr>
            </w:pPr>
            <w:r w:rsidRPr="006948DD">
              <w:rPr>
                <w:rFonts w:ascii="Verdana" w:hAnsi="Verdana"/>
                <w:sz w:val="20"/>
                <w:szCs w:val="20"/>
                <w:shd w:val="clear" w:color="auto" w:fill="FFFFFF"/>
              </w:rPr>
              <w:t>Съюз на българските мелничари</w:t>
            </w:r>
          </w:p>
          <w:p w:rsidR="006948DD" w:rsidRDefault="00D6518C" w:rsidP="0030210B">
            <w:pPr>
              <w:pStyle w:val="ListParagraph"/>
              <w:numPr>
                <w:ilvl w:val="0"/>
                <w:numId w:val="39"/>
              </w:numPr>
              <w:spacing w:after="0" w:line="360" w:lineRule="auto"/>
              <w:rPr>
                <w:rFonts w:ascii="Verdana" w:hAnsi="Verdana"/>
                <w:sz w:val="20"/>
                <w:szCs w:val="20"/>
                <w:shd w:val="clear" w:color="auto" w:fill="FFFFFF"/>
              </w:rPr>
            </w:pPr>
            <w:r>
              <w:rPr>
                <w:rFonts w:ascii="Verdana" w:hAnsi="Verdana"/>
                <w:sz w:val="20"/>
                <w:szCs w:val="20"/>
                <w:shd w:val="clear" w:color="auto" w:fill="FFFFFF"/>
              </w:rPr>
              <w:t>Асоциация на производителите на безалкохолни напитки в България</w:t>
            </w:r>
          </w:p>
          <w:p w:rsidR="00D6518C" w:rsidRDefault="00C61234" w:rsidP="0030210B">
            <w:pPr>
              <w:pStyle w:val="ListParagraph"/>
              <w:numPr>
                <w:ilvl w:val="0"/>
                <w:numId w:val="39"/>
              </w:numPr>
              <w:spacing w:after="0" w:line="360" w:lineRule="auto"/>
              <w:rPr>
                <w:rFonts w:ascii="Verdana" w:hAnsi="Verdana"/>
                <w:sz w:val="20"/>
                <w:szCs w:val="20"/>
                <w:shd w:val="clear" w:color="auto" w:fill="FFFFFF"/>
              </w:rPr>
            </w:pPr>
            <w:r>
              <w:rPr>
                <w:rFonts w:ascii="Verdana" w:hAnsi="Verdana"/>
                <w:sz w:val="20"/>
                <w:szCs w:val="20"/>
                <w:shd w:val="clear" w:color="auto" w:fill="FFFFFF"/>
              </w:rPr>
              <w:t xml:space="preserve">Българска </w:t>
            </w:r>
            <w:r w:rsidR="006C65AD">
              <w:rPr>
                <w:rFonts w:ascii="Verdana" w:hAnsi="Verdana"/>
                <w:sz w:val="20"/>
                <w:szCs w:val="20"/>
                <w:shd w:val="clear" w:color="auto" w:fill="FFFFFF"/>
              </w:rPr>
              <w:t>хотелиерска и ресторантьорска асоциация</w:t>
            </w:r>
          </w:p>
          <w:p w:rsidR="006C65AD" w:rsidRDefault="00FE754F" w:rsidP="0030210B">
            <w:pPr>
              <w:pStyle w:val="ListParagraph"/>
              <w:numPr>
                <w:ilvl w:val="0"/>
                <w:numId w:val="39"/>
              </w:numPr>
              <w:spacing w:after="0" w:line="360" w:lineRule="auto"/>
              <w:rPr>
                <w:rFonts w:ascii="Verdana" w:hAnsi="Verdana"/>
                <w:sz w:val="20"/>
                <w:szCs w:val="20"/>
                <w:shd w:val="clear" w:color="auto" w:fill="FFFFFF"/>
              </w:rPr>
            </w:pPr>
            <w:r>
              <w:rPr>
                <w:rFonts w:ascii="Verdana" w:hAnsi="Verdana"/>
                <w:sz w:val="20"/>
                <w:szCs w:val="20"/>
                <w:shd w:val="clear" w:color="auto" w:fill="FFFFFF"/>
              </w:rPr>
              <w:t>Продуктов борд за яйца, птиче и заешко месо</w:t>
            </w:r>
          </w:p>
          <w:p w:rsidR="00FE754F" w:rsidRDefault="00FE754F" w:rsidP="0030210B">
            <w:pPr>
              <w:pStyle w:val="ListParagraph"/>
              <w:numPr>
                <w:ilvl w:val="0"/>
                <w:numId w:val="39"/>
              </w:numPr>
              <w:spacing w:after="0" w:line="360" w:lineRule="auto"/>
              <w:rPr>
                <w:rFonts w:ascii="Verdana" w:hAnsi="Verdana"/>
                <w:sz w:val="20"/>
                <w:szCs w:val="20"/>
                <w:shd w:val="clear" w:color="auto" w:fill="FFFFFF"/>
              </w:rPr>
            </w:pPr>
            <w:r>
              <w:rPr>
                <w:rFonts w:ascii="Verdana" w:hAnsi="Verdana"/>
                <w:sz w:val="20"/>
                <w:szCs w:val="20"/>
                <w:shd w:val="clear" w:color="auto" w:fill="FFFFFF"/>
              </w:rPr>
              <w:t>Съюз на птицевъдите в България</w:t>
            </w:r>
          </w:p>
          <w:p w:rsidR="00FE754F" w:rsidRDefault="005307A0" w:rsidP="0030210B">
            <w:pPr>
              <w:pStyle w:val="ListParagraph"/>
              <w:numPr>
                <w:ilvl w:val="0"/>
                <w:numId w:val="39"/>
              </w:numPr>
              <w:spacing w:after="0" w:line="360" w:lineRule="auto"/>
              <w:rPr>
                <w:rFonts w:ascii="Verdana" w:hAnsi="Verdana"/>
                <w:sz w:val="20"/>
                <w:szCs w:val="20"/>
                <w:shd w:val="clear" w:color="auto" w:fill="FFFFFF"/>
              </w:rPr>
            </w:pPr>
            <w:r>
              <w:rPr>
                <w:rFonts w:ascii="Verdana" w:hAnsi="Verdana"/>
                <w:sz w:val="20"/>
                <w:szCs w:val="20"/>
                <w:shd w:val="clear" w:color="auto" w:fill="FFFFFF"/>
              </w:rPr>
              <w:t>Асоциация на свиневъдите в България</w:t>
            </w:r>
          </w:p>
          <w:p w:rsidR="005307A0" w:rsidRDefault="005307A0" w:rsidP="0030210B">
            <w:pPr>
              <w:pStyle w:val="ListParagraph"/>
              <w:numPr>
                <w:ilvl w:val="0"/>
                <w:numId w:val="39"/>
              </w:numPr>
              <w:spacing w:after="0" w:line="360" w:lineRule="auto"/>
              <w:rPr>
                <w:rFonts w:ascii="Verdana" w:hAnsi="Verdana"/>
                <w:sz w:val="20"/>
                <w:szCs w:val="20"/>
                <w:shd w:val="clear" w:color="auto" w:fill="FFFFFF"/>
              </w:rPr>
            </w:pPr>
            <w:r>
              <w:rPr>
                <w:rFonts w:ascii="Verdana" w:hAnsi="Verdana"/>
                <w:sz w:val="20"/>
                <w:szCs w:val="20"/>
                <w:shd w:val="clear" w:color="auto" w:fill="FFFFFF"/>
              </w:rPr>
              <w:t>Обединени български животновъди</w:t>
            </w:r>
          </w:p>
          <w:p w:rsidR="002B61BE" w:rsidRDefault="006E3D9E" w:rsidP="0030210B">
            <w:pPr>
              <w:pStyle w:val="ListParagraph"/>
              <w:numPr>
                <w:ilvl w:val="0"/>
                <w:numId w:val="39"/>
              </w:numPr>
              <w:spacing w:after="0" w:line="360" w:lineRule="auto"/>
              <w:rPr>
                <w:rFonts w:ascii="Verdana" w:hAnsi="Verdana"/>
                <w:sz w:val="20"/>
                <w:szCs w:val="20"/>
                <w:shd w:val="clear" w:color="auto" w:fill="FFFFFF"/>
              </w:rPr>
            </w:pPr>
            <w:r>
              <w:rPr>
                <w:rFonts w:ascii="Verdana" w:hAnsi="Verdana"/>
                <w:sz w:val="20"/>
                <w:szCs w:val="20"/>
                <w:shd w:val="clear" w:color="auto" w:fill="FFFFFF"/>
              </w:rPr>
              <w:t>Национална овцевъдна и говедовъдна асоциация</w:t>
            </w:r>
          </w:p>
          <w:p w:rsidR="006E3D9E" w:rsidRDefault="00E047C7" w:rsidP="0030210B">
            <w:pPr>
              <w:pStyle w:val="ListParagraph"/>
              <w:numPr>
                <w:ilvl w:val="0"/>
                <w:numId w:val="39"/>
              </w:numPr>
              <w:spacing w:after="0" w:line="360" w:lineRule="auto"/>
              <w:rPr>
                <w:rFonts w:ascii="Verdana" w:hAnsi="Verdana"/>
                <w:sz w:val="20"/>
                <w:szCs w:val="20"/>
                <w:shd w:val="clear" w:color="auto" w:fill="FFFFFF"/>
              </w:rPr>
            </w:pPr>
            <w:r>
              <w:rPr>
                <w:rFonts w:ascii="Verdana" w:hAnsi="Verdana"/>
                <w:sz w:val="20"/>
                <w:szCs w:val="20"/>
                <w:shd w:val="clear" w:color="auto" w:fill="FFFFFF"/>
              </w:rPr>
              <w:lastRenderedPageBreak/>
              <w:t>Национален съюз на говедовъдите в България</w:t>
            </w:r>
          </w:p>
          <w:p w:rsidR="00E047C7" w:rsidRDefault="003D1D85" w:rsidP="0030210B">
            <w:pPr>
              <w:pStyle w:val="ListParagraph"/>
              <w:numPr>
                <w:ilvl w:val="0"/>
                <w:numId w:val="39"/>
              </w:numPr>
              <w:spacing w:after="0" w:line="360" w:lineRule="auto"/>
              <w:rPr>
                <w:rFonts w:ascii="Verdana" w:hAnsi="Verdana"/>
                <w:sz w:val="20"/>
                <w:szCs w:val="20"/>
                <w:shd w:val="clear" w:color="auto" w:fill="FFFFFF"/>
              </w:rPr>
            </w:pPr>
            <w:r>
              <w:rPr>
                <w:rFonts w:ascii="Verdana" w:hAnsi="Verdana"/>
                <w:sz w:val="20"/>
                <w:szCs w:val="20"/>
                <w:shd w:val="clear" w:color="auto" w:fill="FFFFFF"/>
              </w:rPr>
              <w:t>Асоциация за развъждане на месодайни породи говеда в България</w:t>
            </w:r>
          </w:p>
          <w:p w:rsidR="003D1D85" w:rsidRDefault="00E14424" w:rsidP="0030210B">
            <w:pPr>
              <w:pStyle w:val="ListParagraph"/>
              <w:numPr>
                <w:ilvl w:val="0"/>
                <w:numId w:val="39"/>
              </w:numPr>
              <w:spacing w:after="0" w:line="360" w:lineRule="auto"/>
              <w:rPr>
                <w:rFonts w:ascii="Verdana" w:hAnsi="Verdana"/>
                <w:sz w:val="20"/>
                <w:szCs w:val="20"/>
                <w:shd w:val="clear" w:color="auto" w:fill="FFFFFF"/>
              </w:rPr>
            </w:pPr>
            <w:r>
              <w:rPr>
                <w:rFonts w:ascii="Verdana" w:hAnsi="Verdana"/>
                <w:sz w:val="20"/>
                <w:szCs w:val="20"/>
                <w:shd w:val="clear" w:color="auto" w:fill="FFFFFF"/>
              </w:rPr>
              <w:t>Браншова камара за месодайно животновъдство</w:t>
            </w:r>
          </w:p>
          <w:p w:rsidR="00E14424" w:rsidRDefault="00475146" w:rsidP="0030210B">
            <w:pPr>
              <w:pStyle w:val="ListParagraph"/>
              <w:numPr>
                <w:ilvl w:val="0"/>
                <w:numId w:val="39"/>
              </w:numPr>
              <w:spacing w:after="0" w:line="360" w:lineRule="auto"/>
              <w:rPr>
                <w:rFonts w:ascii="Verdana" w:hAnsi="Verdana"/>
                <w:sz w:val="20"/>
                <w:szCs w:val="20"/>
                <w:shd w:val="clear" w:color="auto" w:fill="FFFFFF"/>
              </w:rPr>
            </w:pPr>
            <w:r>
              <w:rPr>
                <w:rFonts w:ascii="Verdana" w:hAnsi="Verdana"/>
                <w:sz w:val="20"/>
                <w:szCs w:val="20"/>
                <w:shd w:val="clear" w:color="auto" w:fill="FFFFFF"/>
              </w:rPr>
              <w:t>Национална асоциация за месодайно говедовъдство</w:t>
            </w:r>
          </w:p>
          <w:p w:rsidR="00475146" w:rsidRPr="006948DD" w:rsidRDefault="00475146" w:rsidP="0030210B">
            <w:pPr>
              <w:pStyle w:val="ListParagraph"/>
              <w:numPr>
                <w:ilvl w:val="0"/>
                <w:numId w:val="39"/>
              </w:numPr>
              <w:spacing w:after="0" w:line="360" w:lineRule="auto"/>
              <w:rPr>
                <w:rFonts w:ascii="Verdana" w:hAnsi="Verdana"/>
                <w:sz w:val="20"/>
                <w:szCs w:val="20"/>
                <w:shd w:val="clear" w:color="auto" w:fill="FFFFFF"/>
              </w:rPr>
            </w:pPr>
            <w:r>
              <w:rPr>
                <w:rFonts w:ascii="Verdana" w:hAnsi="Verdana"/>
                <w:sz w:val="20"/>
                <w:szCs w:val="20"/>
                <w:shd w:val="clear" w:color="auto" w:fill="FFFFFF"/>
              </w:rPr>
              <w:t xml:space="preserve">Българска асоциация на оранжерийна продукция </w:t>
            </w:r>
          </w:p>
          <w:p w:rsidR="003351A2" w:rsidRPr="00A925A9" w:rsidRDefault="003351A2" w:rsidP="00CC3C6C">
            <w:pPr>
              <w:autoSpaceDE w:val="0"/>
              <w:autoSpaceDN w:val="0"/>
              <w:adjustRightInd w:val="0"/>
              <w:spacing w:before="0" w:beforeAutospacing="0" w:after="0" w:afterAutospacing="0" w:line="360" w:lineRule="auto"/>
              <w:ind w:left="360"/>
              <w:jc w:val="both"/>
              <w:rPr>
                <w:rFonts w:ascii="Verdana" w:eastAsia="Calibri" w:hAnsi="Verdana"/>
                <w:b/>
                <w:bCs/>
                <w:sz w:val="20"/>
                <w:szCs w:val="20"/>
              </w:rPr>
            </w:pPr>
          </w:p>
          <w:p w:rsidR="000F3491" w:rsidRDefault="000F3491" w:rsidP="00CC3C6C">
            <w:pPr>
              <w:pStyle w:val="Heading2"/>
              <w:spacing w:before="0" w:beforeAutospacing="0" w:line="360" w:lineRule="auto"/>
              <w:jc w:val="both"/>
              <w:rPr>
                <w:rFonts w:ascii="Verdana" w:hAnsi="Verdana"/>
                <w:i w:val="0"/>
                <w:iCs w:val="0"/>
                <w:sz w:val="20"/>
                <w:szCs w:val="20"/>
                <w:lang w:eastAsia="en-US"/>
              </w:rPr>
            </w:pPr>
            <w:r w:rsidRPr="00A925A9">
              <w:rPr>
                <w:rFonts w:ascii="Verdana" w:hAnsi="Verdana"/>
                <w:sz w:val="20"/>
                <w:szCs w:val="20"/>
              </w:rPr>
              <w:t xml:space="preserve">    </w:t>
            </w:r>
            <w:r w:rsidR="00DD24CA" w:rsidRPr="00A925A9">
              <w:rPr>
                <w:rFonts w:ascii="Verdana" w:hAnsi="Verdana"/>
                <w:sz w:val="20"/>
                <w:szCs w:val="20"/>
              </w:rPr>
              <w:t xml:space="preserve"> </w:t>
            </w:r>
            <w:r w:rsidR="00BE4E53">
              <w:rPr>
                <w:rFonts w:ascii="Verdana" w:hAnsi="Verdana"/>
                <w:i w:val="0"/>
                <w:sz w:val="20"/>
                <w:szCs w:val="20"/>
              </w:rPr>
              <w:t>4</w:t>
            </w:r>
            <w:r w:rsidRPr="00964532">
              <w:rPr>
                <w:rFonts w:ascii="Verdana" w:hAnsi="Verdana"/>
                <w:i w:val="0"/>
                <w:sz w:val="20"/>
                <w:szCs w:val="20"/>
              </w:rPr>
              <w:t xml:space="preserve">. </w:t>
            </w:r>
            <w:bookmarkStart w:id="1" w:name="_Toc472610208"/>
            <w:bookmarkStart w:id="2" w:name="_Toc472677830"/>
            <w:r w:rsidRPr="00964532">
              <w:rPr>
                <w:rFonts w:ascii="Verdana" w:hAnsi="Verdana"/>
                <w:i w:val="0"/>
                <w:iCs w:val="0"/>
                <w:sz w:val="20"/>
                <w:szCs w:val="20"/>
                <w:lang w:eastAsia="en-US"/>
              </w:rPr>
              <w:t xml:space="preserve">Бизнес оператори в производството на </w:t>
            </w:r>
            <w:bookmarkEnd w:id="1"/>
            <w:bookmarkEnd w:id="2"/>
            <w:r w:rsidR="00C10D25" w:rsidRPr="00964532">
              <w:rPr>
                <w:rFonts w:ascii="Verdana" w:hAnsi="Verdana"/>
                <w:i w:val="0"/>
                <w:iCs w:val="0"/>
                <w:sz w:val="20"/>
                <w:szCs w:val="20"/>
                <w:lang w:eastAsia="en-US"/>
              </w:rPr>
              <w:t>храни</w:t>
            </w:r>
            <w:r w:rsidR="008D4F09" w:rsidRPr="00964532">
              <w:rPr>
                <w:rFonts w:ascii="Verdana" w:hAnsi="Verdana"/>
                <w:i w:val="0"/>
                <w:iCs w:val="0"/>
                <w:sz w:val="20"/>
                <w:szCs w:val="20"/>
                <w:lang w:eastAsia="en-US"/>
              </w:rPr>
              <w:t xml:space="preserve"> </w:t>
            </w:r>
          </w:p>
          <w:p w:rsidR="00EB646D" w:rsidRDefault="002534AF" w:rsidP="00EB646D">
            <w:pPr>
              <w:spacing w:line="360" w:lineRule="auto"/>
              <w:jc w:val="both"/>
              <w:rPr>
                <w:rFonts w:ascii="Verdana" w:hAnsi="Verdana"/>
                <w:b/>
                <w:sz w:val="20"/>
                <w:szCs w:val="20"/>
              </w:rPr>
            </w:pPr>
            <w:r w:rsidRPr="002534AF">
              <w:rPr>
                <w:rFonts w:ascii="Verdana" w:hAnsi="Verdana"/>
                <w:b/>
                <w:sz w:val="20"/>
                <w:szCs w:val="20"/>
                <w:lang w:eastAsia="en-US"/>
              </w:rPr>
              <w:t xml:space="preserve">Одобрени предприятия за търговия с храни от животински произход със страните членки, отговарящи на Приложение </w:t>
            </w:r>
            <w:r w:rsidRPr="002534AF">
              <w:rPr>
                <w:rFonts w:ascii="Verdana" w:hAnsi="Verdana"/>
                <w:b/>
                <w:sz w:val="20"/>
                <w:szCs w:val="20"/>
                <w:lang w:val="en-US"/>
              </w:rPr>
              <w:t xml:space="preserve">III </w:t>
            </w:r>
            <w:r w:rsidRPr="002534AF">
              <w:rPr>
                <w:rFonts w:ascii="Verdana" w:hAnsi="Verdana"/>
                <w:b/>
                <w:sz w:val="20"/>
                <w:szCs w:val="20"/>
              </w:rPr>
              <w:t xml:space="preserve">на </w:t>
            </w:r>
            <w:r w:rsidR="00EB646D" w:rsidRPr="00EB646D">
              <w:rPr>
                <w:rFonts w:ascii="Verdana" w:hAnsi="Verdana"/>
                <w:b/>
                <w:sz w:val="20"/>
                <w:szCs w:val="20"/>
              </w:rPr>
              <w:t xml:space="preserve">Регламент (ЕО) № 853/2004 на Европейския парламент и на Съвета от 29 април 2004 г. относно определяне на специфични хигиенни правила за храните от животински произход </w:t>
            </w:r>
            <w:r w:rsidR="006A4485">
              <w:rPr>
                <w:rFonts w:ascii="Verdana" w:hAnsi="Verdana"/>
                <w:b/>
                <w:sz w:val="20"/>
                <w:szCs w:val="20"/>
                <w:lang w:val="en-US"/>
              </w:rPr>
              <w:t>(</w:t>
            </w:r>
            <w:r w:rsidR="006A4485">
              <w:t xml:space="preserve"> </w:t>
            </w:r>
            <w:r w:rsidR="006A4485" w:rsidRPr="006A4485">
              <w:rPr>
                <w:rFonts w:ascii="Verdana" w:hAnsi="Verdana"/>
                <w:b/>
                <w:sz w:val="20"/>
                <w:szCs w:val="20"/>
                <w:lang w:val="en-US"/>
              </w:rPr>
              <w:t>Регламент (ЕО) № 853/2004</w:t>
            </w:r>
            <w:r w:rsidR="006A4485">
              <w:rPr>
                <w:rFonts w:ascii="Verdana" w:hAnsi="Verdana"/>
                <w:b/>
                <w:sz w:val="20"/>
                <w:szCs w:val="20"/>
                <w:lang w:val="en-US"/>
              </w:rPr>
              <w:t>)</w:t>
            </w:r>
            <w:r w:rsidR="00EB646D" w:rsidRPr="00EB646D">
              <w:rPr>
                <w:rFonts w:ascii="Verdana" w:hAnsi="Verdana"/>
                <w:b/>
                <w:sz w:val="20"/>
                <w:szCs w:val="20"/>
              </w:rPr>
              <w:t>-</w:t>
            </w:r>
          </w:p>
          <w:p w:rsidR="007616DC" w:rsidRPr="002534AF" w:rsidRDefault="00EB646D" w:rsidP="00EB646D">
            <w:pPr>
              <w:spacing w:line="360" w:lineRule="auto"/>
              <w:rPr>
                <w:rFonts w:ascii="Verdana" w:hAnsi="Verdana"/>
                <w:sz w:val="20"/>
                <w:szCs w:val="20"/>
                <w:lang w:val="en-US"/>
              </w:rPr>
            </w:pPr>
            <w:r>
              <w:rPr>
                <w:rFonts w:ascii="Verdana" w:hAnsi="Verdana"/>
                <w:sz w:val="20"/>
                <w:szCs w:val="20"/>
              </w:rPr>
              <w:t xml:space="preserve">        </w:t>
            </w:r>
            <w:r w:rsidR="007616DC" w:rsidRPr="002534AF">
              <w:rPr>
                <w:rFonts w:ascii="Verdana" w:hAnsi="Verdana"/>
                <w:sz w:val="20"/>
                <w:szCs w:val="20"/>
              </w:rPr>
              <w:t>Предприятия с обща активност – 1</w:t>
            </w:r>
            <w:r w:rsidR="00796B82">
              <w:rPr>
                <w:rFonts w:ascii="Verdana" w:hAnsi="Verdana"/>
                <w:sz w:val="20"/>
                <w:szCs w:val="20"/>
              </w:rPr>
              <w:t xml:space="preserve"> </w:t>
            </w:r>
            <w:r w:rsidR="007616DC" w:rsidRPr="002534AF">
              <w:rPr>
                <w:rFonts w:ascii="Verdana" w:hAnsi="Verdana"/>
                <w:sz w:val="20"/>
                <w:szCs w:val="20"/>
              </w:rPr>
              <w:t>090 бр.</w:t>
            </w:r>
          </w:p>
          <w:p w:rsidR="007616DC" w:rsidRPr="002534AF" w:rsidRDefault="007616DC" w:rsidP="00962ABE">
            <w:pPr>
              <w:pStyle w:val="ListParagraph"/>
              <w:numPr>
                <w:ilvl w:val="0"/>
                <w:numId w:val="40"/>
              </w:numPr>
              <w:spacing w:line="360" w:lineRule="auto"/>
              <w:rPr>
                <w:rFonts w:ascii="Verdana" w:hAnsi="Verdana"/>
                <w:sz w:val="20"/>
                <w:szCs w:val="20"/>
                <w:lang w:val="en-US"/>
              </w:rPr>
            </w:pPr>
            <w:r w:rsidRPr="002534AF">
              <w:rPr>
                <w:rFonts w:ascii="Verdana" w:hAnsi="Verdana"/>
                <w:sz w:val="20"/>
                <w:szCs w:val="20"/>
              </w:rPr>
              <w:t>Месо от домашни копитни - -101 бр.</w:t>
            </w:r>
          </w:p>
          <w:p w:rsidR="007616DC" w:rsidRPr="002534AF" w:rsidRDefault="007616DC" w:rsidP="00962ABE">
            <w:pPr>
              <w:pStyle w:val="ListParagraph"/>
              <w:numPr>
                <w:ilvl w:val="0"/>
                <w:numId w:val="40"/>
              </w:numPr>
              <w:spacing w:line="360" w:lineRule="auto"/>
              <w:rPr>
                <w:rFonts w:ascii="Verdana" w:hAnsi="Verdana"/>
                <w:sz w:val="20"/>
                <w:szCs w:val="20"/>
                <w:lang w:val="en-US"/>
              </w:rPr>
            </w:pPr>
            <w:r w:rsidRPr="002534AF">
              <w:rPr>
                <w:rFonts w:ascii="Verdana" w:hAnsi="Verdana"/>
                <w:sz w:val="20"/>
                <w:szCs w:val="20"/>
              </w:rPr>
              <w:t>Месо от птици и лагоморфни – 62 бр.</w:t>
            </w:r>
          </w:p>
          <w:p w:rsidR="007616DC" w:rsidRPr="002534AF" w:rsidRDefault="007616DC" w:rsidP="00962ABE">
            <w:pPr>
              <w:pStyle w:val="ListParagraph"/>
              <w:numPr>
                <w:ilvl w:val="0"/>
                <w:numId w:val="40"/>
              </w:numPr>
              <w:spacing w:line="360" w:lineRule="auto"/>
              <w:rPr>
                <w:rFonts w:ascii="Verdana" w:hAnsi="Verdana"/>
                <w:sz w:val="20"/>
                <w:szCs w:val="20"/>
                <w:lang w:val="en-US"/>
              </w:rPr>
            </w:pPr>
            <w:r w:rsidRPr="002534AF">
              <w:rPr>
                <w:rFonts w:ascii="Verdana" w:hAnsi="Verdana"/>
                <w:sz w:val="20"/>
                <w:szCs w:val="20"/>
              </w:rPr>
              <w:t>Месо от дивеч – 11 бр.</w:t>
            </w:r>
          </w:p>
          <w:p w:rsidR="007616DC" w:rsidRPr="002534AF" w:rsidRDefault="007616DC" w:rsidP="00962ABE">
            <w:pPr>
              <w:pStyle w:val="ListParagraph"/>
              <w:numPr>
                <w:ilvl w:val="0"/>
                <w:numId w:val="40"/>
              </w:numPr>
              <w:spacing w:line="360" w:lineRule="auto"/>
              <w:rPr>
                <w:rFonts w:ascii="Verdana" w:hAnsi="Verdana"/>
                <w:sz w:val="20"/>
                <w:szCs w:val="20"/>
                <w:lang w:val="en-US"/>
              </w:rPr>
            </w:pPr>
            <w:r w:rsidRPr="002534AF">
              <w:rPr>
                <w:rFonts w:ascii="Verdana" w:hAnsi="Verdana"/>
                <w:sz w:val="20"/>
                <w:szCs w:val="20"/>
              </w:rPr>
              <w:t>Мляно месо, месни заготовки, механично сепарирано месо – 62 бр.</w:t>
            </w:r>
          </w:p>
          <w:p w:rsidR="007616DC" w:rsidRPr="002534AF" w:rsidRDefault="001A3374" w:rsidP="00962ABE">
            <w:pPr>
              <w:pStyle w:val="ListParagraph"/>
              <w:numPr>
                <w:ilvl w:val="0"/>
                <w:numId w:val="40"/>
              </w:numPr>
              <w:spacing w:line="360" w:lineRule="auto"/>
              <w:rPr>
                <w:rFonts w:ascii="Verdana" w:hAnsi="Verdana"/>
                <w:sz w:val="20"/>
                <w:szCs w:val="20"/>
                <w:lang w:val="en-US"/>
              </w:rPr>
            </w:pPr>
            <w:r w:rsidRPr="002534AF">
              <w:rPr>
                <w:rFonts w:ascii="Verdana" w:hAnsi="Verdana"/>
                <w:sz w:val="20"/>
                <w:szCs w:val="20"/>
              </w:rPr>
              <w:t>Месни продукти – 62 бр.</w:t>
            </w:r>
          </w:p>
          <w:p w:rsidR="001A3374" w:rsidRPr="002534AF" w:rsidRDefault="001A3374" w:rsidP="00962ABE">
            <w:pPr>
              <w:pStyle w:val="ListParagraph"/>
              <w:numPr>
                <w:ilvl w:val="0"/>
                <w:numId w:val="40"/>
              </w:numPr>
              <w:spacing w:line="360" w:lineRule="auto"/>
              <w:rPr>
                <w:rFonts w:ascii="Verdana" w:hAnsi="Verdana"/>
                <w:sz w:val="20"/>
                <w:szCs w:val="20"/>
                <w:lang w:val="en-US"/>
              </w:rPr>
            </w:pPr>
            <w:r w:rsidRPr="002534AF">
              <w:rPr>
                <w:rFonts w:ascii="Verdana" w:hAnsi="Verdana"/>
                <w:sz w:val="20"/>
                <w:szCs w:val="20"/>
              </w:rPr>
              <w:t>Живи двучерупчести молюски – 15 бр.</w:t>
            </w:r>
          </w:p>
          <w:p w:rsidR="001A3374" w:rsidRPr="002534AF" w:rsidRDefault="001A3374" w:rsidP="00962ABE">
            <w:pPr>
              <w:pStyle w:val="ListParagraph"/>
              <w:numPr>
                <w:ilvl w:val="0"/>
                <w:numId w:val="40"/>
              </w:numPr>
              <w:spacing w:line="360" w:lineRule="auto"/>
              <w:rPr>
                <w:rFonts w:ascii="Verdana" w:hAnsi="Verdana"/>
                <w:sz w:val="20"/>
                <w:szCs w:val="20"/>
                <w:lang w:val="en-US"/>
              </w:rPr>
            </w:pPr>
            <w:r w:rsidRPr="002534AF">
              <w:rPr>
                <w:rFonts w:ascii="Verdana" w:hAnsi="Verdana"/>
                <w:sz w:val="20"/>
                <w:szCs w:val="20"/>
              </w:rPr>
              <w:t xml:space="preserve">Рибни продукти – 57 бр. </w:t>
            </w:r>
          </w:p>
          <w:p w:rsidR="001A3374" w:rsidRPr="002534AF" w:rsidRDefault="005A6A11" w:rsidP="00962ABE">
            <w:pPr>
              <w:pStyle w:val="ListParagraph"/>
              <w:numPr>
                <w:ilvl w:val="0"/>
                <w:numId w:val="40"/>
              </w:numPr>
              <w:spacing w:line="360" w:lineRule="auto"/>
              <w:rPr>
                <w:rFonts w:ascii="Verdana" w:hAnsi="Verdana"/>
                <w:sz w:val="20"/>
                <w:szCs w:val="20"/>
                <w:lang w:val="en-US"/>
              </w:rPr>
            </w:pPr>
            <w:r w:rsidRPr="002534AF">
              <w:rPr>
                <w:rFonts w:ascii="Verdana" w:hAnsi="Verdana"/>
                <w:sz w:val="20"/>
                <w:szCs w:val="20"/>
              </w:rPr>
              <w:t>Млечни продукти – 276 бр.</w:t>
            </w:r>
          </w:p>
          <w:p w:rsidR="005A6A11" w:rsidRPr="002534AF" w:rsidRDefault="005A6A11" w:rsidP="00962ABE">
            <w:pPr>
              <w:pStyle w:val="ListParagraph"/>
              <w:numPr>
                <w:ilvl w:val="0"/>
                <w:numId w:val="40"/>
              </w:numPr>
              <w:spacing w:line="360" w:lineRule="auto"/>
              <w:rPr>
                <w:rFonts w:ascii="Verdana" w:hAnsi="Verdana"/>
                <w:sz w:val="20"/>
                <w:szCs w:val="20"/>
                <w:lang w:val="en-US"/>
              </w:rPr>
            </w:pPr>
            <w:r w:rsidRPr="002534AF">
              <w:rPr>
                <w:rFonts w:ascii="Verdana" w:hAnsi="Verdana"/>
                <w:sz w:val="20"/>
                <w:szCs w:val="20"/>
              </w:rPr>
              <w:t>Яйчни продукти – 108 бр.</w:t>
            </w:r>
          </w:p>
          <w:p w:rsidR="00616662" w:rsidRPr="002534AF" w:rsidRDefault="00616662" w:rsidP="00962ABE">
            <w:pPr>
              <w:pStyle w:val="ListParagraph"/>
              <w:numPr>
                <w:ilvl w:val="0"/>
                <w:numId w:val="40"/>
              </w:numPr>
              <w:spacing w:line="360" w:lineRule="auto"/>
              <w:rPr>
                <w:rFonts w:ascii="Verdana" w:hAnsi="Verdana"/>
                <w:sz w:val="20"/>
                <w:szCs w:val="20"/>
                <w:lang w:val="en-US"/>
              </w:rPr>
            </w:pPr>
            <w:r w:rsidRPr="002534AF">
              <w:rPr>
                <w:rFonts w:ascii="Verdana" w:hAnsi="Verdana"/>
                <w:sz w:val="20"/>
                <w:szCs w:val="20"/>
              </w:rPr>
              <w:t xml:space="preserve">Мед и пчелни продукти – 41 бр. </w:t>
            </w:r>
          </w:p>
          <w:p w:rsidR="00616662" w:rsidRPr="0088565A" w:rsidRDefault="008F34D9" w:rsidP="00962ABE">
            <w:pPr>
              <w:spacing w:line="360" w:lineRule="auto"/>
              <w:ind w:left="360"/>
              <w:rPr>
                <w:rFonts w:ascii="Verdana" w:hAnsi="Verdana"/>
                <w:b/>
                <w:sz w:val="20"/>
                <w:szCs w:val="20"/>
                <w:lang w:val="en-US"/>
              </w:rPr>
            </w:pPr>
            <w:r w:rsidRPr="0088565A">
              <w:rPr>
                <w:rFonts w:ascii="Verdana" w:hAnsi="Verdana"/>
                <w:b/>
                <w:sz w:val="20"/>
                <w:szCs w:val="20"/>
              </w:rPr>
              <w:t>Предприятия за храни от животински п</w:t>
            </w:r>
            <w:r w:rsidR="0088565A" w:rsidRPr="0088565A">
              <w:rPr>
                <w:rFonts w:ascii="Verdana" w:hAnsi="Verdana"/>
                <w:b/>
                <w:sz w:val="20"/>
                <w:szCs w:val="20"/>
              </w:rPr>
              <w:t>роизход, които н</w:t>
            </w:r>
            <w:r w:rsidRPr="0088565A">
              <w:rPr>
                <w:rFonts w:ascii="Verdana" w:hAnsi="Verdana"/>
                <w:b/>
                <w:sz w:val="20"/>
                <w:szCs w:val="20"/>
              </w:rPr>
              <w:t xml:space="preserve">е са обект на Приложение </w:t>
            </w:r>
            <w:r w:rsidRPr="0088565A">
              <w:rPr>
                <w:rFonts w:ascii="Verdana" w:hAnsi="Verdana"/>
                <w:b/>
                <w:sz w:val="20"/>
                <w:szCs w:val="20"/>
                <w:lang w:val="en-US"/>
              </w:rPr>
              <w:t xml:space="preserve">III </w:t>
            </w:r>
            <w:r w:rsidR="001D5028">
              <w:rPr>
                <w:rFonts w:ascii="Verdana" w:hAnsi="Verdana"/>
                <w:b/>
                <w:sz w:val="20"/>
                <w:szCs w:val="20"/>
              </w:rPr>
              <w:t xml:space="preserve">на </w:t>
            </w:r>
            <w:r w:rsidR="001D5028" w:rsidRPr="001D5028">
              <w:rPr>
                <w:rFonts w:ascii="Verdana" w:hAnsi="Verdana"/>
                <w:b/>
                <w:sz w:val="20"/>
                <w:szCs w:val="20"/>
              </w:rPr>
              <w:t xml:space="preserve">Регламент (ЕО) № 853/2004 </w:t>
            </w:r>
            <w:r w:rsidRPr="0088565A">
              <w:rPr>
                <w:rFonts w:ascii="Verdana" w:hAnsi="Verdana"/>
                <w:b/>
                <w:sz w:val="20"/>
                <w:szCs w:val="20"/>
              </w:rPr>
              <w:t>- 104 бр.</w:t>
            </w:r>
          </w:p>
          <w:p w:rsidR="008F34D9" w:rsidRPr="002534AF" w:rsidRDefault="00BB1837" w:rsidP="00962ABE">
            <w:pPr>
              <w:pStyle w:val="ListParagraph"/>
              <w:numPr>
                <w:ilvl w:val="0"/>
                <w:numId w:val="40"/>
              </w:numPr>
              <w:spacing w:line="360" w:lineRule="auto"/>
              <w:rPr>
                <w:rFonts w:ascii="Verdana" w:hAnsi="Verdana"/>
                <w:sz w:val="20"/>
                <w:szCs w:val="20"/>
                <w:lang w:val="en-US"/>
              </w:rPr>
            </w:pPr>
            <w:r w:rsidRPr="002534AF">
              <w:rPr>
                <w:rFonts w:ascii="Verdana" w:hAnsi="Verdana"/>
                <w:sz w:val="20"/>
                <w:szCs w:val="20"/>
              </w:rPr>
              <w:t>Обекти за производство и/или пакетиране на зърнени храни и храни на зърнена основа</w:t>
            </w:r>
            <w:r w:rsidR="00072644" w:rsidRPr="002534AF">
              <w:rPr>
                <w:rFonts w:ascii="Verdana" w:hAnsi="Verdana"/>
                <w:sz w:val="20"/>
                <w:szCs w:val="20"/>
              </w:rPr>
              <w:t xml:space="preserve"> – 1 519 бр.</w:t>
            </w:r>
          </w:p>
          <w:p w:rsidR="00BB1837" w:rsidRPr="002534AF" w:rsidRDefault="00744802" w:rsidP="00962ABE">
            <w:pPr>
              <w:pStyle w:val="ListParagraph"/>
              <w:numPr>
                <w:ilvl w:val="0"/>
                <w:numId w:val="40"/>
              </w:numPr>
              <w:spacing w:line="360" w:lineRule="auto"/>
              <w:rPr>
                <w:rFonts w:ascii="Verdana" w:hAnsi="Verdana"/>
                <w:sz w:val="20"/>
                <w:szCs w:val="20"/>
                <w:lang w:val="en-US"/>
              </w:rPr>
            </w:pPr>
            <w:r w:rsidRPr="002534AF">
              <w:rPr>
                <w:rFonts w:ascii="Verdana" w:hAnsi="Verdana"/>
                <w:sz w:val="20"/>
                <w:szCs w:val="20"/>
              </w:rPr>
              <w:t>Обекти за производство и/или пакетиране на храни от плодове и зеленчуци -</w:t>
            </w:r>
            <w:r w:rsidR="00D159CB">
              <w:rPr>
                <w:rFonts w:ascii="Verdana" w:hAnsi="Verdana"/>
                <w:sz w:val="20"/>
                <w:szCs w:val="20"/>
              </w:rPr>
              <w:t xml:space="preserve"> </w:t>
            </w:r>
            <w:r w:rsidRPr="002534AF">
              <w:rPr>
                <w:rFonts w:ascii="Verdana" w:hAnsi="Verdana"/>
                <w:sz w:val="20"/>
                <w:szCs w:val="20"/>
              </w:rPr>
              <w:t>449 бр.</w:t>
            </w:r>
          </w:p>
          <w:p w:rsidR="00744802" w:rsidRPr="002534AF" w:rsidRDefault="00812B27" w:rsidP="00962ABE">
            <w:pPr>
              <w:pStyle w:val="ListParagraph"/>
              <w:numPr>
                <w:ilvl w:val="0"/>
                <w:numId w:val="40"/>
              </w:numPr>
              <w:spacing w:line="360" w:lineRule="auto"/>
              <w:rPr>
                <w:rFonts w:ascii="Verdana" w:hAnsi="Verdana"/>
                <w:sz w:val="20"/>
                <w:szCs w:val="20"/>
                <w:lang w:val="en-US"/>
              </w:rPr>
            </w:pPr>
            <w:r w:rsidRPr="002534AF">
              <w:rPr>
                <w:rFonts w:ascii="Verdana" w:hAnsi="Verdana"/>
                <w:sz w:val="20"/>
                <w:szCs w:val="20"/>
              </w:rPr>
              <w:t xml:space="preserve">Обекти за производство и/или бутилиране на мазнини от растителен произход – 99 бр. </w:t>
            </w:r>
          </w:p>
          <w:p w:rsidR="00812B27" w:rsidRPr="002534AF" w:rsidRDefault="00030A72" w:rsidP="00962ABE">
            <w:pPr>
              <w:pStyle w:val="ListParagraph"/>
              <w:numPr>
                <w:ilvl w:val="0"/>
                <w:numId w:val="40"/>
              </w:numPr>
              <w:spacing w:line="360" w:lineRule="auto"/>
              <w:rPr>
                <w:rFonts w:ascii="Verdana" w:hAnsi="Verdana"/>
                <w:sz w:val="20"/>
                <w:szCs w:val="20"/>
                <w:lang w:val="en-US"/>
              </w:rPr>
            </w:pPr>
            <w:r w:rsidRPr="002534AF">
              <w:rPr>
                <w:rFonts w:ascii="Verdana" w:hAnsi="Verdana"/>
                <w:sz w:val="20"/>
                <w:szCs w:val="20"/>
              </w:rPr>
              <w:t xml:space="preserve">Обекти за производство на захар, захарни и сладкарски изделия – 800 бр. </w:t>
            </w:r>
          </w:p>
          <w:p w:rsidR="00030A72" w:rsidRPr="002534AF" w:rsidRDefault="00030A72" w:rsidP="00962ABE">
            <w:pPr>
              <w:pStyle w:val="ListParagraph"/>
              <w:numPr>
                <w:ilvl w:val="0"/>
                <w:numId w:val="40"/>
              </w:numPr>
              <w:spacing w:line="360" w:lineRule="auto"/>
              <w:rPr>
                <w:rFonts w:ascii="Verdana" w:hAnsi="Verdana"/>
                <w:sz w:val="20"/>
                <w:szCs w:val="20"/>
                <w:lang w:val="en-US"/>
              </w:rPr>
            </w:pPr>
            <w:r w:rsidRPr="002534AF">
              <w:rPr>
                <w:rFonts w:ascii="Verdana" w:hAnsi="Verdana"/>
                <w:sz w:val="20"/>
                <w:szCs w:val="20"/>
              </w:rPr>
              <w:t>Обекти за производство и/или бутилиране на напитки – 210 бр.</w:t>
            </w:r>
          </w:p>
          <w:p w:rsidR="00030A72" w:rsidRPr="002534AF" w:rsidRDefault="008206A3" w:rsidP="00962ABE">
            <w:pPr>
              <w:pStyle w:val="ListParagraph"/>
              <w:numPr>
                <w:ilvl w:val="0"/>
                <w:numId w:val="40"/>
              </w:numPr>
              <w:spacing w:line="360" w:lineRule="auto"/>
              <w:rPr>
                <w:rFonts w:ascii="Verdana" w:hAnsi="Verdana"/>
                <w:sz w:val="20"/>
                <w:szCs w:val="20"/>
                <w:lang w:val="en-US"/>
              </w:rPr>
            </w:pPr>
            <w:r w:rsidRPr="002534AF">
              <w:rPr>
                <w:rFonts w:ascii="Verdana" w:hAnsi="Verdana"/>
                <w:sz w:val="20"/>
                <w:szCs w:val="20"/>
              </w:rPr>
              <w:lastRenderedPageBreak/>
              <w:t xml:space="preserve">Обекти за производство и/или пакетиране на кафе, </w:t>
            </w:r>
            <w:r w:rsidR="007F578C" w:rsidRPr="002534AF">
              <w:rPr>
                <w:rFonts w:ascii="Verdana" w:hAnsi="Verdana"/>
                <w:sz w:val="20"/>
                <w:szCs w:val="20"/>
              </w:rPr>
              <w:t>заместители на кафе, чай, мате и какао – 81 бр.</w:t>
            </w:r>
          </w:p>
          <w:p w:rsidR="007F578C" w:rsidRPr="002534AF" w:rsidRDefault="00BD04E1" w:rsidP="00962ABE">
            <w:pPr>
              <w:pStyle w:val="ListParagraph"/>
              <w:numPr>
                <w:ilvl w:val="0"/>
                <w:numId w:val="40"/>
              </w:numPr>
              <w:spacing w:line="360" w:lineRule="auto"/>
              <w:rPr>
                <w:rFonts w:ascii="Verdana" w:hAnsi="Verdana"/>
                <w:sz w:val="20"/>
                <w:szCs w:val="20"/>
                <w:lang w:val="en-US"/>
              </w:rPr>
            </w:pPr>
            <w:r w:rsidRPr="002534AF">
              <w:rPr>
                <w:rFonts w:ascii="Verdana" w:hAnsi="Verdana"/>
                <w:sz w:val="20"/>
                <w:szCs w:val="20"/>
              </w:rPr>
              <w:t>Обекти за производств</w:t>
            </w:r>
            <w:r w:rsidR="00CB743B" w:rsidRPr="002534AF">
              <w:rPr>
                <w:rFonts w:ascii="Verdana" w:hAnsi="Verdana"/>
                <w:sz w:val="20"/>
                <w:szCs w:val="20"/>
              </w:rPr>
              <w:t>о на готови за консумация храни в пресен, консервиран, замразен, концентриран или изсушен вид – 470 бр.</w:t>
            </w:r>
          </w:p>
          <w:p w:rsidR="00CB743B" w:rsidRPr="002534AF" w:rsidRDefault="00CB743B" w:rsidP="00962ABE">
            <w:pPr>
              <w:pStyle w:val="ListParagraph"/>
              <w:numPr>
                <w:ilvl w:val="0"/>
                <w:numId w:val="40"/>
              </w:numPr>
              <w:spacing w:line="360" w:lineRule="auto"/>
              <w:rPr>
                <w:rFonts w:ascii="Verdana" w:hAnsi="Verdana"/>
                <w:sz w:val="20"/>
                <w:szCs w:val="20"/>
                <w:lang w:val="en-US"/>
              </w:rPr>
            </w:pPr>
            <w:r w:rsidRPr="002534AF">
              <w:rPr>
                <w:rFonts w:ascii="Verdana" w:hAnsi="Verdana"/>
                <w:sz w:val="20"/>
                <w:szCs w:val="20"/>
              </w:rPr>
              <w:t>Обекти за производство на други храни -</w:t>
            </w:r>
            <w:r w:rsidR="00D159CB">
              <w:rPr>
                <w:rFonts w:ascii="Verdana" w:hAnsi="Verdana"/>
                <w:sz w:val="20"/>
                <w:szCs w:val="20"/>
              </w:rPr>
              <w:t xml:space="preserve"> </w:t>
            </w:r>
            <w:r w:rsidRPr="002534AF">
              <w:rPr>
                <w:rFonts w:ascii="Verdana" w:hAnsi="Verdana"/>
                <w:sz w:val="20"/>
                <w:szCs w:val="20"/>
              </w:rPr>
              <w:t>506 бр.</w:t>
            </w:r>
          </w:p>
          <w:p w:rsidR="00CB743B" w:rsidRPr="002534AF" w:rsidRDefault="00374AC4" w:rsidP="00962ABE">
            <w:pPr>
              <w:pStyle w:val="ListParagraph"/>
              <w:numPr>
                <w:ilvl w:val="0"/>
                <w:numId w:val="40"/>
              </w:numPr>
              <w:spacing w:line="360" w:lineRule="auto"/>
              <w:rPr>
                <w:rFonts w:ascii="Verdana" w:hAnsi="Verdana"/>
                <w:sz w:val="20"/>
                <w:szCs w:val="20"/>
                <w:lang w:val="en-US"/>
              </w:rPr>
            </w:pPr>
            <w:r w:rsidRPr="002534AF">
              <w:rPr>
                <w:rFonts w:ascii="Verdana" w:hAnsi="Verdana"/>
                <w:sz w:val="20"/>
                <w:szCs w:val="20"/>
              </w:rPr>
              <w:t>Обекти за търговия на едро с храни от неживотински произход, добавки в храните, хранителни добавки – 2 145 бр.</w:t>
            </w:r>
          </w:p>
          <w:p w:rsidR="00374AC4" w:rsidRPr="002534AF" w:rsidRDefault="00374AC4" w:rsidP="00962ABE">
            <w:pPr>
              <w:pStyle w:val="ListParagraph"/>
              <w:numPr>
                <w:ilvl w:val="0"/>
                <w:numId w:val="40"/>
              </w:numPr>
              <w:spacing w:line="360" w:lineRule="auto"/>
              <w:rPr>
                <w:rFonts w:ascii="Verdana" w:hAnsi="Verdana"/>
                <w:sz w:val="20"/>
                <w:szCs w:val="20"/>
                <w:lang w:val="en-US"/>
              </w:rPr>
            </w:pPr>
            <w:r w:rsidRPr="002534AF">
              <w:rPr>
                <w:rFonts w:ascii="Verdana" w:hAnsi="Verdana"/>
                <w:sz w:val="20"/>
                <w:szCs w:val="20"/>
              </w:rPr>
              <w:t xml:space="preserve">Обекти за производство и търговия на едро с материали и предмети за контакт с храни – 43 бр. </w:t>
            </w:r>
          </w:p>
          <w:p w:rsidR="00EF12BA" w:rsidRPr="002534AF" w:rsidRDefault="00EF12BA" w:rsidP="00EB0733">
            <w:pPr>
              <w:spacing w:before="0" w:beforeAutospacing="0" w:after="0" w:afterAutospacing="0" w:line="360" w:lineRule="auto"/>
              <w:contextualSpacing/>
              <w:jc w:val="both"/>
              <w:rPr>
                <w:rFonts w:ascii="Verdana" w:eastAsia="Calibri" w:hAnsi="Verdana"/>
                <w:sz w:val="20"/>
                <w:szCs w:val="20"/>
              </w:rPr>
            </w:pPr>
          </w:p>
          <w:p w:rsidR="001268A5" w:rsidRPr="00A925A9" w:rsidRDefault="00BE4E53" w:rsidP="00A925A9">
            <w:pPr>
              <w:spacing w:before="0" w:beforeAutospacing="0" w:after="0" w:afterAutospacing="0" w:line="360" w:lineRule="auto"/>
              <w:ind w:left="360"/>
              <w:contextualSpacing/>
              <w:jc w:val="both"/>
              <w:rPr>
                <w:rFonts w:ascii="Verdana" w:eastAsia="Calibri" w:hAnsi="Verdana"/>
                <w:b/>
                <w:sz w:val="20"/>
                <w:szCs w:val="20"/>
                <w:shd w:val="clear" w:color="auto" w:fill="FFFFFF"/>
              </w:rPr>
            </w:pPr>
            <w:r>
              <w:rPr>
                <w:rFonts w:ascii="Verdana" w:eastAsia="Calibri" w:hAnsi="Verdana"/>
                <w:b/>
                <w:sz w:val="20"/>
                <w:szCs w:val="20"/>
                <w:shd w:val="clear" w:color="auto" w:fill="FFFFFF"/>
              </w:rPr>
              <w:t>5</w:t>
            </w:r>
            <w:r w:rsidR="001268A5" w:rsidRPr="00A925A9">
              <w:rPr>
                <w:rFonts w:ascii="Verdana" w:eastAsia="Calibri" w:hAnsi="Verdana"/>
                <w:b/>
                <w:sz w:val="20"/>
                <w:szCs w:val="20"/>
                <w:shd w:val="clear" w:color="auto" w:fill="FFFFFF"/>
              </w:rPr>
              <w:t xml:space="preserve">. </w:t>
            </w:r>
            <w:r w:rsidR="006478D6" w:rsidRPr="00A925A9">
              <w:rPr>
                <w:rFonts w:ascii="Verdana" w:eastAsia="Calibri" w:hAnsi="Verdana"/>
                <w:b/>
                <w:sz w:val="20"/>
                <w:szCs w:val="20"/>
                <w:shd w:val="clear" w:color="auto" w:fill="FFFFFF"/>
              </w:rPr>
              <w:t>Търговия на др</w:t>
            </w:r>
            <w:r w:rsidR="008D4159" w:rsidRPr="00A925A9">
              <w:rPr>
                <w:rFonts w:ascii="Verdana" w:eastAsia="Calibri" w:hAnsi="Verdana"/>
                <w:b/>
                <w:sz w:val="20"/>
                <w:szCs w:val="20"/>
                <w:shd w:val="clear" w:color="auto" w:fill="FFFFFF"/>
              </w:rPr>
              <w:t>е</w:t>
            </w:r>
            <w:r w:rsidR="006478D6" w:rsidRPr="00A925A9">
              <w:rPr>
                <w:rFonts w:ascii="Verdana" w:eastAsia="Calibri" w:hAnsi="Verdana"/>
                <w:b/>
                <w:sz w:val="20"/>
                <w:szCs w:val="20"/>
                <w:shd w:val="clear" w:color="auto" w:fill="FFFFFF"/>
              </w:rPr>
              <w:t>бно</w:t>
            </w:r>
          </w:p>
          <w:p w:rsidR="00A925A9" w:rsidRPr="009A72B1" w:rsidRDefault="00A925A9" w:rsidP="005A40C3">
            <w:pPr>
              <w:numPr>
                <w:ilvl w:val="0"/>
                <w:numId w:val="34"/>
              </w:numPr>
              <w:spacing w:before="0" w:beforeAutospacing="0" w:after="0" w:afterAutospacing="0" w:line="360" w:lineRule="auto"/>
              <w:rPr>
                <w:rFonts w:ascii="Verdana" w:hAnsi="Verdana"/>
                <w:sz w:val="20"/>
                <w:szCs w:val="20"/>
              </w:rPr>
            </w:pPr>
            <w:r w:rsidRPr="009A72B1">
              <w:rPr>
                <w:rFonts w:ascii="Verdana" w:hAnsi="Verdana"/>
                <w:sz w:val="20"/>
                <w:szCs w:val="20"/>
              </w:rPr>
              <w:t xml:space="preserve">Специализираните магазини за храни и напитки заедно с неспециализираните магазини, </w:t>
            </w:r>
            <w:r w:rsidR="00796B82" w:rsidRPr="009A72B1">
              <w:rPr>
                <w:rFonts w:ascii="Verdana" w:hAnsi="Verdana"/>
                <w:sz w:val="20"/>
                <w:szCs w:val="20"/>
              </w:rPr>
              <w:t>които продават предимно храни -</w:t>
            </w:r>
            <w:r w:rsidR="00EF1053" w:rsidRPr="009A72B1">
              <w:rPr>
                <w:rFonts w:ascii="Verdana" w:hAnsi="Verdana"/>
                <w:sz w:val="20"/>
                <w:szCs w:val="20"/>
              </w:rPr>
              <w:t xml:space="preserve"> </w:t>
            </w:r>
            <w:r w:rsidR="00A92824" w:rsidRPr="009A72B1">
              <w:rPr>
                <w:rFonts w:ascii="Verdana" w:hAnsi="Verdana"/>
                <w:sz w:val="20"/>
                <w:szCs w:val="20"/>
              </w:rPr>
              <w:t>43</w:t>
            </w:r>
            <w:r w:rsidR="008D4F09" w:rsidRPr="009A72B1">
              <w:rPr>
                <w:rFonts w:ascii="Verdana" w:hAnsi="Verdana"/>
                <w:sz w:val="20"/>
                <w:szCs w:val="20"/>
              </w:rPr>
              <w:t> </w:t>
            </w:r>
            <w:r w:rsidR="00A92824" w:rsidRPr="009A72B1">
              <w:rPr>
                <w:rFonts w:ascii="Verdana" w:hAnsi="Verdana"/>
                <w:sz w:val="20"/>
                <w:szCs w:val="20"/>
              </w:rPr>
              <w:t>241</w:t>
            </w:r>
            <w:r w:rsidR="008D4F09" w:rsidRPr="009A72B1">
              <w:rPr>
                <w:rFonts w:ascii="Verdana" w:hAnsi="Verdana"/>
                <w:sz w:val="20"/>
                <w:szCs w:val="20"/>
              </w:rPr>
              <w:t xml:space="preserve"> бр.</w:t>
            </w:r>
          </w:p>
          <w:p w:rsidR="004D2EFA" w:rsidRPr="004D2EFA" w:rsidRDefault="004D2EFA" w:rsidP="004D2EFA">
            <w:pPr>
              <w:spacing w:before="0" w:beforeAutospacing="0" w:after="0" w:afterAutospacing="0"/>
              <w:ind w:left="720"/>
              <w:rPr>
                <w:rFonts w:ascii="Verdana" w:hAnsi="Verdana"/>
                <w:sz w:val="20"/>
                <w:szCs w:val="20"/>
              </w:rPr>
            </w:pPr>
          </w:p>
          <w:p w:rsidR="00247DE1" w:rsidRPr="00A925A9" w:rsidRDefault="004D2EFA" w:rsidP="004D2EFA">
            <w:pPr>
              <w:spacing w:before="0" w:beforeAutospacing="0" w:after="0" w:line="360" w:lineRule="auto"/>
              <w:ind w:left="360"/>
              <w:jc w:val="both"/>
              <w:rPr>
                <w:rFonts w:ascii="Verdana" w:eastAsia="Calibri" w:hAnsi="Verdana"/>
                <w:sz w:val="20"/>
                <w:szCs w:val="20"/>
                <w:shd w:val="clear" w:color="auto" w:fill="FFFFFF"/>
              </w:rPr>
            </w:pPr>
            <w:r w:rsidRPr="00A925A9">
              <w:rPr>
                <w:rFonts w:ascii="Verdana" w:eastAsia="Calibri" w:hAnsi="Verdana"/>
                <w:b/>
                <w:bCs/>
                <w:sz w:val="20"/>
                <w:szCs w:val="20"/>
              </w:rPr>
              <w:t xml:space="preserve"> </w:t>
            </w:r>
            <w:r w:rsidR="00BE4E53">
              <w:rPr>
                <w:rFonts w:ascii="Verdana" w:eastAsia="Calibri" w:hAnsi="Verdana"/>
                <w:b/>
                <w:bCs/>
                <w:sz w:val="20"/>
                <w:szCs w:val="20"/>
              </w:rPr>
              <w:t>6</w:t>
            </w:r>
            <w:r w:rsidR="00247DE1" w:rsidRPr="00A925A9">
              <w:rPr>
                <w:rFonts w:ascii="Verdana" w:eastAsia="Calibri" w:hAnsi="Verdana"/>
                <w:b/>
                <w:bCs/>
                <w:sz w:val="20"/>
                <w:szCs w:val="20"/>
              </w:rPr>
              <w:t>. Потребители</w:t>
            </w:r>
          </w:p>
          <w:p w:rsidR="00247DE1" w:rsidRPr="00A925A9" w:rsidRDefault="00247DE1" w:rsidP="00CC3C6C">
            <w:pPr>
              <w:spacing w:before="0" w:beforeAutospacing="0" w:after="0" w:line="360" w:lineRule="auto"/>
              <w:ind w:firstLine="708"/>
              <w:jc w:val="both"/>
              <w:rPr>
                <w:rFonts w:ascii="Verdana" w:hAnsi="Verdana"/>
                <w:sz w:val="20"/>
                <w:szCs w:val="20"/>
              </w:rPr>
            </w:pPr>
            <w:r w:rsidRPr="00A925A9">
              <w:rPr>
                <w:rFonts w:ascii="Verdana" w:eastAsia="Calibri" w:hAnsi="Verdana"/>
                <w:sz w:val="20"/>
                <w:szCs w:val="20"/>
              </w:rPr>
              <w:t xml:space="preserve">Потребителите на </w:t>
            </w:r>
            <w:r w:rsidR="00A15E74">
              <w:rPr>
                <w:rFonts w:ascii="Verdana" w:eastAsia="Calibri" w:hAnsi="Verdana"/>
                <w:sz w:val="20"/>
                <w:szCs w:val="20"/>
              </w:rPr>
              <w:t xml:space="preserve">хранителните продукти </w:t>
            </w:r>
            <w:r w:rsidRPr="00A925A9">
              <w:rPr>
                <w:rFonts w:ascii="Verdana" w:eastAsia="Calibri" w:hAnsi="Verdana"/>
                <w:sz w:val="20"/>
                <w:szCs w:val="20"/>
              </w:rPr>
              <w:t xml:space="preserve">обхващат цялото население на България, доколкото храните са стоки от първа необходимост. </w:t>
            </w:r>
            <w:r w:rsidRPr="00A925A9">
              <w:rPr>
                <w:rFonts w:ascii="Verdana" w:eastAsia="Calibri" w:hAnsi="Verdana"/>
                <w:sz w:val="20"/>
                <w:szCs w:val="20"/>
                <w:shd w:val="clear" w:color="auto" w:fill="FFFFFF"/>
              </w:rPr>
              <w:t>Те</w:t>
            </w:r>
            <w:r w:rsidRPr="00A925A9">
              <w:rPr>
                <w:rFonts w:ascii="Verdana" w:hAnsi="Verdana"/>
                <w:sz w:val="20"/>
                <w:szCs w:val="20"/>
              </w:rPr>
              <w:t xml:space="preserve"> няма да бъдат пряко засегнати от промените, въпреки че се явяват крайни ползватели на мерките за гарантиране на безопасността и качеството на хранителната верига. </w:t>
            </w:r>
          </w:p>
          <w:p w:rsidR="00954228" w:rsidRPr="00A925A9" w:rsidRDefault="00247DE1" w:rsidP="00CC3C6C">
            <w:pPr>
              <w:spacing w:before="0" w:beforeAutospacing="0" w:after="0" w:line="360" w:lineRule="auto"/>
              <w:ind w:firstLine="708"/>
              <w:jc w:val="both"/>
              <w:rPr>
                <w:rFonts w:ascii="Verdana" w:hAnsi="Verdana"/>
                <w:sz w:val="20"/>
                <w:szCs w:val="20"/>
              </w:rPr>
            </w:pPr>
            <w:r w:rsidRPr="00A925A9">
              <w:rPr>
                <w:rFonts w:ascii="Verdana" w:eastAsia="Calibri" w:hAnsi="Verdana"/>
                <w:sz w:val="20"/>
                <w:szCs w:val="20"/>
              </w:rPr>
              <w:t xml:space="preserve">Наредбата цели да осигури възможно най-високо ниво на защита на човешкото здраве и интересите на потребителите. </w:t>
            </w:r>
          </w:p>
        </w:tc>
      </w:tr>
      <w:tr w:rsidR="006222FE" w:rsidRPr="00A925A9" w:rsidTr="00D96F7C">
        <w:trPr>
          <w:trHeight w:val="142"/>
        </w:trPr>
        <w:tc>
          <w:tcPr>
            <w:tcW w:w="10257" w:type="dxa"/>
            <w:gridSpan w:val="2"/>
            <w:shd w:val="clear" w:color="auto" w:fill="auto"/>
          </w:tcPr>
          <w:p w:rsidR="006222FE" w:rsidRPr="00A925A9" w:rsidRDefault="006222FE" w:rsidP="00CC3C6C">
            <w:pPr>
              <w:spacing w:before="0" w:beforeAutospacing="0" w:after="0" w:line="360" w:lineRule="auto"/>
              <w:ind w:left="142" w:right="475"/>
              <w:jc w:val="both"/>
              <w:rPr>
                <w:rFonts w:ascii="Verdana" w:hAnsi="Verdana"/>
                <w:sz w:val="20"/>
                <w:szCs w:val="20"/>
                <w:lang w:val="ru-RU"/>
              </w:rPr>
            </w:pPr>
            <w:r w:rsidRPr="00A925A9">
              <w:rPr>
                <w:rFonts w:ascii="Verdana" w:hAnsi="Verdana"/>
                <w:b/>
                <w:sz w:val="20"/>
                <w:szCs w:val="20"/>
              </w:rPr>
              <w:lastRenderedPageBreak/>
              <w:t>4. Варианти на действие:</w:t>
            </w:r>
          </w:p>
          <w:p w:rsidR="006222FE" w:rsidRPr="00A925A9" w:rsidRDefault="006222FE" w:rsidP="00CC3C6C">
            <w:pPr>
              <w:spacing w:before="0" w:beforeAutospacing="0" w:after="0" w:line="360" w:lineRule="auto"/>
              <w:ind w:left="142" w:right="475"/>
              <w:jc w:val="both"/>
              <w:rPr>
                <w:rFonts w:ascii="Verdana" w:hAnsi="Verdana"/>
                <w:b/>
                <w:sz w:val="20"/>
                <w:szCs w:val="20"/>
              </w:rPr>
            </w:pPr>
            <w:r w:rsidRPr="00A925A9">
              <w:rPr>
                <w:rFonts w:ascii="Verdana" w:hAnsi="Verdana"/>
                <w:b/>
                <w:i/>
                <w:sz w:val="20"/>
                <w:szCs w:val="20"/>
              </w:rPr>
              <w:t>Идентифицирайте основните регулаторни и нерегулаторни възможни варианти на действие от страна на държавата, включително варианта „</w:t>
            </w:r>
            <w:r w:rsidRPr="00A925A9">
              <w:rPr>
                <w:rFonts w:ascii="Verdana" w:hAnsi="Verdana"/>
                <w:b/>
                <w:i/>
                <w:caps/>
                <w:sz w:val="20"/>
                <w:szCs w:val="20"/>
              </w:rPr>
              <w:t>б</w:t>
            </w:r>
            <w:r w:rsidRPr="00A925A9">
              <w:rPr>
                <w:rFonts w:ascii="Verdana" w:hAnsi="Verdana"/>
                <w:b/>
                <w:i/>
                <w:sz w:val="20"/>
                <w:szCs w:val="20"/>
              </w:rPr>
              <w:t>ез действие“.</w:t>
            </w:r>
          </w:p>
          <w:p w:rsidR="006222FE" w:rsidRPr="00A925A9" w:rsidRDefault="00C40412" w:rsidP="00CC3C6C">
            <w:pPr>
              <w:spacing w:before="0" w:beforeAutospacing="0" w:after="0" w:line="360" w:lineRule="auto"/>
              <w:ind w:left="142" w:right="475"/>
              <w:jc w:val="both"/>
              <w:rPr>
                <w:rFonts w:ascii="Verdana" w:hAnsi="Verdana"/>
                <w:b/>
                <w:sz w:val="20"/>
                <w:szCs w:val="20"/>
                <w:lang w:val="ru-RU"/>
              </w:rPr>
            </w:pPr>
            <w:r>
              <w:rPr>
                <w:rFonts w:ascii="Verdana" w:hAnsi="Verdana"/>
                <w:b/>
                <w:sz w:val="20"/>
                <w:szCs w:val="20"/>
                <w:lang w:val="ru-RU"/>
              </w:rPr>
              <w:t>Вариант 0</w:t>
            </w:r>
            <w:r w:rsidR="006222FE" w:rsidRPr="00A925A9">
              <w:rPr>
                <w:rFonts w:ascii="Verdana" w:hAnsi="Verdana"/>
                <w:b/>
                <w:sz w:val="20"/>
                <w:szCs w:val="20"/>
                <w:lang w:val="ru-RU"/>
              </w:rPr>
              <w:t>: Без действие.</w:t>
            </w:r>
          </w:p>
          <w:p w:rsidR="00FA0A90" w:rsidRPr="002B4162" w:rsidRDefault="00B2308E" w:rsidP="004E5DFB">
            <w:pPr>
              <w:spacing w:before="0" w:beforeAutospacing="0" w:after="0" w:line="360" w:lineRule="auto"/>
              <w:jc w:val="both"/>
              <w:rPr>
                <w:rFonts w:ascii="Verdana" w:eastAsia="Calibri" w:hAnsi="Verdana"/>
                <w:sz w:val="20"/>
                <w:szCs w:val="20"/>
                <w:lang w:eastAsia="en-US"/>
              </w:rPr>
            </w:pPr>
            <w:r w:rsidRPr="00A925A9">
              <w:rPr>
                <w:rFonts w:ascii="Verdana" w:hAnsi="Verdana"/>
                <w:sz w:val="20"/>
                <w:szCs w:val="20"/>
              </w:rPr>
              <w:t xml:space="preserve">     </w:t>
            </w:r>
            <w:r w:rsidR="009575FD">
              <w:rPr>
                <w:rFonts w:ascii="Verdana" w:hAnsi="Verdana"/>
                <w:sz w:val="20"/>
                <w:szCs w:val="20"/>
              </w:rPr>
              <w:t>Не се издава</w:t>
            </w:r>
            <w:r w:rsidR="00020A29">
              <w:rPr>
                <w:rFonts w:ascii="Verdana" w:hAnsi="Verdana"/>
                <w:sz w:val="20"/>
                <w:szCs w:val="20"/>
              </w:rPr>
              <w:t xml:space="preserve"> нова</w:t>
            </w:r>
            <w:r w:rsidR="009575FD">
              <w:rPr>
                <w:rFonts w:ascii="Verdana" w:hAnsi="Verdana"/>
                <w:sz w:val="20"/>
                <w:szCs w:val="20"/>
              </w:rPr>
              <w:t xml:space="preserve"> Наредба </w:t>
            </w:r>
            <w:r w:rsidR="00DB02BF">
              <w:rPr>
                <w:rFonts w:ascii="Verdana" w:hAnsi="Verdana"/>
                <w:sz w:val="20"/>
                <w:szCs w:val="20"/>
              </w:rPr>
              <w:t>в законоустановения срок</w:t>
            </w:r>
            <w:r w:rsidR="00581E97">
              <w:rPr>
                <w:rFonts w:ascii="Verdana" w:hAnsi="Verdana"/>
                <w:sz w:val="20"/>
                <w:szCs w:val="20"/>
              </w:rPr>
              <w:t xml:space="preserve"> и се з</w:t>
            </w:r>
            <w:r w:rsidR="00581E97" w:rsidRPr="00581E97">
              <w:rPr>
                <w:rFonts w:ascii="Verdana" w:hAnsi="Verdana"/>
                <w:sz w:val="20"/>
                <w:szCs w:val="20"/>
              </w:rPr>
              <w:t>апазват разпоредби</w:t>
            </w:r>
            <w:r w:rsidR="008E7308">
              <w:rPr>
                <w:rFonts w:ascii="Verdana" w:hAnsi="Verdana"/>
                <w:sz w:val="20"/>
                <w:szCs w:val="20"/>
              </w:rPr>
              <w:t>те</w:t>
            </w:r>
            <w:r w:rsidR="00581E97" w:rsidRPr="00581E97">
              <w:rPr>
                <w:rFonts w:ascii="Verdana" w:hAnsi="Verdana"/>
                <w:sz w:val="20"/>
                <w:szCs w:val="20"/>
              </w:rPr>
              <w:t xml:space="preserve"> в</w:t>
            </w:r>
            <w:r w:rsidR="008E7308">
              <w:rPr>
                <w:rFonts w:ascii="Verdana" w:hAnsi="Verdana"/>
                <w:sz w:val="20"/>
                <w:szCs w:val="20"/>
              </w:rPr>
              <w:t xml:space="preserve"> сега действащата Наредба</w:t>
            </w:r>
            <w:r w:rsidR="00581E97" w:rsidRPr="00581E97">
              <w:rPr>
                <w:rFonts w:ascii="Verdana" w:hAnsi="Verdana"/>
                <w:sz w:val="20"/>
                <w:szCs w:val="20"/>
              </w:rPr>
              <w:t xml:space="preserve"> </w:t>
            </w:r>
            <w:r w:rsidR="00FA0A90" w:rsidRPr="00A925A9">
              <w:rPr>
                <w:rFonts w:ascii="Verdana" w:hAnsi="Verdana"/>
                <w:sz w:val="20"/>
                <w:szCs w:val="20"/>
              </w:rPr>
              <w:t>и и</w:t>
            </w:r>
            <w:r w:rsidR="00FA0A90" w:rsidRPr="00A925A9">
              <w:rPr>
                <w:rFonts w:ascii="Verdana" w:eastAsia="Calibri" w:hAnsi="Verdana"/>
                <w:sz w:val="20"/>
                <w:szCs w:val="20"/>
                <w:lang w:eastAsia="en-US"/>
              </w:rPr>
              <w:t xml:space="preserve">дентифицираните проблеми не могат да се решат по </w:t>
            </w:r>
            <w:r w:rsidR="007222E8" w:rsidRPr="00A925A9">
              <w:rPr>
                <w:rFonts w:ascii="Verdana" w:eastAsia="Calibri" w:hAnsi="Verdana"/>
                <w:sz w:val="20"/>
                <w:szCs w:val="20"/>
                <w:lang w:eastAsia="en-US"/>
              </w:rPr>
              <w:t>рационален</w:t>
            </w:r>
            <w:r w:rsidR="00FA0A90" w:rsidRPr="00A925A9">
              <w:rPr>
                <w:rFonts w:ascii="Verdana" w:eastAsia="Calibri" w:hAnsi="Verdana"/>
                <w:sz w:val="20"/>
                <w:szCs w:val="20"/>
                <w:lang w:eastAsia="en-US"/>
              </w:rPr>
              <w:t xml:space="preserve"> начин. </w:t>
            </w:r>
            <w:r w:rsidR="00581E97">
              <w:rPr>
                <w:rFonts w:ascii="Verdana" w:eastAsia="Calibri" w:hAnsi="Verdana"/>
                <w:sz w:val="20"/>
                <w:szCs w:val="20"/>
                <w:lang w:eastAsia="en-US"/>
              </w:rPr>
              <w:t>Н</w:t>
            </w:r>
            <w:r w:rsidR="00FA0A90" w:rsidRPr="00A925A9">
              <w:rPr>
                <w:rFonts w:ascii="Verdana" w:eastAsia="Calibri" w:hAnsi="Verdana"/>
                <w:sz w:val="20"/>
                <w:szCs w:val="20"/>
                <w:lang w:eastAsia="en-US"/>
              </w:rPr>
              <w:t>е се осъществява ефективен официален контрол</w:t>
            </w:r>
            <w:r w:rsidR="004A0E99">
              <w:rPr>
                <w:rFonts w:ascii="Verdana" w:eastAsia="Calibri" w:hAnsi="Verdana"/>
                <w:sz w:val="20"/>
                <w:szCs w:val="20"/>
                <w:lang w:eastAsia="en-US"/>
              </w:rPr>
              <w:t xml:space="preserve"> </w:t>
            </w:r>
            <w:r w:rsidR="00020A29">
              <w:rPr>
                <w:rFonts w:ascii="Verdana" w:eastAsia="Calibri" w:hAnsi="Verdana"/>
                <w:sz w:val="20"/>
                <w:szCs w:val="20"/>
                <w:lang w:eastAsia="en-US"/>
              </w:rPr>
              <w:t xml:space="preserve">по </w:t>
            </w:r>
            <w:r w:rsidR="00AF7363">
              <w:rPr>
                <w:rFonts w:ascii="Verdana" w:eastAsia="Calibri" w:hAnsi="Verdana"/>
                <w:sz w:val="20"/>
                <w:szCs w:val="20"/>
                <w:lang w:eastAsia="en-US"/>
              </w:rPr>
              <w:t>отношение на етикетирането и</w:t>
            </w:r>
            <w:r w:rsidR="002B4162">
              <w:rPr>
                <w:rFonts w:ascii="Verdana" w:eastAsia="Calibri" w:hAnsi="Verdana"/>
                <w:sz w:val="20"/>
                <w:szCs w:val="20"/>
                <w:lang w:eastAsia="en-US"/>
              </w:rPr>
              <w:t xml:space="preserve"> </w:t>
            </w:r>
            <w:r w:rsidR="00F02603">
              <w:rPr>
                <w:rFonts w:ascii="Verdana" w:eastAsia="Calibri" w:hAnsi="Verdana"/>
                <w:sz w:val="20"/>
                <w:szCs w:val="20"/>
                <w:lang w:eastAsia="en-US"/>
              </w:rPr>
              <w:t>предлагането</w:t>
            </w:r>
            <w:r w:rsidR="002B4162">
              <w:rPr>
                <w:rFonts w:ascii="Verdana" w:eastAsia="Calibri" w:hAnsi="Verdana"/>
                <w:sz w:val="20"/>
                <w:szCs w:val="20"/>
                <w:lang w:eastAsia="en-US"/>
              </w:rPr>
              <w:t xml:space="preserve"> </w:t>
            </w:r>
            <w:r w:rsidR="00F02603">
              <w:rPr>
                <w:rFonts w:ascii="Verdana" w:eastAsia="Calibri" w:hAnsi="Verdana"/>
                <w:sz w:val="20"/>
                <w:szCs w:val="20"/>
                <w:lang w:eastAsia="en-US"/>
              </w:rPr>
              <w:t>на хран</w:t>
            </w:r>
            <w:r w:rsidR="00AF7363">
              <w:rPr>
                <w:rFonts w:ascii="Verdana" w:eastAsia="Calibri" w:hAnsi="Verdana"/>
                <w:sz w:val="20"/>
                <w:szCs w:val="20"/>
                <w:lang w:eastAsia="en-US"/>
              </w:rPr>
              <w:t xml:space="preserve">ите, </w:t>
            </w:r>
            <w:r w:rsidR="004A0E99">
              <w:rPr>
                <w:rFonts w:ascii="Verdana" w:eastAsia="Calibri" w:hAnsi="Verdana"/>
                <w:sz w:val="20"/>
                <w:szCs w:val="20"/>
                <w:lang w:eastAsia="en-US"/>
              </w:rPr>
              <w:t xml:space="preserve">няма ясни изисквания за предоставяне на информация на потребителите, липсват </w:t>
            </w:r>
            <w:r w:rsidR="002B4162">
              <w:rPr>
                <w:rFonts w:ascii="Verdana" w:eastAsia="Calibri" w:hAnsi="Verdana"/>
                <w:sz w:val="20"/>
                <w:szCs w:val="20"/>
                <w:lang w:eastAsia="en-US"/>
              </w:rPr>
              <w:t>ясни изисквания</w:t>
            </w:r>
            <w:r w:rsidR="004A0E99">
              <w:rPr>
                <w:rFonts w:ascii="Verdana" w:eastAsia="Calibri" w:hAnsi="Verdana"/>
                <w:sz w:val="20"/>
                <w:szCs w:val="20"/>
                <w:lang w:eastAsia="en-US"/>
              </w:rPr>
              <w:t xml:space="preserve"> и</w:t>
            </w:r>
            <w:r w:rsidR="002B4162">
              <w:rPr>
                <w:rFonts w:ascii="Verdana" w:eastAsia="Calibri" w:hAnsi="Verdana"/>
                <w:sz w:val="20"/>
                <w:szCs w:val="20"/>
                <w:lang w:eastAsia="en-US"/>
              </w:rPr>
              <w:t xml:space="preserve"> по отношение на означенията или маркиро</w:t>
            </w:r>
            <w:r w:rsidR="004F7DAA">
              <w:rPr>
                <w:rFonts w:ascii="Verdana" w:eastAsia="Calibri" w:hAnsi="Verdana"/>
                <w:sz w:val="20"/>
                <w:szCs w:val="20"/>
                <w:lang w:eastAsia="en-US"/>
              </w:rPr>
              <w:t>вките, идентифициращи партидата към</w:t>
            </w:r>
            <w:r w:rsidR="002B4162">
              <w:rPr>
                <w:rFonts w:ascii="Verdana" w:eastAsia="Calibri" w:hAnsi="Verdana"/>
                <w:sz w:val="20"/>
                <w:szCs w:val="20"/>
                <w:lang w:eastAsia="en-US"/>
              </w:rPr>
              <w:t xml:space="preserve"> която принадлежи дадена</w:t>
            </w:r>
            <w:r w:rsidR="004F7DAA">
              <w:rPr>
                <w:rFonts w:ascii="Verdana" w:eastAsia="Calibri" w:hAnsi="Verdana"/>
                <w:sz w:val="20"/>
                <w:szCs w:val="20"/>
                <w:lang w:eastAsia="en-US"/>
              </w:rPr>
              <w:t>,</w:t>
            </w:r>
            <w:r w:rsidR="002B4162">
              <w:rPr>
                <w:rFonts w:ascii="Verdana" w:eastAsia="Calibri" w:hAnsi="Verdana"/>
                <w:sz w:val="20"/>
                <w:szCs w:val="20"/>
                <w:lang w:eastAsia="en-US"/>
              </w:rPr>
              <w:t xml:space="preserve"> храна в резултат на което </w:t>
            </w:r>
            <w:r w:rsidR="005F7BEE">
              <w:rPr>
                <w:rFonts w:ascii="Verdana" w:eastAsia="Calibri" w:hAnsi="Verdana"/>
                <w:sz w:val="20"/>
                <w:szCs w:val="20"/>
                <w:lang w:eastAsia="en-US"/>
              </w:rPr>
              <w:t xml:space="preserve">няма </w:t>
            </w:r>
            <w:r w:rsidR="005F7BEE">
              <w:rPr>
                <w:rFonts w:ascii="Verdana" w:eastAsia="Calibri" w:hAnsi="Verdana"/>
                <w:sz w:val="20"/>
                <w:szCs w:val="20"/>
                <w:lang w:eastAsia="en-US"/>
              </w:rPr>
              <w:lastRenderedPageBreak/>
              <w:t xml:space="preserve">достатъчно </w:t>
            </w:r>
            <w:r w:rsidR="002B4162">
              <w:rPr>
                <w:rFonts w:ascii="Verdana" w:eastAsia="Calibri" w:hAnsi="Verdana"/>
                <w:sz w:val="20"/>
                <w:szCs w:val="20"/>
                <w:lang w:eastAsia="en-US"/>
              </w:rPr>
              <w:t xml:space="preserve">информация </w:t>
            </w:r>
            <w:r w:rsidR="002B4162" w:rsidRPr="002B4162">
              <w:rPr>
                <w:rFonts w:ascii="Verdana" w:eastAsia="Calibri" w:hAnsi="Verdana"/>
                <w:sz w:val="20"/>
                <w:szCs w:val="20"/>
                <w:lang w:eastAsia="en-US"/>
              </w:rPr>
              <w:t>за идентичността на пр</w:t>
            </w:r>
            <w:r w:rsidR="00713EAA">
              <w:rPr>
                <w:rFonts w:ascii="Verdana" w:eastAsia="Calibri" w:hAnsi="Verdana"/>
                <w:sz w:val="20"/>
                <w:szCs w:val="20"/>
                <w:lang w:eastAsia="en-US"/>
              </w:rPr>
              <w:t>одуктите</w:t>
            </w:r>
            <w:r w:rsidR="00F02603">
              <w:rPr>
                <w:rFonts w:ascii="Verdana" w:eastAsia="Calibri" w:hAnsi="Verdana"/>
                <w:sz w:val="20"/>
                <w:szCs w:val="20"/>
                <w:lang w:eastAsia="en-US"/>
              </w:rPr>
              <w:t xml:space="preserve">. </w:t>
            </w:r>
            <w:r w:rsidR="00713EAA">
              <w:rPr>
                <w:rFonts w:ascii="Verdana" w:eastAsia="Calibri" w:hAnsi="Verdana"/>
                <w:sz w:val="20"/>
                <w:szCs w:val="20"/>
                <w:lang w:eastAsia="en-US"/>
              </w:rPr>
              <w:t xml:space="preserve">Липсва информация за извършване на информиран избор от потребителите по отношение на </w:t>
            </w:r>
            <w:r w:rsidR="005E089E" w:rsidRPr="005E089E">
              <w:rPr>
                <w:rFonts w:ascii="Verdana" w:eastAsia="Calibri" w:hAnsi="Verdana"/>
                <w:bCs/>
                <w:iCs/>
                <w:sz w:val="20"/>
                <w:szCs w:val="20"/>
                <w:lang w:eastAsia="en-US"/>
              </w:rPr>
              <w:t>предоставянето на информация</w:t>
            </w:r>
            <w:r w:rsidR="005E089E" w:rsidRPr="005E089E">
              <w:rPr>
                <w:rFonts w:ascii="Verdana" w:eastAsia="Calibri" w:hAnsi="Verdana"/>
                <w:bCs/>
                <w:iCs/>
                <w:sz w:val="20"/>
                <w:szCs w:val="20"/>
                <w:lang w:val="en-US" w:eastAsia="en-US"/>
              </w:rPr>
              <w:t xml:space="preserve"> </w:t>
            </w:r>
            <w:r w:rsidR="005E089E" w:rsidRPr="005E089E">
              <w:rPr>
                <w:rFonts w:ascii="Verdana" w:eastAsia="Calibri" w:hAnsi="Verdana"/>
                <w:bCs/>
                <w:iCs/>
                <w:sz w:val="20"/>
                <w:szCs w:val="20"/>
                <w:lang w:eastAsia="en-US"/>
              </w:rPr>
              <w:t>при предлагане за продажба на храни на краен потребител или на заведение за обществено хранене без предварително опаковане, или когато храните са опаковани в търговските помещения по искане на потребителя или са предварително опаковани за директна продажба</w:t>
            </w:r>
            <w:r w:rsidR="005E5D50">
              <w:rPr>
                <w:rFonts w:ascii="Verdana" w:eastAsia="Calibri" w:hAnsi="Verdana"/>
                <w:bCs/>
                <w:iCs/>
                <w:sz w:val="20"/>
                <w:szCs w:val="20"/>
                <w:lang w:eastAsia="en-US"/>
              </w:rPr>
              <w:t>.</w:t>
            </w:r>
          </w:p>
          <w:p w:rsidR="000C78E8" w:rsidRDefault="00C40412" w:rsidP="00CC3C6C">
            <w:pPr>
              <w:spacing w:before="0" w:beforeAutospacing="0" w:after="0" w:line="360" w:lineRule="auto"/>
              <w:ind w:left="142" w:right="475"/>
              <w:jc w:val="both"/>
              <w:rPr>
                <w:rFonts w:ascii="Verdana" w:hAnsi="Verdana"/>
                <w:b/>
                <w:sz w:val="20"/>
                <w:szCs w:val="20"/>
              </w:rPr>
            </w:pPr>
            <w:r>
              <w:rPr>
                <w:rFonts w:ascii="Verdana" w:hAnsi="Verdana"/>
                <w:b/>
                <w:sz w:val="20"/>
                <w:szCs w:val="20"/>
                <w:lang w:val="ru-RU"/>
              </w:rPr>
              <w:t>Вариант 1</w:t>
            </w:r>
            <w:r w:rsidR="006222FE" w:rsidRPr="00A925A9">
              <w:rPr>
                <w:rFonts w:ascii="Verdana" w:hAnsi="Verdana"/>
                <w:b/>
                <w:sz w:val="20"/>
                <w:szCs w:val="20"/>
                <w:lang w:val="ru-RU"/>
              </w:rPr>
              <w:t xml:space="preserve">: </w:t>
            </w:r>
            <w:r w:rsidR="000C78E8" w:rsidRPr="00A925A9">
              <w:rPr>
                <w:rFonts w:ascii="Verdana" w:hAnsi="Verdana"/>
                <w:b/>
                <w:sz w:val="20"/>
                <w:szCs w:val="20"/>
                <w:lang w:val="ru-RU"/>
              </w:rPr>
              <w:t>Приемане</w:t>
            </w:r>
            <w:r w:rsidR="001071F1" w:rsidRPr="00A925A9">
              <w:rPr>
                <w:rFonts w:ascii="Verdana" w:hAnsi="Verdana"/>
                <w:b/>
                <w:sz w:val="20"/>
                <w:szCs w:val="20"/>
                <w:lang w:val="ru-RU"/>
              </w:rPr>
              <w:t xml:space="preserve"> на</w:t>
            </w:r>
            <w:r w:rsidR="00E84D71" w:rsidRPr="00A925A9">
              <w:rPr>
                <w:rFonts w:ascii="Verdana" w:hAnsi="Verdana"/>
                <w:b/>
                <w:sz w:val="20"/>
                <w:szCs w:val="20"/>
                <w:lang w:val="ru-RU"/>
              </w:rPr>
              <w:t xml:space="preserve"> </w:t>
            </w:r>
            <w:r w:rsidR="009C2E26">
              <w:rPr>
                <w:rFonts w:ascii="Verdana" w:hAnsi="Verdana"/>
                <w:b/>
                <w:sz w:val="20"/>
                <w:szCs w:val="20"/>
              </w:rPr>
              <w:t>п</w:t>
            </w:r>
            <w:r w:rsidR="00411567" w:rsidRPr="00A925A9">
              <w:rPr>
                <w:rFonts w:ascii="Verdana" w:hAnsi="Verdana"/>
                <w:b/>
                <w:sz w:val="20"/>
                <w:szCs w:val="20"/>
              </w:rPr>
              <w:t xml:space="preserve">роект на </w:t>
            </w:r>
            <w:r w:rsidR="009C2E26">
              <w:rPr>
                <w:rFonts w:ascii="Verdana" w:hAnsi="Verdana"/>
                <w:b/>
                <w:sz w:val="20"/>
                <w:szCs w:val="20"/>
              </w:rPr>
              <w:t xml:space="preserve">ПМС </w:t>
            </w:r>
            <w:r w:rsidR="00411567" w:rsidRPr="00A925A9">
              <w:rPr>
                <w:rFonts w:ascii="Verdana" w:hAnsi="Verdana"/>
                <w:b/>
                <w:sz w:val="20"/>
                <w:szCs w:val="20"/>
              </w:rPr>
              <w:t xml:space="preserve">за </w:t>
            </w:r>
            <w:r w:rsidR="00DB02BF">
              <w:rPr>
                <w:rFonts w:ascii="Verdana" w:hAnsi="Verdana"/>
                <w:b/>
                <w:sz w:val="20"/>
                <w:szCs w:val="20"/>
              </w:rPr>
              <w:t xml:space="preserve">приемане </w:t>
            </w:r>
            <w:r w:rsidR="00411567" w:rsidRPr="00A925A9">
              <w:rPr>
                <w:rFonts w:ascii="Verdana" w:hAnsi="Verdana"/>
                <w:b/>
                <w:sz w:val="20"/>
                <w:szCs w:val="20"/>
              </w:rPr>
              <w:t>на Наредба</w:t>
            </w:r>
            <w:r w:rsidR="009C2E26">
              <w:rPr>
                <w:rFonts w:ascii="Verdana" w:hAnsi="Verdana"/>
                <w:b/>
                <w:sz w:val="20"/>
                <w:szCs w:val="20"/>
              </w:rPr>
              <w:t>та</w:t>
            </w:r>
            <w:r w:rsidR="00411567" w:rsidRPr="00A925A9">
              <w:rPr>
                <w:rFonts w:ascii="Verdana" w:hAnsi="Verdana"/>
                <w:b/>
                <w:sz w:val="20"/>
                <w:szCs w:val="20"/>
              </w:rPr>
              <w:t xml:space="preserve"> за</w:t>
            </w:r>
            <w:r w:rsidR="00DC4BA1">
              <w:rPr>
                <w:rFonts w:ascii="Verdana" w:hAnsi="Verdana"/>
                <w:b/>
                <w:sz w:val="20"/>
                <w:szCs w:val="20"/>
              </w:rPr>
              <w:t xml:space="preserve"> предоставянето на информация на потребителите за храните</w:t>
            </w:r>
            <w:r w:rsidR="000E695C" w:rsidRPr="00A925A9">
              <w:rPr>
                <w:rFonts w:ascii="Verdana" w:hAnsi="Verdana"/>
                <w:b/>
                <w:sz w:val="20"/>
                <w:szCs w:val="20"/>
              </w:rPr>
              <w:t>:</w:t>
            </w:r>
          </w:p>
          <w:p w:rsidR="00167208" w:rsidRDefault="003F723A" w:rsidP="00D93915">
            <w:pPr>
              <w:spacing w:before="0" w:beforeAutospacing="0" w:after="0" w:line="360" w:lineRule="auto"/>
              <w:jc w:val="both"/>
              <w:rPr>
                <w:rFonts w:ascii="Verdana" w:hAnsi="Verdana"/>
                <w:bCs/>
                <w:iCs/>
                <w:sz w:val="20"/>
                <w:szCs w:val="20"/>
              </w:rPr>
            </w:pPr>
            <w:r>
              <w:rPr>
                <w:rFonts w:ascii="Verdana" w:hAnsi="Verdana"/>
                <w:bCs/>
                <w:iCs/>
                <w:sz w:val="20"/>
                <w:szCs w:val="20"/>
              </w:rPr>
              <w:t xml:space="preserve">С проекта на </w:t>
            </w:r>
            <w:r w:rsidR="00167208" w:rsidRPr="00167208">
              <w:rPr>
                <w:rFonts w:ascii="Verdana" w:hAnsi="Verdana"/>
                <w:bCs/>
                <w:iCs/>
                <w:sz w:val="20"/>
                <w:szCs w:val="20"/>
              </w:rPr>
              <w:t xml:space="preserve">Наредба за </w:t>
            </w:r>
            <w:r w:rsidR="009A03CD" w:rsidRPr="009A03CD">
              <w:rPr>
                <w:rFonts w:ascii="Verdana" w:hAnsi="Verdana"/>
                <w:bCs/>
                <w:iCs/>
                <w:sz w:val="20"/>
                <w:szCs w:val="20"/>
              </w:rPr>
              <w:t xml:space="preserve">предоставянето на информация на потребителите за храните </w:t>
            </w:r>
            <w:r w:rsidR="00167208" w:rsidRPr="00167208">
              <w:rPr>
                <w:rFonts w:ascii="Verdana" w:hAnsi="Verdana"/>
                <w:bCs/>
                <w:iCs/>
                <w:sz w:val="20"/>
                <w:szCs w:val="20"/>
              </w:rPr>
              <w:t>са дефинирани по-ясно някои разпоредби</w:t>
            </w:r>
            <w:r w:rsidR="00F568B8">
              <w:rPr>
                <w:rFonts w:ascii="Verdana" w:hAnsi="Verdana"/>
                <w:bCs/>
                <w:iCs/>
                <w:sz w:val="20"/>
                <w:szCs w:val="20"/>
              </w:rPr>
              <w:t>,</w:t>
            </w:r>
            <w:r w:rsidR="00167208" w:rsidRPr="00167208">
              <w:rPr>
                <w:rFonts w:ascii="Verdana" w:hAnsi="Verdana"/>
                <w:bCs/>
                <w:iCs/>
                <w:sz w:val="20"/>
                <w:szCs w:val="20"/>
              </w:rPr>
              <w:t xml:space="preserve"> свързани с предоставянето на информация на потребителите за храните в съответствие с изискванията на Регламент (ЕС) 1169/2011, изискванията</w:t>
            </w:r>
            <w:r w:rsidR="00F568B8">
              <w:rPr>
                <w:rFonts w:ascii="Verdana" w:hAnsi="Verdana"/>
                <w:bCs/>
                <w:iCs/>
                <w:sz w:val="20"/>
                <w:szCs w:val="20"/>
              </w:rPr>
              <w:t>,</w:t>
            </w:r>
            <w:r w:rsidR="00167208" w:rsidRPr="00167208">
              <w:rPr>
                <w:rFonts w:ascii="Verdana" w:hAnsi="Verdana"/>
                <w:bCs/>
                <w:iCs/>
                <w:sz w:val="20"/>
                <w:szCs w:val="20"/>
              </w:rPr>
              <w:t xml:space="preserve"> предвидени в специални разпоредби на регламентите на ЕС за определени храни, Закона за храните и на подзаконовите нормативни актове по прилагането му, както и разпоредбите</w:t>
            </w:r>
            <w:r w:rsidR="000D7EF4">
              <w:rPr>
                <w:rFonts w:ascii="Verdana" w:hAnsi="Verdana"/>
                <w:bCs/>
                <w:iCs/>
                <w:sz w:val="20"/>
                <w:szCs w:val="20"/>
              </w:rPr>
              <w:t>,</w:t>
            </w:r>
            <w:r w:rsidR="00167208" w:rsidRPr="00167208">
              <w:rPr>
                <w:rFonts w:ascii="Verdana" w:hAnsi="Verdana"/>
                <w:bCs/>
                <w:iCs/>
                <w:sz w:val="20"/>
                <w:szCs w:val="20"/>
              </w:rPr>
              <w:t xml:space="preserve"> имащи за цел да въведат определени изисквания по отношение на означенията или маркировките, идентифициращи партидата, към която принадлежи дадена храна. С проекта се въвеждат и национални мерки</w:t>
            </w:r>
            <w:r w:rsidR="00167208" w:rsidRPr="00167208">
              <w:rPr>
                <w:rFonts w:ascii="Verdana" w:hAnsi="Verdana"/>
                <w:bCs/>
                <w:iCs/>
                <w:sz w:val="20"/>
                <w:szCs w:val="20"/>
                <w:lang w:val="en-US"/>
              </w:rPr>
              <w:t xml:space="preserve"> </w:t>
            </w:r>
            <w:r w:rsidR="00167208" w:rsidRPr="00167208">
              <w:rPr>
                <w:rFonts w:ascii="Verdana" w:hAnsi="Verdana"/>
                <w:sz w:val="20"/>
                <w:szCs w:val="20"/>
              </w:rPr>
              <w:t xml:space="preserve">съгласно </w:t>
            </w:r>
            <w:r w:rsidR="006A4485">
              <w:rPr>
                <w:rFonts w:ascii="Verdana" w:hAnsi="Verdana"/>
                <w:sz w:val="20"/>
                <w:szCs w:val="20"/>
              </w:rPr>
              <w:t xml:space="preserve">чл. </w:t>
            </w:r>
            <w:r w:rsidR="00167208" w:rsidRPr="00167208">
              <w:rPr>
                <w:rFonts w:ascii="Verdana" w:hAnsi="Verdana"/>
                <w:sz w:val="20"/>
                <w:szCs w:val="20"/>
              </w:rPr>
              <w:t>44 на Регламент (ЕС) 1169 /2011</w:t>
            </w:r>
            <w:r w:rsidR="00167208" w:rsidRPr="00167208">
              <w:rPr>
                <w:rFonts w:ascii="Verdana" w:hAnsi="Verdana"/>
                <w:sz w:val="20"/>
                <w:szCs w:val="20"/>
                <w:lang w:val="en-US"/>
              </w:rPr>
              <w:t xml:space="preserve"> </w:t>
            </w:r>
            <w:r w:rsidR="00167208" w:rsidRPr="00167208">
              <w:rPr>
                <w:rFonts w:ascii="Verdana" w:hAnsi="Verdana"/>
                <w:bCs/>
                <w:iCs/>
                <w:sz w:val="20"/>
                <w:szCs w:val="20"/>
              </w:rPr>
              <w:t>за предоставянето на информация</w:t>
            </w:r>
            <w:r w:rsidR="00167208" w:rsidRPr="00167208">
              <w:rPr>
                <w:rFonts w:ascii="Verdana" w:hAnsi="Verdana"/>
                <w:bCs/>
                <w:iCs/>
                <w:sz w:val="20"/>
                <w:szCs w:val="20"/>
                <w:lang w:val="en-US"/>
              </w:rPr>
              <w:t xml:space="preserve"> </w:t>
            </w:r>
            <w:r w:rsidR="00167208" w:rsidRPr="00167208">
              <w:rPr>
                <w:rFonts w:ascii="Verdana" w:hAnsi="Verdana"/>
                <w:bCs/>
                <w:iCs/>
                <w:sz w:val="20"/>
                <w:szCs w:val="20"/>
              </w:rPr>
              <w:t>при предлагане за продажба на храни на краен потребител или на заведение за обществено хранене без предварително опаковане, или когато храните са опаковани в търговските помещения по искане на потребителя или са предварително</w:t>
            </w:r>
            <w:r w:rsidR="00966BC2">
              <w:rPr>
                <w:rFonts w:ascii="Verdana" w:hAnsi="Verdana"/>
                <w:bCs/>
                <w:iCs/>
                <w:sz w:val="20"/>
                <w:szCs w:val="20"/>
              </w:rPr>
              <w:t xml:space="preserve"> опаковани за директна продажба</w:t>
            </w:r>
            <w:r w:rsidR="00167208" w:rsidRPr="00167208">
              <w:rPr>
                <w:rFonts w:ascii="Verdana" w:hAnsi="Verdana"/>
                <w:sz w:val="20"/>
                <w:szCs w:val="20"/>
                <w:lang w:val="en-US"/>
              </w:rPr>
              <w:t>.</w:t>
            </w:r>
            <w:r w:rsidR="00966BC2">
              <w:rPr>
                <w:rFonts w:ascii="Verdana" w:hAnsi="Verdana"/>
                <w:sz w:val="20"/>
                <w:szCs w:val="20"/>
              </w:rPr>
              <w:t xml:space="preserve"> Предложените промени в текста на наредбата имат за цел да създадат предпоставки за </w:t>
            </w:r>
            <w:r w:rsidR="00966BC2" w:rsidRPr="00966BC2">
              <w:rPr>
                <w:rFonts w:ascii="Verdana" w:hAnsi="Verdana"/>
                <w:sz w:val="20"/>
                <w:szCs w:val="20"/>
              </w:rPr>
              <w:t xml:space="preserve">извършване на информиран избор от потребителите, </w:t>
            </w:r>
            <w:r w:rsidR="00D73152">
              <w:rPr>
                <w:rFonts w:ascii="Verdana" w:hAnsi="Verdana"/>
                <w:sz w:val="20"/>
                <w:szCs w:val="20"/>
              </w:rPr>
              <w:t xml:space="preserve">както и да предоставят </w:t>
            </w:r>
            <w:r w:rsidR="00966BC2" w:rsidRPr="00966BC2">
              <w:rPr>
                <w:rFonts w:ascii="Verdana" w:hAnsi="Verdana"/>
                <w:sz w:val="20"/>
                <w:szCs w:val="20"/>
              </w:rPr>
              <w:t>достатъчна информация по отношение на идентичността на продуктите.</w:t>
            </w:r>
          </w:p>
          <w:p w:rsidR="00D93915" w:rsidRPr="00D93915" w:rsidRDefault="00D93915" w:rsidP="00D93915">
            <w:pPr>
              <w:spacing w:before="0" w:beforeAutospacing="0" w:after="0" w:line="360" w:lineRule="auto"/>
              <w:jc w:val="both"/>
              <w:rPr>
                <w:rFonts w:ascii="Verdana" w:hAnsi="Verdana"/>
                <w:bCs/>
                <w:iCs/>
                <w:sz w:val="20"/>
                <w:szCs w:val="20"/>
              </w:rPr>
            </w:pPr>
            <w:r>
              <w:rPr>
                <w:rFonts w:ascii="Verdana" w:hAnsi="Verdana"/>
                <w:bCs/>
                <w:iCs/>
                <w:sz w:val="20"/>
                <w:szCs w:val="20"/>
              </w:rPr>
              <w:t>С приемането на проекта:</w:t>
            </w:r>
          </w:p>
          <w:p w:rsidR="00102058" w:rsidRPr="00A925A9" w:rsidRDefault="008F1494" w:rsidP="00CC3C6C">
            <w:pPr>
              <w:numPr>
                <w:ilvl w:val="0"/>
                <w:numId w:val="27"/>
              </w:numPr>
              <w:overflowPunct w:val="0"/>
              <w:autoSpaceDE w:val="0"/>
              <w:autoSpaceDN w:val="0"/>
              <w:adjustRightInd w:val="0"/>
              <w:spacing w:before="0" w:beforeAutospacing="0" w:after="0" w:afterAutospacing="0" w:line="360" w:lineRule="auto"/>
              <w:jc w:val="both"/>
              <w:textAlignment w:val="baseline"/>
              <w:rPr>
                <w:rFonts w:ascii="Verdana" w:eastAsia="Calibri" w:hAnsi="Verdana"/>
                <w:sz w:val="20"/>
                <w:szCs w:val="20"/>
                <w:lang w:eastAsia="en-US"/>
              </w:rPr>
            </w:pPr>
            <w:r w:rsidRPr="00A925A9">
              <w:rPr>
                <w:rFonts w:ascii="Verdana" w:eastAsia="Calibri" w:hAnsi="Verdana"/>
                <w:sz w:val="20"/>
                <w:szCs w:val="20"/>
                <w:lang w:eastAsia="en-US"/>
              </w:rPr>
              <w:t>Ще се постигне о</w:t>
            </w:r>
            <w:r w:rsidR="00102058" w:rsidRPr="00A925A9">
              <w:rPr>
                <w:rFonts w:ascii="Verdana" w:eastAsia="Calibri" w:hAnsi="Verdana"/>
                <w:sz w:val="20"/>
                <w:szCs w:val="20"/>
                <w:lang w:eastAsia="en-US"/>
              </w:rPr>
              <w:t>пазване на общественото здраве</w:t>
            </w:r>
            <w:r w:rsidRPr="00A925A9">
              <w:rPr>
                <w:rFonts w:ascii="Verdana" w:eastAsia="Calibri" w:hAnsi="Verdana"/>
                <w:sz w:val="20"/>
                <w:szCs w:val="20"/>
                <w:lang w:eastAsia="en-US"/>
              </w:rPr>
              <w:t xml:space="preserve"> на територията на Република България</w:t>
            </w:r>
            <w:r w:rsidR="00102058" w:rsidRPr="00A925A9">
              <w:rPr>
                <w:rFonts w:ascii="Verdana" w:eastAsia="Calibri" w:hAnsi="Verdana"/>
                <w:sz w:val="20"/>
                <w:szCs w:val="20"/>
                <w:lang w:eastAsia="en-US"/>
              </w:rPr>
              <w:t xml:space="preserve">; </w:t>
            </w:r>
          </w:p>
          <w:p w:rsidR="00102058" w:rsidRPr="00001841" w:rsidRDefault="008F1494" w:rsidP="00CC3C6C">
            <w:pPr>
              <w:numPr>
                <w:ilvl w:val="0"/>
                <w:numId w:val="19"/>
              </w:numPr>
              <w:overflowPunct w:val="0"/>
              <w:autoSpaceDE w:val="0"/>
              <w:autoSpaceDN w:val="0"/>
              <w:adjustRightInd w:val="0"/>
              <w:spacing w:before="0" w:beforeAutospacing="0" w:after="0" w:afterAutospacing="0" w:line="360" w:lineRule="auto"/>
              <w:ind w:right="-24"/>
              <w:jc w:val="both"/>
              <w:textAlignment w:val="baseline"/>
              <w:rPr>
                <w:rFonts w:ascii="Verdana" w:hAnsi="Verdana"/>
                <w:b/>
                <w:sz w:val="20"/>
                <w:szCs w:val="20"/>
                <w:lang w:eastAsia="en-US"/>
              </w:rPr>
            </w:pPr>
            <w:r w:rsidRPr="00A925A9">
              <w:rPr>
                <w:rFonts w:ascii="Verdana" w:eastAsia="Calibri" w:hAnsi="Verdana"/>
                <w:sz w:val="20"/>
                <w:szCs w:val="20"/>
                <w:lang w:eastAsia="en-US"/>
              </w:rPr>
              <w:t>Ще се п</w:t>
            </w:r>
            <w:r w:rsidR="00102058" w:rsidRPr="00A925A9">
              <w:rPr>
                <w:rFonts w:ascii="Verdana" w:eastAsia="Calibri" w:hAnsi="Verdana"/>
                <w:sz w:val="20"/>
                <w:szCs w:val="20"/>
                <w:lang w:eastAsia="en-US"/>
              </w:rPr>
              <w:t>одобр</w:t>
            </w:r>
            <w:r w:rsidRPr="00A925A9">
              <w:rPr>
                <w:rFonts w:ascii="Verdana" w:eastAsia="Calibri" w:hAnsi="Verdana"/>
                <w:sz w:val="20"/>
                <w:szCs w:val="20"/>
                <w:lang w:eastAsia="en-US"/>
              </w:rPr>
              <w:t xml:space="preserve">и </w:t>
            </w:r>
            <w:r w:rsidR="00102058" w:rsidRPr="00A925A9">
              <w:rPr>
                <w:rFonts w:ascii="Verdana" w:eastAsia="Calibri" w:hAnsi="Verdana"/>
                <w:sz w:val="20"/>
                <w:szCs w:val="20"/>
                <w:lang w:eastAsia="en-US"/>
              </w:rPr>
              <w:t>информираността на потребителя относно съдържанието на продуктите;</w:t>
            </w:r>
          </w:p>
          <w:p w:rsidR="00001841" w:rsidRPr="00A925A9" w:rsidRDefault="00001841" w:rsidP="00CC3C6C">
            <w:pPr>
              <w:numPr>
                <w:ilvl w:val="0"/>
                <w:numId w:val="19"/>
              </w:numPr>
              <w:overflowPunct w:val="0"/>
              <w:autoSpaceDE w:val="0"/>
              <w:autoSpaceDN w:val="0"/>
              <w:adjustRightInd w:val="0"/>
              <w:spacing w:before="0" w:beforeAutospacing="0" w:after="0" w:afterAutospacing="0" w:line="360" w:lineRule="auto"/>
              <w:ind w:right="-24"/>
              <w:jc w:val="both"/>
              <w:textAlignment w:val="baseline"/>
              <w:rPr>
                <w:rFonts w:ascii="Verdana" w:hAnsi="Verdana"/>
                <w:b/>
                <w:sz w:val="20"/>
                <w:szCs w:val="20"/>
                <w:lang w:eastAsia="en-US"/>
              </w:rPr>
            </w:pPr>
            <w:r>
              <w:rPr>
                <w:rFonts w:ascii="Verdana" w:eastAsia="Calibri" w:hAnsi="Verdana"/>
                <w:sz w:val="20"/>
                <w:szCs w:val="20"/>
                <w:lang w:eastAsia="en-US"/>
              </w:rPr>
              <w:t xml:space="preserve">Ще се подобри информираността на потребителя по отношение на срока на минимална трайност или срока на годност, името и адреса на бизнес оператора с храни при предлагане за продажба на храни на краен потребител или на заведение за обществено хранене без предварително опаковане, или когато храните са опаковани в търговските помещения по искане на потребителя, което е особено важно в случаите </w:t>
            </w:r>
            <w:r w:rsidR="003B003E">
              <w:rPr>
                <w:rFonts w:ascii="Verdana" w:eastAsia="Calibri" w:hAnsi="Verdana"/>
                <w:sz w:val="20"/>
                <w:szCs w:val="20"/>
                <w:lang w:eastAsia="en-US"/>
              </w:rPr>
              <w:t>на храни от животински произход;</w:t>
            </w:r>
            <w:r>
              <w:rPr>
                <w:rFonts w:ascii="Verdana" w:eastAsia="Calibri" w:hAnsi="Verdana"/>
                <w:sz w:val="20"/>
                <w:szCs w:val="20"/>
                <w:lang w:eastAsia="en-US"/>
              </w:rPr>
              <w:t xml:space="preserve"> </w:t>
            </w:r>
          </w:p>
          <w:p w:rsidR="00102058" w:rsidRPr="00A925A9" w:rsidRDefault="008F1494" w:rsidP="00CC3C6C">
            <w:pPr>
              <w:numPr>
                <w:ilvl w:val="0"/>
                <w:numId w:val="19"/>
              </w:numPr>
              <w:overflowPunct w:val="0"/>
              <w:autoSpaceDE w:val="0"/>
              <w:autoSpaceDN w:val="0"/>
              <w:adjustRightInd w:val="0"/>
              <w:spacing w:before="0" w:beforeAutospacing="0" w:after="0" w:afterAutospacing="0" w:line="360" w:lineRule="auto"/>
              <w:contextualSpacing/>
              <w:jc w:val="both"/>
              <w:textAlignment w:val="baseline"/>
              <w:rPr>
                <w:rFonts w:ascii="Verdana" w:eastAsia="Calibri" w:hAnsi="Verdana" w:cs="Calibri"/>
                <w:sz w:val="20"/>
                <w:szCs w:val="20"/>
                <w:lang w:eastAsia="en-US"/>
              </w:rPr>
            </w:pPr>
            <w:r w:rsidRPr="00A925A9">
              <w:rPr>
                <w:rFonts w:ascii="Verdana" w:eastAsia="Calibri" w:hAnsi="Verdana"/>
                <w:sz w:val="20"/>
                <w:szCs w:val="20"/>
                <w:lang w:eastAsia="en-US"/>
              </w:rPr>
              <w:lastRenderedPageBreak/>
              <w:t>Ще се у</w:t>
            </w:r>
            <w:r w:rsidR="00102058" w:rsidRPr="00A925A9">
              <w:rPr>
                <w:rFonts w:ascii="Verdana" w:eastAsia="Calibri" w:hAnsi="Verdana" w:cs="Calibri"/>
                <w:sz w:val="20"/>
                <w:szCs w:val="20"/>
                <w:lang w:eastAsia="en-US"/>
              </w:rPr>
              <w:t>велич</w:t>
            </w:r>
            <w:r w:rsidRPr="00A925A9">
              <w:rPr>
                <w:rFonts w:ascii="Verdana" w:eastAsia="Calibri" w:hAnsi="Verdana" w:cs="Calibri"/>
                <w:sz w:val="20"/>
                <w:szCs w:val="20"/>
                <w:lang w:eastAsia="en-US"/>
              </w:rPr>
              <w:t xml:space="preserve">и </w:t>
            </w:r>
            <w:r w:rsidR="00102058" w:rsidRPr="00A925A9">
              <w:rPr>
                <w:rFonts w:ascii="Verdana" w:eastAsia="Calibri" w:hAnsi="Verdana" w:cs="Calibri"/>
                <w:sz w:val="20"/>
                <w:szCs w:val="20"/>
                <w:lang w:eastAsia="en-US"/>
              </w:rPr>
              <w:t xml:space="preserve">доверието в </w:t>
            </w:r>
            <w:r w:rsidR="00DC4BA1">
              <w:rPr>
                <w:rFonts w:ascii="Verdana" w:eastAsia="Calibri" w:hAnsi="Verdana" w:cs="Calibri"/>
                <w:sz w:val="20"/>
                <w:szCs w:val="20"/>
                <w:lang w:eastAsia="en-US"/>
              </w:rPr>
              <w:t xml:space="preserve">хранителните продукти </w:t>
            </w:r>
            <w:r w:rsidR="00102058" w:rsidRPr="00A925A9">
              <w:rPr>
                <w:rFonts w:ascii="Verdana" w:eastAsia="Calibri" w:hAnsi="Verdana" w:cs="Calibri"/>
                <w:sz w:val="20"/>
                <w:szCs w:val="20"/>
                <w:lang w:eastAsia="en-US"/>
              </w:rPr>
              <w:t>като цяло заради повишаване на информираността и намаляване на рисковете от заблуда;</w:t>
            </w:r>
          </w:p>
          <w:p w:rsidR="00102058" w:rsidRPr="00A925A9" w:rsidRDefault="008F1494" w:rsidP="00CC3C6C">
            <w:pPr>
              <w:numPr>
                <w:ilvl w:val="0"/>
                <w:numId w:val="19"/>
              </w:numPr>
              <w:overflowPunct w:val="0"/>
              <w:autoSpaceDE w:val="0"/>
              <w:autoSpaceDN w:val="0"/>
              <w:adjustRightInd w:val="0"/>
              <w:spacing w:before="0" w:beforeAutospacing="0" w:after="0" w:afterAutospacing="0" w:line="360" w:lineRule="auto"/>
              <w:contextualSpacing/>
              <w:jc w:val="both"/>
              <w:textAlignment w:val="baseline"/>
              <w:rPr>
                <w:rFonts w:ascii="Verdana" w:eastAsia="Calibri" w:hAnsi="Verdana" w:cs="Calibri"/>
                <w:sz w:val="20"/>
                <w:szCs w:val="20"/>
                <w:lang w:eastAsia="en-US"/>
              </w:rPr>
            </w:pPr>
            <w:r w:rsidRPr="00A925A9">
              <w:rPr>
                <w:rFonts w:ascii="Verdana" w:eastAsia="Calibri" w:hAnsi="Verdana"/>
                <w:sz w:val="20"/>
                <w:szCs w:val="20"/>
                <w:lang w:eastAsia="en-US"/>
              </w:rPr>
              <w:t>Ще се у</w:t>
            </w:r>
            <w:r w:rsidRPr="00A925A9">
              <w:rPr>
                <w:rFonts w:ascii="Verdana" w:eastAsia="Calibri" w:hAnsi="Verdana" w:cs="Calibri"/>
                <w:sz w:val="20"/>
                <w:szCs w:val="20"/>
                <w:lang w:eastAsia="en-US"/>
              </w:rPr>
              <w:t>величи</w:t>
            </w:r>
            <w:r w:rsidR="00102058" w:rsidRPr="00A925A9">
              <w:rPr>
                <w:rFonts w:ascii="Verdana" w:eastAsia="Calibri" w:hAnsi="Verdana" w:cs="Calibri"/>
                <w:sz w:val="20"/>
                <w:szCs w:val="20"/>
                <w:lang w:eastAsia="en-US"/>
              </w:rPr>
              <w:t xml:space="preserve"> търсене</w:t>
            </w:r>
            <w:r w:rsidRPr="00A925A9">
              <w:rPr>
                <w:rFonts w:ascii="Verdana" w:eastAsia="Calibri" w:hAnsi="Verdana" w:cs="Calibri"/>
                <w:sz w:val="20"/>
                <w:szCs w:val="20"/>
                <w:lang w:eastAsia="en-US"/>
              </w:rPr>
              <w:t>то</w:t>
            </w:r>
            <w:r w:rsidR="00102058" w:rsidRPr="00A925A9">
              <w:rPr>
                <w:rFonts w:ascii="Verdana" w:eastAsia="Calibri" w:hAnsi="Verdana" w:cs="Calibri"/>
                <w:sz w:val="20"/>
                <w:szCs w:val="20"/>
                <w:lang w:eastAsia="en-US"/>
              </w:rPr>
              <w:t xml:space="preserve"> на </w:t>
            </w:r>
            <w:r w:rsidR="00DC4BA1">
              <w:rPr>
                <w:rFonts w:ascii="Verdana" w:eastAsia="Calibri" w:hAnsi="Verdana" w:cs="Calibri"/>
                <w:sz w:val="20"/>
                <w:szCs w:val="20"/>
                <w:lang w:eastAsia="en-US"/>
              </w:rPr>
              <w:t xml:space="preserve">хранителни продукти </w:t>
            </w:r>
            <w:r w:rsidR="00102058" w:rsidRPr="00A925A9">
              <w:rPr>
                <w:rFonts w:ascii="Verdana" w:eastAsia="Calibri" w:hAnsi="Verdana" w:cs="Calibri"/>
                <w:sz w:val="20"/>
                <w:szCs w:val="20"/>
                <w:lang w:eastAsia="en-US"/>
              </w:rPr>
              <w:t>в следствие на по-добра информираност;</w:t>
            </w:r>
          </w:p>
          <w:p w:rsidR="00102058" w:rsidRPr="00A925A9" w:rsidRDefault="008F1494" w:rsidP="00CC3C6C">
            <w:pPr>
              <w:numPr>
                <w:ilvl w:val="0"/>
                <w:numId w:val="19"/>
              </w:numPr>
              <w:overflowPunct w:val="0"/>
              <w:autoSpaceDE w:val="0"/>
              <w:autoSpaceDN w:val="0"/>
              <w:adjustRightInd w:val="0"/>
              <w:spacing w:before="0" w:beforeAutospacing="0" w:after="0" w:afterAutospacing="0" w:line="360" w:lineRule="auto"/>
              <w:ind w:right="475"/>
              <w:jc w:val="both"/>
              <w:textAlignment w:val="baseline"/>
              <w:rPr>
                <w:rFonts w:ascii="Verdana" w:hAnsi="Verdana"/>
                <w:b/>
                <w:sz w:val="20"/>
                <w:szCs w:val="20"/>
                <w:lang w:eastAsia="en-US"/>
              </w:rPr>
            </w:pPr>
            <w:r w:rsidRPr="00A925A9">
              <w:rPr>
                <w:rFonts w:ascii="Verdana" w:eastAsia="Calibri" w:hAnsi="Verdana"/>
                <w:sz w:val="20"/>
                <w:szCs w:val="20"/>
                <w:lang w:eastAsia="en-US"/>
              </w:rPr>
              <w:t>Ще се о</w:t>
            </w:r>
            <w:r w:rsidR="00102058" w:rsidRPr="00A925A9">
              <w:rPr>
                <w:rFonts w:ascii="Verdana" w:eastAsia="Calibri" w:hAnsi="Verdana"/>
                <w:sz w:val="20"/>
                <w:szCs w:val="20"/>
                <w:lang w:eastAsia="en-US"/>
              </w:rPr>
              <w:t>гранич</w:t>
            </w:r>
            <w:r w:rsidR="001F2E45">
              <w:rPr>
                <w:rFonts w:ascii="Verdana" w:eastAsia="Calibri" w:hAnsi="Verdana"/>
                <w:sz w:val="20"/>
                <w:szCs w:val="20"/>
                <w:lang w:eastAsia="en-US"/>
              </w:rPr>
              <w:t>ат</w:t>
            </w:r>
            <w:r w:rsidR="00102058" w:rsidRPr="00A925A9">
              <w:rPr>
                <w:rFonts w:ascii="Verdana" w:eastAsia="Calibri" w:hAnsi="Verdana"/>
                <w:sz w:val="20"/>
                <w:szCs w:val="20"/>
                <w:lang w:eastAsia="en-US"/>
              </w:rPr>
              <w:t xml:space="preserve"> случаите на заблуда и подвеждане на потребителите;</w:t>
            </w:r>
          </w:p>
          <w:p w:rsidR="00102058" w:rsidRDefault="008F1494" w:rsidP="00CC3C6C">
            <w:pPr>
              <w:numPr>
                <w:ilvl w:val="0"/>
                <w:numId w:val="19"/>
              </w:numPr>
              <w:overflowPunct w:val="0"/>
              <w:autoSpaceDE w:val="0"/>
              <w:autoSpaceDN w:val="0"/>
              <w:adjustRightInd w:val="0"/>
              <w:spacing w:before="0" w:beforeAutospacing="0" w:after="0" w:afterAutospacing="0" w:line="360" w:lineRule="auto"/>
              <w:contextualSpacing/>
              <w:jc w:val="both"/>
              <w:textAlignment w:val="baseline"/>
              <w:rPr>
                <w:rFonts w:ascii="Verdana" w:eastAsia="Calibri" w:hAnsi="Verdana" w:cs="Calibri"/>
                <w:sz w:val="20"/>
                <w:szCs w:val="20"/>
                <w:lang w:eastAsia="en-US"/>
              </w:rPr>
            </w:pPr>
            <w:r w:rsidRPr="00A925A9">
              <w:rPr>
                <w:rFonts w:ascii="Verdana" w:eastAsia="Calibri" w:hAnsi="Verdana"/>
                <w:sz w:val="20"/>
                <w:szCs w:val="20"/>
                <w:lang w:eastAsia="en-US"/>
              </w:rPr>
              <w:t>Ще се у</w:t>
            </w:r>
            <w:r w:rsidR="00102058" w:rsidRPr="00A925A9">
              <w:rPr>
                <w:rFonts w:ascii="Verdana" w:eastAsia="Calibri" w:hAnsi="Verdana" w:cs="Calibri"/>
                <w:sz w:val="20"/>
                <w:szCs w:val="20"/>
                <w:lang w:eastAsia="en-US"/>
              </w:rPr>
              <w:t>лесн</w:t>
            </w:r>
            <w:r w:rsidRPr="00A925A9">
              <w:rPr>
                <w:rFonts w:ascii="Verdana" w:eastAsia="Calibri" w:hAnsi="Verdana" w:cs="Calibri"/>
                <w:sz w:val="20"/>
                <w:szCs w:val="20"/>
                <w:lang w:eastAsia="en-US"/>
              </w:rPr>
              <w:t>и</w:t>
            </w:r>
            <w:r w:rsidR="00102058" w:rsidRPr="00A925A9">
              <w:rPr>
                <w:rFonts w:ascii="Verdana" w:eastAsia="Calibri" w:hAnsi="Verdana" w:cs="Calibri"/>
                <w:sz w:val="20"/>
                <w:szCs w:val="20"/>
                <w:lang w:eastAsia="en-US"/>
              </w:rPr>
              <w:t xml:space="preserve"> дейността по контрол</w:t>
            </w:r>
            <w:r w:rsidR="00F515B4">
              <w:rPr>
                <w:rFonts w:ascii="Verdana" w:eastAsia="Calibri" w:hAnsi="Verdana" w:cs="Calibri"/>
                <w:sz w:val="20"/>
                <w:szCs w:val="20"/>
                <w:lang w:eastAsia="en-US"/>
              </w:rPr>
              <w:t>а</w:t>
            </w:r>
            <w:r w:rsidR="00102058" w:rsidRPr="00A925A9">
              <w:rPr>
                <w:rFonts w:ascii="Verdana" w:eastAsia="Calibri" w:hAnsi="Verdana" w:cs="Calibri"/>
                <w:sz w:val="20"/>
                <w:szCs w:val="20"/>
                <w:lang w:eastAsia="en-US"/>
              </w:rPr>
              <w:t xml:space="preserve"> в </w:t>
            </w:r>
            <w:r w:rsidR="001F2E45">
              <w:rPr>
                <w:rFonts w:ascii="Verdana" w:eastAsia="Calibri" w:hAnsi="Verdana" w:cs="Calibri"/>
                <w:sz w:val="20"/>
                <w:szCs w:val="20"/>
                <w:lang w:eastAsia="en-US"/>
              </w:rPr>
              <w:t>обектите за търговия с храни</w:t>
            </w:r>
            <w:r w:rsidR="00102058" w:rsidRPr="00A925A9">
              <w:rPr>
                <w:rFonts w:ascii="Verdana" w:eastAsia="Calibri" w:hAnsi="Verdana" w:cs="Calibri"/>
                <w:sz w:val="20"/>
                <w:szCs w:val="20"/>
                <w:lang w:eastAsia="en-US"/>
              </w:rPr>
              <w:t xml:space="preserve"> върху предлаганите продукти;</w:t>
            </w:r>
          </w:p>
          <w:p w:rsidR="00DC4BA1" w:rsidRDefault="00DC4BA1" w:rsidP="00CC3C6C">
            <w:pPr>
              <w:numPr>
                <w:ilvl w:val="0"/>
                <w:numId w:val="19"/>
              </w:numPr>
              <w:overflowPunct w:val="0"/>
              <w:autoSpaceDE w:val="0"/>
              <w:autoSpaceDN w:val="0"/>
              <w:adjustRightInd w:val="0"/>
              <w:spacing w:before="0" w:beforeAutospacing="0" w:after="0" w:afterAutospacing="0" w:line="360" w:lineRule="auto"/>
              <w:contextualSpacing/>
              <w:jc w:val="both"/>
              <w:textAlignment w:val="baseline"/>
              <w:rPr>
                <w:rFonts w:ascii="Verdana" w:eastAsia="Calibri" w:hAnsi="Verdana" w:cs="Calibri"/>
                <w:sz w:val="20"/>
                <w:szCs w:val="20"/>
                <w:lang w:eastAsia="en-US"/>
              </w:rPr>
            </w:pPr>
            <w:r>
              <w:rPr>
                <w:rFonts w:ascii="Verdana" w:eastAsia="Calibri" w:hAnsi="Verdana" w:cs="Calibri"/>
                <w:sz w:val="20"/>
                <w:szCs w:val="20"/>
                <w:lang w:eastAsia="en-US"/>
              </w:rPr>
              <w:t>Ще се постигне по-голяма информираност по отношение на идентичността на продуктите</w:t>
            </w:r>
            <w:r w:rsidR="00F963D4">
              <w:rPr>
                <w:rFonts w:ascii="Verdana" w:eastAsia="Calibri" w:hAnsi="Verdana" w:cs="Calibri"/>
                <w:sz w:val="20"/>
                <w:szCs w:val="20"/>
                <w:lang w:eastAsia="en-US"/>
              </w:rPr>
              <w:t>;</w:t>
            </w:r>
            <w:r>
              <w:rPr>
                <w:rFonts w:ascii="Verdana" w:eastAsia="Calibri" w:hAnsi="Verdana" w:cs="Calibri"/>
                <w:sz w:val="20"/>
                <w:szCs w:val="20"/>
                <w:lang w:eastAsia="en-US"/>
              </w:rPr>
              <w:t xml:space="preserve"> </w:t>
            </w:r>
          </w:p>
          <w:p w:rsidR="00F963D4" w:rsidRDefault="00F963D4" w:rsidP="00CC3C6C">
            <w:pPr>
              <w:numPr>
                <w:ilvl w:val="0"/>
                <w:numId w:val="19"/>
              </w:numPr>
              <w:overflowPunct w:val="0"/>
              <w:autoSpaceDE w:val="0"/>
              <w:autoSpaceDN w:val="0"/>
              <w:adjustRightInd w:val="0"/>
              <w:spacing w:before="0" w:beforeAutospacing="0" w:after="0" w:afterAutospacing="0" w:line="360" w:lineRule="auto"/>
              <w:contextualSpacing/>
              <w:jc w:val="both"/>
              <w:textAlignment w:val="baseline"/>
              <w:rPr>
                <w:rFonts w:ascii="Verdana" w:eastAsia="Calibri" w:hAnsi="Verdana" w:cs="Calibri"/>
                <w:sz w:val="20"/>
                <w:szCs w:val="20"/>
                <w:lang w:eastAsia="en-US"/>
              </w:rPr>
            </w:pPr>
            <w:r>
              <w:rPr>
                <w:rFonts w:ascii="Verdana" w:eastAsia="Calibri" w:hAnsi="Verdana" w:cs="Calibri"/>
                <w:sz w:val="20"/>
                <w:szCs w:val="20"/>
                <w:lang w:eastAsia="en-US"/>
              </w:rPr>
              <w:t>Изпълняване на изискванията за предоставяне на информация за продуктите;</w:t>
            </w:r>
          </w:p>
          <w:p w:rsidR="00B96387" w:rsidRPr="0023539A" w:rsidRDefault="0023539A" w:rsidP="0023539A">
            <w:pPr>
              <w:numPr>
                <w:ilvl w:val="0"/>
                <w:numId w:val="19"/>
              </w:numPr>
              <w:overflowPunct w:val="0"/>
              <w:autoSpaceDE w:val="0"/>
              <w:autoSpaceDN w:val="0"/>
              <w:adjustRightInd w:val="0"/>
              <w:spacing w:before="0" w:beforeAutospacing="0" w:after="0" w:afterAutospacing="0" w:line="360" w:lineRule="auto"/>
              <w:contextualSpacing/>
              <w:jc w:val="both"/>
              <w:textAlignment w:val="baseline"/>
              <w:rPr>
                <w:rFonts w:ascii="Verdana" w:eastAsia="Calibri" w:hAnsi="Verdana" w:cs="Calibri"/>
                <w:sz w:val="20"/>
                <w:szCs w:val="20"/>
                <w:lang w:eastAsia="en-US"/>
              </w:rPr>
            </w:pPr>
            <w:r w:rsidRPr="0023539A">
              <w:rPr>
                <w:rFonts w:ascii="Verdana" w:eastAsia="Calibri" w:hAnsi="Verdana"/>
                <w:sz w:val="20"/>
                <w:szCs w:val="20"/>
                <w:lang w:eastAsia="en-US"/>
              </w:rPr>
              <w:t>Въвеждане на разпо</w:t>
            </w:r>
            <w:r w:rsidR="00464CDF">
              <w:rPr>
                <w:rFonts w:ascii="Verdana" w:eastAsia="Calibri" w:hAnsi="Verdana"/>
                <w:sz w:val="20"/>
                <w:szCs w:val="20"/>
                <w:lang w:eastAsia="en-US"/>
              </w:rPr>
              <w:t>редбите на Директива 2011/91/ЕС;</w:t>
            </w:r>
          </w:p>
          <w:p w:rsidR="00EF12BA" w:rsidRDefault="00EF12BA" w:rsidP="00EF12BA">
            <w:pPr>
              <w:overflowPunct w:val="0"/>
              <w:autoSpaceDE w:val="0"/>
              <w:autoSpaceDN w:val="0"/>
              <w:adjustRightInd w:val="0"/>
              <w:spacing w:before="0" w:beforeAutospacing="0" w:after="0" w:afterAutospacing="0" w:line="360" w:lineRule="auto"/>
              <w:contextualSpacing/>
              <w:textAlignment w:val="baseline"/>
              <w:rPr>
                <w:rFonts w:ascii="Verdana" w:eastAsia="Calibri" w:hAnsi="Verdana"/>
                <w:b/>
                <w:sz w:val="20"/>
                <w:szCs w:val="20"/>
                <w:lang w:eastAsia="en-US"/>
              </w:rPr>
            </w:pPr>
          </w:p>
          <w:p w:rsidR="00B96387" w:rsidRDefault="00B96387" w:rsidP="00F963D4">
            <w:pPr>
              <w:overflowPunct w:val="0"/>
              <w:autoSpaceDE w:val="0"/>
              <w:autoSpaceDN w:val="0"/>
              <w:adjustRightInd w:val="0"/>
              <w:spacing w:before="0" w:beforeAutospacing="0" w:after="0" w:afterAutospacing="0" w:line="360" w:lineRule="auto"/>
              <w:contextualSpacing/>
              <w:textAlignment w:val="baseline"/>
              <w:rPr>
                <w:rFonts w:ascii="Verdana" w:eastAsia="Calibri" w:hAnsi="Verdana"/>
                <w:b/>
                <w:sz w:val="20"/>
                <w:szCs w:val="20"/>
                <w:lang w:eastAsia="en-US"/>
              </w:rPr>
            </w:pPr>
          </w:p>
          <w:p w:rsidR="00B96387" w:rsidRPr="00B96387" w:rsidRDefault="00B96387" w:rsidP="00B96387">
            <w:pPr>
              <w:overflowPunct w:val="0"/>
              <w:autoSpaceDE w:val="0"/>
              <w:autoSpaceDN w:val="0"/>
              <w:adjustRightInd w:val="0"/>
              <w:spacing w:before="0" w:beforeAutospacing="0" w:after="0" w:afterAutospacing="0" w:line="360" w:lineRule="auto"/>
              <w:ind w:left="360"/>
              <w:contextualSpacing/>
              <w:jc w:val="center"/>
              <w:textAlignment w:val="baseline"/>
              <w:rPr>
                <w:rFonts w:ascii="Verdana" w:eastAsia="Calibri" w:hAnsi="Verdana"/>
                <w:b/>
                <w:sz w:val="20"/>
                <w:szCs w:val="20"/>
                <w:lang w:eastAsia="en-US"/>
              </w:rPr>
            </w:pPr>
            <w:r w:rsidRPr="00B96387">
              <w:rPr>
                <w:rFonts w:ascii="Verdana" w:eastAsia="Calibri" w:hAnsi="Verdana"/>
                <w:b/>
                <w:sz w:val="20"/>
                <w:szCs w:val="20"/>
                <w:lang w:eastAsia="en-US"/>
              </w:rPr>
              <w:t>Сравнение на Вариант 0 и Вариант 1 по отношение на постигане на заложените цели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127"/>
              <w:gridCol w:w="3425"/>
            </w:tblGrid>
            <w:tr w:rsidR="00B96387" w:rsidTr="0034170A">
              <w:trPr>
                <w:trHeight w:val="3535"/>
              </w:trPr>
              <w:tc>
                <w:tcPr>
                  <w:tcW w:w="3964" w:type="dxa"/>
                  <w:shd w:val="clear" w:color="auto" w:fill="FFFFFF"/>
                </w:tcPr>
                <w:p w:rsidR="00B96387" w:rsidRPr="0034170A" w:rsidRDefault="00B96387" w:rsidP="0034170A">
                  <w:pPr>
                    <w:spacing w:after="120" w:line="360" w:lineRule="auto"/>
                    <w:jc w:val="both"/>
                    <w:rPr>
                      <w:rFonts w:ascii="Verdana" w:eastAsia="Calibri" w:hAnsi="Verdana"/>
                      <w:bCs/>
                      <w:sz w:val="20"/>
                      <w:szCs w:val="22"/>
                      <w:shd w:val="clear" w:color="auto" w:fill="FEFEFE"/>
                    </w:rPr>
                  </w:pPr>
                </w:p>
              </w:tc>
              <w:tc>
                <w:tcPr>
                  <w:tcW w:w="2127" w:type="dxa"/>
                  <w:shd w:val="clear" w:color="auto" w:fill="FFFFFF"/>
                </w:tcPr>
                <w:p w:rsidR="00B96387" w:rsidRPr="0034170A" w:rsidRDefault="00B96387" w:rsidP="0034170A">
                  <w:pPr>
                    <w:spacing w:after="120" w:line="360" w:lineRule="auto"/>
                    <w:jc w:val="both"/>
                    <w:rPr>
                      <w:rFonts w:ascii="Verdana" w:eastAsia="Calibri" w:hAnsi="Verdana"/>
                      <w:b/>
                      <w:bCs/>
                      <w:sz w:val="20"/>
                      <w:szCs w:val="22"/>
                      <w:shd w:val="clear" w:color="auto" w:fill="FEFEFE"/>
                    </w:rPr>
                  </w:pPr>
                  <w:r w:rsidRPr="0034170A">
                    <w:rPr>
                      <w:rFonts w:ascii="Verdana" w:eastAsia="Calibri" w:hAnsi="Verdana"/>
                      <w:b/>
                      <w:bCs/>
                      <w:sz w:val="20"/>
                      <w:szCs w:val="22"/>
                      <w:shd w:val="clear" w:color="auto" w:fill="FEFEFE"/>
                    </w:rPr>
                    <w:t xml:space="preserve">Вариант </w:t>
                  </w:r>
                </w:p>
                <w:p w:rsidR="00B96387" w:rsidRPr="0034170A" w:rsidRDefault="00B96387" w:rsidP="0034170A">
                  <w:pPr>
                    <w:spacing w:after="120" w:line="360" w:lineRule="auto"/>
                    <w:jc w:val="both"/>
                    <w:rPr>
                      <w:rFonts w:ascii="Verdana" w:eastAsia="Calibri" w:hAnsi="Verdana"/>
                      <w:b/>
                      <w:bCs/>
                      <w:i/>
                      <w:sz w:val="20"/>
                      <w:szCs w:val="22"/>
                      <w:shd w:val="clear" w:color="auto" w:fill="FEFEFE"/>
                    </w:rPr>
                  </w:pPr>
                  <w:r w:rsidRPr="0034170A">
                    <w:rPr>
                      <w:rFonts w:ascii="Verdana" w:eastAsia="Calibri" w:hAnsi="Verdana"/>
                      <w:b/>
                      <w:bCs/>
                      <w:i/>
                      <w:sz w:val="20"/>
                      <w:szCs w:val="22"/>
                      <w:shd w:val="clear" w:color="auto" w:fill="FEFEFE"/>
                    </w:rPr>
                    <w:t>„Без действие“</w:t>
                  </w:r>
                </w:p>
              </w:tc>
              <w:tc>
                <w:tcPr>
                  <w:tcW w:w="3425" w:type="dxa"/>
                  <w:shd w:val="clear" w:color="auto" w:fill="FFFFFF"/>
                </w:tcPr>
                <w:p w:rsidR="00B96387" w:rsidRPr="0034170A" w:rsidRDefault="00B96387" w:rsidP="0034170A">
                  <w:pPr>
                    <w:spacing w:after="120" w:line="360" w:lineRule="auto"/>
                    <w:jc w:val="both"/>
                    <w:rPr>
                      <w:rFonts w:ascii="Verdana" w:eastAsia="Calibri" w:hAnsi="Verdana"/>
                      <w:b/>
                      <w:bCs/>
                      <w:sz w:val="20"/>
                      <w:szCs w:val="22"/>
                      <w:shd w:val="clear" w:color="auto" w:fill="FEFEFE"/>
                    </w:rPr>
                  </w:pPr>
                  <w:r w:rsidRPr="0034170A">
                    <w:rPr>
                      <w:rFonts w:ascii="Verdana" w:eastAsia="Calibri" w:hAnsi="Verdana"/>
                      <w:b/>
                      <w:bCs/>
                      <w:sz w:val="20"/>
                      <w:szCs w:val="22"/>
                      <w:shd w:val="clear" w:color="auto" w:fill="FEFEFE"/>
                    </w:rPr>
                    <w:t>Вариант 1</w:t>
                  </w:r>
                </w:p>
                <w:p w:rsidR="00B96387" w:rsidRPr="0034170A" w:rsidRDefault="00B96387" w:rsidP="00F963D4">
                  <w:pPr>
                    <w:spacing w:before="120" w:line="360" w:lineRule="auto"/>
                    <w:jc w:val="both"/>
                    <w:rPr>
                      <w:rFonts w:ascii="Verdana" w:eastAsia="Calibri" w:hAnsi="Verdana"/>
                      <w:b/>
                      <w:i/>
                      <w:sz w:val="20"/>
                      <w:szCs w:val="22"/>
                    </w:rPr>
                  </w:pPr>
                  <w:r w:rsidRPr="0034170A">
                    <w:rPr>
                      <w:rFonts w:ascii="Verdana" w:eastAsia="Calibri" w:hAnsi="Verdana"/>
                      <w:b/>
                      <w:bCs/>
                      <w:i/>
                      <w:sz w:val="20"/>
                      <w:szCs w:val="22"/>
                      <w:shd w:val="clear" w:color="auto" w:fill="FEFEFE"/>
                    </w:rPr>
                    <w:t>„</w:t>
                  </w:r>
                  <w:r w:rsidRPr="0034170A">
                    <w:rPr>
                      <w:rFonts w:ascii="Verdana" w:eastAsia="Calibri" w:hAnsi="Verdana"/>
                      <w:b/>
                      <w:i/>
                      <w:sz w:val="20"/>
                      <w:szCs w:val="22"/>
                    </w:rPr>
                    <w:t>Приемане на проект на</w:t>
                  </w:r>
                  <w:r w:rsidRPr="0034170A">
                    <w:rPr>
                      <w:rFonts w:ascii="Verdana" w:eastAsia="Calibri" w:hAnsi="Verdana"/>
                      <w:b/>
                      <w:i/>
                      <w:sz w:val="20"/>
                      <w:szCs w:val="22"/>
                      <w:lang w:val="ru-RU"/>
                    </w:rPr>
                    <w:t xml:space="preserve"> </w:t>
                  </w:r>
                  <w:r w:rsidRPr="0034170A">
                    <w:rPr>
                      <w:rFonts w:ascii="Verdana" w:eastAsia="Calibri" w:hAnsi="Verdana"/>
                      <w:b/>
                      <w:i/>
                      <w:sz w:val="20"/>
                      <w:szCs w:val="22"/>
                    </w:rPr>
                    <w:t>Постановление на Министерския съвет за приемане на Наредба за</w:t>
                  </w:r>
                  <w:r w:rsidR="00F963D4">
                    <w:rPr>
                      <w:rFonts w:ascii="Verdana" w:eastAsia="Calibri" w:hAnsi="Verdana"/>
                      <w:b/>
                      <w:i/>
                      <w:sz w:val="20"/>
                      <w:szCs w:val="22"/>
                    </w:rPr>
                    <w:t xml:space="preserve"> предоставянето на информация на потребителите за храните</w:t>
                  </w:r>
                  <w:r w:rsidRPr="0034170A">
                    <w:rPr>
                      <w:rFonts w:ascii="Verdana" w:eastAsia="Calibri" w:hAnsi="Verdana"/>
                      <w:b/>
                      <w:i/>
                      <w:sz w:val="20"/>
                      <w:szCs w:val="22"/>
                    </w:rPr>
                    <w:t xml:space="preserve">“ </w:t>
                  </w:r>
                </w:p>
              </w:tc>
            </w:tr>
            <w:tr w:rsidR="00B96387" w:rsidTr="0034170A">
              <w:tc>
                <w:tcPr>
                  <w:tcW w:w="3964" w:type="dxa"/>
                  <w:shd w:val="clear" w:color="auto" w:fill="auto"/>
                </w:tcPr>
                <w:p w:rsidR="00B96387" w:rsidRPr="0034170A" w:rsidRDefault="00B96387" w:rsidP="0034170A">
                  <w:pPr>
                    <w:spacing w:after="120"/>
                    <w:jc w:val="both"/>
                    <w:rPr>
                      <w:rFonts w:ascii="Verdana" w:eastAsia="Calibri" w:hAnsi="Verdana"/>
                      <w:b/>
                      <w:bCs/>
                      <w:i/>
                      <w:sz w:val="18"/>
                      <w:szCs w:val="18"/>
                      <w:shd w:val="clear" w:color="auto" w:fill="FEFEFE"/>
                    </w:rPr>
                  </w:pPr>
                  <w:r w:rsidRPr="0034170A">
                    <w:rPr>
                      <w:rFonts w:ascii="Verdana" w:eastAsia="Calibri" w:hAnsi="Verdana"/>
                      <w:b/>
                      <w:bCs/>
                      <w:i/>
                      <w:sz w:val="18"/>
                      <w:szCs w:val="18"/>
                      <w:shd w:val="clear" w:color="auto" w:fill="FEFEFE"/>
                    </w:rPr>
                    <w:t>Ефективност</w:t>
                  </w:r>
                </w:p>
              </w:tc>
              <w:tc>
                <w:tcPr>
                  <w:tcW w:w="2127" w:type="dxa"/>
                  <w:shd w:val="clear" w:color="auto" w:fill="auto"/>
                </w:tcPr>
                <w:p w:rsidR="00B96387" w:rsidRPr="0034170A" w:rsidRDefault="00B96387" w:rsidP="0034170A">
                  <w:pPr>
                    <w:spacing w:after="120"/>
                    <w:jc w:val="both"/>
                    <w:rPr>
                      <w:rFonts w:ascii="Verdana" w:eastAsia="Calibri" w:hAnsi="Verdana"/>
                      <w:bCs/>
                      <w:sz w:val="18"/>
                      <w:szCs w:val="18"/>
                      <w:shd w:val="clear" w:color="auto" w:fill="FEFEFE"/>
                    </w:rPr>
                  </w:pPr>
                </w:p>
              </w:tc>
              <w:tc>
                <w:tcPr>
                  <w:tcW w:w="3425" w:type="dxa"/>
                  <w:shd w:val="clear" w:color="auto" w:fill="auto"/>
                </w:tcPr>
                <w:p w:rsidR="00B96387" w:rsidRPr="0034170A" w:rsidRDefault="00B96387" w:rsidP="0034170A">
                  <w:pPr>
                    <w:spacing w:after="120"/>
                    <w:jc w:val="both"/>
                    <w:rPr>
                      <w:rFonts w:ascii="Verdana" w:eastAsia="Calibri" w:hAnsi="Verdana"/>
                      <w:bCs/>
                      <w:sz w:val="18"/>
                      <w:szCs w:val="18"/>
                      <w:shd w:val="clear" w:color="auto" w:fill="FEFEFE"/>
                    </w:rPr>
                  </w:pPr>
                </w:p>
              </w:tc>
            </w:tr>
            <w:tr w:rsidR="00B96387" w:rsidTr="0034170A">
              <w:tc>
                <w:tcPr>
                  <w:tcW w:w="3964" w:type="dxa"/>
                  <w:shd w:val="clear" w:color="auto" w:fill="auto"/>
                </w:tcPr>
                <w:p w:rsidR="00221009" w:rsidRPr="0034170A" w:rsidRDefault="00221009" w:rsidP="0034170A">
                  <w:pPr>
                    <w:spacing w:after="120"/>
                    <w:jc w:val="both"/>
                    <w:rPr>
                      <w:rFonts w:ascii="Verdana" w:eastAsia="Calibri" w:hAnsi="Verdana"/>
                      <w:bCs/>
                      <w:sz w:val="18"/>
                      <w:szCs w:val="18"/>
                      <w:shd w:val="clear" w:color="auto" w:fill="FEFEFE"/>
                    </w:rPr>
                  </w:pPr>
                  <w:r w:rsidRPr="0034170A">
                    <w:rPr>
                      <w:rFonts w:ascii="Verdana" w:eastAsia="Calibri" w:hAnsi="Verdana"/>
                      <w:bCs/>
                      <w:sz w:val="18"/>
                      <w:szCs w:val="18"/>
                      <w:shd w:val="clear" w:color="auto" w:fill="FEFEFE"/>
                    </w:rPr>
                    <w:t xml:space="preserve">Гарантиране на висока степен на защита на здравето на потребителите на територията на Република България; </w:t>
                  </w:r>
                </w:p>
                <w:p w:rsidR="00B96387" w:rsidRPr="0034170A" w:rsidRDefault="00B96387" w:rsidP="0034170A">
                  <w:pPr>
                    <w:spacing w:after="120"/>
                    <w:jc w:val="both"/>
                    <w:rPr>
                      <w:rFonts w:ascii="Verdana" w:eastAsia="Calibri" w:hAnsi="Verdana"/>
                      <w:bCs/>
                      <w:sz w:val="18"/>
                      <w:szCs w:val="18"/>
                      <w:shd w:val="clear" w:color="auto" w:fill="FEFEFE"/>
                    </w:rPr>
                  </w:pPr>
                </w:p>
              </w:tc>
              <w:tc>
                <w:tcPr>
                  <w:tcW w:w="2127" w:type="dxa"/>
                  <w:shd w:val="clear" w:color="auto" w:fill="auto"/>
                </w:tcPr>
                <w:p w:rsidR="00B96387" w:rsidRPr="0034170A" w:rsidRDefault="00B96387" w:rsidP="0034170A">
                  <w:pPr>
                    <w:spacing w:after="120"/>
                    <w:jc w:val="both"/>
                    <w:rPr>
                      <w:rFonts w:ascii="Verdana" w:eastAsia="Calibri" w:hAnsi="Verdana"/>
                      <w:b/>
                      <w:bCs/>
                      <w:sz w:val="18"/>
                      <w:szCs w:val="18"/>
                      <w:shd w:val="clear" w:color="auto" w:fill="FEFEFE"/>
                    </w:rPr>
                  </w:pPr>
                  <w:r w:rsidRPr="0034170A">
                    <w:rPr>
                      <w:rFonts w:ascii="Verdana" w:eastAsia="Calibri" w:hAnsi="Verdana"/>
                      <w:b/>
                      <w:bCs/>
                      <w:sz w:val="18"/>
                      <w:szCs w:val="18"/>
                      <w:shd w:val="clear" w:color="auto" w:fill="FEFEFE"/>
                    </w:rPr>
                    <w:t>-</w:t>
                  </w:r>
                </w:p>
              </w:tc>
              <w:tc>
                <w:tcPr>
                  <w:tcW w:w="3425" w:type="dxa"/>
                  <w:shd w:val="clear" w:color="auto" w:fill="auto"/>
                </w:tcPr>
                <w:p w:rsidR="00B96387" w:rsidRPr="0034170A" w:rsidRDefault="00B96387" w:rsidP="0034170A">
                  <w:pPr>
                    <w:spacing w:after="120"/>
                    <w:jc w:val="both"/>
                    <w:rPr>
                      <w:rFonts w:ascii="Verdana" w:eastAsia="Calibri" w:hAnsi="Verdana"/>
                      <w:b/>
                      <w:bCs/>
                      <w:sz w:val="18"/>
                      <w:szCs w:val="18"/>
                      <w:shd w:val="clear" w:color="auto" w:fill="FEFEFE"/>
                    </w:rPr>
                  </w:pPr>
                  <w:r w:rsidRPr="0034170A">
                    <w:rPr>
                      <w:rFonts w:ascii="Verdana" w:eastAsia="Calibri" w:hAnsi="Verdana"/>
                      <w:b/>
                      <w:bCs/>
                      <w:sz w:val="18"/>
                      <w:szCs w:val="18"/>
                      <w:shd w:val="clear" w:color="auto" w:fill="FEFEFE"/>
                    </w:rPr>
                    <w:t>+</w:t>
                  </w:r>
                </w:p>
              </w:tc>
            </w:tr>
            <w:tr w:rsidR="00B96387" w:rsidTr="0034170A">
              <w:tc>
                <w:tcPr>
                  <w:tcW w:w="3964" w:type="dxa"/>
                  <w:shd w:val="clear" w:color="auto" w:fill="auto"/>
                </w:tcPr>
                <w:p w:rsidR="00B96387" w:rsidRPr="0034170A" w:rsidRDefault="00221009" w:rsidP="0034170A">
                  <w:pPr>
                    <w:spacing w:after="120"/>
                    <w:jc w:val="both"/>
                    <w:rPr>
                      <w:rFonts w:ascii="Verdana" w:eastAsia="Calibri" w:hAnsi="Verdana"/>
                      <w:bCs/>
                      <w:sz w:val="18"/>
                      <w:szCs w:val="18"/>
                      <w:shd w:val="clear" w:color="auto" w:fill="FEFEFE"/>
                    </w:rPr>
                  </w:pPr>
                  <w:r w:rsidRPr="0034170A">
                    <w:rPr>
                      <w:rFonts w:ascii="Verdana" w:eastAsia="Calibri" w:hAnsi="Verdana"/>
                      <w:bCs/>
                      <w:sz w:val="18"/>
                      <w:szCs w:val="18"/>
                      <w:shd w:val="clear" w:color="auto" w:fill="FEFEFE"/>
                    </w:rPr>
                    <w:t>Защита на правата на потребителите чрез предоставяне на информиран избор и намаляване на риска от заблуда;</w:t>
                  </w:r>
                </w:p>
              </w:tc>
              <w:tc>
                <w:tcPr>
                  <w:tcW w:w="2127" w:type="dxa"/>
                  <w:shd w:val="clear" w:color="auto" w:fill="auto"/>
                </w:tcPr>
                <w:p w:rsidR="00B96387" w:rsidRPr="0034170A" w:rsidRDefault="00B96387" w:rsidP="0034170A">
                  <w:pPr>
                    <w:spacing w:after="120"/>
                    <w:jc w:val="both"/>
                    <w:rPr>
                      <w:rFonts w:ascii="Verdana" w:eastAsia="Calibri" w:hAnsi="Verdana"/>
                      <w:b/>
                      <w:bCs/>
                      <w:sz w:val="18"/>
                      <w:szCs w:val="18"/>
                      <w:shd w:val="clear" w:color="auto" w:fill="FEFEFE"/>
                    </w:rPr>
                  </w:pPr>
                  <w:r w:rsidRPr="0034170A">
                    <w:rPr>
                      <w:rFonts w:ascii="Verdana" w:eastAsia="Calibri" w:hAnsi="Verdana"/>
                      <w:b/>
                      <w:bCs/>
                      <w:sz w:val="18"/>
                      <w:szCs w:val="18"/>
                      <w:shd w:val="clear" w:color="auto" w:fill="FEFEFE"/>
                    </w:rPr>
                    <w:t>-</w:t>
                  </w:r>
                </w:p>
              </w:tc>
              <w:tc>
                <w:tcPr>
                  <w:tcW w:w="3425" w:type="dxa"/>
                  <w:shd w:val="clear" w:color="auto" w:fill="auto"/>
                </w:tcPr>
                <w:p w:rsidR="00B96387" w:rsidRPr="0034170A" w:rsidRDefault="00B96387" w:rsidP="0034170A">
                  <w:pPr>
                    <w:spacing w:after="120"/>
                    <w:jc w:val="both"/>
                    <w:rPr>
                      <w:rFonts w:ascii="Verdana" w:eastAsia="Calibri" w:hAnsi="Verdana"/>
                      <w:b/>
                      <w:bCs/>
                      <w:sz w:val="18"/>
                      <w:szCs w:val="18"/>
                      <w:shd w:val="clear" w:color="auto" w:fill="FEFEFE"/>
                    </w:rPr>
                  </w:pPr>
                  <w:r w:rsidRPr="0034170A">
                    <w:rPr>
                      <w:rFonts w:ascii="Verdana" w:eastAsia="Calibri" w:hAnsi="Verdana"/>
                      <w:b/>
                      <w:bCs/>
                      <w:sz w:val="18"/>
                      <w:szCs w:val="18"/>
                      <w:shd w:val="clear" w:color="auto" w:fill="FEFEFE"/>
                    </w:rPr>
                    <w:t>+</w:t>
                  </w:r>
                </w:p>
              </w:tc>
            </w:tr>
            <w:tr w:rsidR="00B96387" w:rsidTr="0034170A">
              <w:tc>
                <w:tcPr>
                  <w:tcW w:w="3964" w:type="dxa"/>
                  <w:shd w:val="clear" w:color="auto" w:fill="auto"/>
                </w:tcPr>
                <w:p w:rsidR="000B2393" w:rsidRPr="000B2393" w:rsidRDefault="000B2393" w:rsidP="000B2393">
                  <w:pPr>
                    <w:spacing w:after="120"/>
                    <w:jc w:val="both"/>
                    <w:rPr>
                      <w:rFonts w:ascii="Verdana" w:eastAsia="Calibri" w:hAnsi="Verdana"/>
                      <w:bCs/>
                      <w:sz w:val="18"/>
                      <w:szCs w:val="18"/>
                      <w:shd w:val="clear" w:color="auto" w:fill="FEFEFE"/>
                    </w:rPr>
                  </w:pPr>
                  <w:r w:rsidRPr="000B2393">
                    <w:rPr>
                      <w:rFonts w:ascii="Verdana" w:eastAsia="Calibri" w:hAnsi="Verdana"/>
                      <w:bCs/>
                      <w:sz w:val="18"/>
                      <w:szCs w:val="18"/>
                      <w:shd w:val="clear" w:color="auto" w:fill="FEFEFE"/>
                    </w:rPr>
                    <w:t xml:space="preserve">Означението на партидата, към която принадлежи даденa хранa, което се постига с прилагането на изискванията на наредбата, отговаря на необходимостта от по-добра информация за идентичността на </w:t>
                  </w:r>
                  <w:r w:rsidRPr="000B2393">
                    <w:rPr>
                      <w:rFonts w:ascii="Verdana" w:eastAsia="Calibri" w:hAnsi="Verdana"/>
                      <w:bCs/>
                      <w:sz w:val="18"/>
                      <w:szCs w:val="18"/>
                      <w:shd w:val="clear" w:color="auto" w:fill="FEFEFE"/>
                    </w:rPr>
                    <w:lastRenderedPageBreak/>
                    <w:t>продуктите. Следователно това е полезен източник на информация, когато храните трябва да бъдат проследени и идентифицирани или представляват риск за здравето на потребителите.</w:t>
                  </w:r>
                </w:p>
                <w:p w:rsidR="00B96387" w:rsidRPr="0034170A" w:rsidRDefault="00B96387" w:rsidP="0034170A">
                  <w:pPr>
                    <w:spacing w:after="120"/>
                    <w:jc w:val="both"/>
                    <w:rPr>
                      <w:rFonts w:ascii="Verdana" w:eastAsia="Calibri" w:hAnsi="Verdana"/>
                      <w:bCs/>
                      <w:sz w:val="18"/>
                      <w:szCs w:val="18"/>
                      <w:shd w:val="clear" w:color="auto" w:fill="FEFEFE"/>
                    </w:rPr>
                  </w:pPr>
                </w:p>
              </w:tc>
              <w:tc>
                <w:tcPr>
                  <w:tcW w:w="2127" w:type="dxa"/>
                  <w:shd w:val="clear" w:color="auto" w:fill="auto"/>
                </w:tcPr>
                <w:p w:rsidR="00B96387" w:rsidRPr="0034170A" w:rsidRDefault="00B96387" w:rsidP="0034170A">
                  <w:pPr>
                    <w:spacing w:after="120"/>
                    <w:jc w:val="both"/>
                    <w:rPr>
                      <w:rFonts w:ascii="Verdana" w:eastAsia="Calibri" w:hAnsi="Verdana"/>
                      <w:b/>
                      <w:bCs/>
                      <w:sz w:val="18"/>
                      <w:szCs w:val="18"/>
                      <w:shd w:val="clear" w:color="auto" w:fill="FEFEFE"/>
                    </w:rPr>
                  </w:pPr>
                  <w:r w:rsidRPr="0034170A">
                    <w:rPr>
                      <w:rFonts w:ascii="Verdana" w:eastAsia="Calibri" w:hAnsi="Verdana"/>
                      <w:b/>
                      <w:bCs/>
                      <w:sz w:val="18"/>
                      <w:szCs w:val="18"/>
                      <w:shd w:val="clear" w:color="auto" w:fill="FEFEFE"/>
                    </w:rPr>
                    <w:lastRenderedPageBreak/>
                    <w:t>-</w:t>
                  </w:r>
                </w:p>
              </w:tc>
              <w:tc>
                <w:tcPr>
                  <w:tcW w:w="3425" w:type="dxa"/>
                  <w:shd w:val="clear" w:color="auto" w:fill="auto"/>
                </w:tcPr>
                <w:p w:rsidR="00B96387" w:rsidRPr="0034170A" w:rsidRDefault="00B96387" w:rsidP="0034170A">
                  <w:pPr>
                    <w:spacing w:after="120"/>
                    <w:jc w:val="both"/>
                    <w:rPr>
                      <w:rFonts w:ascii="Verdana" w:eastAsia="Calibri" w:hAnsi="Verdana"/>
                      <w:b/>
                      <w:bCs/>
                      <w:sz w:val="18"/>
                      <w:szCs w:val="18"/>
                      <w:shd w:val="clear" w:color="auto" w:fill="FEFEFE"/>
                    </w:rPr>
                  </w:pPr>
                  <w:r w:rsidRPr="0034170A">
                    <w:rPr>
                      <w:rFonts w:ascii="Verdana" w:eastAsia="Calibri" w:hAnsi="Verdana"/>
                      <w:b/>
                      <w:bCs/>
                      <w:sz w:val="18"/>
                      <w:szCs w:val="18"/>
                      <w:shd w:val="clear" w:color="auto" w:fill="FEFEFE"/>
                    </w:rPr>
                    <w:t>+</w:t>
                  </w:r>
                </w:p>
              </w:tc>
            </w:tr>
            <w:tr w:rsidR="00B96387" w:rsidTr="0034170A">
              <w:tc>
                <w:tcPr>
                  <w:tcW w:w="3964" w:type="dxa"/>
                  <w:shd w:val="clear" w:color="auto" w:fill="auto"/>
                </w:tcPr>
                <w:p w:rsidR="00B96387" w:rsidRPr="0034170A" w:rsidRDefault="00221009" w:rsidP="0092049F">
                  <w:pPr>
                    <w:spacing w:after="120"/>
                    <w:jc w:val="both"/>
                    <w:rPr>
                      <w:rFonts w:ascii="Verdana" w:eastAsia="Calibri" w:hAnsi="Verdana"/>
                      <w:bCs/>
                      <w:sz w:val="18"/>
                      <w:szCs w:val="18"/>
                      <w:shd w:val="clear" w:color="auto" w:fill="FEFEFE"/>
                    </w:rPr>
                  </w:pPr>
                  <w:r w:rsidRPr="0034170A">
                    <w:rPr>
                      <w:rFonts w:ascii="Verdana" w:eastAsia="Calibri" w:hAnsi="Verdana"/>
                      <w:bCs/>
                      <w:sz w:val="18"/>
                      <w:szCs w:val="18"/>
                      <w:shd w:val="clear" w:color="auto" w:fill="FEFEFE"/>
                    </w:rPr>
                    <w:t xml:space="preserve">Ограничаване на възможностите за системни нарушения </w:t>
                  </w:r>
                </w:p>
              </w:tc>
              <w:tc>
                <w:tcPr>
                  <w:tcW w:w="2127" w:type="dxa"/>
                  <w:shd w:val="clear" w:color="auto" w:fill="auto"/>
                </w:tcPr>
                <w:p w:rsidR="00B96387" w:rsidRPr="0034170A" w:rsidRDefault="00B96387" w:rsidP="0034170A">
                  <w:pPr>
                    <w:spacing w:after="120"/>
                    <w:jc w:val="both"/>
                    <w:rPr>
                      <w:rFonts w:ascii="Verdana" w:eastAsia="Calibri" w:hAnsi="Verdana"/>
                      <w:b/>
                      <w:bCs/>
                      <w:sz w:val="18"/>
                      <w:szCs w:val="18"/>
                      <w:shd w:val="clear" w:color="auto" w:fill="FEFEFE"/>
                    </w:rPr>
                  </w:pPr>
                  <w:r w:rsidRPr="0034170A">
                    <w:rPr>
                      <w:rFonts w:ascii="Verdana" w:eastAsia="Calibri" w:hAnsi="Verdana"/>
                      <w:b/>
                      <w:bCs/>
                      <w:sz w:val="18"/>
                      <w:szCs w:val="18"/>
                      <w:shd w:val="clear" w:color="auto" w:fill="FEFEFE"/>
                    </w:rPr>
                    <w:t>-</w:t>
                  </w:r>
                </w:p>
              </w:tc>
              <w:tc>
                <w:tcPr>
                  <w:tcW w:w="3425" w:type="dxa"/>
                  <w:shd w:val="clear" w:color="auto" w:fill="auto"/>
                </w:tcPr>
                <w:p w:rsidR="00B96387" w:rsidRPr="0034170A" w:rsidRDefault="00B96387" w:rsidP="0034170A">
                  <w:pPr>
                    <w:spacing w:after="120"/>
                    <w:jc w:val="both"/>
                    <w:rPr>
                      <w:rFonts w:ascii="Verdana" w:eastAsia="Calibri" w:hAnsi="Verdana"/>
                      <w:b/>
                      <w:bCs/>
                      <w:sz w:val="18"/>
                      <w:szCs w:val="18"/>
                      <w:shd w:val="clear" w:color="auto" w:fill="FEFEFE"/>
                    </w:rPr>
                  </w:pPr>
                  <w:r w:rsidRPr="0034170A">
                    <w:rPr>
                      <w:rFonts w:ascii="Verdana" w:eastAsia="Calibri" w:hAnsi="Verdana"/>
                      <w:b/>
                      <w:bCs/>
                      <w:sz w:val="18"/>
                      <w:szCs w:val="18"/>
                      <w:shd w:val="clear" w:color="auto" w:fill="FEFEFE"/>
                    </w:rPr>
                    <w:t>+</w:t>
                  </w:r>
                </w:p>
              </w:tc>
            </w:tr>
            <w:tr w:rsidR="00B96387" w:rsidTr="0034170A">
              <w:tc>
                <w:tcPr>
                  <w:tcW w:w="3964" w:type="dxa"/>
                  <w:shd w:val="clear" w:color="auto" w:fill="auto"/>
                </w:tcPr>
                <w:p w:rsidR="00B96387" w:rsidRPr="0034170A" w:rsidRDefault="00221009" w:rsidP="0034170A">
                  <w:pPr>
                    <w:spacing w:after="120"/>
                    <w:jc w:val="both"/>
                    <w:rPr>
                      <w:rFonts w:ascii="Verdana" w:eastAsia="Calibri" w:hAnsi="Verdana"/>
                      <w:bCs/>
                      <w:sz w:val="18"/>
                      <w:szCs w:val="18"/>
                      <w:shd w:val="clear" w:color="auto" w:fill="FEFEFE"/>
                    </w:rPr>
                  </w:pPr>
                  <w:r w:rsidRPr="0034170A">
                    <w:rPr>
                      <w:rFonts w:ascii="Verdana" w:eastAsia="Calibri" w:hAnsi="Verdana"/>
                      <w:bCs/>
                      <w:sz w:val="18"/>
                      <w:szCs w:val="18"/>
                      <w:shd w:val="clear" w:color="auto" w:fill="FEFEFE"/>
                    </w:rPr>
                    <w:t xml:space="preserve">Повишаване на ефективността на контрола </w:t>
                  </w:r>
                </w:p>
              </w:tc>
              <w:tc>
                <w:tcPr>
                  <w:tcW w:w="2127" w:type="dxa"/>
                  <w:shd w:val="clear" w:color="auto" w:fill="auto"/>
                </w:tcPr>
                <w:p w:rsidR="00B96387" w:rsidRPr="0034170A" w:rsidRDefault="00B96387" w:rsidP="0034170A">
                  <w:pPr>
                    <w:spacing w:after="120"/>
                    <w:jc w:val="both"/>
                    <w:rPr>
                      <w:rFonts w:ascii="Verdana" w:eastAsia="Calibri" w:hAnsi="Verdana"/>
                      <w:b/>
                      <w:bCs/>
                      <w:sz w:val="18"/>
                      <w:szCs w:val="18"/>
                      <w:shd w:val="clear" w:color="auto" w:fill="FEFEFE"/>
                    </w:rPr>
                  </w:pPr>
                  <w:r w:rsidRPr="0034170A">
                    <w:rPr>
                      <w:rFonts w:ascii="Verdana" w:eastAsia="Calibri" w:hAnsi="Verdana"/>
                      <w:b/>
                      <w:bCs/>
                      <w:sz w:val="18"/>
                      <w:szCs w:val="18"/>
                      <w:shd w:val="clear" w:color="auto" w:fill="FEFEFE"/>
                    </w:rPr>
                    <w:t>-</w:t>
                  </w:r>
                </w:p>
              </w:tc>
              <w:tc>
                <w:tcPr>
                  <w:tcW w:w="3425" w:type="dxa"/>
                  <w:shd w:val="clear" w:color="auto" w:fill="auto"/>
                </w:tcPr>
                <w:p w:rsidR="00B96387" w:rsidRPr="0034170A" w:rsidRDefault="00B96387" w:rsidP="0034170A">
                  <w:pPr>
                    <w:spacing w:after="120"/>
                    <w:jc w:val="both"/>
                    <w:rPr>
                      <w:rFonts w:ascii="Verdana" w:eastAsia="Calibri" w:hAnsi="Verdana"/>
                      <w:b/>
                      <w:bCs/>
                      <w:sz w:val="18"/>
                      <w:szCs w:val="18"/>
                      <w:shd w:val="clear" w:color="auto" w:fill="FEFEFE"/>
                    </w:rPr>
                  </w:pPr>
                  <w:r w:rsidRPr="0034170A">
                    <w:rPr>
                      <w:rFonts w:ascii="Verdana" w:eastAsia="Calibri" w:hAnsi="Verdana"/>
                      <w:b/>
                      <w:bCs/>
                      <w:sz w:val="18"/>
                      <w:szCs w:val="18"/>
                      <w:shd w:val="clear" w:color="auto" w:fill="FEFEFE"/>
                    </w:rPr>
                    <w:t>+</w:t>
                  </w:r>
                </w:p>
              </w:tc>
            </w:tr>
            <w:tr w:rsidR="00E168A1" w:rsidTr="0034170A">
              <w:tc>
                <w:tcPr>
                  <w:tcW w:w="3964" w:type="dxa"/>
                  <w:shd w:val="clear" w:color="auto" w:fill="auto"/>
                </w:tcPr>
                <w:p w:rsidR="00E168A1" w:rsidRPr="0034170A" w:rsidRDefault="00E168A1" w:rsidP="00923C53">
                  <w:pPr>
                    <w:spacing w:after="120"/>
                    <w:jc w:val="both"/>
                    <w:rPr>
                      <w:rFonts w:ascii="Verdana" w:eastAsia="Calibri" w:hAnsi="Verdana"/>
                      <w:bCs/>
                      <w:sz w:val="18"/>
                      <w:szCs w:val="18"/>
                      <w:shd w:val="clear" w:color="auto" w:fill="FEFEFE"/>
                    </w:rPr>
                  </w:pPr>
                  <w:r w:rsidRPr="00E168A1">
                    <w:rPr>
                      <w:rFonts w:ascii="Verdana" w:eastAsia="Calibri" w:hAnsi="Verdana"/>
                      <w:bCs/>
                      <w:sz w:val="18"/>
                      <w:szCs w:val="18"/>
                      <w:shd w:val="clear" w:color="auto" w:fill="FEFEFE"/>
                    </w:rPr>
                    <w:t xml:space="preserve">Въвеждане на разпоредбите на Директива 2011/91/ЕС </w:t>
                  </w:r>
                  <w:r w:rsidR="00923C53">
                    <w:rPr>
                      <w:rFonts w:ascii="Verdana" w:eastAsia="Calibri" w:hAnsi="Verdana"/>
                      <w:bCs/>
                      <w:sz w:val="18"/>
                      <w:szCs w:val="18"/>
                      <w:shd w:val="clear" w:color="auto" w:fill="FEFEFE"/>
                    </w:rPr>
                    <w:t>.</w:t>
                  </w:r>
                </w:p>
              </w:tc>
              <w:tc>
                <w:tcPr>
                  <w:tcW w:w="2127" w:type="dxa"/>
                  <w:shd w:val="clear" w:color="auto" w:fill="auto"/>
                </w:tcPr>
                <w:p w:rsidR="00E168A1" w:rsidRPr="0034170A" w:rsidRDefault="00E168A1" w:rsidP="0034170A">
                  <w:pPr>
                    <w:spacing w:after="120"/>
                    <w:jc w:val="both"/>
                    <w:rPr>
                      <w:rFonts w:ascii="Verdana" w:eastAsia="Calibri" w:hAnsi="Verdana"/>
                      <w:b/>
                      <w:bCs/>
                      <w:sz w:val="18"/>
                      <w:szCs w:val="18"/>
                      <w:shd w:val="clear" w:color="auto" w:fill="FEFEFE"/>
                    </w:rPr>
                  </w:pPr>
                  <w:r>
                    <w:rPr>
                      <w:rFonts w:ascii="Verdana" w:eastAsia="Calibri" w:hAnsi="Verdana"/>
                      <w:b/>
                      <w:bCs/>
                      <w:sz w:val="18"/>
                      <w:szCs w:val="18"/>
                      <w:shd w:val="clear" w:color="auto" w:fill="FEFEFE"/>
                    </w:rPr>
                    <w:t>-</w:t>
                  </w:r>
                </w:p>
              </w:tc>
              <w:tc>
                <w:tcPr>
                  <w:tcW w:w="3425" w:type="dxa"/>
                  <w:shd w:val="clear" w:color="auto" w:fill="auto"/>
                </w:tcPr>
                <w:p w:rsidR="00E168A1" w:rsidRPr="0034170A" w:rsidRDefault="00135CCF" w:rsidP="0034170A">
                  <w:pPr>
                    <w:spacing w:after="120"/>
                    <w:jc w:val="both"/>
                    <w:rPr>
                      <w:rFonts w:ascii="Verdana" w:eastAsia="Calibri" w:hAnsi="Verdana"/>
                      <w:b/>
                      <w:bCs/>
                      <w:sz w:val="18"/>
                      <w:szCs w:val="18"/>
                      <w:shd w:val="clear" w:color="auto" w:fill="FEFEFE"/>
                    </w:rPr>
                  </w:pPr>
                  <w:r>
                    <w:rPr>
                      <w:rFonts w:ascii="Verdana" w:eastAsia="Calibri" w:hAnsi="Verdana"/>
                      <w:b/>
                      <w:bCs/>
                      <w:sz w:val="18"/>
                      <w:szCs w:val="18"/>
                      <w:shd w:val="clear" w:color="auto" w:fill="FEFEFE"/>
                    </w:rPr>
                    <w:t>+</w:t>
                  </w:r>
                </w:p>
              </w:tc>
            </w:tr>
            <w:tr w:rsidR="00135CCF" w:rsidTr="0034170A">
              <w:tc>
                <w:tcPr>
                  <w:tcW w:w="3964" w:type="dxa"/>
                  <w:shd w:val="clear" w:color="auto" w:fill="auto"/>
                </w:tcPr>
                <w:p w:rsidR="00360656" w:rsidRDefault="00360656" w:rsidP="00360656">
                  <w:pPr>
                    <w:spacing w:after="120"/>
                    <w:jc w:val="both"/>
                    <w:rPr>
                      <w:rFonts w:ascii="Verdana" w:eastAsia="Calibri" w:hAnsi="Verdana"/>
                      <w:bCs/>
                      <w:sz w:val="18"/>
                      <w:szCs w:val="18"/>
                      <w:shd w:val="clear" w:color="auto" w:fill="FEFEFE"/>
                    </w:rPr>
                  </w:pPr>
                  <w:r w:rsidRPr="00360656">
                    <w:rPr>
                      <w:rFonts w:ascii="Verdana" w:eastAsia="Calibri" w:hAnsi="Verdana"/>
                      <w:bCs/>
                      <w:sz w:val="18"/>
                      <w:szCs w:val="18"/>
                      <w:shd w:val="clear" w:color="auto" w:fill="FEFEFE"/>
                    </w:rPr>
                    <w:t>Прилагане на изискванията на Регламент (ЕС) 1169/2011, изискванията, предвидени в специални разпоредби на регламентите на ЕС за опреде</w:t>
                  </w:r>
                  <w:r w:rsidR="001630FF">
                    <w:rPr>
                      <w:rFonts w:ascii="Verdana" w:eastAsia="Calibri" w:hAnsi="Verdana"/>
                      <w:bCs/>
                      <w:sz w:val="18"/>
                      <w:szCs w:val="18"/>
                      <w:shd w:val="clear" w:color="auto" w:fill="FEFEFE"/>
                    </w:rPr>
                    <w:t>ле</w:t>
                  </w:r>
                  <w:r w:rsidRPr="00360656">
                    <w:rPr>
                      <w:rFonts w:ascii="Verdana" w:eastAsia="Calibri" w:hAnsi="Verdana"/>
                      <w:bCs/>
                      <w:sz w:val="18"/>
                      <w:szCs w:val="18"/>
                      <w:shd w:val="clear" w:color="auto" w:fill="FEFEFE"/>
                    </w:rPr>
                    <w:t xml:space="preserve">ни храни, Закона за храните и на подзаконовите нормативни актове по прилагането му. </w:t>
                  </w:r>
                </w:p>
                <w:p w:rsidR="00317E69" w:rsidRPr="00360656" w:rsidRDefault="00317E69" w:rsidP="00360656">
                  <w:pPr>
                    <w:spacing w:after="120"/>
                    <w:jc w:val="both"/>
                    <w:rPr>
                      <w:rFonts w:ascii="Verdana" w:eastAsia="Calibri" w:hAnsi="Verdana"/>
                      <w:bCs/>
                      <w:sz w:val="18"/>
                      <w:szCs w:val="18"/>
                      <w:shd w:val="clear" w:color="auto" w:fill="FEFEFE"/>
                    </w:rPr>
                  </w:pPr>
                </w:p>
                <w:p w:rsidR="00135CCF" w:rsidRPr="00E168A1" w:rsidRDefault="00135CCF" w:rsidP="0034170A">
                  <w:pPr>
                    <w:spacing w:after="120"/>
                    <w:jc w:val="both"/>
                    <w:rPr>
                      <w:rFonts w:ascii="Verdana" w:eastAsia="Calibri" w:hAnsi="Verdana"/>
                      <w:bCs/>
                      <w:sz w:val="18"/>
                      <w:szCs w:val="18"/>
                      <w:shd w:val="clear" w:color="auto" w:fill="FEFEFE"/>
                    </w:rPr>
                  </w:pPr>
                </w:p>
              </w:tc>
              <w:tc>
                <w:tcPr>
                  <w:tcW w:w="2127" w:type="dxa"/>
                  <w:shd w:val="clear" w:color="auto" w:fill="auto"/>
                </w:tcPr>
                <w:p w:rsidR="00135CCF" w:rsidRDefault="00360656" w:rsidP="0034170A">
                  <w:pPr>
                    <w:spacing w:after="120"/>
                    <w:jc w:val="both"/>
                    <w:rPr>
                      <w:rFonts w:ascii="Verdana" w:eastAsia="Calibri" w:hAnsi="Verdana"/>
                      <w:b/>
                      <w:bCs/>
                      <w:sz w:val="18"/>
                      <w:szCs w:val="18"/>
                      <w:shd w:val="clear" w:color="auto" w:fill="FEFEFE"/>
                    </w:rPr>
                  </w:pPr>
                  <w:r>
                    <w:rPr>
                      <w:rFonts w:ascii="Verdana" w:eastAsia="Calibri" w:hAnsi="Verdana"/>
                      <w:b/>
                      <w:bCs/>
                      <w:sz w:val="18"/>
                      <w:szCs w:val="18"/>
                      <w:shd w:val="clear" w:color="auto" w:fill="FEFEFE"/>
                    </w:rPr>
                    <w:t>-</w:t>
                  </w:r>
                </w:p>
              </w:tc>
              <w:tc>
                <w:tcPr>
                  <w:tcW w:w="3425" w:type="dxa"/>
                  <w:shd w:val="clear" w:color="auto" w:fill="auto"/>
                </w:tcPr>
                <w:p w:rsidR="00135CCF" w:rsidRDefault="00360656" w:rsidP="0034170A">
                  <w:pPr>
                    <w:spacing w:after="120"/>
                    <w:jc w:val="both"/>
                    <w:rPr>
                      <w:rFonts w:ascii="Verdana" w:eastAsia="Calibri" w:hAnsi="Verdana"/>
                      <w:b/>
                      <w:bCs/>
                      <w:sz w:val="18"/>
                      <w:szCs w:val="18"/>
                      <w:shd w:val="clear" w:color="auto" w:fill="FEFEFE"/>
                    </w:rPr>
                  </w:pPr>
                  <w:r>
                    <w:rPr>
                      <w:rFonts w:ascii="Verdana" w:eastAsia="Calibri" w:hAnsi="Verdana"/>
                      <w:b/>
                      <w:bCs/>
                      <w:sz w:val="18"/>
                      <w:szCs w:val="18"/>
                      <w:shd w:val="clear" w:color="auto" w:fill="FEFEFE"/>
                    </w:rPr>
                    <w:t>+</w:t>
                  </w:r>
                </w:p>
              </w:tc>
            </w:tr>
            <w:tr w:rsidR="00317E69" w:rsidTr="0034170A">
              <w:tc>
                <w:tcPr>
                  <w:tcW w:w="3964" w:type="dxa"/>
                  <w:shd w:val="clear" w:color="auto" w:fill="auto"/>
                </w:tcPr>
                <w:p w:rsidR="001C4B75" w:rsidRPr="001C4B75" w:rsidRDefault="001C4B75" w:rsidP="001C4B75">
                  <w:pPr>
                    <w:spacing w:after="120"/>
                    <w:jc w:val="both"/>
                    <w:rPr>
                      <w:rFonts w:ascii="Verdana" w:eastAsia="Calibri" w:hAnsi="Verdana"/>
                      <w:bCs/>
                      <w:sz w:val="18"/>
                      <w:szCs w:val="18"/>
                      <w:shd w:val="clear" w:color="auto" w:fill="FEFEFE"/>
                    </w:rPr>
                  </w:pPr>
                  <w:r w:rsidRPr="001C4B75">
                    <w:rPr>
                      <w:rFonts w:ascii="Verdana" w:eastAsia="Calibri" w:hAnsi="Verdana"/>
                      <w:bCs/>
                      <w:sz w:val="18"/>
                      <w:szCs w:val="18"/>
                      <w:shd w:val="clear" w:color="auto" w:fill="FEFEFE"/>
                    </w:rPr>
                    <w:t xml:space="preserve">Определянето на национални мерки по отношение на </w:t>
                  </w:r>
                  <w:r w:rsidRPr="001C4B75">
                    <w:rPr>
                      <w:rFonts w:ascii="Verdana" w:eastAsia="Calibri" w:hAnsi="Verdana"/>
                      <w:bCs/>
                      <w:iCs/>
                      <w:sz w:val="18"/>
                      <w:szCs w:val="18"/>
                      <w:shd w:val="clear" w:color="auto" w:fill="FEFEFE"/>
                    </w:rPr>
                    <w:t>предоставянето на информация</w:t>
                  </w:r>
                  <w:r w:rsidRPr="001C4B75">
                    <w:rPr>
                      <w:rFonts w:ascii="Verdana" w:eastAsia="Calibri" w:hAnsi="Verdana"/>
                      <w:bCs/>
                      <w:iCs/>
                      <w:sz w:val="18"/>
                      <w:szCs w:val="18"/>
                      <w:shd w:val="clear" w:color="auto" w:fill="FEFEFE"/>
                      <w:lang w:val="en-US"/>
                    </w:rPr>
                    <w:t xml:space="preserve"> </w:t>
                  </w:r>
                  <w:r w:rsidRPr="001C4B75">
                    <w:rPr>
                      <w:rFonts w:ascii="Verdana" w:eastAsia="Calibri" w:hAnsi="Verdana"/>
                      <w:bCs/>
                      <w:iCs/>
                      <w:sz w:val="18"/>
                      <w:szCs w:val="18"/>
                      <w:shd w:val="clear" w:color="auto" w:fill="FEFEFE"/>
                    </w:rPr>
                    <w:t xml:space="preserve">при предлагане за продажба на храни на краен потребител или на заведение за обществено хранене без предварително опаковане, или когато храните са опаковани в търговските помещения по искане на потребителя или са предварително опаковани за директна продажба </w:t>
                  </w:r>
                  <w:r w:rsidRPr="001C4B75">
                    <w:rPr>
                      <w:rFonts w:ascii="Verdana" w:eastAsia="Calibri" w:hAnsi="Verdana"/>
                      <w:bCs/>
                      <w:sz w:val="18"/>
                      <w:szCs w:val="18"/>
                      <w:shd w:val="clear" w:color="auto" w:fill="FEFEFE"/>
                      <w:lang w:val="en-US"/>
                    </w:rPr>
                    <w:t>.</w:t>
                  </w:r>
                </w:p>
                <w:p w:rsidR="00317E69" w:rsidRPr="00360656" w:rsidRDefault="00317E69" w:rsidP="00360656">
                  <w:pPr>
                    <w:spacing w:after="120"/>
                    <w:jc w:val="both"/>
                    <w:rPr>
                      <w:rFonts w:ascii="Verdana" w:eastAsia="Calibri" w:hAnsi="Verdana"/>
                      <w:bCs/>
                      <w:sz w:val="18"/>
                      <w:szCs w:val="18"/>
                      <w:shd w:val="clear" w:color="auto" w:fill="FEFEFE"/>
                    </w:rPr>
                  </w:pPr>
                </w:p>
              </w:tc>
              <w:tc>
                <w:tcPr>
                  <w:tcW w:w="2127" w:type="dxa"/>
                  <w:shd w:val="clear" w:color="auto" w:fill="auto"/>
                </w:tcPr>
                <w:p w:rsidR="00317E69" w:rsidRDefault="001C4B75" w:rsidP="0034170A">
                  <w:pPr>
                    <w:spacing w:after="120"/>
                    <w:jc w:val="both"/>
                    <w:rPr>
                      <w:rFonts w:ascii="Verdana" w:eastAsia="Calibri" w:hAnsi="Verdana"/>
                      <w:b/>
                      <w:bCs/>
                      <w:sz w:val="18"/>
                      <w:szCs w:val="18"/>
                      <w:shd w:val="clear" w:color="auto" w:fill="FEFEFE"/>
                    </w:rPr>
                  </w:pPr>
                  <w:r>
                    <w:rPr>
                      <w:rFonts w:ascii="Verdana" w:eastAsia="Calibri" w:hAnsi="Verdana"/>
                      <w:b/>
                      <w:bCs/>
                      <w:sz w:val="18"/>
                      <w:szCs w:val="18"/>
                      <w:shd w:val="clear" w:color="auto" w:fill="FEFEFE"/>
                    </w:rPr>
                    <w:t>-</w:t>
                  </w:r>
                </w:p>
              </w:tc>
              <w:tc>
                <w:tcPr>
                  <w:tcW w:w="3425" w:type="dxa"/>
                  <w:shd w:val="clear" w:color="auto" w:fill="auto"/>
                </w:tcPr>
                <w:p w:rsidR="00317E69" w:rsidRDefault="001C4B75" w:rsidP="0034170A">
                  <w:pPr>
                    <w:spacing w:after="120"/>
                    <w:jc w:val="both"/>
                    <w:rPr>
                      <w:rFonts w:ascii="Verdana" w:eastAsia="Calibri" w:hAnsi="Verdana"/>
                      <w:b/>
                      <w:bCs/>
                      <w:sz w:val="18"/>
                      <w:szCs w:val="18"/>
                      <w:shd w:val="clear" w:color="auto" w:fill="FEFEFE"/>
                    </w:rPr>
                  </w:pPr>
                  <w:r>
                    <w:rPr>
                      <w:rFonts w:ascii="Verdana" w:eastAsia="Calibri" w:hAnsi="Verdana"/>
                      <w:b/>
                      <w:bCs/>
                      <w:sz w:val="18"/>
                      <w:szCs w:val="18"/>
                      <w:shd w:val="clear" w:color="auto" w:fill="FEFEFE"/>
                    </w:rPr>
                    <w:t>+</w:t>
                  </w:r>
                </w:p>
              </w:tc>
            </w:tr>
            <w:tr w:rsidR="00B96387" w:rsidTr="0034170A">
              <w:tc>
                <w:tcPr>
                  <w:tcW w:w="3964" w:type="dxa"/>
                  <w:shd w:val="clear" w:color="auto" w:fill="auto"/>
                </w:tcPr>
                <w:p w:rsidR="00B96387" w:rsidRPr="0034170A" w:rsidRDefault="00B96387" w:rsidP="0034170A">
                  <w:pPr>
                    <w:spacing w:after="120"/>
                    <w:jc w:val="both"/>
                    <w:rPr>
                      <w:rFonts w:ascii="Verdana" w:eastAsia="Calibri" w:hAnsi="Verdana"/>
                      <w:b/>
                      <w:bCs/>
                      <w:i/>
                      <w:sz w:val="18"/>
                      <w:szCs w:val="18"/>
                      <w:shd w:val="clear" w:color="auto" w:fill="FEFEFE"/>
                    </w:rPr>
                  </w:pPr>
                  <w:r w:rsidRPr="0034170A">
                    <w:rPr>
                      <w:rFonts w:ascii="Verdana" w:eastAsia="Calibri" w:hAnsi="Verdana"/>
                      <w:b/>
                      <w:bCs/>
                      <w:i/>
                      <w:sz w:val="18"/>
                      <w:szCs w:val="18"/>
                      <w:shd w:val="clear" w:color="auto" w:fill="FEFEFE"/>
                    </w:rPr>
                    <w:t>Ефикасност</w:t>
                  </w:r>
                </w:p>
              </w:tc>
              <w:tc>
                <w:tcPr>
                  <w:tcW w:w="2127" w:type="dxa"/>
                  <w:shd w:val="clear" w:color="auto" w:fill="auto"/>
                </w:tcPr>
                <w:p w:rsidR="00B96387" w:rsidRPr="0034170A" w:rsidRDefault="00B96387" w:rsidP="0034170A">
                  <w:pPr>
                    <w:spacing w:after="120"/>
                    <w:jc w:val="both"/>
                    <w:rPr>
                      <w:rFonts w:ascii="Verdana" w:eastAsia="Calibri" w:hAnsi="Verdana"/>
                      <w:b/>
                      <w:bCs/>
                      <w:sz w:val="18"/>
                      <w:szCs w:val="18"/>
                      <w:shd w:val="clear" w:color="auto" w:fill="FEFEFE"/>
                    </w:rPr>
                  </w:pPr>
                  <w:r w:rsidRPr="0034170A">
                    <w:rPr>
                      <w:rFonts w:ascii="Verdana" w:eastAsia="Calibri" w:hAnsi="Verdana"/>
                      <w:b/>
                      <w:bCs/>
                      <w:sz w:val="18"/>
                      <w:szCs w:val="18"/>
                      <w:shd w:val="clear" w:color="auto" w:fill="FEFEFE"/>
                    </w:rPr>
                    <w:t>-</w:t>
                  </w:r>
                </w:p>
              </w:tc>
              <w:tc>
                <w:tcPr>
                  <w:tcW w:w="3425" w:type="dxa"/>
                  <w:shd w:val="clear" w:color="auto" w:fill="auto"/>
                </w:tcPr>
                <w:p w:rsidR="00B96387" w:rsidRPr="0034170A" w:rsidRDefault="00B96387" w:rsidP="0034170A">
                  <w:pPr>
                    <w:spacing w:after="120"/>
                    <w:jc w:val="both"/>
                    <w:rPr>
                      <w:rFonts w:ascii="Verdana" w:eastAsia="Calibri" w:hAnsi="Verdana"/>
                      <w:b/>
                      <w:bCs/>
                      <w:sz w:val="18"/>
                      <w:szCs w:val="18"/>
                      <w:shd w:val="clear" w:color="auto" w:fill="FEFEFE"/>
                    </w:rPr>
                  </w:pPr>
                  <w:r w:rsidRPr="0034170A">
                    <w:rPr>
                      <w:rFonts w:ascii="Verdana" w:eastAsia="Calibri" w:hAnsi="Verdana"/>
                      <w:b/>
                      <w:bCs/>
                      <w:sz w:val="18"/>
                      <w:szCs w:val="18"/>
                      <w:shd w:val="clear" w:color="auto" w:fill="FEFEFE"/>
                    </w:rPr>
                    <w:t>+</w:t>
                  </w:r>
                </w:p>
              </w:tc>
            </w:tr>
            <w:tr w:rsidR="00B96387" w:rsidTr="0034170A">
              <w:tc>
                <w:tcPr>
                  <w:tcW w:w="3964" w:type="dxa"/>
                  <w:shd w:val="clear" w:color="auto" w:fill="auto"/>
                </w:tcPr>
                <w:p w:rsidR="00B96387" w:rsidRPr="0034170A" w:rsidRDefault="00B96387" w:rsidP="0034170A">
                  <w:pPr>
                    <w:spacing w:after="120"/>
                    <w:jc w:val="both"/>
                    <w:rPr>
                      <w:rFonts w:ascii="Verdana" w:eastAsia="Calibri" w:hAnsi="Verdana"/>
                      <w:b/>
                      <w:bCs/>
                      <w:i/>
                      <w:sz w:val="18"/>
                      <w:szCs w:val="18"/>
                      <w:shd w:val="clear" w:color="auto" w:fill="FEFEFE"/>
                    </w:rPr>
                  </w:pPr>
                  <w:r w:rsidRPr="0034170A">
                    <w:rPr>
                      <w:rFonts w:ascii="Verdana" w:eastAsia="Calibri" w:hAnsi="Verdana"/>
                      <w:b/>
                      <w:bCs/>
                      <w:i/>
                      <w:sz w:val="18"/>
                      <w:szCs w:val="18"/>
                      <w:shd w:val="clear" w:color="auto" w:fill="FEFEFE"/>
                    </w:rPr>
                    <w:t>Съгласуваност</w:t>
                  </w:r>
                </w:p>
              </w:tc>
              <w:tc>
                <w:tcPr>
                  <w:tcW w:w="2127" w:type="dxa"/>
                  <w:shd w:val="clear" w:color="auto" w:fill="auto"/>
                </w:tcPr>
                <w:p w:rsidR="00B96387" w:rsidRPr="0034170A" w:rsidRDefault="00B96387" w:rsidP="0034170A">
                  <w:pPr>
                    <w:spacing w:after="120"/>
                    <w:jc w:val="both"/>
                    <w:rPr>
                      <w:rFonts w:ascii="Verdana" w:eastAsia="Calibri" w:hAnsi="Verdana"/>
                      <w:bCs/>
                      <w:sz w:val="18"/>
                      <w:szCs w:val="18"/>
                      <w:shd w:val="clear" w:color="auto" w:fill="FEFEFE"/>
                    </w:rPr>
                  </w:pPr>
                  <w:r w:rsidRPr="0034170A">
                    <w:rPr>
                      <w:rFonts w:ascii="Verdana" w:eastAsia="Calibri" w:hAnsi="Verdana"/>
                      <w:bCs/>
                      <w:sz w:val="18"/>
                      <w:szCs w:val="18"/>
                      <w:shd w:val="clear" w:color="auto" w:fill="FEFEFE"/>
                    </w:rPr>
                    <w:t xml:space="preserve">Не. </w:t>
                  </w:r>
                </w:p>
                <w:p w:rsidR="00B96387" w:rsidRPr="0034170A" w:rsidRDefault="00B96387" w:rsidP="0034170A">
                  <w:pPr>
                    <w:spacing w:after="120"/>
                    <w:jc w:val="both"/>
                    <w:rPr>
                      <w:rFonts w:ascii="Verdana" w:eastAsia="Calibri" w:hAnsi="Verdana"/>
                      <w:bCs/>
                      <w:sz w:val="18"/>
                      <w:szCs w:val="18"/>
                      <w:shd w:val="clear" w:color="auto" w:fill="FEFEFE"/>
                    </w:rPr>
                  </w:pPr>
                  <w:r w:rsidRPr="0034170A">
                    <w:rPr>
                      <w:rFonts w:ascii="Verdana" w:eastAsia="Calibri" w:hAnsi="Verdana"/>
                      <w:bCs/>
                      <w:sz w:val="18"/>
                      <w:szCs w:val="18"/>
                      <w:shd w:val="clear" w:color="auto" w:fill="FEFEFE"/>
                    </w:rPr>
                    <w:t>Значителен компромис</w:t>
                  </w:r>
                </w:p>
              </w:tc>
              <w:tc>
                <w:tcPr>
                  <w:tcW w:w="3425" w:type="dxa"/>
                  <w:shd w:val="clear" w:color="auto" w:fill="auto"/>
                </w:tcPr>
                <w:p w:rsidR="00B96387" w:rsidRPr="0034170A" w:rsidRDefault="00B96387" w:rsidP="0034170A">
                  <w:pPr>
                    <w:spacing w:after="120"/>
                    <w:jc w:val="both"/>
                    <w:rPr>
                      <w:rFonts w:ascii="Verdana" w:eastAsia="Calibri" w:hAnsi="Verdana"/>
                      <w:bCs/>
                      <w:sz w:val="18"/>
                      <w:szCs w:val="18"/>
                      <w:shd w:val="clear" w:color="auto" w:fill="FEFEFE"/>
                    </w:rPr>
                  </w:pPr>
                  <w:r w:rsidRPr="0034170A">
                    <w:rPr>
                      <w:rFonts w:ascii="Verdana" w:eastAsia="Calibri" w:hAnsi="Verdana"/>
                      <w:bCs/>
                      <w:sz w:val="18"/>
                      <w:szCs w:val="18"/>
                      <w:shd w:val="clear" w:color="auto" w:fill="FEFEFE"/>
                    </w:rPr>
                    <w:t>Пълна</w:t>
                  </w:r>
                </w:p>
              </w:tc>
            </w:tr>
          </w:tbl>
          <w:p w:rsidR="00B96387" w:rsidRDefault="00B96387" w:rsidP="00B96387">
            <w:pPr>
              <w:overflowPunct w:val="0"/>
              <w:autoSpaceDE w:val="0"/>
              <w:autoSpaceDN w:val="0"/>
              <w:adjustRightInd w:val="0"/>
              <w:spacing w:before="0" w:beforeAutospacing="0" w:after="0" w:afterAutospacing="0" w:line="360" w:lineRule="auto"/>
              <w:ind w:left="360"/>
              <w:contextualSpacing/>
              <w:jc w:val="both"/>
              <w:textAlignment w:val="baseline"/>
              <w:rPr>
                <w:rFonts w:ascii="Verdana" w:eastAsia="Calibri" w:hAnsi="Verdana" w:cs="Calibri"/>
                <w:sz w:val="20"/>
                <w:szCs w:val="20"/>
                <w:lang w:eastAsia="en-US"/>
              </w:rPr>
            </w:pPr>
          </w:p>
          <w:p w:rsidR="005857A7" w:rsidRPr="005857A7" w:rsidRDefault="005857A7" w:rsidP="005857A7">
            <w:pPr>
              <w:overflowPunct w:val="0"/>
              <w:autoSpaceDE w:val="0"/>
              <w:autoSpaceDN w:val="0"/>
              <w:adjustRightInd w:val="0"/>
              <w:spacing w:before="0" w:beforeAutospacing="0" w:after="0" w:afterAutospacing="0" w:line="360" w:lineRule="auto"/>
              <w:contextualSpacing/>
              <w:jc w:val="both"/>
              <w:textAlignment w:val="baseline"/>
              <w:rPr>
                <w:rFonts w:ascii="Verdana" w:eastAsia="Calibri" w:hAnsi="Verdana" w:cs="Calibri"/>
                <w:bCs/>
                <w:sz w:val="20"/>
                <w:szCs w:val="20"/>
                <w:lang w:eastAsia="en-US"/>
              </w:rPr>
            </w:pPr>
            <w:r w:rsidRPr="005857A7">
              <w:rPr>
                <w:rFonts w:ascii="Verdana" w:eastAsia="Calibri" w:hAnsi="Verdana" w:cs="Calibri"/>
                <w:bCs/>
                <w:sz w:val="20"/>
                <w:szCs w:val="20"/>
                <w:lang w:eastAsia="en-US"/>
              </w:rPr>
              <w:t xml:space="preserve">Сравнението по критериите ефективност, ефикасност и съгласуваност със стратегическите документи показва, че при прилагане на Вариант 1 ще бъдат постигнати заложените цели, поради което Вариант 1 е препоръчваният вариант. </w:t>
            </w:r>
          </w:p>
          <w:p w:rsidR="00A000AC" w:rsidRDefault="00A000AC" w:rsidP="00A000AC">
            <w:pPr>
              <w:overflowPunct w:val="0"/>
              <w:autoSpaceDE w:val="0"/>
              <w:autoSpaceDN w:val="0"/>
              <w:adjustRightInd w:val="0"/>
              <w:spacing w:before="0" w:beforeAutospacing="0" w:after="0" w:afterAutospacing="0" w:line="360" w:lineRule="auto"/>
              <w:contextualSpacing/>
              <w:jc w:val="both"/>
              <w:textAlignment w:val="baseline"/>
              <w:rPr>
                <w:rFonts w:ascii="Verdana" w:eastAsia="Calibri" w:hAnsi="Verdana" w:cs="Calibri"/>
                <w:sz w:val="20"/>
                <w:szCs w:val="20"/>
                <w:lang w:eastAsia="en-US"/>
              </w:rPr>
            </w:pPr>
          </w:p>
          <w:p w:rsidR="00A000AC" w:rsidRPr="00A925A9" w:rsidRDefault="00A000AC" w:rsidP="00B96387">
            <w:pPr>
              <w:overflowPunct w:val="0"/>
              <w:autoSpaceDE w:val="0"/>
              <w:autoSpaceDN w:val="0"/>
              <w:adjustRightInd w:val="0"/>
              <w:spacing w:before="0" w:beforeAutospacing="0" w:after="0" w:afterAutospacing="0" w:line="360" w:lineRule="auto"/>
              <w:ind w:left="360"/>
              <w:contextualSpacing/>
              <w:jc w:val="both"/>
              <w:textAlignment w:val="baseline"/>
              <w:rPr>
                <w:rFonts w:ascii="Verdana" w:eastAsia="Calibri" w:hAnsi="Verdana" w:cs="Calibri"/>
                <w:sz w:val="20"/>
                <w:szCs w:val="20"/>
                <w:lang w:eastAsia="en-US"/>
              </w:rPr>
            </w:pPr>
          </w:p>
        </w:tc>
      </w:tr>
      <w:tr w:rsidR="006222FE" w:rsidRPr="00A925A9" w:rsidTr="00D96F7C">
        <w:trPr>
          <w:trHeight w:val="142"/>
        </w:trPr>
        <w:tc>
          <w:tcPr>
            <w:tcW w:w="10257" w:type="dxa"/>
            <w:gridSpan w:val="2"/>
            <w:shd w:val="clear" w:color="auto" w:fill="auto"/>
          </w:tcPr>
          <w:p w:rsidR="006222FE" w:rsidRPr="00A925A9" w:rsidRDefault="006222FE" w:rsidP="00CC3C6C">
            <w:pPr>
              <w:spacing w:before="0" w:beforeAutospacing="0" w:after="0" w:line="360" w:lineRule="auto"/>
              <w:ind w:left="142" w:right="475"/>
              <w:jc w:val="both"/>
              <w:rPr>
                <w:rFonts w:ascii="Verdana" w:hAnsi="Verdana"/>
                <w:sz w:val="20"/>
                <w:szCs w:val="20"/>
              </w:rPr>
            </w:pPr>
            <w:r w:rsidRPr="00A925A9">
              <w:rPr>
                <w:rFonts w:ascii="Verdana" w:hAnsi="Verdana"/>
                <w:b/>
                <w:sz w:val="20"/>
                <w:szCs w:val="20"/>
              </w:rPr>
              <w:lastRenderedPageBreak/>
              <w:t>5. Негативни въздействия:</w:t>
            </w:r>
          </w:p>
          <w:p w:rsidR="006222FE" w:rsidRPr="00A925A9" w:rsidRDefault="006222FE" w:rsidP="00CC3C6C">
            <w:pPr>
              <w:spacing w:before="0" w:beforeAutospacing="0" w:after="0" w:line="360" w:lineRule="auto"/>
              <w:ind w:left="142" w:right="475"/>
              <w:jc w:val="both"/>
              <w:rPr>
                <w:rFonts w:ascii="Verdana" w:hAnsi="Verdana"/>
                <w:b/>
                <w:sz w:val="20"/>
                <w:szCs w:val="20"/>
              </w:rPr>
            </w:pPr>
            <w:r w:rsidRPr="00A925A9">
              <w:rPr>
                <w:rFonts w:ascii="Verdana" w:hAnsi="Verdana"/>
                <w:b/>
                <w:i/>
                <w:sz w:val="20"/>
                <w:szCs w:val="20"/>
              </w:rPr>
              <w:lastRenderedPageBreak/>
              <w:t>Опишете качествено (при възможност – и количествено) всички значителни потенциални икономически, социални, екологични и други негативни въздействия за всеки един от вариантите, в т.ч. разходи (негативни въздействия) за идентифицираните заинтересовани страни в резултат на предприемане на действията. Пояснете кои разходи (негативни въздействия) се очаква да бъдат второстепенни и кои да са значителни.</w:t>
            </w:r>
          </w:p>
          <w:p w:rsidR="006222FE" w:rsidRDefault="00D526DB" w:rsidP="00CC3C6C">
            <w:pPr>
              <w:spacing w:before="0" w:beforeAutospacing="0" w:after="0" w:line="360" w:lineRule="auto"/>
              <w:ind w:left="142" w:right="475"/>
              <w:jc w:val="both"/>
              <w:rPr>
                <w:rFonts w:ascii="Verdana" w:hAnsi="Verdana"/>
                <w:b/>
                <w:sz w:val="20"/>
                <w:szCs w:val="20"/>
              </w:rPr>
            </w:pPr>
            <w:r>
              <w:rPr>
                <w:rFonts w:ascii="Verdana" w:hAnsi="Verdana"/>
                <w:b/>
                <w:sz w:val="20"/>
                <w:szCs w:val="20"/>
              </w:rPr>
              <w:t>Вариант 0</w:t>
            </w:r>
            <w:r w:rsidR="006222FE" w:rsidRPr="00A925A9">
              <w:rPr>
                <w:rFonts w:ascii="Verdana" w:hAnsi="Verdana"/>
                <w:b/>
                <w:sz w:val="20"/>
                <w:szCs w:val="20"/>
              </w:rPr>
              <w:t xml:space="preserve"> „Без действие“:</w:t>
            </w:r>
          </w:p>
          <w:p w:rsidR="00F64876" w:rsidRDefault="00F64876" w:rsidP="00F64876">
            <w:pPr>
              <w:spacing w:before="0" w:beforeAutospacing="0" w:after="0" w:afterAutospacing="0" w:line="360" w:lineRule="auto"/>
              <w:jc w:val="both"/>
              <w:rPr>
                <w:rFonts w:ascii="Verdana" w:eastAsia="Calibri" w:hAnsi="Verdana"/>
                <w:sz w:val="20"/>
                <w:szCs w:val="20"/>
                <w:lang w:eastAsia="en-US"/>
              </w:rPr>
            </w:pPr>
            <w:r w:rsidRPr="00A925A9">
              <w:rPr>
                <w:rFonts w:ascii="Verdana" w:eastAsia="Calibri" w:hAnsi="Verdana"/>
                <w:sz w:val="20"/>
                <w:szCs w:val="20"/>
                <w:lang w:eastAsia="en-US"/>
              </w:rPr>
              <w:t>Постоянните проверки на БАБХ</w:t>
            </w:r>
            <w:r>
              <w:rPr>
                <w:rFonts w:ascii="Verdana" w:eastAsia="Calibri" w:hAnsi="Verdana"/>
                <w:sz w:val="20"/>
                <w:szCs w:val="20"/>
                <w:lang w:val="en-US" w:eastAsia="en-US"/>
              </w:rPr>
              <w:t xml:space="preserve"> </w:t>
            </w:r>
            <w:r>
              <w:rPr>
                <w:rFonts w:ascii="Verdana" w:eastAsia="Calibri" w:hAnsi="Verdana"/>
                <w:sz w:val="20"/>
                <w:szCs w:val="20"/>
                <w:lang w:eastAsia="en-US"/>
              </w:rPr>
              <w:t xml:space="preserve">извършени за 2019 г. </w:t>
            </w:r>
            <w:r w:rsidRPr="00A925A9">
              <w:rPr>
                <w:rFonts w:ascii="Verdana" w:eastAsia="Calibri" w:hAnsi="Verdana"/>
                <w:sz w:val="20"/>
                <w:szCs w:val="20"/>
                <w:lang w:eastAsia="en-US"/>
              </w:rPr>
              <w:t xml:space="preserve"> </w:t>
            </w:r>
            <w:r>
              <w:rPr>
                <w:rFonts w:ascii="Verdana" w:eastAsia="Calibri" w:hAnsi="Verdana"/>
                <w:sz w:val="20"/>
                <w:szCs w:val="20"/>
                <w:lang w:eastAsia="en-US"/>
              </w:rPr>
              <w:t>показват следните тенденции:</w:t>
            </w:r>
          </w:p>
          <w:p w:rsidR="00F64876" w:rsidRPr="001B0D9D" w:rsidRDefault="00F64876" w:rsidP="00F64876">
            <w:pPr>
              <w:numPr>
                <w:ilvl w:val="0"/>
                <w:numId w:val="35"/>
              </w:numPr>
              <w:tabs>
                <w:tab w:val="num" w:pos="644"/>
              </w:tabs>
              <w:spacing w:before="0" w:beforeAutospacing="0" w:after="0" w:afterAutospacing="0" w:line="360" w:lineRule="auto"/>
              <w:jc w:val="both"/>
              <w:rPr>
                <w:rFonts w:ascii="Verdana" w:eastAsia="Calibri" w:hAnsi="Verdana"/>
                <w:b/>
                <w:bCs/>
                <w:sz w:val="20"/>
                <w:szCs w:val="20"/>
                <w:lang w:eastAsia="en-US"/>
              </w:rPr>
            </w:pPr>
            <w:r w:rsidRPr="001B0D9D">
              <w:rPr>
                <w:rFonts w:ascii="Verdana" w:eastAsia="Calibri" w:hAnsi="Verdana"/>
                <w:sz w:val="20"/>
                <w:szCs w:val="20"/>
                <w:lang w:eastAsia="en-US"/>
              </w:rPr>
              <w:t xml:space="preserve">Общ брой извършени проверки в цялата страна – </w:t>
            </w:r>
            <w:r w:rsidRPr="001B0D9D">
              <w:rPr>
                <w:rFonts w:ascii="Verdana" w:eastAsia="Calibri" w:hAnsi="Verdana"/>
                <w:b/>
                <w:sz w:val="20"/>
                <w:szCs w:val="20"/>
                <w:lang w:eastAsia="en-US"/>
              </w:rPr>
              <w:t xml:space="preserve">27 342 </w:t>
            </w:r>
            <w:r w:rsidRPr="001B0D9D">
              <w:rPr>
                <w:rFonts w:ascii="Verdana" w:eastAsia="Calibri" w:hAnsi="Verdana"/>
                <w:b/>
                <w:bCs/>
                <w:sz w:val="20"/>
                <w:szCs w:val="20"/>
                <w:lang w:eastAsia="en-US"/>
              </w:rPr>
              <w:t>бр.</w:t>
            </w:r>
          </w:p>
          <w:p w:rsidR="00F64876" w:rsidRPr="001B0D9D" w:rsidRDefault="00F64876" w:rsidP="00F64876">
            <w:pPr>
              <w:numPr>
                <w:ilvl w:val="0"/>
                <w:numId w:val="35"/>
              </w:numPr>
              <w:tabs>
                <w:tab w:val="num" w:pos="644"/>
              </w:tabs>
              <w:spacing w:before="0" w:beforeAutospacing="0" w:after="0" w:afterAutospacing="0" w:line="360" w:lineRule="auto"/>
              <w:jc w:val="both"/>
              <w:rPr>
                <w:rFonts w:ascii="Verdana" w:eastAsia="Calibri" w:hAnsi="Verdana"/>
                <w:b/>
                <w:bCs/>
                <w:sz w:val="20"/>
                <w:szCs w:val="20"/>
                <w:lang w:eastAsia="en-US"/>
              </w:rPr>
            </w:pPr>
            <w:r w:rsidRPr="001B0D9D">
              <w:rPr>
                <w:rFonts w:ascii="Verdana" w:eastAsia="Calibri" w:hAnsi="Verdana"/>
                <w:sz w:val="20"/>
                <w:szCs w:val="20"/>
                <w:lang w:eastAsia="en-US"/>
              </w:rPr>
              <w:t xml:space="preserve">Издадени предписания – </w:t>
            </w:r>
            <w:r w:rsidRPr="001B0D9D">
              <w:rPr>
                <w:rFonts w:ascii="Verdana" w:eastAsia="Calibri" w:hAnsi="Verdana"/>
                <w:b/>
                <w:sz w:val="20"/>
                <w:szCs w:val="20"/>
                <w:lang w:eastAsia="en-US"/>
              </w:rPr>
              <w:t>1</w:t>
            </w:r>
            <w:r w:rsidR="00826B60">
              <w:rPr>
                <w:rFonts w:ascii="Verdana" w:eastAsia="Calibri" w:hAnsi="Verdana"/>
                <w:b/>
                <w:sz w:val="20"/>
                <w:szCs w:val="20"/>
                <w:lang w:eastAsia="en-US"/>
              </w:rPr>
              <w:t xml:space="preserve"> </w:t>
            </w:r>
            <w:r w:rsidRPr="001B0D9D">
              <w:rPr>
                <w:rFonts w:ascii="Verdana" w:eastAsia="Calibri" w:hAnsi="Verdana"/>
                <w:b/>
                <w:sz w:val="20"/>
                <w:szCs w:val="20"/>
                <w:lang w:eastAsia="en-US"/>
              </w:rPr>
              <w:t xml:space="preserve">910 </w:t>
            </w:r>
            <w:r w:rsidRPr="001B0D9D">
              <w:rPr>
                <w:rFonts w:ascii="Verdana" w:eastAsia="Calibri" w:hAnsi="Verdana"/>
                <w:b/>
                <w:bCs/>
                <w:sz w:val="20"/>
                <w:szCs w:val="20"/>
                <w:lang w:eastAsia="en-US"/>
              </w:rPr>
              <w:t>бр.</w:t>
            </w:r>
          </w:p>
          <w:p w:rsidR="00F64876" w:rsidRPr="001B0D9D" w:rsidRDefault="00F64876" w:rsidP="00F64876">
            <w:pPr>
              <w:numPr>
                <w:ilvl w:val="0"/>
                <w:numId w:val="35"/>
              </w:numPr>
              <w:tabs>
                <w:tab w:val="num" w:pos="644"/>
              </w:tabs>
              <w:spacing w:before="0" w:beforeAutospacing="0" w:after="0" w:afterAutospacing="0" w:line="360" w:lineRule="auto"/>
              <w:jc w:val="both"/>
              <w:rPr>
                <w:rFonts w:ascii="Verdana" w:eastAsia="Calibri" w:hAnsi="Verdana"/>
                <w:b/>
                <w:bCs/>
                <w:sz w:val="20"/>
                <w:szCs w:val="20"/>
                <w:lang w:eastAsia="en-US"/>
              </w:rPr>
            </w:pPr>
            <w:r w:rsidRPr="001B0D9D">
              <w:rPr>
                <w:rFonts w:ascii="Verdana" w:eastAsia="Calibri" w:hAnsi="Verdana"/>
                <w:sz w:val="20"/>
                <w:szCs w:val="20"/>
                <w:lang w:eastAsia="en-US"/>
              </w:rPr>
              <w:t xml:space="preserve">Съставени АУАН – </w:t>
            </w:r>
            <w:r w:rsidRPr="001B0D9D">
              <w:rPr>
                <w:rFonts w:ascii="Verdana" w:eastAsia="Calibri" w:hAnsi="Verdana"/>
                <w:b/>
                <w:bCs/>
                <w:sz w:val="20"/>
                <w:szCs w:val="20"/>
                <w:lang w:eastAsia="en-US"/>
              </w:rPr>
              <w:t>307 бр.</w:t>
            </w:r>
          </w:p>
          <w:p w:rsidR="00F64876" w:rsidRDefault="00F64876" w:rsidP="00F64876">
            <w:pPr>
              <w:numPr>
                <w:ilvl w:val="0"/>
                <w:numId w:val="35"/>
              </w:numPr>
              <w:tabs>
                <w:tab w:val="num" w:pos="567"/>
              </w:tabs>
              <w:spacing w:before="0" w:beforeAutospacing="0" w:after="0" w:afterAutospacing="0" w:line="360" w:lineRule="auto"/>
              <w:jc w:val="both"/>
              <w:rPr>
                <w:rFonts w:ascii="Verdana" w:eastAsia="Calibri" w:hAnsi="Verdana"/>
                <w:sz w:val="20"/>
                <w:szCs w:val="20"/>
                <w:lang w:eastAsia="en-US"/>
              </w:rPr>
            </w:pPr>
            <w:r w:rsidRPr="001B0D9D">
              <w:rPr>
                <w:rFonts w:ascii="Verdana" w:eastAsia="Calibri" w:hAnsi="Verdana"/>
                <w:sz w:val="20"/>
                <w:szCs w:val="20"/>
                <w:lang w:eastAsia="en-US"/>
              </w:rPr>
              <w:t xml:space="preserve">Възбранени и бракувани храни  – </w:t>
            </w:r>
            <w:r w:rsidRPr="001B0D9D">
              <w:rPr>
                <w:rFonts w:ascii="Verdana" w:eastAsia="Calibri" w:hAnsi="Verdana"/>
                <w:b/>
                <w:sz w:val="20"/>
                <w:szCs w:val="20"/>
                <w:lang w:eastAsia="en-US"/>
              </w:rPr>
              <w:t>4 380 кг</w:t>
            </w:r>
            <w:r w:rsidRPr="001B0D9D">
              <w:rPr>
                <w:rFonts w:ascii="Verdana" w:eastAsia="Calibri" w:hAnsi="Verdana"/>
                <w:sz w:val="20"/>
                <w:szCs w:val="20"/>
                <w:lang w:eastAsia="en-US"/>
              </w:rPr>
              <w:t>. храни от животински и неживотински произход /</w:t>
            </w:r>
            <w:r w:rsidR="0072451B">
              <w:rPr>
                <w:rFonts w:ascii="Verdana" w:eastAsia="Calibri" w:hAnsi="Verdana"/>
                <w:sz w:val="20"/>
                <w:szCs w:val="20"/>
                <w:lang w:eastAsia="en-US"/>
              </w:rPr>
              <w:t xml:space="preserve">неправилно етикетирани, </w:t>
            </w:r>
            <w:r w:rsidRPr="00826B60">
              <w:rPr>
                <w:rFonts w:ascii="Verdana" w:eastAsia="Calibri" w:hAnsi="Verdana"/>
                <w:sz w:val="20"/>
                <w:szCs w:val="20"/>
                <w:lang w:eastAsia="en-US"/>
              </w:rPr>
              <w:t>без етикети, изтекъл срок на годност</w:t>
            </w:r>
            <w:r w:rsidR="0072451B" w:rsidRPr="00826B60">
              <w:rPr>
                <w:rFonts w:ascii="Verdana" w:eastAsia="Calibri" w:hAnsi="Verdana"/>
                <w:sz w:val="20"/>
                <w:szCs w:val="20"/>
                <w:lang w:eastAsia="en-US"/>
              </w:rPr>
              <w:t>,</w:t>
            </w:r>
            <w:r w:rsidRPr="00826B60">
              <w:rPr>
                <w:rFonts w:ascii="Verdana" w:eastAsia="Calibri" w:hAnsi="Verdana"/>
                <w:sz w:val="20"/>
                <w:szCs w:val="20"/>
                <w:lang w:eastAsia="en-US"/>
              </w:rPr>
              <w:t xml:space="preserve"> без здравн</w:t>
            </w:r>
            <w:r w:rsidR="0072451B" w:rsidRPr="00826B60">
              <w:rPr>
                <w:rFonts w:ascii="Verdana" w:eastAsia="Calibri" w:hAnsi="Verdana"/>
                <w:sz w:val="20"/>
                <w:szCs w:val="20"/>
                <w:lang w:eastAsia="en-US"/>
              </w:rPr>
              <w:t>а и идентификационна маркировка</w:t>
            </w:r>
            <w:r w:rsidRPr="00826B60">
              <w:rPr>
                <w:rFonts w:ascii="Verdana" w:eastAsia="Calibri" w:hAnsi="Verdana"/>
                <w:sz w:val="20"/>
                <w:szCs w:val="20"/>
                <w:lang w:eastAsia="en-US"/>
              </w:rPr>
              <w:t xml:space="preserve"> и документи за произход, неправилно съхранение на храни</w:t>
            </w:r>
            <w:r w:rsidR="00826B60">
              <w:rPr>
                <w:rFonts w:ascii="Verdana" w:eastAsia="Calibri" w:hAnsi="Verdana"/>
                <w:sz w:val="20"/>
                <w:szCs w:val="20"/>
                <w:lang w:eastAsia="en-US"/>
              </w:rPr>
              <w:t>,</w:t>
            </w:r>
            <w:r w:rsidRPr="00826B60">
              <w:rPr>
                <w:rFonts w:ascii="Verdana" w:eastAsia="Calibri" w:hAnsi="Verdana"/>
                <w:sz w:val="20"/>
                <w:szCs w:val="20"/>
                <w:lang w:eastAsia="en-US"/>
              </w:rPr>
              <w:t xml:space="preserve"> неразрешени за предлагане при организирано хранене на деца, съгласно изис</w:t>
            </w:r>
            <w:r w:rsidR="00826B60">
              <w:rPr>
                <w:rFonts w:ascii="Verdana" w:eastAsia="Calibri" w:hAnsi="Verdana"/>
                <w:sz w:val="20"/>
                <w:szCs w:val="20"/>
                <w:lang w:eastAsia="en-US"/>
              </w:rPr>
              <w:t>кванията на Наредба № 8 от 2018 г.</w:t>
            </w:r>
            <w:r w:rsidRPr="001B0D9D">
              <w:rPr>
                <w:rFonts w:ascii="Verdana" w:eastAsia="Calibri" w:hAnsi="Verdana"/>
                <w:sz w:val="20"/>
                <w:szCs w:val="20"/>
                <w:lang w:eastAsia="en-US"/>
              </w:rPr>
              <w:t xml:space="preserve">/, </w:t>
            </w:r>
            <w:r w:rsidRPr="001B0D9D">
              <w:rPr>
                <w:rFonts w:ascii="Verdana" w:eastAsia="Calibri" w:hAnsi="Verdana"/>
                <w:b/>
                <w:sz w:val="20"/>
                <w:szCs w:val="20"/>
                <w:lang w:eastAsia="en-US"/>
              </w:rPr>
              <w:t>73 л.</w:t>
            </w:r>
            <w:r w:rsidRPr="001B0D9D">
              <w:rPr>
                <w:rFonts w:ascii="Verdana" w:eastAsia="Calibri" w:hAnsi="Verdana"/>
                <w:sz w:val="20"/>
                <w:szCs w:val="20"/>
                <w:lang w:eastAsia="en-US"/>
              </w:rPr>
              <w:t xml:space="preserve"> храни от животински и неживотински произход /</w:t>
            </w:r>
            <w:r w:rsidRPr="001B0D9D">
              <w:rPr>
                <w:rFonts w:ascii="Verdana" w:eastAsia="Calibri" w:hAnsi="Verdana"/>
                <w:i/>
                <w:sz w:val="20"/>
                <w:szCs w:val="20"/>
                <w:lang w:eastAsia="en-US"/>
              </w:rPr>
              <w:t>изтекъл срок на годност и документи за произход</w:t>
            </w:r>
            <w:r w:rsidRPr="001B0D9D">
              <w:rPr>
                <w:rFonts w:ascii="Verdana" w:eastAsia="Calibri" w:hAnsi="Verdana"/>
                <w:sz w:val="20"/>
                <w:szCs w:val="20"/>
                <w:lang w:eastAsia="en-US"/>
              </w:rPr>
              <w:t>/ и 510 бр. яйца /</w:t>
            </w:r>
            <w:r w:rsidRPr="001B0D9D">
              <w:rPr>
                <w:rFonts w:ascii="Verdana" w:eastAsia="Calibri" w:hAnsi="Verdana"/>
                <w:i/>
                <w:sz w:val="20"/>
                <w:szCs w:val="20"/>
                <w:lang w:eastAsia="en-US"/>
              </w:rPr>
              <w:t>без маркировка и търговски документи</w:t>
            </w:r>
            <w:r w:rsidRPr="001B0D9D">
              <w:rPr>
                <w:rFonts w:ascii="Verdana" w:eastAsia="Calibri" w:hAnsi="Verdana"/>
                <w:sz w:val="20"/>
                <w:szCs w:val="20"/>
                <w:lang w:eastAsia="en-US"/>
              </w:rPr>
              <w:t>/.</w:t>
            </w:r>
          </w:p>
          <w:p w:rsidR="0072451B" w:rsidRPr="0072451B" w:rsidRDefault="0072451B" w:rsidP="0072451B">
            <w:pPr>
              <w:numPr>
                <w:ilvl w:val="0"/>
                <w:numId w:val="35"/>
              </w:numPr>
              <w:tabs>
                <w:tab w:val="num" w:pos="567"/>
              </w:tabs>
              <w:spacing w:before="0" w:beforeAutospacing="0" w:after="0" w:afterAutospacing="0" w:line="360" w:lineRule="auto"/>
              <w:jc w:val="both"/>
              <w:rPr>
                <w:rFonts w:ascii="Verdana" w:eastAsia="Calibri" w:hAnsi="Verdana"/>
                <w:sz w:val="20"/>
                <w:szCs w:val="20"/>
                <w:lang w:eastAsia="en-US"/>
              </w:rPr>
            </w:pPr>
            <w:r w:rsidRPr="0072451B">
              <w:rPr>
                <w:rFonts w:ascii="Verdana" w:eastAsia="Calibri" w:hAnsi="Verdana"/>
                <w:sz w:val="20"/>
                <w:szCs w:val="20"/>
                <w:lang w:eastAsia="en-US"/>
              </w:rPr>
              <w:t>За определяне на енергийна стойност, съгласно Регламент (ЕС) № 1169/2011, в годишния план  за 2019 г. бяха заложени да бъдат изпитани 112 бр. проби храни</w:t>
            </w:r>
            <w:r w:rsidR="00826B60">
              <w:rPr>
                <w:rFonts w:ascii="Verdana" w:eastAsia="Calibri" w:hAnsi="Verdana"/>
                <w:sz w:val="20"/>
                <w:szCs w:val="20"/>
                <w:lang w:eastAsia="en-US"/>
              </w:rPr>
              <w:t>,</w:t>
            </w:r>
            <w:r w:rsidRPr="0072451B">
              <w:rPr>
                <w:rFonts w:ascii="Verdana" w:eastAsia="Calibri" w:hAnsi="Verdana"/>
                <w:sz w:val="20"/>
                <w:szCs w:val="20"/>
                <w:lang w:eastAsia="en-US"/>
              </w:rPr>
              <w:t xml:space="preserve"> разпределени в следните групи: „месо и месни продукти“ – 28 бр</w:t>
            </w:r>
            <w:r w:rsidR="00826B60">
              <w:rPr>
                <w:rFonts w:ascii="Verdana" w:eastAsia="Calibri" w:hAnsi="Verdana"/>
                <w:sz w:val="20"/>
                <w:szCs w:val="20"/>
                <w:lang w:eastAsia="en-US"/>
              </w:rPr>
              <w:t>.</w:t>
            </w:r>
            <w:r w:rsidRPr="0072451B">
              <w:rPr>
                <w:rFonts w:ascii="Verdana" w:eastAsia="Calibri" w:hAnsi="Verdana"/>
                <w:sz w:val="20"/>
                <w:szCs w:val="20"/>
                <w:lang w:eastAsia="en-US"/>
              </w:rPr>
              <w:t xml:space="preserve"> проби, „мляко и млечни продукти“ – 28 бр. проби, „брашно, хляб, хлебни и зърнени продукти“ – 28 бр. проби и „захар и зах</w:t>
            </w:r>
            <w:r w:rsidR="0007408D">
              <w:rPr>
                <w:rFonts w:ascii="Verdana" w:eastAsia="Calibri" w:hAnsi="Verdana"/>
                <w:sz w:val="20"/>
                <w:szCs w:val="20"/>
                <w:lang w:eastAsia="en-US"/>
              </w:rPr>
              <w:t>ар</w:t>
            </w:r>
            <w:r w:rsidRPr="0072451B">
              <w:rPr>
                <w:rFonts w:ascii="Verdana" w:eastAsia="Calibri" w:hAnsi="Verdana"/>
                <w:sz w:val="20"/>
                <w:szCs w:val="20"/>
                <w:lang w:eastAsia="en-US"/>
              </w:rPr>
              <w:t xml:space="preserve">ни изделия“ – 28 бр. проби. Открити са голям брой несъответстващи проби. </w:t>
            </w:r>
          </w:p>
          <w:p w:rsidR="0072451B" w:rsidRDefault="00F1220D" w:rsidP="00F64876">
            <w:pPr>
              <w:spacing w:before="0" w:beforeAutospacing="0" w:after="0" w:afterAutospacing="0" w:line="360" w:lineRule="auto"/>
              <w:jc w:val="both"/>
              <w:rPr>
                <w:rFonts w:ascii="Verdana" w:eastAsia="Calibri" w:hAnsi="Verdana"/>
                <w:sz w:val="20"/>
                <w:szCs w:val="20"/>
                <w:lang w:eastAsia="en-US"/>
              </w:rPr>
            </w:pPr>
            <w:r>
              <w:rPr>
                <w:rFonts w:ascii="Verdana" w:eastAsia="Calibri" w:hAnsi="Verdana"/>
                <w:sz w:val="20"/>
                <w:szCs w:val="20"/>
                <w:lang w:eastAsia="en-US"/>
              </w:rPr>
              <w:t xml:space="preserve">    </w:t>
            </w:r>
          </w:p>
          <w:p w:rsidR="00F64876" w:rsidRDefault="0072451B" w:rsidP="00F64876">
            <w:pPr>
              <w:spacing w:before="0" w:beforeAutospacing="0" w:after="0" w:afterAutospacing="0" w:line="360" w:lineRule="auto"/>
              <w:jc w:val="both"/>
              <w:rPr>
                <w:rFonts w:ascii="Verdana" w:eastAsia="Calibri" w:hAnsi="Verdana"/>
                <w:sz w:val="20"/>
                <w:szCs w:val="20"/>
                <w:lang w:eastAsia="en-US"/>
              </w:rPr>
            </w:pPr>
            <w:r>
              <w:rPr>
                <w:rFonts w:ascii="Verdana" w:eastAsia="Calibri" w:hAnsi="Verdana"/>
                <w:sz w:val="20"/>
                <w:szCs w:val="20"/>
                <w:lang w:eastAsia="en-US"/>
              </w:rPr>
              <w:t xml:space="preserve">      </w:t>
            </w:r>
            <w:r w:rsidR="00F64876" w:rsidRPr="00A05E09">
              <w:rPr>
                <w:rFonts w:ascii="Verdana" w:eastAsia="Calibri" w:hAnsi="Verdana"/>
                <w:sz w:val="20"/>
                <w:szCs w:val="20"/>
                <w:lang w:eastAsia="en-US"/>
              </w:rPr>
              <w:t xml:space="preserve">Търговията с храни заема много важно място на вътрешния пазар. </w:t>
            </w:r>
            <w:r w:rsidR="00F64876">
              <w:rPr>
                <w:rFonts w:ascii="Verdana" w:eastAsia="Calibri" w:hAnsi="Verdana"/>
                <w:sz w:val="20"/>
                <w:szCs w:val="20"/>
                <w:lang w:eastAsia="en-US"/>
              </w:rPr>
              <w:t xml:space="preserve">При много от направените </w:t>
            </w:r>
            <w:r w:rsidR="004F2D9B">
              <w:rPr>
                <w:rFonts w:ascii="Verdana" w:eastAsia="Calibri" w:hAnsi="Verdana"/>
                <w:sz w:val="20"/>
                <w:szCs w:val="20"/>
                <w:lang w:eastAsia="en-US"/>
              </w:rPr>
              <w:t>проверки се констатира</w:t>
            </w:r>
            <w:r w:rsidR="00F64876" w:rsidRPr="00A925A9">
              <w:rPr>
                <w:rFonts w:ascii="Verdana" w:eastAsia="Calibri" w:hAnsi="Verdana"/>
                <w:sz w:val="20"/>
                <w:szCs w:val="20"/>
                <w:lang w:eastAsia="en-US"/>
              </w:rPr>
              <w:t xml:space="preserve">, че </w:t>
            </w:r>
            <w:r w:rsidR="00F64876">
              <w:rPr>
                <w:rFonts w:ascii="Verdana" w:eastAsia="Calibri" w:hAnsi="Verdana"/>
                <w:sz w:val="20"/>
                <w:szCs w:val="20"/>
                <w:lang w:eastAsia="en-US"/>
              </w:rPr>
              <w:t xml:space="preserve">в обектите за производство и търговия с храни </w:t>
            </w:r>
            <w:r w:rsidR="00F64876" w:rsidRPr="00A925A9">
              <w:rPr>
                <w:rFonts w:ascii="Verdana" w:eastAsia="Calibri" w:hAnsi="Verdana"/>
                <w:sz w:val="20"/>
                <w:szCs w:val="20"/>
                <w:lang w:eastAsia="en-US"/>
              </w:rPr>
              <w:t>се установяват повтарящи се нарушения, свързани</w:t>
            </w:r>
            <w:r w:rsidR="00F64876">
              <w:rPr>
                <w:rFonts w:ascii="Verdana" w:eastAsia="Calibri" w:hAnsi="Verdana"/>
                <w:sz w:val="20"/>
                <w:szCs w:val="20"/>
                <w:lang w:eastAsia="en-US"/>
              </w:rPr>
              <w:t xml:space="preserve"> етикетирането и представянето на храните и </w:t>
            </w:r>
            <w:r w:rsidR="00F64876" w:rsidRPr="00417C1F">
              <w:rPr>
                <w:rFonts w:ascii="Verdana" w:eastAsia="Calibri" w:hAnsi="Verdana"/>
                <w:sz w:val="20"/>
                <w:szCs w:val="20"/>
                <w:lang w:eastAsia="en-US"/>
              </w:rPr>
              <w:t>производствената или опаковъчната партида на предварително опакованите храни</w:t>
            </w:r>
            <w:r w:rsidR="00F64876">
              <w:rPr>
                <w:rFonts w:ascii="Verdana" w:eastAsia="Calibri" w:hAnsi="Verdana"/>
                <w:sz w:val="20"/>
                <w:szCs w:val="20"/>
                <w:lang w:eastAsia="en-US"/>
              </w:rPr>
              <w:t>.</w:t>
            </w:r>
            <w:r w:rsidR="00F64876" w:rsidRPr="00417C1F">
              <w:rPr>
                <w:rFonts w:ascii="Verdana" w:eastAsia="Calibri" w:hAnsi="Verdana"/>
                <w:sz w:val="20"/>
                <w:szCs w:val="20"/>
                <w:lang w:eastAsia="en-US"/>
              </w:rPr>
              <w:t xml:space="preserve"> </w:t>
            </w:r>
            <w:r w:rsidR="00F64876" w:rsidRPr="00A925A9">
              <w:rPr>
                <w:rFonts w:ascii="Verdana" w:eastAsia="Calibri" w:hAnsi="Verdana"/>
                <w:sz w:val="20"/>
                <w:szCs w:val="20"/>
                <w:lang w:eastAsia="en-US"/>
              </w:rPr>
              <w:t xml:space="preserve"> </w:t>
            </w:r>
          </w:p>
          <w:p w:rsidR="006706FF" w:rsidRPr="006706FF" w:rsidRDefault="00F64876" w:rsidP="006706FF">
            <w:pPr>
              <w:spacing w:before="0" w:beforeAutospacing="0" w:after="0" w:afterAutospacing="0" w:line="360" w:lineRule="auto"/>
              <w:jc w:val="both"/>
              <w:rPr>
                <w:rFonts w:ascii="Verdana" w:hAnsi="Verdana"/>
                <w:bCs/>
                <w:iCs/>
                <w:sz w:val="20"/>
                <w:szCs w:val="20"/>
              </w:rPr>
            </w:pPr>
            <w:r w:rsidRPr="00A925A9">
              <w:rPr>
                <w:rFonts w:ascii="Verdana" w:eastAsia="Calibri" w:hAnsi="Verdana"/>
                <w:sz w:val="20"/>
                <w:szCs w:val="20"/>
                <w:lang w:eastAsia="en-US"/>
              </w:rPr>
              <w:t xml:space="preserve">Идентифицираните проблеми не могат да се решат по достатъчно ефективен начин в рамките на действащата нормативна уредба и ресурси на контролните органи, което </w:t>
            </w:r>
            <w:r w:rsidRPr="00A925A9">
              <w:rPr>
                <w:rFonts w:ascii="Verdana" w:hAnsi="Verdana"/>
                <w:sz w:val="20"/>
                <w:szCs w:val="20"/>
              </w:rPr>
              <w:t>налага</w:t>
            </w:r>
            <w:r>
              <w:rPr>
                <w:rFonts w:ascii="Verdana" w:hAnsi="Verdana"/>
                <w:sz w:val="20"/>
                <w:szCs w:val="20"/>
              </w:rPr>
              <w:t xml:space="preserve"> приемането на Наредбата и</w:t>
            </w:r>
            <w:r w:rsidR="00B06B56">
              <w:rPr>
                <w:rFonts w:ascii="Verdana" w:hAnsi="Verdana"/>
                <w:sz w:val="20"/>
                <w:szCs w:val="20"/>
              </w:rPr>
              <w:t xml:space="preserve"> </w:t>
            </w:r>
            <w:r w:rsidR="00B06B56" w:rsidRPr="00B06B56">
              <w:rPr>
                <w:rFonts w:ascii="Verdana" w:hAnsi="Verdana"/>
                <w:sz w:val="20"/>
                <w:szCs w:val="20"/>
              </w:rPr>
              <w:t xml:space="preserve">предвиждането на правила за предоставянето на информация на потребителите и </w:t>
            </w:r>
            <w:r>
              <w:rPr>
                <w:rFonts w:ascii="Verdana" w:hAnsi="Verdana"/>
                <w:sz w:val="20"/>
                <w:szCs w:val="20"/>
              </w:rPr>
              <w:t xml:space="preserve">предвиждането на правила, </w:t>
            </w:r>
            <w:r w:rsidRPr="00B76D9A">
              <w:rPr>
                <w:rFonts w:ascii="Verdana" w:hAnsi="Verdana"/>
                <w:sz w:val="20"/>
                <w:szCs w:val="20"/>
              </w:rPr>
              <w:t xml:space="preserve">за </w:t>
            </w:r>
            <w:r w:rsidR="00B06B56">
              <w:rPr>
                <w:rFonts w:ascii="Verdana" w:hAnsi="Verdana"/>
                <w:sz w:val="20"/>
                <w:szCs w:val="20"/>
              </w:rPr>
              <w:t>управление на</w:t>
            </w:r>
            <w:r w:rsidRPr="00B76D9A">
              <w:rPr>
                <w:rFonts w:ascii="Verdana" w:hAnsi="Verdana"/>
                <w:sz w:val="20"/>
                <w:szCs w:val="20"/>
              </w:rPr>
              <w:t xml:space="preserve"> обща система за означение на </w:t>
            </w:r>
            <w:r w:rsidRPr="00B76D9A">
              <w:rPr>
                <w:rFonts w:ascii="Verdana" w:hAnsi="Verdana"/>
                <w:sz w:val="20"/>
                <w:szCs w:val="20"/>
              </w:rPr>
              <w:lastRenderedPageBreak/>
              <w:t>партидите</w:t>
            </w:r>
            <w:r w:rsidR="006706FF">
              <w:rPr>
                <w:rFonts w:ascii="Verdana" w:hAnsi="Verdana"/>
                <w:sz w:val="20"/>
                <w:szCs w:val="20"/>
              </w:rPr>
              <w:t xml:space="preserve">, </w:t>
            </w:r>
            <w:r w:rsidR="006706FF" w:rsidRPr="006706FF">
              <w:rPr>
                <w:rFonts w:ascii="Verdana" w:hAnsi="Verdana"/>
                <w:sz w:val="20"/>
                <w:szCs w:val="20"/>
              </w:rPr>
              <w:t xml:space="preserve">както и по отношение на </w:t>
            </w:r>
            <w:r w:rsidR="006706FF" w:rsidRPr="006706FF">
              <w:rPr>
                <w:rFonts w:ascii="Verdana" w:hAnsi="Verdana"/>
                <w:bCs/>
                <w:iCs/>
                <w:sz w:val="20"/>
                <w:szCs w:val="20"/>
              </w:rPr>
              <w:t>предоставянето на информация</w:t>
            </w:r>
            <w:r w:rsidR="006706FF" w:rsidRPr="006706FF">
              <w:rPr>
                <w:rFonts w:ascii="Verdana" w:hAnsi="Verdana"/>
                <w:bCs/>
                <w:iCs/>
                <w:sz w:val="20"/>
                <w:szCs w:val="20"/>
                <w:lang w:val="en-US"/>
              </w:rPr>
              <w:t xml:space="preserve"> </w:t>
            </w:r>
            <w:r w:rsidR="006706FF" w:rsidRPr="006706FF">
              <w:rPr>
                <w:rFonts w:ascii="Verdana" w:hAnsi="Verdana"/>
                <w:bCs/>
                <w:iCs/>
                <w:sz w:val="20"/>
                <w:szCs w:val="20"/>
              </w:rPr>
              <w:t>при предлагане за продажба на храни на краен потребител или на заведение за обществено хранене без предварително опаковане, или когато храните са опаковани в търговските помещения по искане на потребителя или са предварително</w:t>
            </w:r>
            <w:r w:rsidR="00E77316">
              <w:rPr>
                <w:rFonts w:ascii="Verdana" w:hAnsi="Verdana"/>
                <w:bCs/>
                <w:iCs/>
                <w:sz w:val="20"/>
                <w:szCs w:val="20"/>
              </w:rPr>
              <w:t xml:space="preserve"> опаковани за директна продажба</w:t>
            </w:r>
            <w:r w:rsidR="006706FF" w:rsidRPr="006706FF">
              <w:rPr>
                <w:rFonts w:ascii="Verdana" w:hAnsi="Verdana"/>
                <w:sz w:val="20"/>
                <w:szCs w:val="20"/>
                <w:lang w:val="en-US"/>
              </w:rPr>
              <w:t>.</w:t>
            </w:r>
          </w:p>
          <w:p w:rsidR="00F64876" w:rsidRPr="00B76D9A" w:rsidRDefault="00F64876" w:rsidP="00F64876">
            <w:pPr>
              <w:spacing w:before="0" w:beforeAutospacing="0" w:after="0" w:afterAutospacing="0" w:line="360" w:lineRule="auto"/>
              <w:jc w:val="both"/>
              <w:rPr>
                <w:rFonts w:ascii="Verdana" w:hAnsi="Verdana"/>
                <w:sz w:val="20"/>
                <w:szCs w:val="20"/>
              </w:rPr>
            </w:pPr>
          </w:p>
          <w:p w:rsidR="00F64876" w:rsidRPr="00F64876" w:rsidRDefault="00F64876" w:rsidP="00F64876">
            <w:pPr>
              <w:numPr>
                <w:ilvl w:val="0"/>
                <w:numId w:val="21"/>
              </w:numPr>
              <w:spacing w:before="0" w:beforeAutospacing="0" w:after="0" w:line="360" w:lineRule="auto"/>
              <w:ind w:right="475"/>
              <w:jc w:val="both"/>
              <w:rPr>
                <w:rFonts w:ascii="Verdana" w:hAnsi="Verdana"/>
                <w:sz w:val="20"/>
                <w:szCs w:val="20"/>
              </w:rPr>
            </w:pPr>
            <w:r w:rsidRPr="00F64876">
              <w:rPr>
                <w:rFonts w:ascii="Verdana" w:hAnsi="Verdana"/>
                <w:sz w:val="20"/>
                <w:szCs w:val="20"/>
              </w:rPr>
              <w:t>Трудност при прилагане на</w:t>
            </w:r>
            <w:r w:rsidRPr="00F64876">
              <w:rPr>
                <w:rFonts w:ascii="Verdana" w:hAnsi="Verdana"/>
                <w:sz w:val="20"/>
                <w:szCs w:val="20"/>
                <w:lang w:val="en-US"/>
              </w:rPr>
              <w:t xml:space="preserve"> </w:t>
            </w:r>
            <w:r w:rsidRPr="00F64876">
              <w:rPr>
                <w:rFonts w:ascii="Verdana" w:hAnsi="Verdana"/>
                <w:sz w:val="20"/>
                <w:szCs w:val="20"/>
              </w:rPr>
              <w:t>ефективен контрол и прослед</w:t>
            </w:r>
            <w:r w:rsidR="00886BCA">
              <w:rPr>
                <w:rFonts w:ascii="Verdana" w:hAnsi="Verdana"/>
                <w:sz w:val="20"/>
                <w:szCs w:val="20"/>
              </w:rPr>
              <w:t>яване на продуктите и партидите</w:t>
            </w:r>
            <w:r w:rsidRPr="00F64876">
              <w:rPr>
                <w:rFonts w:ascii="Verdana" w:hAnsi="Verdana"/>
                <w:sz w:val="20"/>
                <w:szCs w:val="20"/>
              </w:rPr>
              <w:t>. Контролният орган използва максимално</w:t>
            </w:r>
            <w:r w:rsidR="00886BCA">
              <w:rPr>
                <w:rFonts w:ascii="Verdana" w:hAnsi="Verdana"/>
                <w:sz w:val="20"/>
                <w:szCs w:val="20"/>
              </w:rPr>
              <w:t xml:space="preserve"> наличните ресурси</w:t>
            </w:r>
            <w:r w:rsidRPr="00F64876">
              <w:rPr>
                <w:rFonts w:ascii="Verdana" w:hAnsi="Verdana"/>
                <w:sz w:val="20"/>
                <w:szCs w:val="20"/>
              </w:rPr>
              <w:t>, като затруднения продължават да се срещат при обхващането на обектите в малките населени места;</w:t>
            </w:r>
          </w:p>
          <w:p w:rsidR="00F64876" w:rsidRDefault="00F64876" w:rsidP="00F64876">
            <w:pPr>
              <w:numPr>
                <w:ilvl w:val="0"/>
                <w:numId w:val="21"/>
              </w:numPr>
              <w:spacing w:before="0" w:beforeAutospacing="0" w:after="0" w:line="360" w:lineRule="auto"/>
              <w:ind w:right="475"/>
              <w:jc w:val="both"/>
              <w:rPr>
                <w:rFonts w:ascii="Verdana" w:hAnsi="Verdana"/>
                <w:sz w:val="20"/>
                <w:szCs w:val="20"/>
              </w:rPr>
            </w:pPr>
            <w:r w:rsidRPr="00F64876">
              <w:rPr>
                <w:rFonts w:ascii="Verdana" w:hAnsi="Verdana"/>
                <w:sz w:val="20"/>
                <w:szCs w:val="20"/>
              </w:rPr>
              <w:t xml:space="preserve">Липса на достатъчно информация при етикетирането на продуктите за информиран избор на потребителите. В текстовете на Наредбата са заложени ясни </w:t>
            </w:r>
            <w:r w:rsidR="00322067">
              <w:rPr>
                <w:rFonts w:ascii="Verdana" w:hAnsi="Verdana"/>
                <w:sz w:val="20"/>
                <w:szCs w:val="20"/>
              </w:rPr>
              <w:t>изисквания за етикетиране и</w:t>
            </w:r>
            <w:r w:rsidRPr="00F64876">
              <w:rPr>
                <w:rFonts w:ascii="Verdana" w:hAnsi="Verdana"/>
                <w:sz w:val="20"/>
                <w:szCs w:val="20"/>
              </w:rPr>
              <w:t xml:space="preserve"> представяне на храните, по начин който не би могъл да доведе до заблуда на потребителя, определени са изискванията към означенията или маркировките, идентифициращи партидата, към която принадлежи дадена храна; </w:t>
            </w:r>
          </w:p>
          <w:p w:rsidR="00D2217A" w:rsidRPr="000E136F" w:rsidRDefault="00D2217A" w:rsidP="00F64876">
            <w:pPr>
              <w:numPr>
                <w:ilvl w:val="0"/>
                <w:numId w:val="21"/>
              </w:numPr>
              <w:spacing w:before="0" w:beforeAutospacing="0" w:after="0" w:line="360" w:lineRule="auto"/>
              <w:ind w:right="475"/>
              <w:jc w:val="both"/>
              <w:rPr>
                <w:rFonts w:ascii="Verdana" w:hAnsi="Verdana"/>
                <w:sz w:val="20"/>
                <w:szCs w:val="20"/>
              </w:rPr>
            </w:pPr>
            <w:r w:rsidRPr="00DF17BC">
              <w:rPr>
                <w:rFonts w:ascii="Verdana" w:eastAsia="Calibri" w:hAnsi="Verdana"/>
                <w:sz w:val="20"/>
                <w:szCs w:val="20"/>
                <w:lang w:eastAsia="en-US"/>
              </w:rPr>
              <w:t>Поради разнообразието от използвани методи за идентификация определянето на партидата и нанасянето на съответното означение или маркировка зависят от търговеца.</w:t>
            </w:r>
            <w:r>
              <w:rPr>
                <w:rFonts w:ascii="Verdana" w:eastAsia="Calibri" w:hAnsi="Verdana"/>
                <w:sz w:val="20"/>
                <w:szCs w:val="20"/>
                <w:lang w:eastAsia="en-US"/>
              </w:rPr>
              <w:t xml:space="preserve"> </w:t>
            </w:r>
            <w:r w:rsidRPr="00DF17BC">
              <w:rPr>
                <w:rFonts w:ascii="Verdana" w:eastAsia="Calibri" w:hAnsi="Verdana"/>
                <w:sz w:val="20"/>
                <w:szCs w:val="20"/>
                <w:lang w:eastAsia="en-US"/>
              </w:rPr>
              <w:t>За да се изпълнят изискванията за предоставяне на информация, за които то е предназначено, означението следва да е ясно различимо и разпознаваемо като такова.</w:t>
            </w:r>
            <w:r>
              <w:rPr>
                <w:rFonts w:ascii="Verdana" w:eastAsia="Calibri" w:hAnsi="Verdana"/>
                <w:sz w:val="20"/>
                <w:szCs w:val="20"/>
                <w:lang w:eastAsia="en-US"/>
              </w:rPr>
              <w:t xml:space="preserve"> С текстовете на Наредбата се определят ясни изисквания към </w:t>
            </w:r>
            <w:r w:rsidRPr="00DF17BC">
              <w:rPr>
                <w:rFonts w:ascii="Verdana" w:eastAsia="Calibri" w:hAnsi="Verdana"/>
                <w:sz w:val="20"/>
                <w:szCs w:val="20"/>
                <w:lang w:eastAsia="en-US"/>
              </w:rPr>
              <w:t>означението, позволяващо идентифициране на партидата, към която принадлежи дадена храна</w:t>
            </w:r>
            <w:r w:rsidR="00026819">
              <w:rPr>
                <w:rFonts w:ascii="Verdana" w:eastAsia="Calibri" w:hAnsi="Verdana"/>
                <w:sz w:val="20"/>
                <w:szCs w:val="20"/>
                <w:lang w:eastAsia="en-US"/>
              </w:rPr>
              <w:t>;</w:t>
            </w:r>
          </w:p>
          <w:p w:rsidR="000E136F" w:rsidRPr="000E136F" w:rsidRDefault="000E136F" w:rsidP="000E136F">
            <w:pPr>
              <w:numPr>
                <w:ilvl w:val="0"/>
                <w:numId w:val="21"/>
              </w:numPr>
              <w:spacing w:before="0" w:beforeAutospacing="0" w:after="0" w:line="360" w:lineRule="auto"/>
              <w:ind w:right="475"/>
              <w:jc w:val="both"/>
              <w:rPr>
                <w:rFonts w:ascii="Verdana" w:eastAsia="Calibri" w:hAnsi="Verdana"/>
                <w:sz w:val="20"/>
                <w:szCs w:val="20"/>
                <w:lang w:eastAsia="en-US"/>
              </w:rPr>
            </w:pPr>
            <w:r w:rsidRPr="000E136F">
              <w:rPr>
                <w:rFonts w:ascii="Verdana" w:eastAsia="Calibri" w:hAnsi="Verdana"/>
                <w:sz w:val="20"/>
                <w:szCs w:val="20"/>
                <w:lang w:eastAsia="en-US"/>
              </w:rPr>
              <w:t xml:space="preserve">Липса на национални правила по отношение на </w:t>
            </w:r>
            <w:r w:rsidRPr="000E136F">
              <w:rPr>
                <w:rFonts w:ascii="Verdana" w:eastAsia="Calibri" w:hAnsi="Verdana"/>
                <w:bCs/>
                <w:iCs/>
                <w:sz w:val="20"/>
                <w:szCs w:val="20"/>
                <w:lang w:eastAsia="en-US"/>
              </w:rPr>
              <w:t>предоставянето на информация</w:t>
            </w:r>
            <w:r w:rsidRPr="000E136F">
              <w:rPr>
                <w:rFonts w:ascii="Verdana" w:eastAsia="Calibri" w:hAnsi="Verdana"/>
                <w:bCs/>
                <w:iCs/>
                <w:sz w:val="20"/>
                <w:szCs w:val="20"/>
                <w:lang w:val="en-US" w:eastAsia="en-US"/>
              </w:rPr>
              <w:t xml:space="preserve"> </w:t>
            </w:r>
            <w:r w:rsidRPr="000E136F">
              <w:rPr>
                <w:rFonts w:ascii="Verdana" w:eastAsia="Calibri" w:hAnsi="Verdana"/>
                <w:bCs/>
                <w:iCs/>
                <w:sz w:val="20"/>
                <w:szCs w:val="20"/>
                <w:lang w:eastAsia="en-US"/>
              </w:rPr>
              <w:t>при предлагане за продажба на храни на краен потребител или на заведение за обществено хранене без предварително опаковане, или когато храните са опаковани в търговските помещения по искане на потребителя или са предварително опаковани за директна продажба. Тези правила са необходими за извършване на напълно информиран избор от потребителя по отношение на срока на минимална трайност или срока на годност, името и адреса на производителя, което е особено важно в случаите на храни от животински произход.</w:t>
            </w:r>
          </w:p>
          <w:p w:rsidR="000E136F" w:rsidRPr="00F64876" w:rsidRDefault="000E136F" w:rsidP="000E136F">
            <w:pPr>
              <w:spacing w:before="0" w:beforeAutospacing="0" w:after="0" w:line="360" w:lineRule="auto"/>
              <w:ind w:left="720" w:right="475"/>
              <w:jc w:val="both"/>
              <w:rPr>
                <w:rFonts w:ascii="Verdana" w:hAnsi="Verdana"/>
                <w:sz w:val="20"/>
                <w:szCs w:val="20"/>
              </w:rPr>
            </w:pPr>
          </w:p>
          <w:p w:rsidR="006B449B" w:rsidRDefault="00F65D28" w:rsidP="006B449B">
            <w:pPr>
              <w:spacing w:before="0" w:beforeAutospacing="0" w:after="120" w:line="360" w:lineRule="auto"/>
              <w:jc w:val="both"/>
              <w:rPr>
                <w:rFonts w:ascii="Verdana" w:hAnsi="Verdana"/>
                <w:b/>
                <w:sz w:val="20"/>
                <w:szCs w:val="20"/>
              </w:rPr>
            </w:pPr>
            <w:r w:rsidRPr="00A925A9">
              <w:rPr>
                <w:rFonts w:ascii="Verdana" w:hAnsi="Verdana"/>
                <w:b/>
                <w:sz w:val="20"/>
                <w:szCs w:val="20"/>
              </w:rPr>
              <w:t>В</w:t>
            </w:r>
            <w:r w:rsidR="00D526DB">
              <w:rPr>
                <w:rFonts w:ascii="Verdana" w:hAnsi="Verdana"/>
                <w:b/>
                <w:sz w:val="20"/>
                <w:szCs w:val="20"/>
              </w:rPr>
              <w:t>ариант 1</w:t>
            </w:r>
            <w:r w:rsidR="006222FE" w:rsidRPr="00A925A9">
              <w:rPr>
                <w:rFonts w:ascii="Verdana" w:hAnsi="Verdana"/>
                <w:b/>
                <w:sz w:val="20"/>
                <w:szCs w:val="20"/>
              </w:rPr>
              <w:t xml:space="preserve">: </w:t>
            </w:r>
            <w:r w:rsidR="000E695C" w:rsidRPr="00A925A9">
              <w:rPr>
                <w:rFonts w:ascii="Verdana" w:hAnsi="Verdana"/>
                <w:b/>
                <w:sz w:val="20"/>
                <w:szCs w:val="20"/>
                <w:lang w:val="ru-RU"/>
              </w:rPr>
              <w:t xml:space="preserve">Приемане на </w:t>
            </w:r>
            <w:r w:rsidR="00B67A5B">
              <w:rPr>
                <w:rFonts w:ascii="Verdana" w:hAnsi="Verdana"/>
                <w:b/>
                <w:sz w:val="20"/>
                <w:szCs w:val="20"/>
              </w:rPr>
              <w:t>п</w:t>
            </w:r>
            <w:r w:rsidR="000E695C" w:rsidRPr="00A925A9">
              <w:rPr>
                <w:rFonts w:ascii="Verdana" w:hAnsi="Verdana"/>
                <w:b/>
                <w:sz w:val="20"/>
                <w:szCs w:val="20"/>
              </w:rPr>
              <w:t xml:space="preserve">роект на </w:t>
            </w:r>
            <w:r w:rsidR="00B67A5B">
              <w:rPr>
                <w:rFonts w:ascii="Verdana" w:hAnsi="Verdana"/>
                <w:b/>
                <w:sz w:val="20"/>
                <w:szCs w:val="20"/>
              </w:rPr>
              <w:t xml:space="preserve">ПМС </w:t>
            </w:r>
            <w:r w:rsidR="000E695C" w:rsidRPr="00A925A9">
              <w:rPr>
                <w:rFonts w:ascii="Verdana" w:hAnsi="Verdana"/>
                <w:b/>
                <w:sz w:val="20"/>
                <w:szCs w:val="20"/>
              </w:rPr>
              <w:t xml:space="preserve">за </w:t>
            </w:r>
            <w:r w:rsidR="000D4B95">
              <w:rPr>
                <w:rFonts w:ascii="Verdana" w:hAnsi="Verdana"/>
                <w:b/>
                <w:sz w:val="20"/>
                <w:szCs w:val="20"/>
              </w:rPr>
              <w:t xml:space="preserve">приемане </w:t>
            </w:r>
            <w:r w:rsidR="000E695C" w:rsidRPr="00A925A9">
              <w:rPr>
                <w:rFonts w:ascii="Verdana" w:hAnsi="Verdana"/>
                <w:b/>
                <w:sz w:val="20"/>
                <w:szCs w:val="20"/>
              </w:rPr>
              <w:t xml:space="preserve">на Наредба за </w:t>
            </w:r>
            <w:r w:rsidR="006B449B">
              <w:rPr>
                <w:rFonts w:ascii="Verdana" w:hAnsi="Verdana"/>
                <w:b/>
                <w:sz w:val="20"/>
                <w:szCs w:val="20"/>
              </w:rPr>
              <w:t>предоставянето на информация на потребителите за храните</w:t>
            </w:r>
          </w:p>
          <w:p w:rsidR="006222FE" w:rsidRDefault="00F65D28" w:rsidP="006B449B">
            <w:pPr>
              <w:spacing w:before="0" w:beforeAutospacing="0" w:after="120" w:line="360" w:lineRule="auto"/>
              <w:jc w:val="both"/>
              <w:rPr>
                <w:rFonts w:ascii="Verdana" w:hAnsi="Verdana"/>
                <w:sz w:val="20"/>
                <w:szCs w:val="20"/>
              </w:rPr>
            </w:pPr>
            <w:r w:rsidRPr="00A925A9">
              <w:rPr>
                <w:rFonts w:ascii="Verdana" w:hAnsi="Verdana"/>
                <w:sz w:val="20"/>
                <w:szCs w:val="20"/>
              </w:rPr>
              <w:lastRenderedPageBreak/>
              <w:t>Не се очакват негативни въздействия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5159"/>
              <w:gridCol w:w="1917"/>
            </w:tblGrid>
            <w:tr w:rsidR="002B3366" w:rsidRPr="00A925A9" w:rsidTr="00F93364">
              <w:tc>
                <w:tcPr>
                  <w:tcW w:w="2955" w:type="dxa"/>
                  <w:shd w:val="clear" w:color="auto" w:fill="auto"/>
                </w:tcPr>
                <w:p w:rsidR="002B3366" w:rsidRPr="00A925A9" w:rsidRDefault="002B3366" w:rsidP="00F93364">
                  <w:pPr>
                    <w:spacing w:before="0" w:beforeAutospacing="0" w:after="240" w:line="360" w:lineRule="auto"/>
                    <w:jc w:val="both"/>
                    <w:rPr>
                      <w:rFonts w:ascii="Verdana" w:eastAsia="Calibri" w:hAnsi="Verdana"/>
                      <w:b/>
                      <w:sz w:val="20"/>
                      <w:szCs w:val="20"/>
                    </w:rPr>
                  </w:pPr>
                  <w:r w:rsidRPr="00A925A9">
                    <w:rPr>
                      <w:rFonts w:ascii="Verdana" w:eastAsia="Calibri" w:hAnsi="Verdana"/>
                      <w:b/>
                      <w:sz w:val="20"/>
                      <w:szCs w:val="20"/>
                    </w:rPr>
                    <w:t>Тип въздействие и възможните рискове</w:t>
                  </w:r>
                </w:p>
                <w:p w:rsidR="002B3366" w:rsidRPr="00A925A9" w:rsidRDefault="002B3366" w:rsidP="00F93364">
                  <w:pPr>
                    <w:spacing w:before="0" w:beforeAutospacing="0" w:after="240" w:line="360" w:lineRule="auto"/>
                    <w:jc w:val="both"/>
                    <w:rPr>
                      <w:rFonts w:ascii="Verdana" w:eastAsia="Calibri" w:hAnsi="Verdana"/>
                      <w:b/>
                      <w:sz w:val="20"/>
                      <w:szCs w:val="20"/>
                    </w:rPr>
                  </w:pPr>
                </w:p>
              </w:tc>
              <w:tc>
                <w:tcPr>
                  <w:tcW w:w="5159" w:type="dxa"/>
                  <w:shd w:val="clear" w:color="auto" w:fill="auto"/>
                </w:tcPr>
                <w:p w:rsidR="002B3366" w:rsidRPr="00A925A9" w:rsidRDefault="002B3366" w:rsidP="00F93364">
                  <w:pPr>
                    <w:spacing w:before="0" w:beforeAutospacing="0" w:after="240" w:line="360" w:lineRule="auto"/>
                    <w:jc w:val="both"/>
                    <w:rPr>
                      <w:rFonts w:ascii="Verdana" w:eastAsia="Calibri" w:hAnsi="Verdana"/>
                      <w:b/>
                      <w:sz w:val="20"/>
                      <w:szCs w:val="20"/>
                    </w:rPr>
                  </w:pPr>
                  <w:r w:rsidRPr="00A925A9">
                    <w:rPr>
                      <w:rFonts w:ascii="Verdana" w:eastAsia="Calibri" w:hAnsi="Verdana"/>
                      <w:b/>
                      <w:sz w:val="20"/>
                      <w:szCs w:val="20"/>
                    </w:rPr>
                    <w:t>Общо описание на очакваните въздействия – чрез отговори на примерните въпроси</w:t>
                  </w:r>
                </w:p>
              </w:tc>
              <w:tc>
                <w:tcPr>
                  <w:tcW w:w="1917" w:type="dxa"/>
                  <w:shd w:val="clear" w:color="auto" w:fill="auto"/>
                </w:tcPr>
                <w:p w:rsidR="002B3366" w:rsidRPr="00A925A9" w:rsidRDefault="002B3366" w:rsidP="00F93364">
                  <w:pPr>
                    <w:spacing w:before="0" w:beforeAutospacing="0" w:after="240" w:line="360" w:lineRule="auto"/>
                    <w:jc w:val="both"/>
                    <w:rPr>
                      <w:rFonts w:ascii="Verdana" w:eastAsia="Calibri" w:hAnsi="Verdana"/>
                      <w:b/>
                      <w:sz w:val="20"/>
                      <w:szCs w:val="20"/>
                    </w:rPr>
                  </w:pPr>
                  <w:r w:rsidRPr="00A925A9">
                    <w:rPr>
                      <w:rFonts w:ascii="Verdana" w:eastAsia="Calibri" w:hAnsi="Verdana"/>
                      <w:b/>
                      <w:sz w:val="20"/>
                      <w:szCs w:val="20"/>
                    </w:rPr>
                    <w:t xml:space="preserve">Оценка на силата на въздействието </w:t>
                  </w:r>
                </w:p>
              </w:tc>
            </w:tr>
            <w:tr w:rsidR="002B3366" w:rsidRPr="00A925A9" w:rsidTr="00F93364">
              <w:tc>
                <w:tcPr>
                  <w:tcW w:w="2955" w:type="dxa"/>
                  <w:shd w:val="clear" w:color="auto" w:fill="auto"/>
                </w:tcPr>
                <w:p w:rsidR="002B3366" w:rsidRPr="00A925A9" w:rsidRDefault="002B3366" w:rsidP="00F93364">
                  <w:pPr>
                    <w:pStyle w:val="Default"/>
                    <w:spacing w:line="360" w:lineRule="auto"/>
                    <w:jc w:val="both"/>
                    <w:rPr>
                      <w:rFonts w:ascii="Verdana" w:hAnsi="Verdana"/>
                      <w:sz w:val="20"/>
                      <w:szCs w:val="20"/>
                    </w:rPr>
                  </w:pPr>
                  <w:r w:rsidRPr="00A925A9">
                    <w:rPr>
                      <w:rFonts w:ascii="Verdana" w:hAnsi="Verdana"/>
                      <w:b/>
                      <w:bCs/>
                      <w:sz w:val="20"/>
                      <w:szCs w:val="20"/>
                    </w:rPr>
                    <w:t xml:space="preserve">Конкуренция </w:t>
                  </w:r>
                </w:p>
              </w:tc>
              <w:tc>
                <w:tcPr>
                  <w:tcW w:w="5159" w:type="dxa"/>
                  <w:shd w:val="clear" w:color="auto" w:fill="auto"/>
                </w:tcPr>
                <w:p w:rsidR="002B3366" w:rsidRPr="00A925A9" w:rsidRDefault="002B3366" w:rsidP="00F93364">
                  <w:pPr>
                    <w:pStyle w:val="Default"/>
                    <w:spacing w:line="360" w:lineRule="auto"/>
                    <w:jc w:val="both"/>
                    <w:rPr>
                      <w:rFonts w:ascii="Verdana" w:hAnsi="Verdana"/>
                      <w:sz w:val="20"/>
                      <w:szCs w:val="20"/>
                    </w:rPr>
                  </w:pPr>
                  <w:r w:rsidRPr="00A925A9">
                    <w:rPr>
                      <w:rFonts w:ascii="Verdana" w:hAnsi="Verdana"/>
                      <w:sz w:val="20"/>
                      <w:szCs w:val="20"/>
                    </w:rPr>
                    <w:t xml:space="preserve">Предлаганите мерки нямат пряко въздействие върху свободното движение на стоки, услуги, капитали и работници. </w:t>
                  </w:r>
                </w:p>
                <w:p w:rsidR="002B3366" w:rsidRPr="00A925A9" w:rsidRDefault="002B3366" w:rsidP="00F93364">
                  <w:pPr>
                    <w:pStyle w:val="Default"/>
                    <w:spacing w:line="360" w:lineRule="auto"/>
                    <w:jc w:val="both"/>
                    <w:rPr>
                      <w:rFonts w:ascii="Verdana" w:hAnsi="Verdana"/>
                      <w:sz w:val="20"/>
                      <w:szCs w:val="20"/>
                    </w:rPr>
                  </w:pPr>
                </w:p>
              </w:tc>
              <w:tc>
                <w:tcPr>
                  <w:tcW w:w="1917" w:type="dxa"/>
                  <w:shd w:val="clear" w:color="auto" w:fill="auto"/>
                </w:tcPr>
                <w:p w:rsidR="002B3366" w:rsidRPr="00A925A9" w:rsidRDefault="002B3366" w:rsidP="00F93364">
                  <w:pPr>
                    <w:spacing w:before="0" w:beforeAutospacing="0" w:after="240" w:line="360" w:lineRule="auto"/>
                    <w:jc w:val="both"/>
                    <w:rPr>
                      <w:rFonts w:ascii="Verdana" w:eastAsia="Calibri" w:hAnsi="Verdana"/>
                      <w:sz w:val="20"/>
                      <w:szCs w:val="20"/>
                    </w:rPr>
                  </w:pPr>
                  <w:r w:rsidRPr="00A925A9">
                    <w:rPr>
                      <w:rFonts w:ascii="Verdana" w:eastAsia="Calibri" w:hAnsi="Verdana"/>
                      <w:sz w:val="20"/>
                      <w:szCs w:val="20"/>
                    </w:rPr>
                    <w:t>слабо</w:t>
                  </w:r>
                </w:p>
              </w:tc>
            </w:tr>
            <w:tr w:rsidR="002B3366" w:rsidRPr="00A925A9" w:rsidTr="00F93364">
              <w:tc>
                <w:tcPr>
                  <w:tcW w:w="2955" w:type="dxa"/>
                  <w:shd w:val="clear" w:color="auto" w:fill="auto"/>
                </w:tcPr>
                <w:p w:rsidR="002B3366" w:rsidRPr="00A925A9" w:rsidRDefault="002B3366" w:rsidP="00F93364">
                  <w:pPr>
                    <w:pStyle w:val="Default"/>
                    <w:spacing w:line="360" w:lineRule="auto"/>
                    <w:jc w:val="both"/>
                    <w:rPr>
                      <w:rFonts w:ascii="Verdana" w:hAnsi="Verdana"/>
                      <w:sz w:val="20"/>
                      <w:szCs w:val="20"/>
                    </w:rPr>
                  </w:pPr>
                  <w:r w:rsidRPr="00A925A9">
                    <w:rPr>
                      <w:rFonts w:ascii="Verdana" w:hAnsi="Verdana"/>
                      <w:b/>
                      <w:bCs/>
                      <w:sz w:val="20"/>
                      <w:szCs w:val="20"/>
                    </w:rPr>
                    <w:t xml:space="preserve">Конкурентоспособност, търговски и инвестиционни потоци </w:t>
                  </w:r>
                </w:p>
              </w:tc>
              <w:tc>
                <w:tcPr>
                  <w:tcW w:w="5159" w:type="dxa"/>
                  <w:shd w:val="clear" w:color="auto" w:fill="auto"/>
                </w:tcPr>
                <w:p w:rsidR="002B3366" w:rsidRPr="00A925A9" w:rsidRDefault="002B3366" w:rsidP="00F93364">
                  <w:pPr>
                    <w:pStyle w:val="Default"/>
                    <w:spacing w:line="360" w:lineRule="auto"/>
                    <w:jc w:val="both"/>
                    <w:rPr>
                      <w:rFonts w:ascii="Verdana" w:hAnsi="Verdana"/>
                      <w:sz w:val="20"/>
                      <w:szCs w:val="20"/>
                    </w:rPr>
                  </w:pPr>
                  <w:r w:rsidRPr="00A925A9">
                    <w:rPr>
                      <w:rFonts w:ascii="Verdana" w:hAnsi="Verdana"/>
                      <w:sz w:val="20"/>
                      <w:szCs w:val="20"/>
                    </w:rPr>
                    <w:t>Предлаганите мерки нямат пряко въздействие</w:t>
                  </w:r>
                  <w:r>
                    <w:rPr>
                      <w:rFonts w:ascii="Verdana" w:hAnsi="Verdana"/>
                      <w:sz w:val="20"/>
                      <w:szCs w:val="20"/>
                    </w:rPr>
                    <w:t xml:space="preserve"> върху конкурентоспособността и инвестиционните потоци.</w:t>
                  </w:r>
                </w:p>
              </w:tc>
              <w:tc>
                <w:tcPr>
                  <w:tcW w:w="1917" w:type="dxa"/>
                  <w:shd w:val="clear" w:color="auto" w:fill="auto"/>
                </w:tcPr>
                <w:p w:rsidR="002B3366" w:rsidRPr="00A925A9" w:rsidRDefault="002B3366" w:rsidP="00F93364">
                  <w:pPr>
                    <w:spacing w:before="0" w:beforeAutospacing="0" w:after="240" w:line="360" w:lineRule="auto"/>
                    <w:jc w:val="both"/>
                    <w:rPr>
                      <w:rFonts w:ascii="Verdana" w:eastAsia="Calibri" w:hAnsi="Verdana"/>
                      <w:sz w:val="20"/>
                      <w:szCs w:val="20"/>
                    </w:rPr>
                  </w:pPr>
                  <w:r w:rsidRPr="00A925A9">
                    <w:rPr>
                      <w:rFonts w:ascii="Verdana" w:eastAsia="Calibri" w:hAnsi="Verdana"/>
                      <w:sz w:val="20"/>
                      <w:szCs w:val="20"/>
                    </w:rPr>
                    <w:t>слабо</w:t>
                  </w:r>
                </w:p>
              </w:tc>
            </w:tr>
            <w:tr w:rsidR="002B3366" w:rsidRPr="00A925A9" w:rsidTr="00F93364">
              <w:tc>
                <w:tcPr>
                  <w:tcW w:w="2955" w:type="dxa"/>
                  <w:shd w:val="clear" w:color="auto" w:fill="auto"/>
                </w:tcPr>
                <w:p w:rsidR="002B3366" w:rsidRPr="00A925A9" w:rsidRDefault="002B3366" w:rsidP="00F93364">
                  <w:pPr>
                    <w:pStyle w:val="Default"/>
                    <w:spacing w:line="360" w:lineRule="auto"/>
                    <w:jc w:val="both"/>
                    <w:rPr>
                      <w:rFonts w:ascii="Verdana" w:hAnsi="Verdana"/>
                      <w:sz w:val="20"/>
                      <w:szCs w:val="20"/>
                    </w:rPr>
                  </w:pPr>
                  <w:r w:rsidRPr="00A925A9">
                    <w:rPr>
                      <w:rFonts w:ascii="Verdana" w:hAnsi="Verdana"/>
                      <w:b/>
                      <w:bCs/>
                      <w:sz w:val="20"/>
                      <w:szCs w:val="20"/>
                    </w:rPr>
                    <w:t xml:space="preserve">Оперативни разходи и поведение на бизнеса/Малки и средни предприятия </w:t>
                  </w:r>
                </w:p>
              </w:tc>
              <w:tc>
                <w:tcPr>
                  <w:tcW w:w="5159" w:type="dxa"/>
                  <w:shd w:val="clear" w:color="auto" w:fill="auto"/>
                </w:tcPr>
                <w:p w:rsidR="002B3366" w:rsidRPr="00D81F73" w:rsidRDefault="002B3366" w:rsidP="00F93364">
                  <w:pPr>
                    <w:pStyle w:val="Default"/>
                    <w:spacing w:line="360" w:lineRule="auto"/>
                    <w:jc w:val="both"/>
                    <w:rPr>
                      <w:rFonts w:ascii="Verdana" w:hAnsi="Verdana"/>
                      <w:sz w:val="20"/>
                      <w:szCs w:val="20"/>
                    </w:rPr>
                  </w:pPr>
                  <w:r w:rsidRPr="00D81F73">
                    <w:rPr>
                      <w:rFonts w:ascii="Verdana" w:hAnsi="Verdana"/>
                      <w:sz w:val="20"/>
                      <w:szCs w:val="20"/>
                    </w:rPr>
                    <w:t>Предвижданите мерки ще наложат следните типове допълнителни разходи по съобразяване:</w:t>
                  </w:r>
                </w:p>
                <w:p w:rsidR="002B3366" w:rsidRPr="00A925A9" w:rsidRDefault="002B3366" w:rsidP="00F93364">
                  <w:pPr>
                    <w:pStyle w:val="Default"/>
                    <w:spacing w:line="360" w:lineRule="auto"/>
                    <w:jc w:val="both"/>
                    <w:rPr>
                      <w:rFonts w:ascii="Verdana" w:hAnsi="Verdana"/>
                      <w:sz w:val="20"/>
                      <w:szCs w:val="20"/>
                    </w:rPr>
                  </w:pPr>
                  <w:r w:rsidRPr="00D81F73">
                    <w:rPr>
                      <w:rFonts w:ascii="Verdana" w:hAnsi="Verdana"/>
                      <w:sz w:val="20"/>
                      <w:szCs w:val="20"/>
                    </w:rPr>
                    <w:t>Еднок</w:t>
                  </w:r>
                  <w:r>
                    <w:rPr>
                      <w:rFonts w:ascii="Verdana" w:hAnsi="Verdana"/>
                      <w:sz w:val="20"/>
                      <w:szCs w:val="20"/>
                    </w:rPr>
                    <w:t>ратни разходи по преработване /</w:t>
                  </w:r>
                  <w:r w:rsidRPr="00D81F73">
                    <w:rPr>
                      <w:rFonts w:ascii="Verdana" w:hAnsi="Verdana"/>
                      <w:sz w:val="20"/>
                      <w:szCs w:val="20"/>
                    </w:rPr>
                    <w:t>редизайн на етикети</w:t>
                  </w:r>
                  <w:r>
                    <w:rPr>
                      <w:rFonts w:ascii="Verdana" w:hAnsi="Verdana"/>
                      <w:sz w:val="20"/>
                      <w:szCs w:val="20"/>
                    </w:rPr>
                    <w:t>те</w:t>
                  </w:r>
                </w:p>
              </w:tc>
              <w:tc>
                <w:tcPr>
                  <w:tcW w:w="1917" w:type="dxa"/>
                  <w:shd w:val="clear" w:color="auto" w:fill="auto"/>
                </w:tcPr>
                <w:p w:rsidR="002B3366" w:rsidRPr="00A925A9" w:rsidRDefault="002B3366" w:rsidP="00F93364">
                  <w:pPr>
                    <w:spacing w:before="0" w:beforeAutospacing="0" w:after="240" w:line="360" w:lineRule="auto"/>
                    <w:jc w:val="both"/>
                    <w:rPr>
                      <w:rFonts w:ascii="Verdana" w:eastAsia="Calibri" w:hAnsi="Verdana"/>
                      <w:sz w:val="20"/>
                      <w:szCs w:val="20"/>
                    </w:rPr>
                  </w:pPr>
                  <w:r>
                    <w:rPr>
                      <w:rFonts w:ascii="Verdana" w:eastAsia="Calibri" w:hAnsi="Verdana"/>
                      <w:sz w:val="20"/>
                      <w:szCs w:val="20"/>
                    </w:rPr>
                    <w:t>средно</w:t>
                  </w:r>
                </w:p>
              </w:tc>
            </w:tr>
            <w:tr w:rsidR="002B3366" w:rsidRPr="00A925A9" w:rsidTr="00F93364">
              <w:tc>
                <w:tcPr>
                  <w:tcW w:w="2955" w:type="dxa"/>
                  <w:shd w:val="clear" w:color="auto" w:fill="auto"/>
                </w:tcPr>
                <w:p w:rsidR="002B3366" w:rsidRPr="00A925A9" w:rsidRDefault="002B3366" w:rsidP="00F93364">
                  <w:pPr>
                    <w:pStyle w:val="Default"/>
                    <w:spacing w:line="360" w:lineRule="auto"/>
                    <w:jc w:val="both"/>
                    <w:rPr>
                      <w:rFonts w:ascii="Verdana" w:hAnsi="Verdana"/>
                      <w:b/>
                      <w:bCs/>
                      <w:sz w:val="20"/>
                      <w:szCs w:val="20"/>
                    </w:rPr>
                  </w:pPr>
                  <w:r w:rsidRPr="00A925A9">
                    <w:rPr>
                      <w:rFonts w:ascii="Verdana" w:hAnsi="Verdana"/>
                      <w:b/>
                      <w:bCs/>
                      <w:sz w:val="20"/>
                      <w:szCs w:val="20"/>
                    </w:rPr>
                    <w:t>Публични власти</w:t>
                  </w:r>
                </w:p>
              </w:tc>
              <w:tc>
                <w:tcPr>
                  <w:tcW w:w="5159" w:type="dxa"/>
                  <w:shd w:val="clear" w:color="auto" w:fill="auto"/>
                </w:tcPr>
                <w:p w:rsidR="002B3366" w:rsidRPr="00A925A9" w:rsidRDefault="002B3366" w:rsidP="00F93364">
                  <w:pPr>
                    <w:pStyle w:val="Default"/>
                    <w:spacing w:line="360" w:lineRule="auto"/>
                    <w:jc w:val="both"/>
                    <w:rPr>
                      <w:rFonts w:ascii="Verdana" w:hAnsi="Verdana"/>
                      <w:sz w:val="20"/>
                      <w:szCs w:val="20"/>
                    </w:rPr>
                  </w:pPr>
                  <w:r w:rsidRPr="00A925A9">
                    <w:rPr>
                      <w:rFonts w:ascii="Verdana" w:hAnsi="Verdana"/>
                      <w:sz w:val="20"/>
                      <w:szCs w:val="20"/>
                    </w:rPr>
                    <w:t>Мярката улеснява до известна степен контрола от страна на БАБХ, и следователно не може да се очаква да доведе до увеличение на разходите на агенцията. Предлаганата разпоредба не предвижда създаването на нови или преструктурирането на съществуващи публични власти.</w:t>
                  </w:r>
                </w:p>
              </w:tc>
              <w:tc>
                <w:tcPr>
                  <w:tcW w:w="1917" w:type="dxa"/>
                  <w:shd w:val="clear" w:color="auto" w:fill="auto"/>
                </w:tcPr>
                <w:p w:rsidR="002B3366" w:rsidRPr="00A925A9" w:rsidRDefault="002B3366" w:rsidP="00F93364">
                  <w:pPr>
                    <w:spacing w:before="0" w:beforeAutospacing="0" w:after="240" w:line="360" w:lineRule="auto"/>
                    <w:jc w:val="both"/>
                    <w:rPr>
                      <w:rFonts w:ascii="Verdana" w:eastAsia="Calibri" w:hAnsi="Verdana"/>
                      <w:sz w:val="20"/>
                      <w:szCs w:val="20"/>
                    </w:rPr>
                  </w:pPr>
                  <w:r w:rsidRPr="00A925A9">
                    <w:rPr>
                      <w:rFonts w:ascii="Verdana" w:eastAsia="Calibri" w:hAnsi="Verdana"/>
                      <w:sz w:val="20"/>
                      <w:szCs w:val="20"/>
                    </w:rPr>
                    <w:t>слабо</w:t>
                  </w:r>
                </w:p>
              </w:tc>
            </w:tr>
            <w:tr w:rsidR="002B3366" w:rsidRPr="00A925A9" w:rsidTr="00F93364">
              <w:tc>
                <w:tcPr>
                  <w:tcW w:w="2955" w:type="dxa"/>
                  <w:shd w:val="clear" w:color="auto" w:fill="auto"/>
                </w:tcPr>
                <w:p w:rsidR="002B3366" w:rsidRPr="00A925A9" w:rsidRDefault="002B3366" w:rsidP="00F93364">
                  <w:pPr>
                    <w:pStyle w:val="Default"/>
                    <w:spacing w:line="360" w:lineRule="auto"/>
                    <w:jc w:val="both"/>
                    <w:rPr>
                      <w:rFonts w:ascii="Verdana" w:hAnsi="Verdana"/>
                      <w:sz w:val="20"/>
                      <w:szCs w:val="20"/>
                    </w:rPr>
                  </w:pPr>
                  <w:r w:rsidRPr="00A925A9">
                    <w:rPr>
                      <w:rFonts w:ascii="Verdana" w:hAnsi="Verdana"/>
                      <w:b/>
                      <w:bCs/>
                      <w:sz w:val="20"/>
                      <w:szCs w:val="20"/>
                    </w:rPr>
                    <w:t xml:space="preserve">Право на собственост </w:t>
                  </w:r>
                </w:p>
              </w:tc>
              <w:tc>
                <w:tcPr>
                  <w:tcW w:w="5159" w:type="dxa"/>
                  <w:shd w:val="clear" w:color="auto" w:fill="auto"/>
                </w:tcPr>
                <w:p w:rsidR="002B3366" w:rsidRPr="00A925A9" w:rsidRDefault="002B3366" w:rsidP="00F93364">
                  <w:pPr>
                    <w:pStyle w:val="Default"/>
                    <w:spacing w:line="360" w:lineRule="auto"/>
                    <w:jc w:val="both"/>
                    <w:rPr>
                      <w:rFonts w:ascii="Verdana" w:hAnsi="Verdana"/>
                      <w:sz w:val="20"/>
                      <w:szCs w:val="20"/>
                    </w:rPr>
                  </w:pPr>
                  <w:r w:rsidRPr="00A925A9">
                    <w:rPr>
                      <w:rFonts w:ascii="Verdana" w:hAnsi="Verdana"/>
                      <w:sz w:val="20"/>
                      <w:szCs w:val="20"/>
                    </w:rPr>
                    <w:t>Промяната няма пряко въздействие върху упражняването на правото на собственост (земя, движими вещи, материални/ нематериални активи).</w:t>
                  </w:r>
                </w:p>
              </w:tc>
              <w:tc>
                <w:tcPr>
                  <w:tcW w:w="1917" w:type="dxa"/>
                  <w:shd w:val="clear" w:color="auto" w:fill="auto"/>
                </w:tcPr>
                <w:p w:rsidR="002B3366" w:rsidRPr="00A925A9" w:rsidRDefault="002B3366" w:rsidP="00F93364">
                  <w:pPr>
                    <w:spacing w:before="0" w:beforeAutospacing="0" w:after="240" w:line="360" w:lineRule="auto"/>
                    <w:jc w:val="both"/>
                    <w:rPr>
                      <w:rFonts w:ascii="Verdana" w:eastAsia="Calibri" w:hAnsi="Verdana"/>
                      <w:sz w:val="20"/>
                      <w:szCs w:val="20"/>
                    </w:rPr>
                  </w:pPr>
                  <w:r w:rsidRPr="00A925A9">
                    <w:rPr>
                      <w:rFonts w:ascii="Verdana" w:eastAsia="Calibri" w:hAnsi="Verdana"/>
                      <w:sz w:val="20"/>
                      <w:szCs w:val="20"/>
                    </w:rPr>
                    <w:t>без</w:t>
                  </w:r>
                </w:p>
              </w:tc>
            </w:tr>
            <w:tr w:rsidR="002B3366" w:rsidRPr="00A925A9" w:rsidTr="00F93364">
              <w:tc>
                <w:tcPr>
                  <w:tcW w:w="2955" w:type="dxa"/>
                  <w:shd w:val="clear" w:color="auto" w:fill="auto"/>
                </w:tcPr>
                <w:p w:rsidR="002B3366" w:rsidRPr="00A925A9" w:rsidRDefault="002B3366" w:rsidP="00F93364">
                  <w:pPr>
                    <w:pStyle w:val="Default"/>
                    <w:spacing w:line="360" w:lineRule="auto"/>
                    <w:jc w:val="both"/>
                    <w:rPr>
                      <w:rFonts w:ascii="Verdana" w:hAnsi="Verdana"/>
                      <w:sz w:val="20"/>
                      <w:szCs w:val="20"/>
                    </w:rPr>
                  </w:pPr>
                  <w:r w:rsidRPr="00A925A9">
                    <w:rPr>
                      <w:rFonts w:ascii="Verdana" w:hAnsi="Verdana"/>
                      <w:b/>
                      <w:bCs/>
                      <w:sz w:val="20"/>
                      <w:szCs w:val="20"/>
                    </w:rPr>
                    <w:t xml:space="preserve">Иновации и изследвания </w:t>
                  </w:r>
                </w:p>
              </w:tc>
              <w:tc>
                <w:tcPr>
                  <w:tcW w:w="5159" w:type="dxa"/>
                  <w:shd w:val="clear" w:color="auto" w:fill="auto"/>
                </w:tcPr>
                <w:p w:rsidR="002B3366" w:rsidRPr="00A925A9" w:rsidRDefault="002B3366" w:rsidP="00F93364">
                  <w:pPr>
                    <w:pStyle w:val="Default"/>
                    <w:spacing w:line="360" w:lineRule="auto"/>
                    <w:jc w:val="both"/>
                    <w:rPr>
                      <w:rFonts w:ascii="Verdana" w:hAnsi="Verdana"/>
                      <w:sz w:val="20"/>
                      <w:szCs w:val="20"/>
                    </w:rPr>
                  </w:pPr>
                  <w:r w:rsidRPr="00A925A9">
                    <w:rPr>
                      <w:rFonts w:ascii="Verdana" w:hAnsi="Verdana"/>
                      <w:sz w:val="20"/>
                      <w:szCs w:val="20"/>
                    </w:rPr>
                    <w:t xml:space="preserve">Предлаганата промяна няма въздействие върху научноизследователската и развойна дейност. Разпоредбата няма да се отрази на въвеждането и разпространението на нови производствени методи, технологии и продукти.  </w:t>
                  </w:r>
                </w:p>
              </w:tc>
              <w:tc>
                <w:tcPr>
                  <w:tcW w:w="1917" w:type="dxa"/>
                  <w:shd w:val="clear" w:color="auto" w:fill="auto"/>
                </w:tcPr>
                <w:p w:rsidR="002B3366" w:rsidRPr="00A925A9" w:rsidRDefault="002B3366" w:rsidP="00F93364">
                  <w:pPr>
                    <w:spacing w:before="0" w:beforeAutospacing="0" w:after="240" w:line="360" w:lineRule="auto"/>
                    <w:jc w:val="both"/>
                    <w:rPr>
                      <w:rFonts w:ascii="Verdana" w:eastAsia="Calibri" w:hAnsi="Verdana"/>
                      <w:sz w:val="20"/>
                      <w:szCs w:val="20"/>
                    </w:rPr>
                  </w:pPr>
                  <w:r w:rsidRPr="00A925A9">
                    <w:rPr>
                      <w:rFonts w:ascii="Verdana" w:eastAsia="Calibri" w:hAnsi="Verdana"/>
                      <w:sz w:val="20"/>
                      <w:szCs w:val="20"/>
                    </w:rPr>
                    <w:t>без</w:t>
                  </w:r>
                </w:p>
              </w:tc>
            </w:tr>
          </w:tbl>
          <w:p w:rsidR="002B3366" w:rsidRPr="00A925A9" w:rsidRDefault="002B3366" w:rsidP="006B449B">
            <w:pPr>
              <w:spacing w:before="0" w:beforeAutospacing="0" w:after="120" w:line="360" w:lineRule="auto"/>
              <w:jc w:val="both"/>
              <w:rPr>
                <w:rFonts w:ascii="Verdana" w:hAnsi="Verdana"/>
                <w:sz w:val="20"/>
                <w:szCs w:val="20"/>
              </w:rPr>
            </w:pPr>
          </w:p>
        </w:tc>
      </w:tr>
      <w:tr w:rsidR="006222FE" w:rsidRPr="00A925A9" w:rsidTr="00D96F7C">
        <w:trPr>
          <w:trHeight w:val="142"/>
        </w:trPr>
        <w:tc>
          <w:tcPr>
            <w:tcW w:w="10257" w:type="dxa"/>
            <w:gridSpan w:val="2"/>
            <w:shd w:val="clear" w:color="auto" w:fill="auto"/>
          </w:tcPr>
          <w:p w:rsidR="006222FE" w:rsidRPr="00A925A9" w:rsidRDefault="006222FE" w:rsidP="00CC3C6C">
            <w:pPr>
              <w:spacing w:before="0" w:beforeAutospacing="0" w:after="0" w:line="360" w:lineRule="auto"/>
              <w:ind w:left="142" w:right="475"/>
              <w:jc w:val="both"/>
              <w:rPr>
                <w:rFonts w:ascii="Verdana" w:hAnsi="Verdana"/>
                <w:b/>
                <w:sz w:val="20"/>
                <w:szCs w:val="20"/>
              </w:rPr>
            </w:pPr>
            <w:r w:rsidRPr="00A925A9">
              <w:rPr>
                <w:rFonts w:ascii="Verdana" w:hAnsi="Verdana"/>
                <w:b/>
                <w:sz w:val="20"/>
                <w:szCs w:val="20"/>
              </w:rPr>
              <w:lastRenderedPageBreak/>
              <w:t>6. Положителни въздействия:</w:t>
            </w:r>
          </w:p>
          <w:p w:rsidR="006222FE" w:rsidRPr="00A925A9" w:rsidRDefault="006222FE" w:rsidP="00CC3C6C">
            <w:pPr>
              <w:spacing w:before="0" w:beforeAutospacing="0" w:after="0" w:line="360" w:lineRule="auto"/>
              <w:ind w:left="142" w:right="475"/>
              <w:jc w:val="both"/>
              <w:rPr>
                <w:rFonts w:ascii="Verdana" w:hAnsi="Verdana"/>
                <w:b/>
                <w:sz w:val="20"/>
                <w:szCs w:val="20"/>
              </w:rPr>
            </w:pPr>
            <w:r w:rsidRPr="00A925A9">
              <w:rPr>
                <w:rFonts w:ascii="Verdana" w:hAnsi="Verdana"/>
                <w:b/>
                <w:i/>
                <w:sz w:val="20"/>
                <w:szCs w:val="20"/>
              </w:rPr>
              <w:t>Опишете качествено (при възможност – и количествено) всички значителни потенциални икономически, социални, екологични и други ползи за идентифицираните заинтересовани страни за всеки един от вариантите в резултат на предприемане на действията. Посочете как очакваните ползи кореспондират с формулираните цели.</w:t>
            </w:r>
          </w:p>
          <w:p w:rsidR="006222FE" w:rsidRPr="00A925A9" w:rsidRDefault="00F65D28" w:rsidP="00CC3C6C">
            <w:pPr>
              <w:spacing w:before="0" w:beforeAutospacing="0" w:after="0" w:line="360" w:lineRule="auto"/>
              <w:ind w:left="142" w:right="475"/>
              <w:jc w:val="both"/>
              <w:rPr>
                <w:rFonts w:ascii="Verdana" w:hAnsi="Verdana"/>
                <w:b/>
                <w:sz w:val="20"/>
                <w:szCs w:val="20"/>
              </w:rPr>
            </w:pPr>
            <w:r w:rsidRPr="00A925A9">
              <w:rPr>
                <w:rFonts w:ascii="Verdana" w:hAnsi="Verdana"/>
                <w:b/>
                <w:sz w:val="20"/>
                <w:szCs w:val="20"/>
              </w:rPr>
              <w:t>В</w:t>
            </w:r>
            <w:r w:rsidR="00AE5FBF">
              <w:rPr>
                <w:rFonts w:ascii="Verdana" w:hAnsi="Verdana"/>
                <w:b/>
                <w:sz w:val="20"/>
                <w:szCs w:val="20"/>
              </w:rPr>
              <w:t>ариант 0</w:t>
            </w:r>
            <w:r w:rsidR="006222FE" w:rsidRPr="00A925A9">
              <w:rPr>
                <w:rFonts w:ascii="Verdana" w:hAnsi="Verdana"/>
                <w:b/>
                <w:sz w:val="20"/>
                <w:szCs w:val="20"/>
              </w:rPr>
              <w:t xml:space="preserve"> „Без действие“:</w:t>
            </w:r>
          </w:p>
          <w:p w:rsidR="00F65D28" w:rsidRPr="00A925A9" w:rsidRDefault="00F65D28" w:rsidP="00CC3C6C">
            <w:pPr>
              <w:spacing w:before="0" w:beforeAutospacing="0" w:after="120" w:line="360" w:lineRule="auto"/>
              <w:jc w:val="both"/>
              <w:rPr>
                <w:rFonts w:ascii="Verdana" w:hAnsi="Verdana"/>
                <w:sz w:val="20"/>
                <w:szCs w:val="20"/>
              </w:rPr>
            </w:pPr>
            <w:r w:rsidRPr="00A925A9">
              <w:rPr>
                <w:rFonts w:ascii="Verdana" w:hAnsi="Verdana"/>
                <w:sz w:val="20"/>
                <w:szCs w:val="20"/>
              </w:rPr>
              <w:t xml:space="preserve">  Няма положителни въздействия</w:t>
            </w:r>
            <w:r w:rsidR="008F1494" w:rsidRPr="00A925A9">
              <w:rPr>
                <w:rFonts w:ascii="Verdana" w:hAnsi="Verdana"/>
                <w:sz w:val="20"/>
                <w:szCs w:val="20"/>
              </w:rPr>
              <w:t>.</w:t>
            </w:r>
          </w:p>
          <w:p w:rsidR="006222FE" w:rsidRPr="00A925A9" w:rsidRDefault="00F65D28" w:rsidP="00CC3C6C">
            <w:pPr>
              <w:tabs>
                <w:tab w:val="left" w:pos="10041"/>
              </w:tabs>
              <w:spacing w:before="0" w:beforeAutospacing="0" w:after="0" w:line="360" w:lineRule="auto"/>
              <w:ind w:left="142" w:right="118"/>
              <w:jc w:val="both"/>
              <w:rPr>
                <w:rFonts w:ascii="Verdana" w:hAnsi="Verdana"/>
                <w:b/>
                <w:sz w:val="20"/>
                <w:szCs w:val="20"/>
              </w:rPr>
            </w:pPr>
            <w:r w:rsidRPr="00A925A9">
              <w:rPr>
                <w:rFonts w:ascii="Verdana" w:hAnsi="Verdana"/>
                <w:b/>
                <w:sz w:val="20"/>
                <w:szCs w:val="20"/>
              </w:rPr>
              <w:t>В</w:t>
            </w:r>
            <w:r w:rsidR="00AE5FBF">
              <w:rPr>
                <w:rFonts w:ascii="Verdana" w:hAnsi="Verdana"/>
                <w:b/>
                <w:sz w:val="20"/>
                <w:szCs w:val="20"/>
              </w:rPr>
              <w:t>ариант 1</w:t>
            </w:r>
            <w:r w:rsidR="006222FE" w:rsidRPr="00A925A9">
              <w:rPr>
                <w:rFonts w:ascii="Verdana" w:hAnsi="Verdana"/>
                <w:b/>
                <w:sz w:val="20"/>
                <w:szCs w:val="20"/>
              </w:rPr>
              <w:t xml:space="preserve">: </w:t>
            </w:r>
            <w:r w:rsidR="000E695C" w:rsidRPr="00A925A9">
              <w:rPr>
                <w:rFonts w:ascii="Verdana" w:hAnsi="Verdana"/>
                <w:b/>
                <w:sz w:val="20"/>
                <w:szCs w:val="20"/>
                <w:lang w:val="ru-RU"/>
              </w:rPr>
              <w:t xml:space="preserve">Приемане на </w:t>
            </w:r>
            <w:r w:rsidR="000E695C" w:rsidRPr="00A925A9">
              <w:rPr>
                <w:rFonts w:ascii="Verdana" w:hAnsi="Verdana"/>
                <w:b/>
                <w:sz w:val="20"/>
                <w:szCs w:val="20"/>
              </w:rPr>
              <w:t>Проект на Наредба за</w:t>
            </w:r>
            <w:r w:rsidR="00F1220D">
              <w:rPr>
                <w:rFonts w:ascii="Verdana" w:hAnsi="Verdana"/>
                <w:b/>
                <w:sz w:val="20"/>
                <w:szCs w:val="20"/>
              </w:rPr>
              <w:t xml:space="preserve"> предоставянето на информация на потребителите за храните</w:t>
            </w:r>
            <w:r w:rsidR="006222FE" w:rsidRPr="00A925A9">
              <w:rPr>
                <w:rFonts w:ascii="Verdana" w:hAnsi="Verdana"/>
                <w:b/>
                <w:sz w:val="20"/>
                <w:szCs w:val="20"/>
              </w:rPr>
              <w:t>:</w:t>
            </w:r>
          </w:p>
          <w:p w:rsidR="00102058" w:rsidRPr="00A925A9" w:rsidRDefault="00102058" w:rsidP="00CC3C6C">
            <w:pPr>
              <w:spacing w:line="360" w:lineRule="auto"/>
              <w:jc w:val="both"/>
              <w:rPr>
                <w:rFonts w:ascii="Verdana" w:hAnsi="Verdana"/>
                <w:sz w:val="20"/>
                <w:szCs w:val="20"/>
              </w:rPr>
            </w:pPr>
            <w:r w:rsidRPr="00A925A9">
              <w:rPr>
                <w:rFonts w:ascii="Verdana" w:hAnsi="Verdana"/>
                <w:sz w:val="20"/>
                <w:szCs w:val="20"/>
              </w:rPr>
              <w:t xml:space="preserve">     Предвижданите изменения се очаква да окажат следните </w:t>
            </w:r>
            <w:r w:rsidR="008F1494" w:rsidRPr="00A925A9">
              <w:rPr>
                <w:rFonts w:ascii="Verdana" w:hAnsi="Verdana"/>
                <w:sz w:val="20"/>
                <w:szCs w:val="20"/>
              </w:rPr>
              <w:t xml:space="preserve">положителни </w:t>
            </w:r>
            <w:r w:rsidR="00F07C67">
              <w:rPr>
                <w:rFonts w:ascii="Verdana" w:hAnsi="Verdana"/>
                <w:sz w:val="20"/>
                <w:szCs w:val="20"/>
              </w:rPr>
              <w:t>въздействия</w:t>
            </w:r>
            <w:r w:rsidRPr="00A925A9">
              <w:rPr>
                <w:rFonts w:ascii="Verdana" w:hAnsi="Verdana"/>
                <w:sz w:val="20"/>
                <w:szCs w:val="20"/>
              </w:rPr>
              <w:t>:</w:t>
            </w:r>
          </w:p>
          <w:p w:rsidR="00102058" w:rsidRPr="00A925A9" w:rsidRDefault="00102058" w:rsidP="00CC3C6C">
            <w:pPr>
              <w:numPr>
                <w:ilvl w:val="0"/>
                <w:numId w:val="27"/>
              </w:numPr>
              <w:overflowPunct w:val="0"/>
              <w:autoSpaceDE w:val="0"/>
              <w:autoSpaceDN w:val="0"/>
              <w:adjustRightInd w:val="0"/>
              <w:spacing w:before="0" w:beforeAutospacing="0" w:after="0" w:afterAutospacing="0" w:line="360" w:lineRule="auto"/>
              <w:jc w:val="both"/>
              <w:textAlignment w:val="baseline"/>
              <w:rPr>
                <w:rFonts w:ascii="Verdana" w:eastAsia="Calibri" w:hAnsi="Verdana"/>
                <w:sz w:val="20"/>
                <w:szCs w:val="20"/>
              </w:rPr>
            </w:pPr>
            <w:r w:rsidRPr="00A925A9">
              <w:rPr>
                <w:rFonts w:ascii="Verdana" w:eastAsia="Calibri" w:hAnsi="Verdana"/>
                <w:sz w:val="20"/>
                <w:szCs w:val="20"/>
              </w:rPr>
              <w:t xml:space="preserve">Опазване на общественото здраве; </w:t>
            </w:r>
          </w:p>
          <w:p w:rsidR="00102058" w:rsidRPr="00E70D44" w:rsidRDefault="00102058" w:rsidP="00CC3C6C">
            <w:pPr>
              <w:numPr>
                <w:ilvl w:val="0"/>
                <w:numId w:val="19"/>
              </w:numPr>
              <w:spacing w:before="0" w:beforeAutospacing="0" w:after="0" w:afterAutospacing="0" w:line="360" w:lineRule="auto"/>
              <w:ind w:right="-24"/>
              <w:jc w:val="both"/>
              <w:rPr>
                <w:rFonts w:ascii="Verdana" w:hAnsi="Verdana"/>
                <w:b/>
                <w:sz w:val="20"/>
                <w:szCs w:val="20"/>
              </w:rPr>
            </w:pPr>
            <w:r w:rsidRPr="00A925A9">
              <w:rPr>
                <w:rFonts w:ascii="Verdana" w:eastAsia="Calibri" w:hAnsi="Verdana"/>
                <w:sz w:val="20"/>
                <w:szCs w:val="20"/>
                <w:lang w:eastAsia="en-US"/>
              </w:rPr>
              <w:t>Подобряване на информираността на потребителя относно съдържанието на продуктите;</w:t>
            </w:r>
          </w:p>
          <w:p w:rsidR="00E70D44" w:rsidRPr="00E70D44" w:rsidRDefault="00E70D44" w:rsidP="00E70D44">
            <w:pPr>
              <w:numPr>
                <w:ilvl w:val="0"/>
                <w:numId w:val="19"/>
              </w:numPr>
              <w:spacing w:before="0" w:beforeAutospacing="0" w:after="0" w:afterAutospacing="0" w:line="360" w:lineRule="auto"/>
              <w:ind w:right="-24"/>
              <w:jc w:val="both"/>
              <w:rPr>
                <w:rFonts w:ascii="Verdana" w:eastAsia="Calibri" w:hAnsi="Verdana"/>
                <w:b/>
                <w:sz w:val="20"/>
                <w:szCs w:val="20"/>
                <w:lang w:eastAsia="en-US"/>
              </w:rPr>
            </w:pPr>
            <w:r w:rsidRPr="00E70D44">
              <w:rPr>
                <w:rFonts w:ascii="Verdana" w:eastAsia="Calibri" w:hAnsi="Verdana"/>
                <w:sz w:val="20"/>
                <w:szCs w:val="20"/>
                <w:lang w:eastAsia="en-US"/>
              </w:rPr>
              <w:t>Ще се подобри информираността на потребителя по отношение на срока на минимална трайност или срока на годност, името и адреса на бизнес оператора с храни при предлагане за продажба на храни на краен потребител или на заведение за обществено хранене без предварително опаковане, или когато храните са опаковани в търговските помещения по искане на потребителя, което е особено важно в случаите на храни от животински произход</w:t>
            </w:r>
            <w:r w:rsidR="00DB325A">
              <w:rPr>
                <w:rFonts w:ascii="Verdana" w:eastAsia="Calibri" w:hAnsi="Verdana"/>
                <w:sz w:val="20"/>
                <w:szCs w:val="20"/>
                <w:lang w:eastAsia="en-US"/>
              </w:rPr>
              <w:t>;</w:t>
            </w:r>
          </w:p>
          <w:p w:rsidR="00102058" w:rsidRDefault="00102058" w:rsidP="00CC3C6C">
            <w:pPr>
              <w:pStyle w:val="ListParagraph"/>
              <w:numPr>
                <w:ilvl w:val="0"/>
                <w:numId w:val="19"/>
              </w:numPr>
              <w:spacing w:after="0" w:line="360" w:lineRule="auto"/>
              <w:rPr>
                <w:rFonts w:ascii="Verdana" w:hAnsi="Verdana"/>
                <w:sz w:val="20"/>
                <w:szCs w:val="20"/>
              </w:rPr>
            </w:pPr>
            <w:r w:rsidRPr="00A925A9">
              <w:rPr>
                <w:rFonts w:ascii="Verdana" w:hAnsi="Verdana"/>
                <w:sz w:val="20"/>
                <w:szCs w:val="20"/>
              </w:rPr>
              <w:t xml:space="preserve">Увеличаване на доверието в </w:t>
            </w:r>
            <w:r w:rsidR="00F1220D">
              <w:rPr>
                <w:rFonts w:ascii="Verdana" w:hAnsi="Verdana"/>
                <w:sz w:val="20"/>
                <w:szCs w:val="20"/>
              </w:rPr>
              <w:t xml:space="preserve">хранителните </w:t>
            </w:r>
            <w:r w:rsidRPr="00A925A9">
              <w:rPr>
                <w:rFonts w:ascii="Verdana" w:hAnsi="Verdana"/>
                <w:sz w:val="20"/>
                <w:szCs w:val="20"/>
              </w:rPr>
              <w:t>продукти като цяло заради повишаване на информираността и намаляване на рисковете от заблуда;</w:t>
            </w:r>
          </w:p>
          <w:p w:rsidR="00102058" w:rsidRPr="00F1220D" w:rsidRDefault="00102058" w:rsidP="00F1220D">
            <w:pPr>
              <w:pStyle w:val="ListParagraph"/>
              <w:numPr>
                <w:ilvl w:val="0"/>
                <w:numId w:val="19"/>
              </w:numPr>
              <w:spacing w:after="0" w:line="360" w:lineRule="auto"/>
              <w:rPr>
                <w:rFonts w:ascii="Verdana" w:hAnsi="Verdana"/>
                <w:sz w:val="20"/>
                <w:szCs w:val="20"/>
              </w:rPr>
            </w:pPr>
            <w:r w:rsidRPr="00A925A9">
              <w:rPr>
                <w:rFonts w:ascii="Verdana" w:hAnsi="Verdana"/>
                <w:sz w:val="20"/>
                <w:szCs w:val="20"/>
              </w:rPr>
              <w:t xml:space="preserve">Увеличено търсене на </w:t>
            </w:r>
            <w:r w:rsidR="00F1220D">
              <w:rPr>
                <w:rFonts w:ascii="Verdana" w:hAnsi="Verdana"/>
                <w:sz w:val="20"/>
                <w:szCs w:val="20"/>
              </w:rPr>
              <w:t xml:space="preserve">хранителни </w:t>
            </w:r>
            <w:r w:rsidRPr="00A925A9">
              <w:rPr>
                <w:rFonts w:ascii="Verdana" w:hAnsi="Verdana"/>
                <w:sz w:val="20"/>
                <w:szCs w:val="20"/>
              </w:rPr>
              <w:t>продукти в следствие на по-добра информираност;</w:t>
            </w:r>
          </w:p>
          <w:p w:rsidR="00102058" w:rsidRPr="00A925A9" w:rsidRDefault="00102058" w:rsidP="00CC3C6C">
            <w:pPr>
              <w:pStyle w:val="ListParagraph"/>
              <w:numPr>
                <w:ilvl w:val="0"/>
                <w:numId w:val="19"/>
              </w:numPr>
              <w:spacing w:after="0" w:line="360" w:lineRule="auto"/>
              <w:rPr>
                <w:rFonts w:ascii="Verdana" w:hAnsi="Verdana"/>
                <w:sz w:val="20"/>
                <w:szCs w:val="20"/>
              </w:rPr>
            </w:pPr>
            <w:r w:rsidRPr="00A925A9">
              <w:rPr>
                <w:rFonts w:ascii="Verdana" w:hAnsi="Verdana"/>
                <w:sz w:val="20"/>
                <w:szCs w:val="20"/>
              </w:rPr>
              <w:t xml:space="preserve">Ограничаване на търсенето на </w:t>
            </w:r>
            <w:r w:rsidR="00F1220D">
              <w:rPr>
                <w:rFonts w:ascii="Verdana" w:hAnsi="Verdana"/>
                <w:sz w:val="20"/>
                <w:szCs w:val="20"/>
              </w:rPr>
              <w:t xml:space="preserve">хранителни </w:t>
            </w:r>
            <w:r w:rsidRPr="00A925A9">
              <w:rPr>
                <w:rFonts w:ascii="Verdana" w:hAnsi="Verdana"/>
                <w:sz w:val="20"/>
                <w:szCs w:val="20"/>
              </w:rPr>
              <w:t>продукти с лошо качество заради засилените изисквания към предоставяне на информация за състава им;</w:t>
            </w:r>
          </w:p>
          <w:p w:rsidR="00102058" w:rsidRPr="00A925A9" w:rsidRDefault="00102058" w:rsidP="00CC3C6C">
            <w:pPr>
              <w:numPr>
                <w:ilvl w:val="0"/>
                <w:numId w:val="19"/>
              </w:numPr>
              <w:spacing w:before="0" w:beforeAutospacing="0" w:after="0" w:afterAutospacing="0" w:line="360" w:lineRule="auto"/>
              <w:ind w:right="475"/>
              <w:jc w:val="both"/>
              <w:rPr>
                <w:rFonts w:ascii="Verdana" w:hAnsi="Verdana"/>
                <w:b/>
                <w:sz w:val="20"/>
                <w:szCs w:val="20"/>
              </w:rPr>
            </w:pPr>
            <w:r w:rsidRPr="00A925A9">
              <w:rPr>
                <w:rFonts w:ascii="Verdana" w:eastAsia="Calibri" w:hAnsi="Verdana"/>
                <w:sz w:val="20"/>
                <w:szCs w:val="20"/>
                <w:lang w:eastAsia="en-US"/>
              </w:rPr>
              <w:t>Ограничаване на случаите на заблуда и подвеждане на потребителите;</w:t>
            </w:r>
          </w:p>
          <w:p w:rsidR="00102058" w:rsidRPr="00A925A9" w:rsidRDefault="00102058" w:rsidP="00CC3C6C">
            <w:pPr>
              <w:pStyle w:val="ListParagraph"/>
              <w:numPr>
                <w:ilvl w:val="0"/>
                <w:numId w:val="19"/>
              </w:numPr>
              <w:spacing w:after="0" w:line="360" w:lineRule="auto"/>
              <w:rPr>
                <w:rFonts w:ascii="Verdana" w:hAnsi="Verdana"/>
                <w:sz w:val="20"/>
                <w:szCs w:val="20"/>
              </w:rPr>
            </w:pPr>
            <w:r w:rsidRPr="00A925A9">
              <w:rPr>
                <w:rFonts w:ascii="Verdana" w:hAnsi="Verdana"/>
                <w:sz w:val="20"/>
                <w:szCs w:val="20"/>
              </w:rPr>
              <w:t xml:space="preserve">Улесняване на дейността по контрол в </w:t>
            </w:r>
            <w:r w:rsidR="00ED6861">
              <w:rPr>
                <w:rFonts w:ascii="Verdana" w:hAnsi="Verdana"/>
                <w:sz w:val="20"/>
                <w:szCs w:val="20"/>
              </w:rPr>
              <w:t>обектите за търговия с храни</w:t>
            </w:r>
            <w:r w:rsidRPr="00A925A9">
              <w:rPr>
                <w:rFonts w:ascii="Verdana" w:hAnsi="Verdana"/>
                <w:sz w:val="20"/>
                <w:szCs w:val="20"/>
              </w:rPr>
              <w:t xml:space="preserve"> върху предлаганите продукти;</w:t>
            </w:r>
          </w:p>
          <w:p w:rsidR="00671683" w:rsidRDefault="00671683" w:rsidP="00F1220D">
            <w:pPr>
              <w:pStyle w:val="ListParagraph"/>
              <w:numPr>
                <w:ilvl w:val="0"/>
                <w:numId w:val="19"/>
              </w:numPr>
              <w:spacing w:after="0" w:line="360" w:lineRule="auto"/>
              <w:rPr>
                <w:rFonts w:ascii="Verdana" w:hAnsi="Verdana"/>
                <w:sz w:val="20"/>
                <w:szCs w:val="20"/>
              </w:rPr>
            </w:pPr>
            <w:r w:rsidRPr="00A925A9">
              <w:rPr>
                <w:rFonts w:ascii="Verdana" w:hAnsi="Verdana"/>
                <w:sz w:val="20"/>
                <w:szCs w:val="20"/>
              </w:rPr>
              <w:t>Подобряване на информираността на потребителя относно</w:t>
            </w:r>
            <w:r w:rsidR="000F5FDB">
              <w:rPr>
                <w:rFonts w:ascii="Verdana" w:hAnsi="Verdana"/>
                <w:sz w:val="20"/>
                <w:szCs w:val="20"/>
              </w:rPr>
              <w:t xml:space="preserve"> етикетирането и </w:t>
            </w:r>
            <w:r>
              <w:rPr>
                <w:rFonts w:ascii="Verdana" w:hAnsi="Verdana"/>
                <w:sz w:val="20"/>
                <w:szCs w:val="20"/>
              </w:rPr>
              <w:t>предлагането</w:t>
            </w:r>
            <w:r w:rsidR="00F1220D">
              <w:rPr>
                <w:rFonts w:ascii="Verdana" w:hAnsi="Verdana"/>
                <w:sz w:val="20"/>
                <w:szCs w:val="20"/>
              </w:rPr>
              <w:t xml:space="preserve"> </w:t>
            </w:r>
            <w:r>
              <w:rPr>
                <w:rFonts w:ascii="Verdana" w:hAnsi="Verdana"/>
                <w:sz w:val="20"/>
                <w:szCs w:val="20"/>
              </w:rPr>
              <w:t>на храни</w:t>
            </w:r>
            <w:r w:rsidR="000F5FDB">
              <w:rPr>
                <w:rFonts w:ascii="Verdana" w:hAnsi="Verdana"/>
                <w:sz w:val="20"/>
                <w:szCs w:val="20"/>
              </w:rPr>
              <w:t>те</w:t>
            </w:r>
            <w:r w:rsidR="00DB325A">
              <w:rPr>
                <w:rFonts w:ascii="Verdana" w:hAnsi="Verdana"/>
                <w:sz w:val="20"/>
                <w:szCs w:val="20"/>
              </w:rPr>
              <w:t>;</w:t>
            </w:r>
          </w:p>
          <w:p w:rsidR="00672D7F" w:rsidRPr="00672D7F" w:rsidRDefault="00672D7F" w:rsidP="00672D7F">
            <w:pPr>
              <w:pStyle w:val="ListParagraph"/>
              <w:numPr>
                <w:ilvl w:val="0"/>
                <w:numId w:val="19"/>
              </w:numPr>
              <w:rPr>
                <w:rFonts w:ascii="Verdana" w:hAnsi="Verdana"/>
                <w:sz w:val="20"/>
                <w:szCs w:val="20"/>
              </w:rPr>
            </w:pPr>
            <w:r w:rsidRPr="00672D7F">
              <w:rPr>
                <w:rFonts w:ascii="Verdana" w:hAnsi="Verdana"/>
                <w:sz w:val="20"/>
                <w:szCs w:val="20"/>
              </w:rPr>
              <w:lastRenderedPageBreak/>
              <w:t xml:space="preserve">Ще се постигне по-голяма информираност по отношение на идентичността на продуктите; </w:t>
            </w:r>
          </w:p>
          <w:p w:rsidR="00672D7F" w:rsidRDefault="00672D7F" w:rsidP="00672D7F">
            <w:pPr>
              <w:pStyle w:val="ListParagraph"/>
              <w:numPr>
                <w:ilvl w:val="0"/>
                <w:numId w:val="19"/>
              </w:numPr>
              <w:rPr>
                <w:rFonts w:ascii="Verdana" w:hAnsi="Verdana"/>
                <w:sz w:val="20"/>
                <w:szCs w:val="20"/>
              </w:rPr>
            </w:pPr>
            <w:r w:rsidRPr="00672D7F">
              <w:rPr>
                <w:rFonts w:ascii="Verdana" w:hAnsi="Verdana"/>
                <w:sz w:val="20"/>
                <w:szCs w:val="20"/>
              </w:rPr>
              <w:t>Изпълняване на изискванията за предоставяне на информация за продуктите;</w:t>
            </w:r>
          </w:p>
          <w:p w:rsidR="00AC004C" w:rsidRDefault="00313FFC" w:rsidP="00555ABE">
            <w:pPr>
              <w:pStyle w:val="ListParagraph"/>
              <w:numPr>
                <w:ilvl w:val="0"/>
                <w:numId w:val="19"/>
              </w:numPr>
              <w:rPr>
                <w:rFonts w:ascii="Verdana" w:hAnsi="Verdana"/>
                <w:sz w:val="20"/>
                <w:szCs w:val="20"/>
              </w:rPr>
            </w:pPr>
            <w:r w:rsidRPr="00313FFC">
              <w:rPr>
                <w:rFonts w:ascii="Verdana" w:hAnsi="Verdana"/>
                <w:sz w:val="20"/>
                <w:szCs w:val="20"/>
              </w:rPr>
              <w:t>Въвеждане на разпоредбите на Директива 2011/91/ЕС</w:t>
            </w:r>
            <w:r w:rsidR="009B79F7">
              <w:rPr>
                <w:rFonts w:ascii="Verdana" w:hAnsi="Verdana"/>
                <w:sz w:val="20"/>
                <w:szCs w:val="20"/>
              </w:rPr>
              <w:t>;</w:t>
            </w:r>
            <w:r w:rsidR="002B3366">
              <w:rPr>
                <w:rFonts w:ascii="Verdana" w:hAnsi="Verdana"/>
                <w:sz w:val="20"/>
                <w:szCs w:val="20"/>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5159"/>
              <w:gridCol w:w="1917"/>
            </w:tblGrid>
            <w:tr w:rsidR="002B3366" w:rsidRPr="00A925A9" w:rsidTr="00F93364">
              <w:tc>
                <w:tcPr>
                  <w:tcW w:w="2955" w:type="dxa"/>
                  <w:shd w:val="clear" w:color="auto" w:fill="auto"/>
                </w:tcPr>
                <w:p w:rsidR="002B3366" w:rsidRPr="00A925A9" w:rsidRDefault="002B3366" w:rsidP="00F93364">
                  <w:pPr>
                    <w:spacing w:before="0" w:beforeAutospacing="0" w:line="360" w:lineRule="auto"/>
                    <w:jc w:val="both"/>
                    <w:rPr>
                      <w:rFonts w:ascii="Verdana" w:eastAsia="Calibri" w:hAnsi="Verdana"/>
                      <w:b/>
                      <w:sz w:val="20"/>
                      <w:szCs w:val="20"/>
                    </w:rPr>
                  </w:pPr>
                  <w:r w:rsidRPr="00A925A9">
                    <w:rPr>
                      <w:rFonts w:ascii="Verdana" w:eastAsia="Calibri" w:hAnsi="Verdana"/>
                      <w:b/>
                      <w:sz w:val="20"/>
                      <w:szCs w:val="20"/>
                    </w:rPr>
                    <w:t>Потребители и домакинства</w:t>
                  </w:r>
                </w:p>
              </w:tc>
              <w:tc>
                <w:tcPr>
                  <w:tcW w:w="5159" w:type="dxa"/>
                  <w:shd w:val="clear" w:color="auto" w:fill="auto"/>
                </w:tcPr>
                <w:p w:rsidR="002B3366" w:rsidRPr="00A925A9" w:rsidRDefault="002B3366" w:rsidP="00F93364">
                  <w:pPr>
                    <w:pStyle w:val="Default"/>
                    <w:spacing w:line="360" w:lineRule="auto"/>
                    <w:jc w:val="both"/>
                    <w:rPr>
                      <w:rFonts w:ascii="Verdana" w:hAnsi="Verdana"/>
                      <w:sz w:val="20"/>
                      <w:szCs w:val="20"/>
                    </w:rPr>
                  </w:pPr>
                  <w:r w:rsidRPr="00A925A9">
                    <w:rPr>
                      <w:rFonts w:ascii="Verdana" w:hAnsi="Verdana"/>
                      <w:sz w:val="20"/>
                      <w:szCs w:val="20"/>
                    </w:rPr>
                    <w:t>Мерките са основно насочени към повишаване на ин</w:t>
                  </w:r>
                  <w:r>
                    <w:rPr>
                      <w:rFonts w:ascii="Verdana" w:hAnsi="Verdana"/>
                      <w:sz w:val="20"/>
                      <w:szCs w:val="20"/>
                    </w:rPr>
                    <w:t>формираността на потребителите чрез получаването на по-добра информация за хранителните продукти.</w:t>
                  </w:r>
                </w:p>
                <w:p w:rsidR="002B3366" w:rsidRPr="00A925A9" w:rsidRDefault="002B3366" w:rsidP="00F93364">
                  <w:pPr>
                    <w:pStyle w:val="Default"/>
                    <w:spacing w:line="360" w:lineRule="auto"/>
                    <w:jc w:val="both"/>
                    <w:rPr>
                      <w:rFonts w:ascii="Verdana" w:hAnsi="Verdana"/>
                      <w:sz w:val="20"/>
                      <w:szCs w:val="20"/>
                    </w:rPr>
                  </w:pPr>
                  <w:r w:rsidRPr="00A925A9">
                    <w:rPr>
                      <w:rFonts w:ascii="Verdana" w:hAnsi="Verdana"/>
                      <w:sz w:val="20"/>
                      <w:szCs w:val="20"/>
                    </w:rPr>
                    <w:t xml:space="preserve">Ограничаването на възможностите за подвеждане и/или измама на потребителите създава предпоставки за предлагане на качествени </w:t>
                  </w:r>
                  <w:r>
                    <w:rPr>
                      <w:rFonts w:ascii="Verdana" w:hAnsi="Verdana"/>
                      <w:sz w:val="20"/>
                      <w:szCs w:val="20"/>
                    </w:rPr>
                    <w:t xml:space="preserve">хранителни </w:t>
                  </w:r>
                  <w:r w:rsidRPr="00A925A9">
                    <w:rPr>
                      <w:rFonts w:ascii="Verdana" w:hAnsi="Verdana"/>
                      <w:sz w:val="20"/>
                      <w:szCs w:val="20"/>
                    </w:rPr>
                    <w:t xml:space="preserve">продукти. Може да се очаква повишаване на доверието на потребителите към </w:t>
                  </w:r>
                  <w:r>
                    <w:rPr>
                      <w:rFonts w:ascii="Verdana" w:hAnsi="Verdana"/>
                      <w:sz w:val="20"/>
                      <w:szCs w:val="20"/>
                    </w:rPr>
                    <w:t xml:space="preserve">предлаганите на пазара храни. </w:t>
                  </w:r>
                </w:p>
                <w:p w:rsidR="002B3366" w:rsidRPr="00A925A9" w:rsidRDefault="002B3366" w:rsidP="00F93364">
                  <w:pPr>
                    <w:pStyle w:val="Default"/>
                    <w:spacing w:line="360" w:lineRule="auto"/>
                    <w:jc w:val="both"/>
                    <w:rPr>
                      <w:rFonts w:ascii="Verdana" w:hAnsi="Verdana"/>
                      <w:sz w:val="20"/>
                      <w:szCs w:val="20"/>
                    </w:rPr>
                  </w:pPr>
                  <w:r w:rsidRPr="00A925A9">
                    <w:rPr>
                      <w:rFonts w:ascii="Verdana" w:hAnsi="Verdana"/>
                      <w:sz w:val="20"/>
                      <w:szCs w:val="20"/>
                    </w:rPr>
                    <w:t xml:space="preserve"> </w:t>
                  </w:r>
                </w:p>
              </w:tc>
              <w:tc>
                <w:tcPr>
                  <w:tcW w:w="1917" w:type="dxa"/>
                  <w:shd w:val="clear" w:color="auto" w:fill="auto"/>
                </w:tcPr>
                <w:p w:rsidR="002B3366" w:rsidRPr="00A925A9" w:rsidRDefault="002B3366" w:rsidP="00F93364">
                  <w:pPr>
                    <w:spacing w:before="0" w:beforeAutospacing="0" w:after="240" w:line="360" w:lineRule="auto"/>
                    <w:jc w:val="both"/>
                    <w:rPr>
                      <w:rFonts w:ascii="Verdana" w:eastAsia="Calibri" w:hAnsi="Verdana"/>
                      <w:sz w:val="20"/>
                      <w:szCs w:val="20"/>
                    </w:rPr>
                  </w:pPr>
                  <w:r w:rsidRPr="00A925A9">
                    <w:rPr>
                      <w:rFonts w:ascii="Verdana" w:eastAsia="Calibri" w:hAnsi="Verdana"/>
                      <w:sz w:val="20"/>
                      <w:szCs w:val="20"/>
                    </w:rPr>
                    <w:t>средно</w:t>
                  </w:r>
                </w:p>
              </w:tc>
            </w:tr>
            <w:tr w:rsidR="002B3366" w:rsidRPr="00A925A9" w:rsidTr="00F93364">
              <w:tc>
                <w:tcPr>
                  <w:tcW w:w="2955" w:type="dxa"/>
                  <w:shd w:val="clear" w:color="auto" w:fill="auto"/>
                </w:tcPr>
                <w:p w:rsidR="002B3366" w:rsidRPr="00A925A9" w:rsidRDefault="002B3366" w:rsidP="00F93364">
                  <w:pPr>
                    <w:pStyle w:val="Default"/>
                    <w:spacing w:line="360" w:lineRule="auto"/>
                    <w:jc w:val="both"/>
                    <w:rPr>
                      <w:rFonts w:ascii="Verdana" w:hAnsi="Verdana"/>
                      <w:sz w:val="20"/>
                      <w:szCs w:val="20"/>
                    </w:rPr>
                  </w:pPr>
                  <w:r w:rsidRPr="00A925A9">
                    <w:rPr>
                      <w:rFonts w:ascii="Verdana" w:hAnsi="Verdana"/>
                      <w:b/>
                      <w:bCs/>
                      <w:sz w:val="20"/>
                      <w:szCs w:val="20"/>
                    </w:rPr>
                    <w:t xml:space="preserve">Трети държави и международни отношения </w:t>
                  </w:r>
                </w:p>
              </w:tc>
              <w:tc>
                <w:tcPr>
                  <w:tcW w:w="5159" w:type="dxa"/>
                  <w:shd w:val="clear" w:color="auto" w:fill="auto"/>
                </w:tcPr>
                <w:p w:rsidR="002B3366" w:rsidRPr="00A925A9" w:rsidRDefault="002B3366" w:rsidP="00F93364">
                  <w:pPr>
                    <w:pStyle w:val="Default"/>
                    <w:spacing w:line="360" w:lineRule="auto"/>
                    <w:jc w:val="both"/>
                    <w:rPr>
                      <w:rFonts w:ascii="Verdana" w:hAnsi="Verdana"/>
                      <w:sz w:val="20"/>
                      <w:szCs w:val="20"/>
                    </w:rPr>
                  </w:pPr>
                  <w:r>
                    <w:rPr>
                      <w:rFonts w:ascii="Verdana" w:hAnsi="Verdana"/>
                      <w:sz w:val="20"/>
                      <w:szCs w:val="20"/>
                    </w:rPr>
                    <w:t xml:space="preserve">Мярката няма отражение върху трети държави и международните отношения.   </w:t>
                  </w:r>
                </w:p>
              </w:tc>
              <w:tc>
                <w:tcPr>
                  <w:tcW w:w="1917" w:type="dxa"/>
                  <w:shd w:val="clear" w:color="auto" w:fill="auto"/>
                </w:tcPr>
                <w:p w:rsidR="002B3366" w:rsidRPr="00A925A9" w:rsidRDefault="002B3366" w:rsidP="00F93364">
                  <w:pPr>
                    <w:spacing w:before="0" w:beforeAutospacing="0" w:after="240" w:line="360" w:lineRule="auto"/>
                    <w:jc w:val="both"/>
                    <w:rPr>
                      <w:rFonts w:ascii="Verdana" w:eastAsia="Calibri" w:hAnsi="Verdana"/>
                      <w:sz w:val="20"/>
                      <w:szCs w:val="20"/>
                    </w:rPr>
                  </w:pPr>
                  <w:r>
                    <w:rPr>
                      <w:rFonts w:ascii="Verdana" w:eastAsia="Calibri" w:hAnsi="Verdana"/>
                      <w:sz w:val="20"/>
                      <w:szCs w:val="20"/>
                    </w:rPr>
                    <w:t>без</w:t>
                  </w:r>
                </w:p>
              </w:tc>
            </w:tr>
            <w:tr w:rsidR="002B3366" w:rsidRPr="00A925A9" w:rsidTr="00F93364">
              <w:tc>
                <w:tcPr>
                  <w:tcW w:w="2955" w:type="dxa"/>
                  <w:shd w:val="clear" w:color="auto" w:fill="auto"/>
                </w:tcPr>
                <w:p w:rsidR="002B3366" w:rsidRPr="00A925A9" w:rsidRDefault="002B3366" w:rsidP="00F93364">
                  <w:pPr>
                    <w:spacing w:before="0" w:beforeAutospacing="0" w:line="360" w:lineRule="auto"/>
                    <w:jc w:val="both"/>
                    <w:rPr>
                      <w:rFonts w:ascii="Verdana" w:eastAsia="Calibri" w:hAnsi="Verdana"/>
                      <w:b/>
                      <w:sz w:val="20"/>
                      <w:szCs w:val="20"/>
                    </w:rPr>
                  </w:pPr>
                  <w:r w:rsidRPr="00A925A9">
                    <w:rPr>
                      <w:rFonts w:ascii="Verdana" w:eastAsia="Calibri" w:hAnsi="Verdana"/>
                      <w:b/>
                      <w:sz w:val="20"/>
                      <w:szCs w:val="20"/>
                    </w:rPr>
                    <w:t>Макроикономическа среда</w:t>
                  </w:r>
                </w:p>
              </w:tc>
              <w:tc>
                <w:tcPr>
                  <w:tcW w:w="5159" w:type="dxa"/>
                  <w:shd w:val="clear" w:color="auto" w:fill="auto"/>
                </w:tcPr>
                <w:p w:rsidR="002B3366" w:rsidRPr="00A925A9" w:rsidRDefault="002B3366" w:rsidP="00F93364">
                  <w:pPr>
                    <w:spacing w:before="0" w:beforeAutospacing="0" w:line="360" w:lineRule="auto"/>
                    <w:jc w:val="both"/>
                    <w:rPr>
                      <w:rFonts w:ascii="Verdana" w:eastAsia="Calibri" w:hAnsi="Verdana"/>
                      <w:sz w:val="20"/>
                      <w:szCs w:val="20"/>
                    </w:rPr>
                  </w:pPr>
                  <w:r w:rsidRPr="00A925A9">
                    <w:rPr>
                      <w:rFonts w:ascii="Verdana" w:eastAsia="Calibri" w:hAnsi="Verdana"/>
                      <w:sz w:val="20"/>
                      <w:szCs w:val="20"/>
                    </w:rPr>
                    <w:t xml:space="preserve">Мярката няма да има значимо макроикономическо отражение. </w:t>
                  </w:r>
                </w:p>
              </w:tc>
              <w:tc>
                <w:tcPr>
                  <w:tcW w:w="1917" w:type="dxa"/>
                  <w:shd w:val="clear" w:color="auto" w:fill="auto"/>
                </w:tcPr>
                <w:p w:rsidR="002B3366" w:rsidRPr="00A925A9" w:rsidRDefault="002B3366" w:rsidP="00F93364">
                  <w:pPr>
                    <w:spacing w:before="0" w:beforeAutospacing="0" w:after="240" w:line="360" w:lineRule="auto"/>
                    <w:jc w:val="both"/>
                    <w:rPr>
                      <w:rFonts w:ascii="Verdana" w:eastAsia="Calibri" w:hAnsi="Verdana"/>
                      <w:sz w:val="20"/>
                      <w:szCs w:val="20"/>
                    </w:rPr>
                  </w:pPr>
                  <w:r w:rsidRPr="00A925A9">
                    <w:rPr>
                      <w:rFonts w:ascii="Verdana" w:eastAsia="Calibri" w:hAnsi="Verdana"/>
                      <w:sz w:val="20"/>
                      <w:szCs w:val="20"/>
                    </w:rPr>
                    <w:t xml:space="preserve">без </w:t>
                  </w:r>
                </w:p>
              </w:tc>
            </w:tr>
            <w:tr w:rsidR="002B3366" w:rsidRPr="00A925A9" w:rsidTr="00F93364">
              <w:tc>
                <w:tcPr>
                  <w:tcW w:w="2955" w:type="dxa"/>
                  <w:shd w:val="clear" w:color="auto" w:fill="auto"/>
                </w:tcPr>
                <w:p w:rsidR="002B3366" w:rsidRPr="00A925A9" w:rsidRDefault="002B3366" w:rsidP="00F93364">
                  <w:pPr>
                    <w:spacing w:before="0" w:beforeAutospacing="0" w:line="360" w:lineRule="auto"/>
                    <w:jc w:val="both"/>
                    <w:rPr>
                      <w:rFonts w:ascii="Verdana" w:eastAsia="Calibri" w:hAnsi="Verdana"/>
                      <w:b/>
                      <w:color w:val="000000"/>
                      <w:sz w:val="20"/>
                      <w:szCs w:val="20"/>
                    </w:rPr>
                  </w:pPr>
                  <w:r w:rsidRPr="00A925A9">
                    <w:rPr>
                      <w:rFonts w:ascii="Verdana" w:eastAsia="Calibri" w:hAnsi="Verdana"/>
                      <w:b/>
                      <w:color w:val="000000"/>
                      <w:sz w:val="20"/>
                      <w:szCs w:val="20"/>
                    </w:rPr>
                    <w:t>Обществено здраве и безопасност</w:t>
                  </w:r>
                </w:p>
              </w:tc>
              <w:tc>
                <w:tcPr>
                  <w:tcW w:w="5159" w:type="dxa"/>
                  <w:shd w:val="clear" w:color="auto" w:fill="auto"/>
                </w:tcPr>
                <w:p w:rsidR="002B3366" w:rsidRPr="00A925A9" w:rsidRDefault="002B3366" w:rsidP="00F93364">
                  <w:pPr>
                    <w:spacing w:before="0" w:beforeAutospacing="0" w:line="360" w:lineRule="auto"/>
                    <w:jc w:val="both"/>
                    <w:rPr>
                      <w:rFonts w:ascii="Verdana" w:eastAsia="Calibri" w:hAnsi="Verdana"/>
                      <w:color w:val="000000"/>
                      <w:sz w:val="20"/>
                      <w:szCs w:val="20"/>
                    </w:rPr>
                  </w:pPr>
                  <w:r w:rsidRPr="00A925A9">
                    <w:rPr>
                      <w:rFonts w:ascii="Verdana" w:eastAsia="Calibri" w:hAnsi="Verdana"/>
                      <w:color w:val="000000"/>
                      <w:sz w:val="20"/>
                      <w:szCs w:val="20"/>
                    </w:rPr>
                    <w:t xml:space="preserve">Мярката има за основна цел да подобри информираността на потребителите и възможностите за контрол върху безопасността и качеството на </w:t>
                  </w:r>
                  <w:r>
                    <w:rPr>
                      <w:rFonts w:ascii="Verdana" w:eastAsia="Calibri" w:hAnsi="Verdana"/>
                      <w:color w:val="000000"/>
                      <w:sz w:val="20"/>
                      <w:szCs w:val="20"/>
                    </w:rPr>
                    <w:t>предлаганите на пазара храни</w:t>
                  </w:r>
                  <w:r w:rsidRPr="00A925A9">
                    <w:rPr>
                      <w:rFonts w:ascii="Verdana" w:eastAsia="Calibri" w:hAnsi="Verdana"/>
                      <w:color w:val="000000"/>
                      <w:sz w:val="20"/>
                      <w:szCs w:val="20"/>
                    </w:rPr>
                    <w:t>. При ефективното й прилагане може да се очаква по-добре информиран избор на потребителя, по-надежден контрол срещу лоши практики за заблуда на потребителя и увеличаване на дела на качествените продукти, предлагани на пазара. Това от своя страна ще окаже положително влияние върху опазването на общественото здраве на потребителя.</w:t>
                  </w:r>
                </w:p>
              </w:tc>
              <w:tc>
                <w:tcPr>
                  <w:tcW w:w="1917" w:type="dxa"/>
                  <w:shd w:val="clear" w:color="auto" w:fill="auto"/>
                </w:tcPr>
                <w:p w:rsidR="002B3366" w:rsidRPr="00A925A9" w:rsidRDefault="002B3366" w:rsidP="00F93364">
                  <w:pPr>
                    <w:spacing w:before="0" w:beforeAutospacing="0" w:after="240" w:line="360" w:lineRule="auto"/>
                    <w:jc w:val="both"/>
                    <w:rPr>
                      <w:rFonts w:ascii="Verdana" w:eastAsia="Calibri" w:hAnsi="Verdana"/>
                      <w:color w:val="000000"/>
                      <w:sz w:val="20"/>
                      <w:szCs w:val="20"/>
                    </w:rPr>
                  </w:pPr>
                  <w:r w:rsidRPr="00A925A9">
                    <w:rPr>
                      <w:rFonts w:ascii="Verdana" w:eastAsia="Calibri" w:hAnsi="Verdana"/>
                      <w:color w:val="000000"/>
                      <w:sz w:val="20"/>
                      <w:szCs w:val="20"/>
                    </w:rPr>
                    <w:t>силно</w:t>
                  </w:r>
                </w:p>
              </w:tc>
            </w:tr>
            <w:tr w:rsidR="002B3366" w:rsidRPr="00A925A9" w:rsidTr="00F93364">
              <w:tc>
                <w:tcPr>
                  <w:tcW w:w="2955" w:type="dxa"/>
                  <w:shd w:val="clear" w:color="auto" w:fill="auto"/>
                </w:tcPr>
                <w:p w:rsidR="002B3366" w:rsidRPr="00A925A9" w:rsidRDefault="002B3366" w:rsidP="00F93364">
                  <w:pPr>
                    <w:spacing w:before="0" w:beforeAutospacing="0" w:line="360" w:lineRule="auto"/>
                    <w:jc w:val="both"/>
                    <w:rPr>
                      <w:rFonts w:ascii="Verdana" w:eastAsia="Calibri" w:hAnsi="Verdana"/>
                      <w:b/>
                      <w:color w:val="000000"/>
                      <w:sz w:val="20"/>
                      <w:szCs w:val="20"/>
                    </w:rPr>
                  </w:pPr>
                  <w:r w:rsidRPr="00A925A9">
                    <w:rPr>
                      <w:rFonts w:ascii="Verdana" w:eastAsia="Calibri" w:hAnsi="Verdana"/>
                      <w:b/>
                      <w:color w:val="000000"/>
                      <w:sz w:val="20"/>
                      <w:szCs w:val="20"/>
                    </w:rPr>
                    <w:t xml:space="preserve">Балансирано </w:t>
                  </w:r>
                  <w:r w:rsidRPr="00A925A9">
                    <w:rPr>
                      <w:rFonts w:ascii="Verdana" w:eastAsia="Calibri" w:hAnsi="Verdana"/>
                      <w:b/>
                      <w:color w:val="000000"/>
                      <w:sz w:val="20"/>
                      <w:szCs w:val="20"/>
                    </w:rPr>
                    <w:lastRenderedPageBreak/>
                    <w:t>демографско развитие</w:t>
                  </w:r>
                </w:p>
              </w:tc>
              <w:tc>
                <w:tcPr>
                  <w:tcW w:w="5159" w:type="dxa"/>
                  <w:shd w:val="clear" w:color="auto" w:fill="auto"/>
                </w:tcPr>
                <w:p w:rsidR="002B3366" w:rsidRPr="00A925A9" w:rsidRDefault="002B3366" w:rsidP="00F93364">
                  <w:pPr>
                    <w:spacing w:before="0" w:beforeAutospacing="0" w:line="360" w:lineRule="auto"/>
                    <w:jc w:val="both"/>
                    <w:rPr>
                      <w:rFonts w:ascii="Verdana" w:eastAsia="Calibri" w:hAnsi="Verdana"/>
                      <w:color w:val="000000"/>
                      <w:sz w:val="20"/>
                      <w:szCs w:val="20"/>
                    </w:rPr>
                  </w:pPr>
                  <w:r w:rsidRPr="00A925A9">
                    <w:rPr>
                      <w:rFonts w:ascii="Verdana" w:eastAsia="Calibri" w:hAnsi="Verdana"/>
                      <w:color w:val="000000"/>
                      <w:sz w:val="20"/>
                      <w:szCs w:val="20"/>
                    </w:rPr>
                    <w:lastRenderedPageBreak/>
                    <w:t>По-качествените храни и информирания</w:t>
                  </w:r>
                  <w:r w:rsidR="00277B0F">
                    <w:rPr>
                      <w:rFonts w:ascii="Verdana" w:eastAsia="Calibri" w:hAnsi="Verdana"/>
                      <w:color w:val="000000"/>
                      <w:sz w:val="20"/>
                      <w:szCs w:val="20"/>
                    </w:rPr>
                    <w:t>т</w:t>
                  </w:r>
                  <w:r w:rsidRPr="00A925A9">
                    <w:rPr>
                      <w:rFonts w:ascii="Verdana" w:eastAsia="Calibri" w:hAnsi="Verdana"/>
                      <w:color w:val="000000"/>
                      <w:sz w:val="20"/>
                      <w:szCs w:val="20"/>
                    </w:rPr>
                    <w:t xml:space="preserve"> </w:t>
                  </w:r>
                  <w:r w:rsidRPr="00A925A9">
                    <w:rPr>
                      <w:rFonts w:ascii="Verdana" w:eastAsia="Calibri" w:hAnsi="Verdana"/>
                      <w:color w:val="000000"/>
                      <w:sz w:val="20"/>
                      <w:szCs w:val="20"/>
                    </w:rPr>
                    <w:lastRenderedPageBreak/>
                    <w:t>потребителски избор подобряват здравните показатели на населението. В по-общ план, повишаването на безопасността и качеството на храните е сред факторите, които определят общото качество на живот</w:t>
                  </w:r>
                  <w:r w:rsidR="00277B0F">
                    <w:rPr>
                      <w:rFonts w:ascii="Verdana" w:eastAsia="Calibri" w:hAnsi="Verdana"/>
                      <w:color w:val="000000"/>
                      <w:sz w:val="20"/>
                      <w:szCs w:val="20"/>
                    </w:rPr>
                    <w:t xml:space="preserve"> в една страна и дългосрочната и</w:t>
                  </w:r>
                  <w:r w:rsidRPr="00A925A9">
                    <w:rPr>
                      <w:rFonts w:ascii="Verdana" w:eastAsia="Calibri" w:hAnsi="Verdana"/>
                      <w:color w:val="000000"/>
                      <w:sz w:val="20"/>
                      <w:szCs w:val="20"/>
                    </w:rPr>
                    <w:t xml:space="preserve"> привлекателност за населението. </w:t>
                  </w:r>
                </w:p>
                <w:p w:rsidR="002B3366" w:rsidRPr="00A925A9" w:rsidRDefault="002B3366" w:rsidP="00F93364">
                  <w:pPr>
                    <w:spacing w:before="0" w:beforeAutospacing="0" w:line="360" w:lineRule="auto"/>
                    <w:jc w:val="both"/>
                    <w:rPr>
                      <w:rFonts w:ascii="Verdana" w:eastAsia="Calibri" w:hAnsi="Verdana"/>
                      <w:color w:val="000000"/>
                      <w:sz w:val="20"/>
                      <w:szCs w:val="20"/>
                    </w:rPr>
                  </w:pPr>
                  <w:r w:rsidRPr="00A925A9">
                    <w:rPr>
                      <w:rFonts w:ascii="Verdana" w:eastAsia="Calibri" w:hAnsi="Verdana"/>
                      <w:color w:val="000000"/>
                      <w:sz w:val="20"/>
                      <w:szCs w:val="20"/>
                    </w:rPr>
                    <w:t xml:space="preserve">Предвижданата регулация може да има незначителен косвен ефект върху демографското развитие, в степента доколкото се постигне една от целите за насърчаване на потреблението на </w:t>
                  </w:r>
                  <w:r>
                    <w:rPr>
                      <w:rFonts w:ascii="Verdana" w:eastAsia="Calibri" w:hAnsi="Verdana"/>
                      <w:color w:val="000000"/>
                      <w:sz w:val="20"/>
                      <w:szCs w:val="20"/>
                    </w:rPr>
                    <w:t xml:space="preserve">качествени и здравословни храни. </w:t>
                  </w:r>
                </w:p>
              </w:tc>
              <w:tc>
                <w:tcPr>
                  <w:tcW w:w="1917" w:type="dxa"/>
                  <w:shd w:val="clear" w:color="auto" w:fill="auto"/>
                </w:tcPr>
                <w:p w:rsidR="002B3366" w:rsidRPr="00A925A9" w:rsidRDefault="002B3366" w:rsidP="00F93364">
                  <w:pPr>
                    <w:spacing w:before="0" w:beforeAutospacing="0" w:after="240" w:line="360" w:lineRule="auto"/>
                    <w:jc w:val="both"/>
                    <w:rPr>
                      <w:rFonts w:ascii="Verdana" w:eastAsia="Calibri" w:hAnsi="Verdana"/>
                      <w:color w:val="000000"/>
                      <w:sz w:val="20"/>
                      <w:szCs w:val="20"/>
                    </w:rPr>
                  </w:pPr>
                  <w:r w:rsidRPr="00A925A9">
                    <w:rPr>
                      <w:rFonts w:ascii="Verdana" w:eastAsia="Calibri" w:hAnsi="Verdana"/>
                      <w:color w:val="000000"/>
                      <w:sz w:val="20"/>
                      <w:szCs w:val="20"/>
                    </w:rPr>
                    <w:lastRenderedPageBreak/>
                    <w:t>слабо</w:t>
                  </w:r>
                </w:p>
              </w:tc>
            </w:tr>
            <w:tr w:rsidR="002B3366" w:rsidRPr="00A925A9" w:rsidTr="00F93364">
              <w:tc>
                <w:tcPr>
                  <w:tcW w:w="2955" w:type="dxa"/>
                  <w:shd w:val="clear" w:color="auto" w:fill="auto"/>
                </w:tcPr>
                <w:p w:rsidR="002B3366" w:rsidRPr="00A925A9" w:rsidRDefault="002B3366" w:rsidP="00F93364">
                  <w:pPr>
                    <w:spacing w:before="0" w:beforeAutospacing="0" w:line="360" w:lineRule="auto"/>
                    <w:jc w:val="both"/>
                    <w:rPr>
                      <w:rFonts w:ascii="Verdana" w:eastAsia="Calibri" w:hAnsi="Verdana"/>
                      <w:b/>
                      <w:color w:val="000000"/>
                      <w:sz w:val="20"/>
                      <w:szCs w:val="20"/>
                    </w:rPr>
                  </w:pPr>
                  <w:r w:rsidRPr="00A925A9">
                    <w:rPr>
                      <w:rFonts w:ascii="Verdana" w:eastAsia="Calibri" w:hAnsi="Verdana"/>
                      <w:b/>
                      <w:color w:val="000000"/>
                      <w:sz w:val="20"/>
                      <w:szCs w:val="20"/>
                    </w:rPr>
                    <w:t>Заетост и пазара на труда</w:t>
                  </w:r>
                </w:p>
              </w:tc>
              <w:tc>
                <w:tcPr>
                  <w:tcW w:w="5159" w:type="dxa"/>
                  <w:shd w:val="clear" w:color="auto" w:fill="auto"/>
                </w:tcPr>
                <w:p w:rsidR="002B3366" w:rsidRPr="00A925A9" w:rsidRDefault="002B3366" w:rsidP="00F93364">
                  <w:pPr>
                    <w:spacing w:before="0" w:beforeAutospacing="0" w:line="360" w:lineRule="auto"/>
                    <w:jc w:val="both"/>
                    <w:rPr>
                      <w:rFonts w:ascii="Verdana" w:eastAsia="Calibri" w:hAnsi="Verdana"/>
                      <w:color w:val="000000"/>
                      <w:sz w:val="20"/>
                      <w:szCs w:val="20"/>
                    </w:rPr>
                  </w:pPr>
                  <w:r>
                    <w:rPr>
                      <w:rFonts w:ascii="Verdana" w:hAnsi="Verdana"/>
                      <w:sz w:val="20"/>
                      <w:szCs w:val="20"/>
                    </w:rPr>
                    <w:t xml:space="preserve">Мярката няма отражение върху заетостта и пазара на труда. </w:t>
                  </w:r>
                </w:p>
              </w:tc>
              <w:tc>
                <w:tcPr>
                  <w:tcW w:w="1917" w:type="dxa"/>
                  <w:shd w:val="clear" w:color="auto" w:fill="auto"/>
                </w:tcPr>
                <w:p w:rsidR="002B3366" w:rsidRPr="00A925A9" w:rsidRDefault="002B3366" w:rsidP="00F93364">
                  <w:pPr>
                    <w:spacing w:before="0" w:beforeAutospacing="0" w:after="240" w:line="360" w:lineRule="auto"/>
                    <w:jc w:val="both"/>
                    <w:rPr>
                      <w:rFonts w:ascii="Verdana" w:eastAsia="Calibri" w:hAnsi="Verdana"/>
                      <w:color w:val="000000"/>
                      <w:sz w:val="20"/>
                      <w:szCs w:val="20"/>
                    </w:rPr>
                  </w:pPr>
                  <w:r>
                    <w:rPr>
                      <w:rFonts w:ascii="Verdana" w:eastAsia="Calibri" w:hAnsi="Verdana"/>
                      <w:color w:val="000000"/>
                      <w:sz w:val="20"/>
                      <w:szCs w:val="20"/>
                    </w:rPr>
                    <w:t>без</w:t>
                  </w:r>
                </w:p>
              </w:tc>
            </w:tr>
            <w:tr w:rsidR="002B3366" w:rsidRPr="00A925A9" w:rsidTr="00F93364">
              <w:tc>
                <w:tcPr>
                  <w:tcW w:w="2955" w:type="dxa"/>
                  <w:shd w:val="clear" w:color="auto" w:fill="auto"/>
                </w:tcPr>
                <w:p w:rsidR="002B3366" w:rsidRPr="00A925A9" w:rsidRDefault="002B3366" w:rsidP="00F93364">
                  <w:pPr>
                    <w:spacing w:before="0" w:beforeAutospacing="0" w:line="360" w:lineRule="auto"/>
                    <w:jc w:val="both"/>
                    <w:rPr>
                      <w:rFonts w:ascii="Verdana" w:eastAsia="Calibri" w:hAnsi="Verdana"/>
                      <w:b/>
                      <w:color w:val="000000"/>
                      <w:sz w:val="20"/>
                      <w:szCs w:val="20"/>
                    </w:rPr>
                  </w:pPr>
                  <w:r w:rsidRPr="00A925A9">
                    <w:rPr>
                      <w:rFonts w:ascii="Verdana" w:eastAsia="Calibri" w:hAnsi="Verdana"/>
                      <w:b/>
                      <w:color w:val="000000"/>
                      <w:sz w:val="20"/>
                      <w:szCs w:val="20"/>
                    </w:rPr>
                    <w:t>Екологични въздействия</w:t>
                  </w:r>
                </w:p>
              </w:tc>
              <w:tc>
                <w:tcPr>
                  <w:tcW w:w="5159" w:type="dxa"/>
                  <w:shd w:val="clear" w:color="auto" w:fill="auto"/>
                </w:tcPr>
                <w:p w:rsidR="002B3366" w:rsidRPr="00A925A9" w:rsidRDefault="002B3366" w:rsidP="00F93364">
                  <w:pPr>
                    <w:spacing w:before="0" w:beforeAutospacing="0" w:line="360" w:lineRule="auto"/>
                    <w:jc w:val="both"/>
                    <w:rPr>
                      <w:rFonts w:ascii="Verdana" w:eastAsia="Calibri" w:hAnsi="Verdana"/>
                      <w:color w:val="000000"/>
                      <w:sz w:val="20"/>
                      <w:szCs w:val="20"/>
                    </w:rPr>
                  </w:pPr>
                  <w:r w:rsidRPr="00A925A9">
                    <w:rPr>
                      <w:rFonts w:ascii="Verdana" w:eastAsia="Calibri" w:hAnsi="Verdana"/>
                      <w:color w:val="000000"/>
                      <w:sz w:val="20"/>
                      <w:szCs w:val="20"/>
                    </w:rPr>
                    <w:t>Предлаганата промяна не се очаква да има екологични въздействия.</w:t>
                  </w:r>
                </w:p>
              </w:tc>
              <w:tc>
                <w:tcPr>
                  <w:tcW w:w="1917" w:type="dxa"/>
                  <w:shd w:val="clear" w:color="auto" w:fill="auto"/>
                </w:tcPr>
                <w:p w:rsidR="002B3366" w:rsidRPr="00A925A9" w:rsidRDefault="002B3366" w:rsidP="00F93364">
                  <w:pPr>
                    <w:spacing w:before="0" w:beforeAutospacing="0" w:after="240" w:line="360" w:lineRule="auto"/>
                    <w:jc w:val="both"/>
                    <w:rPr>
                      <w:rFonts w:ascii="Verdana" w:eastAsia="Calibri" w:hAnsi="Verdana"/>
                      <w:color w:val="000000"/>
                      <w:sz w:val="20"/>
                      <w:szCs w:val="20"/>
                    </w:rPr>
                  </w:pPr>
                  <w:r w:rsidRPr="00A925A9">
                    <w:rPr>
                      <w:rFonts w:ascii="Verdana" w:eastAsia="Calibri" w:hAnsi="Verdana"/>
                      <w:color w:val="000000"/>
                      <w:sz w:val="20"/>
                      <w:szCs w:val="20"/>
                    </w:rPr>
                    <w:t>без</w:t>
                  </w:r>
                </w:p>
              </w:tc>
            </w:tr>
          </w:tbl>
          <w:p w:rsidR="00672D7F" w:rsidRPr="00A925A9" w:rsidRDefault="00672D7F" w:rsidP="00672D7F">
            <w:pPr>
              <w:pStyle w:val="ListParagraph"/>
              <w:spacing w:after="0" w:line="360" w:lineRule="auto"/>
              <w:rPr>
                <w:rFonts w:ascii="Verdana" w:hAnsi="Verdana"/>
                <w:sz w:val="20"/>
                <w:szCs w:val="20"/>
              </w:rPr>
            </w:pPr>
          </w:p>
        </w:tc>
      </w:tr>
      <w:tr w:rsidR="006222FE" w:rsidRPr="00A925A9" w:rsidTr="00D96F7C">
        <w:trPr>
          <w:trHeight w:val="142"/>
        </w:trPr>
        <w:tc>
          <w:tcPr>
            <w:tcW w:w="10257" w:type="dxa"/>
            <w:gridSpan w:val="2"/>
            <w:shd w:val="clear" w:color="auto" w:fill="auto"/>
          </w:tcPr>
          <w:p w:rsidR="006222FE" w:rsidRPr="00A925A9" w:rsidRDefault="006222FE" w:rsidP="00CC3C6C">
            <w:pPr>
              <w:spacing w:before="0" w:beforeAutospacing="0" w:after="0" w:line="360" w:lineRule="auto"/>
              <w:ind w:left="142" w:right="475"/>
              <w:jc w:val="both"/>
              <w:rPr>
                <w:rFonts w:ascii="Verdana" w:hAnsi="Verdana"/>
                <w:b/>
                <w:sz w:val="20"/>
                <w:szCs w:val="20"/>
              </w:rPr>
            </w:pPr>
            <w:r w:rsidRPr="00A925A9">
              <w:rPr>
                <w:rFonts w:ascii="Verdana" w:hAnsi="Verdana"/>
                <w:b/>
                <w:sz w:val="20"/>
                <w:szCs w:val="20"/>
              </w:rPr>
              <w:lastRenderedPageBreak/>
              <w:t>7. Потенциални рискове:</w:t>
            </w:r>
          </w:p>
          <w:p w:rsidR="006222FE" w:rsidRPr="00A925A9" w:rsidRDefault="006222FE" w:rsidP="00CC3C6C">
            <w:pPr>
              <w:spacing w:before="0" w:beforeAutospacing="0" w:after="0" w:line="360" w:lineRule="auto"/>
              <w:ind w:left="142" w:right="475"/>
              <w:jc w:val="both"/>
              <w:rPr>
                <w:rFonts w:ascii="Verdana" w:hAnsi="Verdana"/>
                <w:b/>
                <w:i/>
                <w:sz w:val="20"/>
                <w:szCs w:val="20"/>
              </w:rPr>
            </w:pPr>
            <w:r w:rsidRPr="00A925A9">
              <w:rPr>
                <w:rFonts w:ascii="Verdana" w:hAnsi="Verdana"/>
                <w:b/>
                <w:i/>
                <w:sz w:val="20"/>
                <w:szCs w:val="20"/>
              </w:rPr>
              <w:t>Посочете възможните рискове от приемането на нормативната промяна, включително възникване на съдебни спорове.</w:t>
            </w:r>
          </w:p>
          <w:p w:rsidR="00CE0A81" w:rsidRDefault="00CE0A81" w:rsidP="00CC3C6C">
            <w:pPr>
              <w:spacing w:before="0" w:beforeAutospacing="0" w:after="0" w:line="360" w:lineRule="auto"/>
              <w:ind w:left="142" w:right="475"/>
              <w:jc w:val="both"/>
              <w:rPr>
                <w:rFonts w:ascii="Verdana" w:hAnsi="Verdana" w:cs="Arial"/>
                <w:sz w:val="20"/>
                <w:szCs w:val="20"/>
                <w:shd w:val="clear" w:color="auto" w:fill="FEFEFE"/>
              </w:rPr>
            </w:pPr>
            <w:r w:rsidRPr="00A925A9">
              <w:rPr>
                <w:rFonts w:ascii="Verdana" w:hAnsi="Verdana" w:cs="Arial"/>
                <w:sz w:val="20"/>
                <w:szCs w:val="20"/>
                <w:shd w:val="clear" w:color="auto" w:fill="FEFEFE"/>
              </w:rPr>
              <w:t>Не са идентифицирани специфични рискове.</w:t>
            </w:r>
            <w:r w:rsidR="00EB0733">
              <w:rPr>
                <w:rFonts w:ascii="Verdana" w:hAnsi="Verdana" w:cs="Arial"/>
                <w:sz w:val="20"/>
                <w:szCs w:val="20"/>
                <w:shd w:val="clear" w:color="auto" w:fill="FEFEFE"/>
              </w:rPr>
              <w:t xml:space="preserve"> </w:t>
            </w:r>
          </w:p>
          <w:p w:rsidR="00EB0733" w:rsidRPr="00A925A9" w:rsidRDefault="00EB0733" w:rsidP="00CC3C6C">
            <w:pPr>
              <w:spacing w:before="0" w:beforeAutospacing="0" w:after="0" w:line="360" w:lineRule="auto"/>
              <w:ind w:left="142" w:right="475"/>
              <w:jc w:val="both"/>
              <w:rPr>
                <w:rFonts w:ascii="Verdana" w:hAnsi="Verdana"/>
                <w:i/>
                <w:sz w:val="20"/>
                <w:szCs w:val="20"/>
              </w:rPr>
            </w:pPr>
            <w:r>
              <w:rPr>
                <w:rFonts w:ascii="Verdana" w:hAnsi="Verdana"/>
                <w:sz w:val="20"/>
                <w:szCs w:val="20"/>
              </w:rPr>
              <w:t xml:space="preserve">     </w:t>
            </w:r>
            <w:r w:rsidRPr="00A925A9">
              <w:rPr>
                <w:rFonts w:ascii="Verdana" w:hAnsi="Verdana" w:cs="Verdana"/>
                <w:sz w:val="20"/>
                <w:szCs w:val="20"/>
              </w:rPr>
              <w:t xml:space="preserve"> </w:t>
            </w:r>
            <w:r>
              <w:rPr>
                <w:rFonts w:ascii="Verdana" w:hAnsi="Verdana" w:cs="Verdana"/>
                <w:sz w:val="20"/>
                <w:szCs w:val="20"/>
              </w:rPr>
              <w:t xml:space="preserve"> С предложените в проекта изисквания се </w:t>
            </w:r>
            <w:r>
              <w:rPr>
                <w:rFonts w:ascii="Verdana" w:hAnsi="Verdana"/>
                <w:sz w:val="20"/>
                <w:szCs w:val="20"/>
              </w:rPr>
              <w:t>с</w:t>
            </w:r>
            <w:r w:rsidRPr="00A925A9">
              <w:rPr>
                <w:rFonts w:ascii="Verdana" w:hAnsi="Verdana"/>
                <w:sz w:val="20"/>
                <w:szCs w:val="20"/>
              </w:rPr>
              <w:t>ъздават предпоставки за повишаване на ефективността на контрола върху спазването на изискванията за обозначаване</w:t>
            </w:r>
            <w:r>
              <w:rPr>
                <w:rFonts w:ascii="Verdana" w:hAnsi="Verdana"/>
                <w:sz w:val="20"/>
                <w:szCs w:val="20"/>
              </w:rPr>
              <w:t>, етикетиране, предлагане и продажба на храните</w:t>
            </w:r>
            <w:r w:rsidRPr="00A925A9">
              <w:rPr>
                <w:rFonts w:ascii="Verdana" w:hAnsi="Verdana"/>
                <w:sz w:val="20"/>
                <w:szCs w:val="20"/>
              </w:rPr>
              <w:t>.</w:t>
            </w:r>
          </w:p>
          <w:p w:rsidR="001268A5" w:rsidRPr="00A925A9" w:rsidRDefault="001268A5" w:rsidP="002B3366">
            <w:pPr>
              <w:spacing w:before="0" w:beforeAutospacing="0" w:after="0" w:afterAutospacing="0" w:line="360" w:lineRule="auto"/>
              <w:ind w:right="476"/>
              <w:jc w:val="both"/>
              <w:rPr>
                <w:rFonts w:ascii="Verdana" w:hAnsi="Verdana"/>
                <w:sz w:val="20"/>
                <w:szCs w:val="20"/>
              </w:rPr>
            </w:pPr>
          </w:p>
        </w:tc>
      </w:tr>
      <w:tr w:rsidR="006222FE" w:rsidRPr="00A925A9" w:rsidTr="00D96F7C">
        <w:trPr>
          <w:trHeight w:val="142"/>
        </w:trPr>
        <w:tc>
          <w:tcPr>
            <w:tcW w:w="10257" w:type="dxa"/>
            <w:gridSpan w:val="2"/>
            <w:shd w:val="clear" w:color="auto" w:fill="auto"/>
          </w:tcPr>
          <w:p w:rsidR="006222FE" w:rsidRPr="00A925A9" w:rsidRDefault="006222FE" w:rsidP="00CC3C6C">
            <w:pPr>
              <w:spacing w:before="0" w:beforeAutospacing="0" w:after="0" w:afterAutospacing="0" w:line="360" w:lineRule="auto"/>
              <w:jc w:val="both"/>
              <w:rPr>
                <w:rFonts w:ascii="Verdana" w:hAnsi="Verdana"/>
                <w:b/>
                <w:sz w:val="20"/>
                <w:szCs w:val="20"/>
              </w:rPr>
            </w:pPr>
            <w:r w:rsidRPr="00A925A9">
              <w:rPr>
                <w:rFonts w:ascii="Verdana" w:hAnsi="Verdana"/>
                <w:b/>
                <w:sz w:val="20"/>
                <w:szCs w:val="20"/>
              </w:rPr>
              <w:t>8.1. Административната тежест за физическите и юридическите лица:</w:t>
            </w:r>
          </w:p>
          <w:p w:rsidR="00133F2F" w:rsidRPr="00A925A9" w:rsidRDefault="00133F2F" w:rsidP="00CC3C6C">
            <w:pPr>
              <w:pStyle w:val="Default"/>
              <w:spacing w:line="360" w:lineRule="auto"/>
              <w:jc w:val="both"/>
              <w:rPr>
                <w:rFonts w:ascii="Verdana" w:hAnsi="Verdana"/>
                <w:sz w:val="20"/>
                <w:szCs w:val="20"/>
              </w:rPr>
            </w:pPr>
            <w:r w:rsidRPr="00A925A9">
              <w:rPr>
                <w:rFonts w:ascii="Verdana" w:hAnsi="Verdana"/>
                <w:sz w:val="20"/>
                <w:szCs w:val="20"/>
              </w:rPr>
              <w:t>За наложените промените не се очаква да доведат до увеличаване на административната тежест върху бизнеса.</w:t>
            </w:r>
          </w:p>
          <w:p w:rsidR="00133F2F" w:rsidRPr="00A925A9" w:rsidRDefault="00133F2F" w:rsidP="00CC3C6C">
            <w:pPr>
              <w:pStyle w:val="Default"/>
              <w:spacing w:line="360" w:lineRule="auto"/>
              <w:jc w:val="both"/>
              <w:rPr>
                <w:rFonts w:ascii="Verdana" w:hAnsi="Verdana"/>
                <w:sz w:val="20"/>
                <w:szCs w:val="20"/>
              </w:rPr>
            </w:pPr>
          </w:p>
          <w:p w:rsidR="006222FE" w:rsidRPr="00A925A9" w:rsidRDefault="006222FE" w:rsidP="00CC3C6C">
            <w:pPr>
              <w:spacing w:before="0" w:beforeAutospacing="0" w:after="0" w:afterAutospacing="0" w:line="360" w:lineRule="auto"/>
              <w:jc w:val="both"/>
              <w:rPr>
                <w:rFonts w:ascii="Verdana" w:hAnsi="Verdana"/>
                <w:sz w:val="20"/>
                <w:szCs w:val="20"/>
              </w:rPr>
            </w:pPr>
            <w:r w:rsidRPr="00A925A9">
              <w:rPr>
                <w:rFonts w:ascii="MS Gothic" w:eastAsia="MS Gothic" w:hAnsi="MS Gothic" w:cs="MS Gothic" w:hint="eastAsia"/>
                <w:sz w:val="20"/>
                <w:szCs w:val="20"/>
              </w:rPr>
              <w:t>☐</w:t>
            </w:r>
            <w:r w:rsidRPr="00A925A9">
              <w:rPr>
                <w:rFonts w:ascii="Verdana" w:hAnsi="Verdana"/>
                <w:sz w:val="20"/>
                <w:szCs w:val="20"/>
              </w:rPr>
              <w:t xml:space="preserve"> Ще се повиши</w:t>
            </w:r>
          </w:p>
          <w:p w:rsidR="006222FE" w:rsidRPr="00A925A9" w:rsidRDefault="00F65D28" w:rsidP="00CC3C6C">
            <w:pPr>
              <w:spacing w:before="0" w:beforeAutospacing="0" w:after="0" w:afterAutospacing="0" w:line="360" w:lineRule="auto"/>
              <w:jc w:val="both"/>
              <w:rPr>
                <w:rFonts w:ascii="Verdana" w:hAnsi="Verdana"/>
                <w:sz w:val="20"/>
                <w:szCs w:val="20"/>
                <w:u w:val="single"/>
              </w:rPr>
            </w:pPr>
            <w:r w:rsidRPr="00A925A9">
              <w:rPr>
                <w:rFonts w:ascii="MS Gothic" w:eastAsia="MS Gothic" w:hAnsi="MS Gothic" w:cs="MS Gothic" w:hint="eastAsia"/>
                <w:sz w:val="20"/>
                <w:szCs w:val="20"/>
              </w:rPr>
              <w:t>☐</w:t>
            </w:r>
            <w:r w:rsidRPr="00A925A9">
              <w:rPr>
                <w:rFonts w:ascii="Verdana" w:eastAsia="MS Mincho" w:hAnsi="Verdana" w:cs="MS Mincho"/>
                <w:sz w:val="20"/>
                <w:szCs w:val="20"/>
              </w:rPr>
              <w:t xml:space="preserve"> </w:t>
            </w:r>
            <w:r w:rsidR="006222FE" w:rsidRPr="00A925A9">
              <w:rPr>
                <w:rFonts w:ascii="Verdana" w:hAnsi="Verdana"/>
                <w:sz w:val="20"/>
                <w:szCs w:val="20"/>
              </w:rPr>
              <w:t>Ще се намали.</w:t>
            </w:r>
          </w:p>
          <w:p w:rsidR="006222FE" w:rsidRPr="00A925A9" w:rsidRDefault="00F65D28" w:rsidP="00CC3C6C">
            <w:pPr>
              <w:spacing w:before="0" w:beforeAutospacing="0" w:after="0" w:afterAutospacing="0" w:line="360" w:lineRule="auto"/>
              <w:jc w:val="both"/>
              <w:rPr>
                <w:rFonts w:ascii="Verdana" w:hAnsi="Verdana"/>
                <w:sz w:val="20"/>
                <w:szCs w:val="20"/>
              </w:rPr>
            </w:pPr>
            <w:r w:rsidRPr="00A925A9">
              <w:rPr>
                <w:rFonts w:ascii="MS Gothic" w:eastAsia="MS Gothic" w:hAnsi="MS Gothic" w:cs="MS Gothic" w:hint="eastAsia"/>
                <w:sz w:val="20"/>
                <w:szCs w:val="20"/>
              </w:rPr>
              <w:lastRenderedPageBreak/>
              <w:t>☒</w:t>
            </w:r>
            <w:r w:rsidRPr="00A925A9">
              <w:rPr>
                <w:rFonts w:ascii="Verdana" w:eastAsia="Arial Unicode MS" w:hAnsi="Verdana" w:cs="Arial Unicode MS"/>
                <w:sz w:val="20"/>
                <w:szCs w:val="20"/>
              </w:rPr>
              <w:t xml:space="preserve"> </w:t>
            </w:r>
            <w:r w:rsidR="006222FE" w:rsidRPr="00A925A9">
              <w:rPr>
                <w:rFonts w:ascii="Verdana" w:hAnsi="Verdana"/>
                <w:sz w:val="20"/>
                <w:szCs w:val="20"/>
              </w:rPr>
              <w:t>Няма ефект</w:t>
            </w:r>
          </w:p>
          <w:p w:rsidR="00133F2F" w:rsidRPr="00A925A9" w:rsidRDefault="00133F2F" w:rsidP="00CC3C6C">
            <w:pPr>
              <w:spacing w:before="0" w:beforeAutospacing="0" w:after="0" w:afterAutospacing="0" w:line="360" w:lineRule="auto"/>
              <w:jc w:val="both"/>
              <w:rPr>
                <w:rFonts w:ascii="Verdana" w:hAnsi="Verdana"/>
                <w:b/>
                <w:sz w:val="20"/>
                <w:szCs w:val="20"/>
              </w:rPr>
            </w:pPr>
          </w:p>
          <w:p w:rsidR="00CE0A81" w:rsidRPr="00A925A9" w:rsidRDefault="006222FE" w:rsidP="00CC3C6C">
            <w:pPr>
              <w:spacing w:before="0" w:beforeAutospacing="0" w:after="0" w:afterAutospacing="0" w:line="360" w:lineRule="auto"/>
              <w:jc w:val="both"/>
              <w:rPr>
                <w:rFonts w:ascii="Verdana" w:hAnsi="Verdana"/>
                <w:b/>
                <w:sz w:val="20"/>
                <w:szCs w:val="20"/>
              </w:rPr>
            </w:pPr>
            <w:r w:rsidRPr="00A925A9">
              <w:rPr>
                <w:rFonts w:ascii="Verdana" w:hAnsi="Verdana"/>
                <w:b/>
                <w:sz w:val="20"/>
                <w:szCs w:val="20"/>
              </w:rPr>
              <w:t>8.2. Създават ли се нови регулаторни режими? Засягат ли се съществуващи режими и услуги?</w:t>
            </w:r>
          </w:p>
          <w:p w:rsidR="00F65D28" w:rsidRPr="00A925A9" w:rsidRDefault="00CE0A81" w:rsidP="00666783">
            <w:pPr>
              <w:spacing w:before="0" w:beforeAutospacing="0" w:after="0" w:afterAutospacing="0" w:line="360" w:lineRule="auto"/>
              <w:jc w:val="both"/>
              <w:rPr>
                <w:rFonts w:ascii="Verdana" w:hAnsi="Verdana"/>
                <w:b/>
                <w:sz w:val="20"/>
                <w:szCs w:val="20"/>
              </w:rPr>
            </w:pPr>
            <w:r w:rsidRPr="00A925A9">
              <w:rPr>
                <w:rFonts w:ascii="Verdana" w:hAnsi="Verdana"/>
                <w:b/>
                <w:sz w:val="20"/>
                <w:szCs w:val="20"/>
              </w:rPr>
              <w:t xml:space="preserve">     </w:t>
            </w:r>
            <w:r w:rsidRPr="00A925A9">
              <w:rPr>
                <w:rFonts w:ascii="Verdana" w:eastAsia="Calibri" w:hAnsi="Verdana"/>
                <w:sz w:val="20"/>
                <w:szCs w:val="20"/>
              </w:rPr>
              <w:t>С проекта</w:t>
            </w:r>
            <w:r w:rsidRPr="00A925A9">
              <w:rPr>
                <w:rFonts w:ascii="Verdana" w:hAnsi="Verdana"/>
                <w:sz w:val="20"/>
                <w:szCs w:val="20"/>
              </w:rPr>
              <w:t xml:space="preserve"> </w:t>
            </w:r>
            <w:r w:rsidR="006A4485">
              <w:rPr>
                <w:rFonts w:ascii="Verdana" w:hAnsi="Verdana"/>
                <w:sz w:val="20"/>
                <w:szCs w:val="20"/>
              </w:rPr>
              <w:t xml:space="preserve">на </w:t>
            </w:r>
            <w:r w:rsidR="00D05F53">
              <w:rPr>
                <w:rFonts w:ascii="Verdana" w:hAnsi="Verdana"/>
                <w:sz w:val="20"/>
                <w:szCs w:val="20"/>
              </w:rPr>
              <w:t xml:space="preserve">ПМС </w:t>
            </w:r>
            <w:r w:rsidRPr="00A925A9">
              <w:rPr>
                <w:rFonts w:ascii="Verdana" w:hAnsi="Verdana"/>
                <w:sz w:val="20"/>
                <w:szCs w:val="20"/>
              </w:rPr>
              <w:t xml:space="preserve">за </w:t>
            </w:r>
            <w:r w:rsidR="00396334">
              <w:rPr>
                <w:rFonts w:ascii="Verdana" w:hAnsi="Verdana"/>
                <w:sz w:val="20"/>
                <w:szCs w:val="20"/>
              </w:rPr>
              <w:t xml:space="preserve">приемане </w:t>
            </w:r>
            <w:r w:rsidRPr="00A925A9">
              <w:rPr>
                <w:rFonts w:ascii="Verdana" w:hAnsi="Verdana"/>
                <w:sz w:val="20"/>
                <w:szCs w:val="20"/>
              </w:rPr>
              <w:t>на Наредба</w:t>
            </w:r>
            <w:r w:rsidR="00D05F53">
              <w:rPr>
                <w:rFonts w:ascii="Verdana" w:hAnsi="Verdana"/>
                <w:sz w:val="20"/>
                <w:szCs w:val="20"/>
              </w:rPr>
              <w:t>та</w:t>
            </w:r>
            <w:r w:rsidRPr="00A925A9">
              <w:rPr>
                <w:rFonts w:ascii="Verdana" w:hAnsi="Verdana"/>
                <w:sz w:val="20"/>
                <w:szCs w:val="20"/>
              </w:rPr>
              <w:t xml:space="preserve"> за </w:t>
            </w:r>
            <w:r w:rsidR="00666783">
              <w:rPr>
                <w:rFonts w:ascii="Verdana" w:hAnsi="Verdana"/>
                <w:sz w:val="20"/>
                <w:szCs w:val="20"/>
              </w:rPr>
              <w:t xml:space="preserve">предоставянето на информация на потребителите за храните </w:t>
            </w:r>
            <w:r w:rsidRPr="00A925A9">
              <w:rPr>
                <w:rFonts w:ascii="Verdana" w:eastAsia="Calibri" w:hAnsi="Verdana"/>
                <w:sz w:val="20"/>
                <w:szCs w:val="20"/>
              </w:rPr>
              <w:t>не се създават нови регулаторни режими</w:t>
            </w:r>
            <w:r w:rsidRPr="00A925A9">
              <w:rPr>
                <w:rFonts w:ascii="Verdana" w:hAnsi="Verdana"/>
                <w:sz w:val="20"/>
                <w:szCs w:val="20"/>
              </w:rPr>
              <w:t xml:space="preserve"> и не се засягат съществуващи режими и услуги.</w:t>
            </w:r>
          </w:p>
        </w:tc>
      </w:tr>
      <w:tr w:rsidR="006222FE" w:rsidRPr="00A925A9" w:rsidTr="00D96F7C">
        <w:trPr>
          <w:trHeight w:val="142"/>
        </w:trPr>
        <w:tc>
          <w:tcPr>
            <w:tcW w:w="10257" w:type="dxa"/>
            <w:gridSpan w:val="2"/>
            <w:shd w:val="clear" w:color="auto" w:fill="auto"/>
          </w:tcPr>
          <w:p w:rsidR="006222FE" w:rsidRPr="00A925A9" w:rsidRDefault="006222FE" w:rsidP="00CC3C6C">
            <w:pPr>
              <w:spacing w:before="0" w:beforeAutospacing="0" w:after="0" w:afterAutospacing="0" w:line="360" w:lineRule="auto"/>
              <w:jc w:val="both"/>
              <w:rPr>
                <w:rFonts w:ascii="Verdana" w:hAnsi="Verdana"/>
                <w:b/>
                <w:sz w:val="20"/>
                <w:szCs w:val="20"/>
              </w:rPr>
            </w:pPr>
            <w:r w:rsidRPr="00A925A9">
              <w:rPr>
                <w:rFonts w:ascii="Verdana" w:hAnsi="Verdana"/>
                <w:b/>
                <w:sz w:val="20"/>
                <w:szCs w:val="20"/>
              </w:rPr>
              <w:lastRenderedPageBreak/>
              <w:t>9. Създават ли се нови регистри?</w:t>
            </w:r>
          </w:p>
          <w:p w:rsidR="00C10BFB" w:rsidRPr="00A925A9" w:rsidRDefault="006222FE" w:rsidP="00CC3C6C">
            <w:pPr>
              <w:spacing w:before="0" w:beforeAutospacing="0" w:after="0" w:afterAutospacing="0" w:line="360" w:lineRule="auto"/>
              <w:jc w:val="both"/>
              <w:rPr>
                <w:rFonts w:ascii="Verdana" w:hAnsi="Verdana"/>
                <w:b/>
                <w:i/>
                <w:sz w:val="20"/>
                <w:szCs w:val="20"/>
              </w:rPr>
            </w:pPr>
            <w:r w:rsidRPr="00A925A9">
              <w:rPr>
                <w:rFonts w:ascii="Verdana" w:hAnsi="Verdana"/>
                <w:b/>
                <w:i/>
                <w:sz w:val="20"/>
                <w:szCs w:val="20"/>
              </w:rPr>
              <w:t>Когато отговорът е „да“, посочете колко и кои са те</w:t>
            </w:r>
            <w:r w:rsidR="003A1D1D" w:rsidRPr="00A925A9">
              <w:rPr>
                <w:rFonts w:ascii="Verdana" w:hAnsi="Verdana"/>
                <w:b/>
                <w:i/>
                <w:sz w:val="20"/>
                <w:szCs w:val="20"/>
              </w:rPr>
              <w:t>?</w:t>
            </w:r>
          </w:p>
          <w:p w:rsidR="00C10BFB" w:rsidRPr="00A925A9" w:rsidRDefault="003A1D1D" w:rsidP="00CC3C6C">
            <w:pPr>
              <w:spacing w:after="120" w:line="360" w:lineRule="auto"/>
              <w:ind w:firstLine="720"/>
              <w:jc w:val="both"/>
              <w:rPr>
                <w:rFonts w:ascii="Verdana" w:eastAsia="Calibri" w:hAnsi="Verdana"/>
                <w:sz w:val="20"/>
                <w:szCs w:val="20"/>
              </w:rPr>
            </w:pPr>
            <w:r w:rsidRPr="00A925A9">
              <w:rPr>
                <w:rFonts w:ascii="Verdana" w:eastAsia="Calibri" w:hAnsi="Verdana"/>
                <w:sz w:val="20"/>
                <w:szCs w:val="20"/>
              </w:rPr>
              <w:t>Не се създават нови регулаторни режими, нито се предвижда по същество нова процедура на регистрация.</w:t>
            </w:r>
          </w:p>
        </w:tc>
      </w:tr>
      <w:tr w:rsidR="006222FE" w:rsidRPr="00A925A9" w:rsidTr="00D96F7C">
        <w:trPr>
          <w:trHeight w:val="142"/>
        </w:trPr>
        <w:tc>
          <w:tcPr>
            <w:tcW w:w="10257" w:type="dxa"/>
            <w:gridSpan w:val="2"/>
            <w:shd w:val="clear" w:color="auto" w:fill="auto"/>
          </w:tcPr>
          <w:p w:rsidR="006222FE" w:rsidRPr="00A925A9" w:rsidRDefault="006222FE" w:rsidP="00CC3C6C">
            <w:pPr>
              <w:spacing w:before="0" w:beforeAutospacing="0" w:after="0" w:afterAutospacing="0" w:line="360" w:lineRule="auto"/>
              <w:jc w:val="both"/>
              <w:rPr>
                <w:rFonts w:ascii="Verdana" w:hAnsi="Verdana"/>
                <w:b/>
                <w:sz w:val="20"/>
                <w:szCs w:val="20"/>
              </w:rPr>
            </w:pPr>
            <w:r w:rsidRPr="00A925A9">
              <w:rPr>
                <w:rFonts w:ascii="Verdana" w:hAnsi="Verdana"/>
                <w:b/>
                <w:sz w:val="20"/>
                <w:szCs w:val="20"/>
              </w:rPr>
              <w:t>10. Как въздейства актът върху микро-, малките и средните предприятия (МСП)?</w:t>
            </w:r>
          </w:p>
          <w:p w:rsidR="00C10BFB" w:rsidRPr="00A925A9" w:rsidRDefault="00F31F29" w:rsidP="00CC3C6C">
            <w:pPr>
              <w:spacing w:before="0" w:beforeAutospacing="0" w:after="0" w:afterAutospacing="0" w:line="360" w:lineRule="auto"/>
              <w:jc w:val="both"/>
              <w:rPr>
                <w:rFonts w:ascii="Verdana" w:hAnsi="Verdana"/>
                <w:sz w:val="20"/>
                <w:szCs w:val="20"/>
              </w:rPr>
            </w:pPr>
            <w:r w:rsidRPr="00F31F29">
              <w:rPr>
                <w:rFonts w:ascii="MS Gothic" w:eastAsia="MS Gothic" w:hAnsi="MS Gothic" w:cs="MS Gothic" w:hint="eastAsia"/>
                <w:sz w:val="20"/>
                <w:szCs w:val="20"/>
              </w:rPr>
              <w:t>☒</w:t>
            </w:r>
            <w:r>
              <w:rPr>
                <w:rFonts w:ascii="MS Gothic" w:eastAsia="MS Gothic" w:hAnsi="MS Gothic" w:cs="MS Gothic"/>
                <w:sz w:val="20"/>
                <w:szCs w:val="20"/>
              </w:rPr>
              <w:t xml:space="preserve"> </w:t>
            </w:r>
            <w:r w:rsidR="00C10BFB" w:rsidRPr="00A925A9">
              <w:rPr>
                <w:rFonts w:ascii="Verdana" w:hAnsi="Verdana"/>
                <w:sz w:val="20"/>
                <w:szCs w:val="20"/>
              </w:rPr>
              <w:t>Актът засяга пряко МСП</w:t>
            </w:r>
          </w:p>
          <w:p w:rsidR="00C10BFB" w:rsidRPr="00A925A9" w:rsidRDefault="00C10BFB" w:rsidP="00CC3C6C">
            <w:pPr>
              <w:spacing w:before="0" w:beforeAutospacing="0" w:after="0" w:afterAutospacing="0" w:line="360" w:lineRule="auto"/>
              <w:jc w:val="both"/>
              <w:rPr>
                <w:rFonts w:ascii="Verdana" w:hAnsi="Verdana"/>
                <w:sz w:val="20"/>
                <w:szCs w:val="20"/>
              </w:rPr>
            </w:pPr>
            <w:r w:rsidRPr="00A925A9">
              <w:rPr>
                <w:rFonts w:ascii="MS Gothic" w:eastAsia="MS Gothic" w:hAnsi="MS Gothic" w:cs="MS Gothic" w:hint="eastAsia"/>
                <w:sz w:val="20"/>
                <w:szCs w:val="20"/>
              </w:rPr>
              <w:t>☐</w:t>
            </w:r>
            <w:r w:rsidR="00F31F29">
              <w:rPr>
                <w:rFonts w:ascii="Verdana" w:hAnsi="Verdana"/>
                <w:sz w:val="20"/>
                <w:szCs w:val="20"/>
              </w:rPr>
              <w:t xml:space="preserve"> </w:t>
            </w:r>
            <w:r w:rsidRPr="00A925A9">
              <w:rPr>
                <w:rFonts w:ascii="Verdana" w:hAnsi="Verdana"/>
                <w:sz w:val="20"/>
                <w:szCs w:val="20"/>
              </w:rPr>
              <w:t>Актът не засяга МСП</w:t>
            </w:r>
          </w:p>
          <w:p w:rsidR="00C10BFB" w:rsidRPr="00A925A9" w:rsidRDefault="00F31F29" w:rsidP="00CC3C6C">
            <w:pPr>
              <w:spacing w:before="0" w:beforeAutospacing="0" w:after="0" w:afterAutospacing="0" w:line="360" w:lineRule="auto"/>
              <w:jc w:val="both"/>
              <w:rPr>
                <w:rFonts w:ascii="Verdana" w:hAnsi="Verdana"/>
                <w:sz w:val="20"/>
                <w:szCs w:val="20"/>
              </w:rPr>
            </w:pPr>
            <w:r w:rsidRPr="00A925A9">
              <w:rPr>
                <w:rFonts w:ascii="MS Gothic" w:eastAsia="MS Gothic" w:hAnsi="MS Gothic" w:cs="MS Gothic" w:hint="eastAsia"/>
                <w:sz w:val="20"/>
                <w:szCs w:val="20"/>
              </w:rPr>
              <w:t>☐</w:t>
            </w:r>
            <w:r w:rsidR="00C10BFB" w:rsidRPr="00A925A9">
              <w:rPr>
                <w:rFonts w:ascii="Verdana" w:hAnsi="Verdana"/>
                <w:sz w:val="20"/>
                <w:szCs w:val="20"/>
              </w:rPr>
              <w:t>Няма ефект</w:t>
            </w:r>
          </w:p>
          <w:p w:rsidR="00F31F29" w:rsidRDefault="00F31F29" w:rsidP="00B731CB">
            <w:pPr>
              <w:spacing w:before="0" w:beforeAutospacing="0" w:after="0" w:line="360" w:lineRule="auto"/>
              <w:ind w:right="-24"/>
              <w:jc w:val="both"/>
              <w:rPr>
                <w:rFonts w:ascii="Verdana" w:hAnsi="Verdana"/>
                <w:sz w:val="20"/>
                <w:szCs w:val="20"/>
              </w:rPr>
            </w:pPr>
          </w:p>
          <w:p w:rsidR="00B731CB" w:rsidRDefault="00F31F29" w:rsidP="00B731CB">
            <w:pPr>
              <w:spacing w:before="0" w:beforeAutospacing="0" w:after="0" w:line="360" w:lineRule="auto"/>
              <w:ind w:right="-24"/>
              <w:jc w:val="both"/>
              <w:rPr>
                <w:rFonts w:ascii="Verdana" w:hAnsi="Verdana"/>
                <w:sz w:val="20"/>
                <w:szCs w:val="20"/>
              </w:rPr>
            </w:pPr>
            <w:r w:rsidRPr="00F31F29">
              <w:rPr>
                <w:rFonts w:ascii="Verdana" w:hAnsi="Verdana"/>
                <w:sz w:val="20"/>
                <w:szCs w:val="20"/>
              </w:rPr>
              <w:t>С предлаганите с проекта изменения ефектите за МСП няма да бъдат по-различни и по-значими от сега действащите и няма да доведат до допълнителни разходи</w:t>
            </w:r>
            <w:r>
              <w:rPr>
                <w:rFonts w:ascii="Verdana" w:hAnsi="Verdana"/>
                <w:sz w:val="20"/>
                <w:szCs w:val="20"/>
              </w:rPr>
              <w:t xml:space="preserve"> за фирмите, освен </w:t>
            </w:r>
            <w:r w:rsidRPr="008D47FD">
              <w:rPr>
                <w:rFonts w:ascii="Verdana" w:hAnsi="Verdana"/>
                <w:sz w:val="20"/>
                <w:szCs w:val="20"/>
              </w:rPr>
              <w:t>еднократни първоначални разходи за изработване на нов дизайн на опаковката и етикета.</w:t>
            </w:r>
          </w:p>
          <w:p w:rsidR="00B731CB" w:rsidRDefault="00B731CB" w:rsidP="00B731CB">
            <w:pPr>
              <w:spacing w:before="0" w:beforeAutospacing="0" w:after="0" w:line="360" w:lineRule="auto"/>
              <w:ind w:right="-24"/>
              <w:jc w:val="both"/>
              <w:rPr>
                <w:rFonts w:ascii="Verdana" w:hAnsi="Verdana"/>
                <w:sz w:val="20"/>
                <w:szCs w:val="20"/>
              </w:rPr>
            </w:pPr>
            <w:r w:rsidRPr="00B731CB">
              <w:rPr>
                <w:rFonts w:ascii="Verdana" w:hAnsi="Verdana"/>
                <w:sz w:val="20"/>
                <w:szCs w:val="20"/>
              </w:rPr>
              <w:t>Не се създават нови регистри и регулаторни режими, както и не се засягат съществуващи режими и услуги. Ефектите за МСП не са по-различни и по-значими от сега действащите, не се изискват разходи за такси и други административни или капиталови разходи.</w:t>
            </w:r>
            <w:r w:rsidR="008D47FD">
              <w:rPr>
                <w:rFonts w:ascii="Verdana" w:hAnsi="Verdana"/>
                <w:sz w:val="20"/>
                <w:szCs w:val="20"/>
              </w:rPr>
              <w:t xml:space="preserve"> </w:t>
            </w:r>
          </w:p>
          <w:p w:rsidR="006222FE" w:rsidRPr="00A925A9" w:rsidRDefault="006222FE" w:rsidP="00F31F29">
            <w:pPr>
              <w:spacing w:before="0" w:beforeAutospacing="0" w:after="0" w:line="360" w:lineRule="auto"/>
              <w:ind w:right="-24"/>
              <w:jc w:val="both"/>
              <w:rPr>
                <w:rFonts w:ascii="Verdana" w:hAnsi="Verdana"/>
                <w:sz w:val="20"/>
                <w:szCs w:val="20"/>
              </w:rPr>
            </w:pPr>
          </w:p>
        </w:tc>
      </w:tr>
      <w:tr w:rsidR="006222FE" w:rsidRPr="00A925A9" w:rsidTr="00D96F7C">
        <w:trPr>
          <w:trHeight w:val="142"/>
        </w:trPr>
        <w:tc>
          <w:tcPr>
            <w:tcW w:w="10257" w:type="dxa"/>
            <w:gridSpan w:val="2"/>
            <w:shd w:val="clear" w:color="auto" w:fill="auto"/>
          </w:tcPr>
          <w:p w:rsidR="006222FE" w:rsidRPr="00A925A9" w:rsidRDefault="006222FE" w:rsidP="00CC3C6C">
            <w:pPr>
              <w:spacing w:before="0" w:beforeAutospacing="0" w:after="0" w:afterAutospacing="0" w:line="360" w:lineRule="auto"/>
              <w:jc w:val="both"/>
              <w:rPr>
                <w:rFonts w:ascii="Verdana" w:hAnsi="Verdana"/>
                <w:b/>
                <w:sz w:val="20"/>
                <w:szCs w:val="20"/>
              </w:rPr>
            </w:pPr>
            <w:r w:rsidRPr="00A925A9">
              <w:rPr>
                <w:rFonts w:ascii="Verdana" w:hAnsi="Verdana"/>
                <w:b/>
                <w:sz w:val="20"/>
                <w:szCs w:val="20"/>
              </w:rPr>
              <w:t>11.  Проектът на нормативен акт изисква ли цялостна оценка на въздействието?</w:t>
            </w:r>
          </w:p>
          <w:p w:rsidR="006222FE" w:rsidRPr="00A925A9" w:rsidRDefault="006222FE" w:rsidP="00CC3C6C">
            <w:pPr>
              <w:spacing w:before="0" w:beforeAutospacing="0" w:after="0" w:afterAutospacing="0" w:line="360" w:lineRule="auto"/>
              <w:jc w:val="both"/>
              <w:rPr>
                <w:rFonts w:ascii="Verdana" w:hAnsi="Verdana"/>
                <w:sz w:val="20"/>
                <w:szCs w:val="20"/>
              </w:rPr>
            </w:pPr>
            <w:r w:rsidRPr="00A925A9">
              <w:rPr>
                <w:rFonts w:ascii="MS Gothic" w:eastAsia="MS Gothic" w:hAnsi="MS Gothic" w:cs="MS Gothic" w:hint="eastAsia"/>
                <w:sz w:val="20"/>
                <w:szCs w:val="20"/>
              </w:rPr>
              <w:t>☐</w:t>
            </w:r>
            <w:r w:rsidRPr="00A925A9">
              <w:rPr>
                <w:rFonts w:ascii="Verdana" w:hAnsi="Verdana"/>
                <w:sz w:val="20"/>
                <w:szCs w:val="20"/>
              </w:rPr>
              <w:t xml:space="preserve">  Да</w:t>
            </w:r>
          </w:p>
          <w:p w:rsidR="006222FE" w:rsidRPr="00A925A9" w:rsidRDefault="006222FE" w:rsidP="00CC3C6C">
            <w:pPr>
              <w:spacing w:before="0" w:beforeAutospacing="0" w:after="0" w:afterAutospacing="0" w:line="360" w:lineRule="auto"/>
              <w:jc w:val="both"/>
              <w:rPr>
                <w:rFonts w:ascii="Verdana" w:hAnsi="Verdana"/>
                <w:sz w:val="20"/>
                <w:szCs w:val="20"/>
              </w:rPr>
            </w:pPr>
            <w:r w:rsidRPr="00A925A9">
              <w:rPr>
                <w:rFonts w:ascii="MS Gothic" w:eastAsia="MS Gothic" w:hAnsi="MS Gothic" w:cs="MS Gothic" w:hint="eastAsia"/>
                <w:sz w:val="20"/>
                <w:szCs w:val="20"/>
              </w:rPr>
              <w:t>☒</w:t>
            </w:r>
            <w:r w:rsidRPr="00A925A9">
              <w:rPr>
                <w:rFonts w:ascii="Verdana" w:hAnsi="Verdana"/>
                <w:sz w:val="20"/>
                <w:szCs w:val="20"/>
              </w:rPr>
              <w:t xml:space="preserve">  Не</w:t>
            </w:r>
          </w:p>
        </w:tc>
      </w:tr>
      <w:tr w:rsidR="006222FE" w:rsidRPr="00A925A9" w:rsidTr="00D96F7C">
        <w:trPr>
          <w:trHeight w:val="142"/>
        </w:trPr>
        <w:tc>
          <w:tcPr>
            <w:tcW w:w="10257" w:type="dxa"/>
            <w:gridSpan w:val="2"/>
            <w:shd w:val="clear" w:color="auto" w:fill="auto"/>
          </w:tcPr>
          <w:p w:rsidR="006222FE" w:rsidRPr="00A925A9" w:rsidRDefault="006222FE" w:rsidP="00CC3C6C">
            <w:pPr>
              <w:spacing w:before="0" w:beforeAutospacing="0" w:after="0" w:afterAutospacing="0" w:line="360" w:lineRule="auto"/>
              <w:jc w:val="both"/>
              <w:rPr>
                <w:rFonts w:ascii="Verdana" w:hAnsi="Verdana"/>
                <w:sz w:val="20"/>
                <w:szCs w:val="20"/>
              </w:rPr>
            </w:pPr>
            <w:r w:rsidRPr="00A925A9">
              <w:rPr>
                <w:rFonts w:ascii="Verdana" w:hAnsi="Verdana"/>
                <w:b/>
                <w:sz w:val="20"/>
                <w:szCs w:val="20"/>
              </w:rPr>
              <w:t>12. Обществени консултации:</w:t>
            </w:r>
          </w:p>
          <w:p w:rsidR="006222FE" w:rsidRPr="00A925A9" w:rsidRDefault="006222FE" w:rsidP="00CC3C6C">
            <w:pPr>
              <w:spacing w:before="0" w:beforeAutospacing="0" w:after="0" w:afterAutospacing="0" w:line="360" w:lineRule="auto"/>
              <w:jc w:val="both"/>
              <w:rPr>
                <w:rFonts w:ascii="Verdana" w:hAnsi="Verdana"/>
                <w:b/>
                <w:i/>
                <w:sz w:val="20"/>
                <w:szCs w:val="20"/>
              </w:rPr>
            </w:pPr>
            <w:r w:rsidRPr="00A925A9">
              <w:rPr>
                <w:rFonts w:ascii="Verdana" w:hAnsi="Verdana"/>
                <w:b/>
                <w:i/>
                <w:sz w:val="20"/>
                <w:szCs w:val="20"/>
              </w:rPr>
              <w:t>Обобщете най-важните въпроси за  консултации в случай на извършване на цялостна оценка на въздействието или за обществените консултации по чл. 26 от Закона за нормативните актове. Посочете индикативен график за тяхното провеждане и видовете консултационни процедури.</w:t>
            </w:r>
          </w:p>
          <w:p w:rsidR="009148D0" w:rsidRDefault="009A59C7" w:rsidP="009148D0">
            <w:pPr>
              <w:spacing w:before="0" w:beforeAutospacing="0" w:after="0" w:line="360" w:lineRule="auto"/>
              <w:jc w:val="both"/>
              <w:rPr>
                <w:rFonts w:ascii="Verdana" w:hAnsi="Verdana"/>
                <w:sz w:val="20"/>
                <w:szCs w:val="20"/>
              </w:rPr>
            </w:pPr>
            <w:r w:rsidRPr="00A925A9">
              <w:rPr>
                <w:rFonts w:ascii="Verdana" w:hAnsi="Verdana"/>
                <w:iCs/>
                <w:sz w:val="20"/>
                <w:szCs w:val="20"/>
              </w:rPr>
              <w:lastRenderedPageBreak/>
              <w:t xml:space="preserve">     </w:t>
            </w:r>
            <w:r w:rsidRPr="00A925A9">
              <w:rPr>
                <w:rFonts w:ascii="Verdana" w:hAnsi="Verdana"/>
                <w:sz w:val="20"/>
                <w:szCs w:val="20"/>
              </w:rPr>
              <w:t xml:space="preserve">     </w:t>
            </w:r>
          </w:p>
          <w:p w:rsidR="00FB4096" w:rsidRPr="00A925A9" w:rsidRDefault="00A676F3" w:rsidP="006A4485">
            <w:pPr>
              <w:spacing w:before="0" w:beforeAutospacing="0" w:after="0" w:line="360" w:lineRule="auto"/>
              <w:jc w:val="both"/>
              <w:rPr>
                <w:rFonts w:ascii="Verdana" w:hAnsi="Verdana"/>
                <w:sz w:val="20"/>
                <w:szCs w:val="20"/>
              </w:rPr>
            </w:pPr>
            <w:r w:rsidRPr="00A676F3">
              <w:rPr>
                <w:rFonts w:ascii="Verdana" w:hAnsi="Verdana"/>
                <w:sz w:val="20"/>
                <w:szCs w:val="20"/>
              </w:rPr>
              <w:t xml:space="preserve">Проект на </w:t>
            </w:r>
            <w:r w:rsidR="006A4485">
              <w:rPr>
                <w:rFonts w:ascii="Verdana" w:hAnsi="Verdana"/>
                <w:sz w:val="20"/>
                <w:szCs w:val="20"/>
              </w:rPr>
              <w:t xml:space="preserve"> ПМС </w:t>
            </w:r>
            <w:r w:rsidRPr="00A676F3">
              <w:rPr>
                <w:rFonts w:ascii="Verdana" w:hAnsi="Verdana"/>
                <w:sz w:val="20"/>
                <w:szCs w:val="20"/>
              </w:rPr>
              <w:t>за приемане на Наредба за</w:t>
            </w:r>
            <w:r>
              <w:rPr>
                <w:rFonts w:ascii="Verdana" w:hAnsi="Verdana"/>
                <w:sz w:val="20"/>
                <w:szCs w:val="20"/>
              </w:rPr>
              <w:t xml:space="preserve"> предоставянето на информация на потребителите за храните</w:t>
            </w:r>
            <w:r w:rsidRPr="00A676F3">
              <w:rPr>
                <w:rFonts w:ascii="Verdana" w:hAnsi="Verdana"/>
                <w:sz w:val="20"/>
                <w:szCs w:val="20"/>
              </w:rPr>
              <w:t xml:space="preserve"> ще бъде публикуван на интернет страницата на Министерство на земеделието, храните и горите и на Портала за обществени консултации за срок от 30 дни.</w:t>
            </w:r>
            <w:bookmarkStart w:id="3" w:name="to_paragraph_id29684574"/>
            <w:bookmarkEnd w:id="3"/>
          </w:p>
        </w:tc>
      </w:tr>
      <w:tr w:rsidR="006222FE" w:rsidRPr="00A925A9" w:rsidTr="00D96F7C">
        <w:trPr>
          <w:trHeight w:val="142"/>
        </w:trPr>
        <w:tc>
          <w:tcPr>
            <w:tcW w:w="10257" w:type="dxa"/>
            <w:gridSpan w:val="2"/>
            <w:shd w:val="clear" w:color="auto" w:fill="auto"/>
          </w:tcPr>
          <w:p w:rsidR="006222FE" w:rsidRPr="00A925A9" w:rsidRDefault="006222FE" w:rsidP="00CC3C6C">
            <w:pPr>
              <w:spacing w:before="0" w:beforeAutospacing="0" w:after="0" w:afterAutospacing="0" w:line="360" w:lineRule="auto"/>
              <w:jc w:val="both"/>
              <w:rPr>
                <w:rFonts w:ascii="Verdana" w:hAnsi="Verdana"/>
                <w:b/>
                <w:sz w:val="20"/>
                <w:szCs w:val="20"/>
              </w:rPr>
            </w:pPr>
            <w:r w:rsidRPr="00A925A9">
              <w:rPr>
                <w:rFonts w:ascii="Verdana" w:hAnsi="Verdana"/>
                <w:b/>
                <w:sz w:val="20"/>
                <w:szCs w:val="20"/>
              </w:rPr>
              <w:lastRenderedPageBreak/>
              <w:t>13. Приемането на нормативния акт произтича ли от правото на Европейския съюз?</w:t>
            </w:r>
          </w:p>
          <w:p w:rsidR="006222FE" w:rsidRPr="00A925A9" w:rsidRDefault="00812681" w:rsidP="00CC3C6C">
            <w:pPr>
              <w:spacing w:before="0" w:beforeAutospacing="0" w:after="0" w:afterAutospacing="0" w:line="360" w:lineRule="auto"/>
              <w:jc w:val="both"/>
              <w:rPr>
                <w:rFonts w:ascii="Verdana" w:hAnsi="Verdana"/>
                <w:sz w:val="20"/>
                <w:szCs w:val="20"/>
              </w:rPr>
            </w:pPr>
            <w:r w:rsidRPr="00812681">
              <w:rPr>
                <w:rFonts w:ascii="MS Gothic" w:eastAsia="MS Gothic" w:hAnsi="MS Gothic" w:cs="MS Gothic" w:hint="eastAsia"/>
                <w:sz w:val="20"/>
                <w:szCs w:val="20"/>
              </w:rPr>
              <w:t>☒</w:t>
            </w:r>
            <w:r>
              <w:rPr>
                <w:rFonts w:ascii="MS Gothic" w:eastAsia="MS Gothic" w:hAnsi="MS Gothic" w:cs="MS Gothic"/>
                <w:sz w:val="20"/>
                <w:szCs w:val="20"/>
              </w:rPr>
              <w:t xml:space="preserve"> </w:t>
            </w:r>
            <w:r w:rsidR="006222FE" w:rsidRPr="00A925A9">
              <w:rPr>
                <w:rFonts w:ascii="Verdana" w:hAnsi="Verdana"/>
                <w:sz w:val="20"/>
                <w:szCs w:val="20"/>
              </w:rPr>
              <w:t>Да</w:t>
            </w:r>
          </w:p>
          <w:p w:rsidR="006222FE" w:rsidRPr="00A925A9" w:rsidRDefault="00812681" w:rsidP="00CC3C6C">
            <w:pPr>
              <w:spacing w:before="0" w:beforeAutospacing="0" w:after="0" w:afterAutospacing="0" w:line="360" w:lineRule="auto"/>
              <w:jc w:val="both"/>
              <w:rPr>
                <w:rFonts w:ascii="Verdana" w:hAnsi="Verdana"/>
                <w:sz w:val="20"/>
                <w:szCs w:val="20"/>
              </w:rPr>
            </w:pPr>
            <w:r w:rsidRPr="00812681">
              <w:rPr>
                <w:rFonts w:ascii="MS Gothic" w:eastAsia="MS Gothic" w:hAnsi="MS Gothic" w:cs="MS Gothic" w:hint="eastAsia"/>
                <w:sz w:val="20"/>
                <w:szCs w:val="20"/>
              </w:rPr>
              <w:t>☐</w:t>
            </w:r>
            <w:r>
              <w:rPr>
                <w:rFonts w:ascii="Verdana" w:hAnsi="Verdana"/>
                <w:sz w:val="20"/>
                <w:szCs w:val="20"/>
              </w:rPr>
              <w:t xml:space="preserve"> </w:t>
            </w:r>
            <w:r w:rsidR="006222FE" w:rsidRPr="00A925A9">
              <w:rPr>
                <w:rFonts w:ascii="Verdana" w:hAnsi="Verdana"/>
                <w:sz w:val="20"/>
                <w:szCs w:val="20"/>
              </w:rPr>
              <w:t>Не</w:t>
            </w:r>
          </w:p>
          <w:p w:rsidR="00D52578" w:rsidRDefault="00D52578" w:rsidP="00CC3C6C">
            <w:pPr>
              <w:spacing w:before="0" w:beforeAutospacing="0" w:after="0" w:afterAutospacing="0" w:line="360" w:lineRule="auto"/>
              <w:jc w:val="both"/>
              <w:rPr>
                <w:rFonts w:ascii="Verdana" w:hAnsi="Verdana"/>
                <w:sz w:val="20"/>
                <w:szCs w:val="20"/>
              </w:rPr>
            </w:pPr>
            <w:r w:rsidRPr="00A925A9">
              <w:rPr>
                <w:rFonts w:ascii="Verdana" w:hAnsi="Verdana"/>
                <w:sz w:val="20"/>
                <w:szCs w:val="20"/>
              </w:rPr>
              <w:t xml:space="preserve">С проекта на нормативен акт се въвеждат </w:t>
            </w:r>
            <w:r w:rsidR="00731563" w:rsidRPr="00731563">
              <w:rPr>
                <w:rFonts w:ascii="Verdana" w:hAnsi="Verdana"/>
                <w:sz w:val="20"/>
                <w:szCs w:val="20"/>
              </w:rPr>
              <w:t>разпоредбите на Директива 2011/91/ЕС.</w:t>
            </w:r>
            <w:r w:rsidR="009D2A82">
              <w:rPr>
                <w:rFonts w:ascii="Verdana" w:hAnsi="Verdana"/>
                <w:sz w:val="20"/>
                <w:szCs w:val="20"/>
              </w:rPr>
              <w:t xml:space="preserve"> С директивата се определят изисквания към </w:t>
            </w:r>
            <w:r w:rsidR="009D2A82" w:rsidRPr="009D2A82">
              <w:rPr>
                <w:rFonts w:ascii="Verdana" w:hAnsi="Verdana"/>
                <w:sz w:val="20"/>
                <w:szCs w:val="20"/>
              </w:rPr>
              <w:t>означението, позволяващо идентифициране на партидата, към която принадлежи дадена храна.</w:t>
            </w:r>
            <w:r w:rsidR="009D2A82">
              <w:rPr>
                <w:rFonts w:ascii="Verdana" w:hAnsi="Verdana"/>
                <w:sz w:val="20"/>
                <w:szCs w:val="20"/>
              </w:rPr>
              <w:t xml:space="preserve"> </w:t>
            </w:r>
            <w:r w:rsidR="009D2A82" w:rsidRPr="009D2A82">
              <w:rPr>
                <w:rFonts w:ascii="Verdana" w:hAnsi="Verdana"/>
                <w:sz w:val="20"/>
                <w:szCs w:val="20"/>
              </w:rPr>
              <w:t>Означението на партидата, към която принадлежи даденa хранa, отговаря на необходимостта от по-добра информация за идентичността на продуктите. Следователно това е полезен източник на информация, когато храните са предмет на спор или представляват риск за здравето на потребителите</w:t>
            </w:r>
            <w:r w:rsidR="00F23583">
              <w:rPr>
                <w:rFonts w:ascii="Verdana" w:hAnsi="Verdana"/>
                <w:sz w:val="20"/>
                <w:szCs w:val="20"/>
              </w:rPr>
              <w:t>.</w:t>
            </w:r>
          </w:p>
          <w:p w:rsidR="00BB67E1" w:rsidRPr="00317C13" w:rsidRDefault="00BB67E1" w:rsidP="00CC3C6C">
            <w:pPr>
              <w:spacing w:before="0" w:beforeAutospacing="0" w:after="0" w:afterAutospacing="0" w:line="360" w:lineRule="auto"/>
              <w:jc w:val="both"/>
              <w:rPr>
                <w:rFonts w:ascii="Verdana" w:hAnsi="Verdana"/>
                <w:sz w:val="20"/>
                <w:szCs w:val="20"/>
              </w:rPr>
            </w:pPr>
            <w:r w:rsidRPr="00BB67E1">
              <w:rPr>
                <w:rFonts w:ascii="Verdana" w:hAnsi="Verdana"/>
                <w:bCs/>
                <w:iCs/>
                <w:sz w:val="20"/>
                <w:szCs w:val="20"/>
              </w:rPr>
              <w:t>С проекта се въвеждат и национални мерки</w:t>
            </w:r>
            <w:r w:rsidRPr="00BB67E1">
              <w:rPr>
                <w:rFonts w:ascii="Verdana" w:hAnsi="Verdana"/>
                <w:bCs/>
                <w:iCs/>
                <w:sz w:val="20"/>
                <w:szCs w:val="20"/>
                <w:lang w:val="en-US"/>
              </w:rPr>
              <w:t xml:space="preserve"> </w:t>
            </w:r>
            <w:r w:rsidRPr="00BB67E1">
              <w:rPr>
                <w:rFonts w:ascii="Verdana" w:hAnsi="Verdana"/>
                <w:sz w:val="20"/>
                <w:szCs w:val="20"/>
              </w:rPr>
              <w:t>съгласно 44 на Регламент (ЕС) 1169 /2011</w:t>
            </w:r>
            <w:r>
              <w:rPr>
                <w:rFonts w:ascii="Verdana" w:hAnsi="Verdana"/>
                <w:sz w:val="20"/>
                <w:szCs w:val="20"/>
              </w:rPr>
              <w:t xml:space="preserve">. </w:t>
            </w:r>
            <w:r w:rsidR="00317C13" w:rsidRPr="00317C13">
              <w:rPr>
                <w:rFonts w:ascii="Verdana" w:hAnsi="Verdana"/>
                <w:sz w:val="20"/>
                <w:szCs w:val="20"/>
              </w:rPr>
              <w:t>Регламента установява общите принципи, изисквания и отговорности, уреждащи информацията за храните, и по-специално етикетирането на храните. Той определя средствата за гарантиране на правото на потребителите на информация и процедурите за предоставяне на информация за храните, като се отчита необходимостта от предоставяне на достатъчна гъвкавост с оглед на бъдещото развитие и новите изисквания относно информацията.</w:t>
            </w:r>
          </w:p>
          <w:p w:rsidR="00317C13" w:rsidRPr="00317C13" w:rsidRDefault="00317C13" w:rsidP="00317C13">
            <w:pPr>
              <w:spacing w:before="0" w:beforeAutospacing="0" w:after="0" w:afterAutospacing="0" w:line="360" w:lineRule="auto"/>
              <w:jc w:val="both"/>
              <w:rPr>
                <w:rFonts w:ascii="Verdana" w:hAnsi="Verdana"/>
                <w:sz w:val="20"/>
                <w:szCs w:val="20"/>
              </w:rPr>
            </w:pPr>
            <w:r>
              <w:rPr>
                <w:rFonts w:ascii="Verdana" w:hAnsi="Verdana"/>
                <w:sz w:val="20"/>
                <w:szCs w:val="20"/>
              </w:rPr>
              <w:t>Р</w:t>
            </w:r>
            <w:r w:rsidRPr="00317C13">
              <w:rPr>
                <w:rFonts w:ascii="Verdana" w:hAnsi="Verdana"/>
                <w:sz w:val="20"/>
                <w:szCs w:val="20"/>
              </w:rPr>
              <w:t>егламен</w:t>
            </w:r>
            <w:r w:rsidR="007453FD">
              <w:rPr>
                <w:rFonts w:ascii="Verdana" w:hAnsi="Verdana"/>
                <w:sz w:val="20"/>
                <w:szCs w:val="20"/>
              </w:rPr>
              <w:t>тът</w:t>
            </w:r>
            <w:r w:rsidRPr="00317C13">
              <w:rPr>
                <w:rFonts w:ascii="Verdana" w:hAnsi="Verdana"/>
                <w:sz w:val="20"/>
                <w:szCs w:val="20"/>
              </w:rPr>
              <w:t xml:space="preserve"> се прилага спрямо </w:t>
            </w:r>
            <w:r>
              <w:rPr>
                <w:rFonts w:ascii="Verdana" w:hAnsi="Verdana"/>
                <w:sz w:val="20"/>
                <w:szCs w:val="20"/>
              </w:rPr>
              <w:t xml:space="preserve">бизнес операторите </w:t>
            </w:r>
            <w:r w:rsidRPr="00317C13">
              <w:rPr>
                <w:rFonts w:ascii="Verdana" w:hAnsi="Verdana"/>
                <w:sz w:val="20"/>
                <w:szCs w:val="20"/>
              </w:rPr>
              <w:t>в хранителната промишленост на всички етапи от хранителната верига, когато техните дейности се отнасят до предоставянето на потребителите на информация за храните. Той се прилага за всички храни, предназначени за крайния потребител, включително за храни, доставяни от заведения за обществено хранене, и храни, предназначени за снабдяване на заведения за обществено хранене.</w:t>
            </w:r>
          </w:p>
          <w:p w:rsidR="00317C13" w:rsidRPr="00317C13" w:rsidRDefault="00317C13" w:rsidP="00317C13">
            <w:pPr>
              <w:spacing w:before="0" w:beforeAutospacing="0" w:after="0" w:afterAutospacing="0" w:line="360" w:lineRule="auto"/>
              <w:jc w:val="both"/>
              <w:rPr>
                <w:rFonts w:ascii="Verdana" w:hAnsi="Verdana"/>
                <w:sz w:val="20"/>
                <w:szCs w:val="20"/>
              </w:rPr>
            </w:pPr>
            <w:r>
              <w:rPr>
                <w:rFonts w:ascii="Verdana" w:hAnsi="Verdana"/>
                <w:sz w:val="20"/>
                <w:szCs w:val="20"/>
              </w:rPr>
              <w:t xml:space="preserve">Той </w:t>
            </w:r>
            <w:r w:rsidRPr="00317C13">
              <w:rPr>
                <w:rFonts w:ascii="Verdana" w:hAnsi="Verdana"/>
                <w:sz w:val="20"/>
                <w:szCs w:val="20"/>
              </w:rPr>
              <w:t>се прилага за услугите по приготвяне и предлагане на храни, предоставяни от транспортни дружества, когато отправната точка е на територията на държавите-членки, за които се прилагат Договорите.</w:t>
            </w:r>
          </w:p>
          <w:p w:rsidR="00B0659B" w:rsidRPr="00A925A9" w:rsidRDefault="00B0659B" w:rsidP="00CC3C6C">
            <w:pPr>
              <w:spacing w:before="0" w:beforeAutospacing="0" w:after="0" w:afterAutospacing="0" w:line="360" w:lineRule="auto"/>
              <w:jc w:val="both"/>
              <w:rPr>
                <w:rFonts w:ascii="Verdana" w:hAnsi="Verdana"/>
                <w:color w:val="FF0000"/>
                <w:sz w:val="20"/>
                <w:szCs w:val="20"/>
              </w:rPr>
            </w:pPr>
          </w:p>
          <w:p w:rsidR="006222FE" w:rsidRPr="00A925A9" w:rsidRDefault="006222FE" w:rsidP="00CC3C6C">
            <w:pPr>
              <w:spacing w:before="0" w:beforeAutospacing="0" w:after="0" w:line="360" w:lineRule="auto"/>
              <w:ind w:left="142" w:right="475"/>
              <w:jc w:val="both"/>
              <w:rPr>
                <w:rFonts w:ascii="Verdana" w:hAnsi="Verdana"/>
                <w:i/>
                <w:sz w:val="20"/>
                <w:szCs w:val="20"/>
              </w:rPr>
            </w:pPr>
            <w:r w:rsidRPr="00A925A9">
              <w:rPr>
                <w:rFonts w:ascii="Verdana" w:hAnsi="Verdana"/>
                <w:i/>
                <w:sz w:val="20"/>
                <w:szCs w:val="20"/>
              </w:rPr>
              <w:t>Моля посочете изискванията на правото на Европейския съюз, включително информацията по т. 8.1 и 8.2, дали е извършена оценка на въздействието на ниво Европейски съюз, и я приложете (или посочете връзка към източник).</w:t>
            </w:r>
          </w:p>
        </w:tc>
      </w:tr>
      <w:tr w:rsidR="006222FE" w:rsidRPr="00A925A9" w:rsidTr="00D96F7C">
        <w:trPr>
          <w:trHeight w:val="2241"/>
        </w:trPr>
        <w:tc>
          <w:tcPr>
            <w:tcW w:w="10257" w:type="dxa"/>
            <w:gridSpan w:val="2"/>
            <w:shd w:val="clear" w:color="auto" w:fill="auto"/>
          </w:tcPr>
          <w:p w:rsidR="006222FE" w:rsidRPr="00A925A9" w:rsidRDefault="006222FE" w:rsidP="00CC3C6C">
            <w:pPr>
              <w:spacing w:before="0" w:beforeAutospacing="0" w:after="0" w:line="360" w:lineRule="auto"/>
              <w:ind w:left="142" w:right="475"/>
              <w:jc w:val="both"/>
              <w:rPr>
                <w:rFonts w:ascii="Verdana" w:hAnsi="Verdana"/>
                <w:b/>
                <w:sz w:val="20"/>
                <w:szCs w:val="20"/>
              </w:rPr>
            </w:pPr>
            <w:r w:rsidRPr="00A925A9">
              <w:rPr>
                <w:rFonts w:ascii="Verdana" w:hAnsi="Verdana"/>
                <w:b/>
                <w:sz w:val="20"/>
                <w:szCs w:val="20"/>
              </w:rPr>
              <w:lastRenderedPageBreak/>
              <w:t>14. Име, длъжност, дата и подпис на директора на дирекцията, отговорна за изработването на нормативния акт:</w:t>
            </w:r>
          </w:p>
          <w:p w:rsidR="00133F2F" w:rsidRPr="00A925A9" w:rsidRDefault="00133F2F" w:rsidP="00CC3C6C">
            <w:pPr>
              <w:spacing w:before="0" w:beforeAutospacing="0" w:line="360" w:lineRule="auto"/>
              <w:jc w:val="both"/>
              <w:rPr>
                <w:rFonts w:ascii="Verdana" w:hAnsi="Verdana" w:cs="Arial"/>
                <w:b/>
                <w:sz w:val="20"/>
                <w:szCs w:val="20"/>
                <w:shd w:val="clear" w:color="auto" w:fill="FEFEFE"/>
              </w:rPr>
            </w:pPr>
            <w:r w:rsidRPr="00A925A9">
              <w:rPr>
                <w:rFonts w:ascii="Verdana" w:hAnsi="Verdana"/>
                <w:b/>
                <w:sz w:val="20"/>
                <w:szCs w:val="20"/>
              </w:rPr>
              <w:t xml:space="preserve">  </w:t>
            </w:r>
            <w:r w:rsidR="006222FE" w:rsidRPr="00A925A9">
              <w:rPr>
                <w:rFonts w:ascii="Verdana" w:hAnsi="Verdana"/>
                <w:b/>
                <w:sz w:val="20"/>
                <w:szCs w:val="20"/>
              </w:rPr>
              <w:t xml:space="preserve">Име и длъжност: </w:t>
            </w:r>
            <w:r w:rsidRPr="00A925A9">
              <w:rPr>
                <w:rFonts w:ascii="Verdana" w:hAnsi="Verdana"/>
                <w:b/>
                <w:sz w:val="20"/>
                <w:szCs w:val="20"/>
              </w:rPr>
              <w:t xml:space="preserve"> </w:t>
            </w:r>
            <w:r w:rsidRPr="00A925A9">
              <w:rPr>
                <w:rFonts w:ascii="Verdana" w:hAnsi="Verdana" w:cs="Arial"/>
                <w:b/>
                <w:sz w:val="20"/>
                <w:szCs w:val="20"/>
                <w:shd w:val="clear" w:color="auto" w:fill="FEFEFE"/>
              </w:rPr>
              <w:t xml:space="preserve">Д-р </w:t>
            </w:r>
            <w:r w:rsidR="00D85A80">
              <w:rPr>
                <w:rFonts w:ascii="Verdana" w:hAnsi="Verdana" w:cs="Arial"/>
                <w:b/>
                <w:sz w:val="20"/>
                <w:szCs w:val="20"/>
                <w:shd w:val="clear" w:color="auto" w:fill="FEFEFE"/>
              </w:rPr>
              <w:t>Петя Петкова двм</w:t>
            </w:r>
          </w:p>
          <w:p w:rsidR="006222FE" w:rsidRPr="00A925A9" w:rsidRDefault="00133F2F" w:rsidP="00CC3C6C">
            <w:pPr>
              <w:spacing w:before="0" w:beforeAutospacing="0" w:after="0" w:line="360" w:lineRule="auto"/>
              <w:ind w:left="142" w:right="475"/>
              <w:jc w:val="both"/>
              <w:outlineLvl w:val="0"/>
              <w:rPr>
                <w:rFonts w:ascii="Verdana" w:hAnsi="Verdana"/>
                <w:sz w:val="20"/>
                <w:szCs w:val="20"/>
                <w:highlight w:val="white"/>
                <w:shd w:val="clear" w:color="auto" w:fill="FEFEFE"/>
                <w:lang w:val="ru-RU"/>
              </w:rPr>
            </w:pPr>
            <w:r w:rsidRPr="00A925A9">
              <w:rPr>
                <w:rFonts w:ascii="Verdana" w:hAnsi="Verdana" w:cs="Arial"/>
                <w:sz w:val="20"/>
                <w:szCs w:val="20"/>
                <w:shd w:val="clear" w:color="auto" w:fill="FEFEFE"/>
              </w:rPr>
              <w:t>Директор на дирекция „Политики по агрохранителната верига“,</w:t>
            </w:r>
            <w:r w:rsidR="006222FE" w:rsidRPr="00A925A9">
              <w:rPr>
                <w:rFonts w:ascii="Verdana" w:hAnsi="Verdana"/>
                <w:sz w:val="20"/>
                <w:szCs w:val="20"/>
                <w:highlight w:val="white"/>
                <w:shd w:val="clear" w:color="auto" w:fill="FEFEFE"/>
                <w:lang w:val="ru-RU"/>
              </w:rPr>
              <w:t xml:space="preserve"> </w:t>
            </w:r>
            <w:r w:rsidR="00C97C53" w:rsidRPr="00A925A9">
              <w:rPr>
                <w:rFonts w:ascii="Verdana" w:hAnsi="Verdana"/>
                <w:sz w:val="20"/>
                <w:szCs w:val="20"/>
                <w:highlight w:val="white"/>
                <w:shd w:val="clear" w:color="auto" w:fill="FEFEFE"/>
              </w:rPr>
              <w:t>Министерство на земеделието,</w:t>
            </w:r>
            <w:r w:rsidR="006222FE" w:rsidRPr="00A925A9">
              <w:rPr>
                <w:rFonts w:ascii="Verdana" w:hAnsi="Verdana"/>
                <w:sz w:val="20"/>
                <w:szCs w:val="20"/>
                <w:highlight w:val="white"/>
                <w:shd w:val="clear" w:color="auto" w:fill="FEFEFE"/>
              </w:rPr>
              <w:t xml:space="preserve"> храните</w:t>
            </w:r>
            <w:r w:rsidR="00C97C53" w:rsidRPr="00A925A9">
              <w:rPr>
                <w:rFonts w:ascii="Verdana" w:hAnsi="Verdana"/>
                <w:sz w:val="20"/>
                <w:szCs w:val="20"/>
                <w:highlight w:val="white"/>
                <w:shd w:val="clear" w:color="auto" w:fill="FEFEFE"/>
              </w:rPr>
              <w:t xml:space="preserve"> и горите</w:t>
            </w:r>
          </w:p>
          <w:p w:rsidR="00133F2F" w:rsidRPr="00A925A9" w:rsidRDefault="00133F2F" w:rsidP="00CC3C6C">
            <w:pPr>
              <w:spacing w:before="0" w:beforeAutospacing="0" w:after="0" w:line="360" w:lineRule="auto"/>
              <w:ind w:left="142" w:right="475"/>
              <w:jc w:val="both"/>
              <w:outlineLvl w:val="0"/>
              <w:rPr>
                <w:rFonts w:ascii="Verdana" w:hAnsi="Verdana"/>
                <w:b/>
                <w:sz w:val="20"/>
                <w:szCs w:val="20"/>
              </w:rPr>
            </w:pPr>
            <w:r w:rsidRPr="00A925A9">
              <w:rPr>
                <w:rFonts w:ascii="Verdana" w:hAnsi="Verdana"/>
                <w:b/>
                <w:sz w:val="20"/>
                <w:szCs w:val="20"/>
              </w:rPr>
              <w:t>Подпис:</w:t>
            </w:r>
          </w:p>
          <w:p w:rsidR="007B7A5F" w:rsidRDefault="006222FE" w:rsidP="00731563">
            <w:pPr>
              <w:spacing w:before="0" w:beforeAutospacing="0" w:after="0" w:line="360" w:lineRule="auto"/>
              <w:ind w:left="142" w:right="475"/>
              <w:jc w:val="both"/>
              <w:outlineLvl w:val="0"/>
              <w:rPr>
                <w:rFonts w:ascii="Verdana" w:hAnsi="Verdana"/>
                <w:sz w:val="20"/>
                <w:szCs w:val="20"/>
                <w:shd w:val="clear" w:color="auto" w:fill="FEFEFE"/>
              </w:rPr>
            </w:pPr>
            <w:r w:rsidRPr="00A925A9">
              <w:rPr>
                <w:rFonts w:ascii="Verdana" w:hAnsi="Verdana"/>
                <w:b/>
                <w:sz w:val="20"/>
                <w:szCs w:val="20"/>
                <w:shd w:val="clear" w:color="auto" w:fill="FEFEFE"/>
              </w:rPr>
              <w:t xml:space="preserve">Дата: </w:t>
            </w:r>
            <w:r w:rsidR="001A082F">
              <w:rPr>
                <w:rFonts w:ascii="Verdana" w:hAnsi="Verdana"/>
                <w:sz w:val="20"/>
                <w:szCs w:val="20"/>
                <w:shd w:val="clear" w:color="auto" w:fill="FEFEFE"/>
                <w:lang w:val="en-US"/>
              </w:rPr>
              <w:t>07</w:t>
            </w:r>
            <w:r w:rsidR="00F92B6B">
              <w:rPr>
                <w:rFonts w:ascii="Verdana" w:hAnsi="Verdana"/>
                <w:sz w:val="20"/>
                <w:szCs w:val="20"/>
                <w:shd w:val="clear" w:color="auto" w:fill="FEFEFE"/>
              </w:rPr>
              <w:t>.</w:t>
            </w:r>
            <w:r w:rsidR="00F92B6B">
              <w:rPr>
                <w:rFonts w:ascii="Verdana" w:hAnsi="Verdana"/>
                <w:sz w:val="20"/>
                <w:szCs w:val="20"/>
                <w:shd w:val="clear" w:color="auto" w:fill="FEFEFE"/>
                <w:lang w:val="en-US"/>
              </w:rPr>
              <w:t>10</w:t>
            </w:r>
            <w:r w:rsidR="00D85A80">
              <w:rPr>
                <w:rFonts w:ascii="Verdana" w:hAnsi="Verdana"/>
                <w:sz w:val="20"/>
                <w:szCs w:val="20"/>
                <w:shd w:val="clear" w:color="auto" w:fill="FEFEFE"/>
              </w:rPr>
              <w:t>.2020</w:t>
            </w:r>
            <w:r w:rsidRPr="00002E2A">
              <w:rPr>
                <w:rFonts w:ascii="Verdana" w:hAnsi="Verdana"/>
                <w:sz w:val="20"/>
                <w:szCs w:val="20"/>
                <w:shd w:val="clear" w:color="auto" w:fill="FEFEFE"/>
                <w:lang w:val="ru-RU"/>
              </w:rPr>
              <w:t xml:space="preserve"> </w:t>
            </w:r>
            <w:r w:rsidRPr="00002E2A">
              <w:rPr>
                <w:rFonts w:ascii="Verdana" w:hAnsi="Verdana"/>
                <w:sz w:val="20"/>
                <w:szCs w:val="20"/>
                <w:shd w:val="clear" w:color="auto" w:fill="FEFEFE"/>
              </w:rPr>
              <w:t>г.</w:t>
            </w:r>
            <w:r w:rsidR="00D85260" w:rsidRPr="00A925A9">
              <w:rPr>
                <w:rFonts w:ascii="Verdana" w:hAnsi="Verdana"/>
                <w:sz w:val="20"/>
                <w:szCs w:val="20"/>
                <w:shd w:val="clear" w:color="auto" w:fill="FEFEFE"/>
              </w:rPr>
              <w:t xml:space="preserve"> </w:t>
            </w:r>
          </w:p>
          <w:p w:rsidR="002B23BF" w:rsidRDefault="002B23BF" w:rsidP="00731563">
            <w:pPr>
              <w:spacing w:before="0" w:beforeAutospacing="0" w:after="0" w:line="360" w:lineRule="auto"/>
              <w:ind w:left="142" w:right="475"/>
              <w:jc w:val="both"/>
              <w:outlineLvl w:val="0"/>
              <w:rPr>
                <w:rFonts w:ascii="Verdana" w:hAnsi="Verdana"/>
                <w:sz w:val="20"/>
                <w:szCs w:val="20"/>
                <w:shd w:val="clear" w:color="auto" w:fill="FEFEFE"/>
              </w:rPr>
            </w:pPr>
          </w:p>
          <w:p w:rsidR="002B23BF" w:rsidRPr="00A925A9" w:rsidRDefault="002B23BF" w:rsidP="00731563">
            <w:pPr>
              <w:spacing w:before="0" w:beforeAutospacing="0" w:after="0" w:line="360" w:lineRule="auto"/>
              <w:ind w:left="142" w:right="475"/>
              <w:jc w:val="both"/>
              <w:outlineLvl w:val="0"/>
              <w:rPr>
                <w:rFonts w:ascii="Verdana" w:hAnsi="Verdana"/>
                <w:sz w:val="20"/>
                <w:szCs w:val="20"/>
                <w:shd w:val="clear" w:color="auto" w:fill="FEFEFE"/>
              </w:rPr>
            </w:pPr>
          </w:p>
        </w:tc>
      </w:tr>
    </w:tbl>
    <w:p w:rsidR="006222FE" w:rsidRPr="00A925A9" w:rsidRDefault="006222FE" w:rsidP="00CC3C6C">
      <w:pPr>
        <w:spacing w:before="0" w:beforeAutospacing="0" w:after="0" w:line="360" w:lineRule="auto"/>
        <w:ind w:right="475"/>
        <w:jc w:val="both"/>
        <w:rPr>
          <w:rFonts w:ascii="Verdana" w:hAnsi="Verdana"/>
          <w:sz w:val="20"/>
          <w:szCs w:val="20"/>
        </w:rPr>
      </w:pPr>
    </w:p>
    <w:sectPr w:rsidR="006222FE" w:rsidRPr="00A925A9" w:rsidSect="006222FE">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EB3" w:rsidRDefault="00477EB3" w:rsidP="00694261">
      <w:pPr>
        <w:spacing w:before="0" w:after="0"/>
      </w:pPr>
      <w:r>
        <w:separator/>
      </w:r>
    </w:p>
  </w:endnote>
  <w:endnote w:type="continuationSeparator" w:id="0">
    <w:p w:rsidR="00477EB3" w:rsidRDefault="00477EB3" w:rsidP="0069426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EB3" w:rsidRDefault="00477EB3" w:rsidP="00694261">
      <w:pPr>
        <w:spacing w:before="0" w:after="0"/>
      </w:pPr>
      <w:r>
        <w:separator/>
      </w:r>
    </w:p>
  </w:footnote>
  <w:footnote w:type="continuationSeparator" w:id="0">
    <w:p w:rsidR="00477EB3" w:rsidRDefault="00477EB3" w:rsidP="0069426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16A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18E6312"/>
    <w:multiLevelType w:val="hybridMultilevel"/>
    <w:tmpl w:val="0416294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2570496"/>
    <w:multiLevelType w:val="hybridMultilevel"/>
    <w:tmpl w:val="5B66C398"/>
    <w:lvl w:ilvl="0" w:tplc="0402000B">
      <w:start w:val="1"/>
      <w:numFmt w:val="bullet"/>
      <w:lvlText w:val=""/>
      <w:lvlJc w:val="left"/>
      <w:pPr>
        <w:ind w:left="1068" w:hanging="360"/>
      </w:pPr>
      <w:rPr>
        <w:rFonts w:ascii="Wingdings" w:hAnsi="Wingdings"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 w15:restartNumberingAfterBreak="0">
    <w:nsid w:val="0B237B3A"/>
    <w:multiLevelType w:val="hybridMultilevel"/>
    <w:tmpl w:val="707A7BB4"/>
    <w:lvl w:ilvl="0" w:tplc="0402000F">
      <w:start w:val="1"/>
      <w:numFmt w:val="decimal"/>
      <w:lvlText w:val="%1."/>
      <w:lvlJc w:val="left"/>
      <w:pPr>
        <w:ind w:left="1309" w:hanging="360"/>
      </w:pPr>
    </w:lvl>
    <w:lvl w:ilvl="1" w:tplc="04020019" w:tentative="1">
      <w:start w:val="1"/>
      <w:numFmt w:val="lowerLetter"/>
      <w:lvlText w:val="%2."/>
      <w:lvlJc w:val="left"/>
      <w:pPr>
        <w:ind w:left="2029" w:hanging="360"/>
      </w:pPr>
    </w:lvl>
    <w:lvl w:ilvl="2" w:tplc="0402001B" w:tentative="1">
      <w:start w:val="1"/>
      <w:numFmt w:val="lowerRoman"/>
      <w:lvlText w:val="%3."/>
      <w:lvlJc w:val="right"/>
      <w:pPr>
        <w:ind w:left="2749" w:hanging="180"/>
      </w:pPr>
    </w:lvl>
    <w:lvl w:ilvl="3" w:tplc="0402000F" w:tentative="1">
      <w:start w:val="1"/>
      <w:numFmt w:val="decimal"/>
      <w:lvlText w:val="%4."/>
      <w:lvlJc w:val="left"/>
      <w:pPr>
        <w:ind w:left="3469" w:hanging="360"/>
      </w:pPr>
    </w:lvl>
    <w:lvl w:ilvl="4" w:tplc="04020019" w:tentative="1">
      <w:start w:val="1"/>
      <w:numFmt w:val="lowerLetter"/>
      <w:lvlText w:val="%5."/>
      <w:lvlJc w:val="left"/>
      <w:pPr>
        <w:ind w:left="4189" w:hanging="360"/>
      </w:pPr>
    </w:lvl>
    <w:lvl w:ilvl="5" w:tplc="0402001B" w:tentative="1">
      <w:start w:val="1"/>
      <w:numFmt w:val="lowerRoman"/>
      <w:lvlText w:val="%6."/>
      <w:lvlJc w:val="right"/>
      <w:pPr>
        <w:ind w:left="4909" w:hanging="180"/>
      </w:pPr>
    </w:lvl>
    <w:lvl w:ilvl="6" w:tplc="0402000F" w:tentative="1">
      <w:start w:val="1"/>
      <w:numFmt w:val="decimal"/>
      <w:lvlText w:val="%7."/>
      <w:lvlJc w:val="left"/>
      <w:pPr>
        <w:ind w:left="5629" w:hanging="360"/>
      </w:pPr>
    </w:lvl>
    <w:lvl w:ilvl="7" w:tplc="04020019" w:tentative="1">
      <w:start w:val="1"/>
      <w:numFmt w:val="lowerLetter"/>
      <w:lvlText w:val="%8."/>
      <w:lvlJc w:val="left"/>
      <w:pPr>
        <w:ind w:left="6349" w:hanging="360"/>
      </w:pPr>
    </w:lvl>
    <w:lvl w:ilvl="8" w:tplc="0402001B" w:tentative="1">
      <w:start w:val="1"/>
      <w:numFmt w:val="lowerRoman"/>
      <w:lvlText w:val="%9."/>
      <w:lvlJc w:val="right"/>
      <w:pPr>
        <w:ind w:left="7069" w:hanging="180"/>
      </w:pPr>
    </w:lvl>
  </w:abstractNum>
  <w:abstractNum w:abstractNumId="4" w15:restartNumberingAfterBreak="0">
    <w:nsid w:val="0FC35A38"/>
    <w:multiLevelType w:val="hybridMultilevel"/>
    <w:tmpl w:val="4CDABB5C"/>
    <w:lvl w:ilvl="0" w:tplc="E7F8B30E">
      <w:start w:val="16"/>
      <w:numFmt w:val="bullet"/>
      <w:lvlText w:val="-"/>
      <w:lvlJc w:val="left"/>
      <w:pPr>
        <w:ind w:left="720" w:hanging="360"/>
      </w:pPr>
      <w:rPr>
        <w:rFonts w:ascii="Calibri" w:eastAsia="Calibri"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0C6247D"/>
    <w:multiLevelType w:val="hybridMultilevel"/>
    <w:tmpl w:val="73B09B2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83F5EC4"/>
    <w:multiLevelType w:val="hybridMultilevel"/>
    <w:tmpl w:val="96F836F4"/>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 w15:restartNumberingAfterBreak="0">
    <w:nsid w:val="20A46073"/>
    <w:multiLevelType w:val="hybridMultilevel"/>
    <w:tmpl w:val="87740322"/>
    <w:lvl w:ilvl="0" w:tplc="326E0956">
      <w:start w:val="1"/>
      <w:numFmt w:val="bullet"/>
      <w:lvlText w:val="-"/>
      <w:lvlJc w:val="left"/>
      <w:pPr>
        <w:ind w:left="1080" w:hanging="360"/>
      </w:pPr>
      <w:rPr>
        <w:rFonts w:ascii="Calibri" w:eastAsia="Calibri" w:hAnsi="Calibri"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15:restartNumberingAfterBreak="0">
    <w:nsid w:val="20DF393A"/>
    <w:multiLevelType w:val="hybridMultilevel"/>
    <w:tmpl w:val="6C88264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26A735A"/>
    <w:multiLevelType w:val="hybridMultilevel"/>
    <w:tmpl w:val="0A2E043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CBA0FF7"/>
    <w:multiLevelType w:val="hybridMultilevel"/>
    <w:tmpl w:val="5E16D270"/>
    <w:lvl w:ilvl="0" w:tplc="0402000B">
      <w:start w:val="1"/>
      <w:numFmt w:val="bullet"/>
      <w:lvlText w:val=""/>
      <w:lvlJc w:val="left"/>
      <w:pPr>
        <w:ind w:left="644"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F05178E"/>
    <w:multiLevelType w:val="hybridMultilevel"/>
    <w:tmpl w:val="8EAA876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F477A82"/>
    <w:multiLevelType w:val="hybridMultilevel"/>
    <w:tmpl w:val="1A244E18"/>
    <w:lvl w:ilvl="0" w:tplc="04020001">
      <w:start w:val="1"/>
      <w:numFmt w:val="bullet"/>
      <w:lvlText w:val=""/>
      <w:lvlJc w:val="left"/>
      <w:pPr>
        <w:ind w:left="1152" w:hanging="360"/>
      </w:pPr>
      <w:rPr>
        <w:rFonts w:ascii="Symbol" w:hAnsi="Symbol" w:hint="default"/>
      </w:rPr>
    </w:lvl>
    <w:lvl w:ilvl="1" w:tplc="04020003" w:tentative="1">
      <w:start w:val="1"/>
      <w:numFmt w:val="bullet"/>
      <w:lvlText w:val="o"/>
      <w:lvlJc w:val="left"/>
      <w:pPr>
        <w:ind w:left="1872" w:hanging="360"/>
      </w:pPr>
      <w:rPr>
        <w:rFonts w:ascii="Courier New" w:hAnsi="Courier New" w:cs="Courier New" w:hint="default"/>
      </w:rPr>
    </w:lvl>
    <w:lvl w:ilvl="2" w:tplc="04020005" w:tentative="1">
      <w:start w:val="1"/>
      <w:numFmt w:val="bullet"/>
      <w:lvlText w:val=""/>
      <w:lvlJc w:val="left"/>
      <w:pPr>
        <w:ind w:left="2592" w:hanging="360"/>
      </w:pPr>
      <w:rPr>
        <w:rFonts w:ascii="Wingdings" w:hAnsi="Wingdings" w:hint="default"/>
      </w:rPr>
    </w:lvl>
    <w:lvl w:ilvl="3" w:tplc="04020001" w:tentative="1">
      <w:start w:val="1"/>
      <w:numFmt w:val="bullet"/>
      <w:lvlText w:val=""/>
      <w:lvlJc w:val="left"/>
      <w:pPr>
        <w:ind w:left="3312" w:hanging="360"/>
      </w:pPr>
      <w:rPr>
        <w:rFonts w:ascii="Symbol" w:hAnsi="Symbol" w:hint="default"/>
      </w:rPr>
    </w:lvl>
    <w:lvl w:ilvl="4" w:tplc="04020003" w:tentative="1">
      <w:start w:val="1"/>
      <w:numFmt w:val="bullet"/>
      <w:lvlText w:val="o"/>
      <w:lvlJc w:val="left"/>
      <w:pPr>
        <w:ind w:left="4032" w:hanging="360"/>
      </w:pPr>
      <w:rPr>
        <w:rFonts w:ascii="Courier New" w:hAnsi="Courier New" w:cs="Courier New" w:hint="default"/>
      </w:rPr>
    </w:lvl>
    <w:lvl w:ilvl="5" w:tplc="04020005" w:tentative="1">
      <w:start w:val="1"/>
      <w:numFmt w:val="bullet"/>
      <w:lvlText w:val=""/>
      <w:lvlJc w:val="left"/>
      <w:pPr>
        <w:ind w:left="4752" w:hanging="360"/>
      </w:pPr>
      <w:rPr>
        <w:rFonts w:ascii="Wingdings" w:hAnsi="Wingdings" w:hint="default"/>
      </w:rPr>
    </w:lvl>
    <w:lvl w:ilvl="6" w:tplc="04020001" w:tentative="1">
      <w:start w:val="1"/>
      <w:numFmt w:val="bullet"/>
      <w:lvlText w:val=""/>
      <w:lvlJc w:val="left"/>
      <w:pPr>
        <w:ind w:left="5472" w:hanging="360"/>
      </w:pPr>
      <w:rPr>
        <w:rFonts w:ascii="Symbol" w:hAnsi="Symbol" w:hint="default"/>
      </w:rPr>
    </w:lvl>
    <w:lvl w:ilvl="7" w:tplc="04020003" w:tentative="1">
      <w:start w:val="1"/>
      <w:numFmt w:val="bullet"/>
      <w:lvlText w:val="o"/>
      <w:lvlJc w:val="left"/>
      <w:pPr>
        <w:ind w:left="6192" w:hanging="360"/>
      </w:pPr>
      <w:rPr>
        <w:rFonts w:ascii="Courier New" w:hAnsi="Courier New" w:cs="Courier New" w:hint="default"/>
      </w:rPr>
    </w:lvl>
    <w:lvl w:ilvl="8" w:tplc="04020005" w:tentative="1">
      <w:start w:val="1"/>
      <w:numFmt w:val="bullet"/>
      <w:lvlText w:val=""/>
      <w:lvlJc w:val="left"/>
      <w:pPr>
        <w:ind w:left="6912" w:hanging="360"/>
      </w:pPr>
      <w:rPr>
        <w:rFonts w:ascii="Wingdings" w:hAnsi="Wingdings" w:hint="default"/>
      </w:rPr>
    </w:lvl>
  </w:abstractNum>
  <w:abstractNum w:abstractNumId="13" w15:restartNumberingAfterBreak="0">
    <w:nsid w:val="3380767F"/>
    <w:multiLevelType w:val="hybridMultilevel"/>
    <w:tmpl w:val="BE8EDBBC"/>
    <w:lvl w:ilvl="0" w:tplc="CC14D5D4">
      <w:start w:val="1"/>
      <w:numFmt w:val="bullet"/>
      <w:lvlText w:val="-"/>
      <w:lvlJc w:val="left"/>
      <w:pPr>
        <w:ind w:left="1440" w:hanging="360"/>
      </w:pPr>
      <w:rPr>
        <w:rFonts w:ascii="Times New Roman" w:eastAsia="Times New Roman" w:hAnsi="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cs="Wingdings" w:hint="default"/>
      </w:rPr>
    </w:lvl>
    <w:lvl w:ilvl="3" w:tplc="04020001" w:tentative="1">
      <w:start w:val="1"/>
      <w:numFmt w:val="bullet"/>
      <w:lvlText w:val=""/>
      <w:lvlJc w:val="left"/>
      <w:pPr>
        <w:ind w:left="3600" w:hanging="360"/>
      </w:pPr>
      <w:rPr>
        <w:rFonts w:ascii="Symbol" w:hAnsi="Symbol" w:cs="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cs="Wingdings" w:hint="default"/>
      </w:rPr>
    </w:lvl>
    <w:lvl w:ilvl="6" w:tplc="04020001" w:tentative="1">
      <w:start w:val="1"/>
      <w:numFmt w:val="bullet"/>
      <w:lvlText w:val=""/>
      <w:lvlJc w:val="left"/>
      <w:pPr>
        <w:ind w:left="5760" w:hanging="360"/>
      </w:pPr>
      <w:rPr>
        <w:rFonts w:ascii="Symbol" w:hAnsi="Symbol" w:cs="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cs="Wingdings" w:hint="default"/>
      </w:rPr>
    </w:lvl>
  </w:abstractNum>
  <w:abstractNum w:abstractNumId="14" w15:restartNumberingAfterBreak="0">
    <w:nsid w:val="36144C3D"/>
    <w:multiLevelType w:val="multilevel"/>
    <w:tmpl w:val="BB6CB4F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3659320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66D3B53"/>
    <w:multiLevelType w:val="hybridMultilevel"/>
    <w:tmpl w:val="2C04FDA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7F331BE"/>
    <w:multiLevelType w:val="hybridMultilevel"/>
    <w:tmpl w:val="FA8C6E2A"/>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CF44C5"/>
    <w:multiLevelType w:val="hybridMultilevel"/>
    <w:tmpl w:val="046ABC0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C86311E"/>
    <w:multiLevelType w:val="hybridMultilevel"/>
    <w:tmpl w:val="8BC21B34"/>
    <w:lvl w:ilvl="0" w:tplc="0402000B">
      <w:start w:val="1"/>
      <w:numFmt w:val="bullet"/>
      <w:lvlText w:val=""/>
      <w:lvlJc w:val="left"/>
      <w:pPr>
        <w:ind w:left="1070" w:hanging="360"/>
      </w:pPr>
      <w:rPr>
        <w:rFonts w:ascii="Wingdings" w:hAnsi="Wingdings"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20" w15:restartNumberingAfterBreak="0">
    <w:nsid w:val="48E37566"/>
    <w:multiLevelType w:val="hybridMultilevel"/>
    <w:tmpl w:val="2C401568"/>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9FB5BCD"/>
    <w:multiLevelType w:val="hybridMultilevel"/>
    <w:tmpl w:val="2670F3CE"/>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26F42CD"/>
    <w:multiLevelType w:val="hybridMultilevel"/>
    <w:tmpl w:val="F740F8E4"/>
    <w:lvl w:ilvl="0" w:tplc="0010A38E">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538F6B53"/>
    <w:multiLevelType w:val="hybridMultilevel"/>
    <w:tmpl w:val="3CB2E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E5670A"/>
    <w:multiLevelType w:val="hybridMultilevel"/>
    <w:tmpl w:val="7A242B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0C0201"/>
    <w:multiLevelType w:val="hybridMultilevel"/>
    <w:tmpl w:val="E012B07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C487885"/>
    <w:multiLevelType w:val="hybridMultilevel"/>
    <w:tmpl w:val="A29600B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C556A4C"/>
    <w:multiLevelType w:val="hybridMultilevel"/>
    <w:tmpl w:val="74B8466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DDE4CFF"/>
    <w:multiLevelType w:val="hybridMultilevel"/>
    <w:tmpl w:val="53E6275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618C01F3"/>
    <w:multiLevelType w:val="hybridMultilevel"/>
    <w:tmpl w:val="1CE01C44"/>
    <w:lvl w:ilvl="0" w:tplc="8C4240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AB0CBB"/>
    <w:multiLevelType w:val="hybridMultilevel"/>
    <w:tmpl w:val="09C06B2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66F758F5"/>
    <w:multiLevelType w:val="hybridMultilevel"/>
    <w:tmpl w:val="112C4936"/>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2" w15:restartNumberingAfterBreak="0">
    <w:nsid w:val="750C1F63"/>
    <w:multiLevelType w:val="hybridMultilevel"/>
    <w:tmpl w:val="BB1A4AB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75D82774"/>
    <w:multiLevelType w:val="multilevel"/>
    <w:tmpl w:val="8F0C5B70"/>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76DA4E5F"/>
    <w:multiLevelType w:val="hybridMultilevel"/>
    <w:tmpl w:val="942C04F0"/>
    <w:lvl w:ilvl="0" w:tplc="0402000B">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068" w:hanging="360"/>
      </w:pPr>
      <w:rPr>
        <w:rFonts w:ascii="Courier New" w:hAnsi="Courier New" w:cs="Courier New" w:hint="default"/>
      </w:rPr>
    </w:lvl>
    <w:lvl w:ilvl="2" w:tplc="04020005" w:tentative="1">
      <w:start w:val="1"/>
      <w:numFmt w:val="bullet"/>
      <w:lvlText w:val=""/>
      <w:lvlJc w:val="left"/>
      <w:pPr>
        <w:ind w:left="1788" w:hanging="360"/>
      </w:pPr>
      <w:rPr>
        <w:rFonts w:ascii="Wingdings" w:hAnsi="Wingdings" w:hint="default"/>
      </w:rPr>
    </w:lvl>
    <w:lvl w:ilvl="3" w:tplc="04020001" w:tentative="1">
      <w:start w:val="1"/>
      <w:numFmt w:val="bullet"/>
      <w:lvlText w:val=""/>
      <w:lvlJc w:val="left"/>
      <w:pPr>
        <w:ind w:left="2508" w:hanging="360"/>
      </w:pPr>
      <w:rPr>
        <w:rFonts w:ascii="Symbol" w:hAnsi="Symbol" w:hint="default"/>
      </w:rPr>
    </w:lvl>
    <w:lvl w:ilvl="4" w:tplc="04020003" w:tentative="1">
      <w:start w:val="1"/>
      <w:numFmt w:val="bullet"/>
      <w:lvlText w:val="o"/>
      <w:lvlJc w:val="left"/>
      <w:pPr>
        <w:ind w:left="3228" w:hanging="360"/>
      </w:pPr>
      <w:rPr>
        <w:rFonts w:ascii="Courier New" w:hAnsi="Courier New" w:cs="Courier New" w:hint="default"/>
      </w:rPr>
    </w:lvl>
    <w:lvl w:ilvl="5" w:tplc="04020005" w:tentative="1">
      <w:start w:val="1"/>
      <w:numFmt w:val="bullet"/>
      <w:lvlText w:val=""/>
      <w:lvlJc w:val="left"/>
      <w:pPr>
        <w:ind w:left="3948" w:hanging="360"/>
      </w:pPr>
      <w:rPr>
        <w:rFonts w:ascii="Wingdings" w:hAnsi="Wingdings" w:hint="default"/>
      </w:rPr>
    </w:lvl>
    <w:lvl w:ilvl="6" w:tplc="04020001" w:tentative="1">
      <w:start w:val="1"/>
      <w:numFmt w:val="bullet"/>
      <w:lvlText w:val=""/>
      <w:lvlJc w:val="left"/>
      <w:pPr>
        <w:ind w:left="4668" w:hanging="360"/>
      </w:pPr>
      <w:rPr>
        <w:rFonts w:ascii="Symbol" w:hAnsi="Symbol" w:hint="default"/>
      </w:rPr>
    </w:lvl>
    <w:lvl w:ilvl="7" w:tplc="04020003" w:tentative="1">
      <w:start w:val="1"/>
      <w:numFmt w:val="bullet"/>
      <w:lvlText w:val="o"/>
      <w:lvlJc w:val="left"/>
      <w:pPr>
        <w:ind w:left="5388" w:hanging="360"/>
      </w:pPr>
      <w:rPr>
        <w:rFonts w:ascii="Courier New" w:hAnsi="Courier New" w:cs="Courier New" w:hint="default"/>
      </w:rPr>
    </w:lvl>
    <w:lvl w:ilvl="8" w:tplc="04020005" w:tentative="1">
      <w:start w:val="1"/>
      <w:numFmt w:val="bullet"/>
      <w:lvlText w:val=""/>
      <w:lvlJc w:val="left"/>
      <w:pPr>
        <w:ind w:left="6108" w:hanging="360"/>
      </w:pPr>
      <w:rPr>
        <w:rFonts w:ascii="Wingdings" w:hAnsi="Wingdings" w:hint="default"/>
      </w:rPr>
    </w:lvl>
  </w:abstractNum>
  <w:abstractNum w:abstractNumId="35" w15:restartNumberingAfterBreak="0">
    <w:nsid w:val="773167F8"/>
    <w:multiLevelType w:val="hybridMultilevel"/>
    <w:tmpl w:val="BDACFE1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6" w15:restartNumberingAfterBreak="0">
    <w:nsid w:val="774614DE"/>
    <w:multiLevelType w:val="hybridMultilevel"/>
    <w:tmpl w:val="545CC77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90334DD"/>
    <w:multiLevelType w:val="multilevel"/>
    <w:tmpl w:val="BB6CB4F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15:restartNumberingAfterBreak="0">
    <w:nsid w:val="7D0324D1"/>
    <w:multiLevelType w:val="hybridMultilevel"/>
    <w:tmpl w:val="F8CA164C"/>
    <w:lvl w:ilvl="0" w:tplc="3C76E6DA">
      <w:start w:val="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8"/>
  </w:num>
  <w:num w:numId="3">
    <w:abstractNumId w:val="17"/>
  </w:num>
  <w:num w:numId="4">
    <w:abstractNumId w:val="35"/>
  </w:num>
  <w:num w:numId="5">
    <w:abstractNumId w:val="7"/>
  </w:num>
  <w:num w:numId="6">
    <w:abstractNumId w:val="3"/>
  </w:num>
  <w:num w:numId="7">
    <w:abstractNumId w:val="14"/>
  </w:num>
  <w:num w:numId="8">
    <w:abstractNumId w:val="13"/>
  </w:num>
  <w:num w:numId="9">
    <w:abstractNumId w:val="6"/>
  </w:num>
  <w:num w:numId="10">
    <w:abstractNumId w:val="11"/>
  </w:num>
  <w:num w:numId="11">
    <w:abstractNumId w:val="2"/>
  </w:num>
  <w:num w:numId="12">
    <w:abstractNumId w:val="37"/>
  </w:num>
  <w:num w:numId="13">
    <w:abstractNumId w:val="33"/>
  </w:num>
  <w:num w:numId="14">
    <w:abstractNumId w:val="28"/>
  </w:num>
  <w:num w:numId="15">
    <w:abstractNumId w:val="34"/>
  </w:num>
  <w:num w:numId="16">
    <w:abstractNumId w:val="22"/>
  </w:num>
  <w:num w:numId="17">
    <w:abstractNumId w:val="10"/>
  </w:num>
  <w:num w:numId="18">
    <w:abstractNumId w:val="38"/>
  </w:num>
  <w:num w:numId="19">
    <w:abstractNumId w:val="32"/>
  </w:num>
  <w:num w:numId="20">
    <w:abstractNumId w:val="4"/>
  </w:num>
  <w:num w:numId="21">
    <w:abstractNumId w:val="9"/>
  </w:num>
  <w:num w:numId="22">
    <w:abstractNumId w:val="26"/>
  </w:num>
  <w:num w:numId="23">
    <w:abstractNumId w:val="8"/>
  </w:num>
  <w:num w:numId="24">
    <w:abstractNumId w:val="36"/>
  </w:num>
  <w:num w:numId="25">
    <w:abstractNumId w:val="27"/>
  </w:num>
  <w:num w:numId="26">
    <w:abstractNumId w:val="23"/>
  </w:num>
  <w:num w:numId="27">
    <w:abstractNumId w:val="30"/>
  </w:num>
  <w:num w:numId="28">
    <w:abstractNumId w:val="16"/>
  </w:num>
  <w:num w:numId="29">
    <w:abstractNumId w:val="5"/>
  </w:num>
  <w:num w:numId="30">
    <w:abstractNumId w:val="25"/>
  </w:num>
  <w:num w:numId="31">
    <w:abstractNumId w:val="31"/>
  </w:num>
  <w:num w:numId="32">
    <w:abstractNumId w:val="18"/>
  </w:num>
  <w:num w:numId="33">
    <w:abstractNumId w:val="19"/>
  </w:num>
  <w:num w:numId="34">
    <w:abstractNumId w:val="1"/>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5"/>
  </w:num>
  <w:num w:numId="38">
    <w:abstractNumId w:val="0"/>
  </w:num>
  <w:num w:numId="39">
    <w:abstractNumId w:val="20"/>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2FE"/>
    <w:rsid w:val="00000E47"/>
    <w:rsid w:val="00001841"/>
    <w:rsid w:val="00002426"/>
    <w:rsid w:val="00002E2A"/>
    <w:rsid w:val="00020A29"/>
    <w:rsid w:val="000214DE"/>
    <w:rsid w:val="000254CA"/>
    <w:rsid w:val="00026819"/>
    <w:rsid w:val="00026E0A"/>
    <w:rsid w:val="00027CF1"/>
    <w:rsid w:val="00030A72"/>
    <w:rsid w:val="0004146D"/>
    <w:rsid w:val="000438E0"/>
    <w:rsid w:val="00047D77"/>
    <w:rsid w:val="00051669"/>
    <w:rsid w:val="00051BE7"/>
    <w:rsid w:val="00055988"/>
    <w:rsid w:val="000638BE"/>
    <w:rsid w:val="00066F44"/>
    <w:rsid w:val="00067632"/>
    <w:rsid w:val="0007125E"/>
    <w:rsid w:val="00072043"/>
    <w:rsid w:val="00072644"/>
    <w:rsid w:val="0007408D"/>
    <w:rsid w:val="00085369"/>
    <w:rsid w:val="0008685D"/>
    <w:rsid w:val="0009170F"/>
    <w:rsid w:val="0009295A"/>
    <w:rsid w:val="000A04BF"/>
    <w:rsid w:val="000A45D4"/>
    <w:rsid w:val="000A4D19"/>
    <w:rsid w:val="000A7122"/>
    <w:rsid w:val="000B2393"/>
    <w:rsid w:val="000C1748"/>
    <w:rsid w:val="000C4259"/>
    <w:rsid w:val="000C78E8"/>
    <w:rsid w:val="000D0B81"/>
    <w:rsid w:val="000D3DCC"/>
    <w:rsid w:val="000D4B95"/>
    <w:rsid w:val="000D7EF4"/>
    <w:rsid w:val="000E136F"/>
    <w:rsid w:val="000E695C"/>
    <w:rsid w:val="000E6B44"/>
    <w:rsid w:val="000E72C3"/>
    <w:rsid w:val="000F3491"/>
    <w:rsid w:val="000F45E0"/>
    <w:rsid w:val="000F5371"/>
    <w:rsid w:val="000F5FDB"/>
    <w:rsid w:val="001001A7"/>
    <w:rsid w:val="00101559"/>
    <w:rsid w:val="00102058"/>
    <w:rsid w:val="00104C32"/>
    <w:rsid w:val="001071F1"/>
    <w:rsid w:val="0011385D"/>
    <w:rsid w:val="001139BA"/>
    <w:rsid w:val="00113D56"/>
    <w:rsid w:val="00116E8C"/>
    <w:rsid w:val="001204F2"/>
    <w:rsid w:val="001268A5"/>
    <w:rsid w:val="00133F2F"/>
    <w:rsid w:val="00135CCF"/>
    <w:rsid w:val="0015025F"/>
    <w:rsid w:val="00162F16"/>
    <w:rsid w:val="001630FF"/>
    <w:rsid w:val="00167208"/>
    <w:rsid w:val="00167F72"/>
    <w:rsid w:val="001706EA"/>
    <w:rsid w:val="00192489"/>
    <w:rsid w:val="001A082F"/>
    <w:rsid w:val="001A3374"/>
    <w:rsid w:val="001B0D9D"/>
    <w:rsid w:val="001B5366"/>
    <w:rsid w:val="001B5E04"/>
    <w:rsid w:val="001B5E10"/>
    <w:rsid w:val="001B7863"/>
    <w:rsid w:val="001B7D3D"/>
    <w:rsid w:val="001C1494"/>
    <w:rsid w:val="001C4B75"/>
    <w:rsid w:val="001D30B3"/>
    <w:rsid w:val="001D451E"/>
    <w:rsid w:val="001D5028"/>
    <w:rsid w:val="001D7F71"/>
    <w:rsid w:val="001E377A"/>
    <w:rsid w:val="001E3820"/>
    <w:rsid w:val="001E3A3F"/>
    <w:rsid w:val="001F04BA"/>
    <w:rsid w:val="001F0CA9"/>
    <w:rsid w:val="001F2E45"/>
    <w:rsid w:val="001F3596"/>
    <w:rsid w:val="00201E0A"/>
    <w:rsid w:val="002021BE"/>
    <w:rsid w:val="00206653"/>
    <w:rsid w:val="00214E6C"/>
    <w:rsid w:val="00217F3D"/>
    <w:rsid w:val="00221009"/>
    <w:rsid w:val="002221FF"/>
    <w:rsid w:val="00235329"/>
    <w:rsid w:val="0023539A"/>
    <w:rsid w:val="00236851"/>
    <w:rsid w:val="00240AE7"/>
    <w:rsid w:val="002413E6"/>
    <w:rsid w:val="002452BD"/>
    <w:rsid w:val="00247DE1"/>
    <w:rsid w:val="002534AF"/>
    <w:rsid w:val="00253A12"/>
    <w:rsid w:val="00263FD0"/>
    <w:rsid w:val="00266DA7"/>
    <w:rsid w:val="00267554"/>
    <w:rsid w:val="002677DC"/>
    <w:rsid w:val="0027311F"/>
    <w:rsid w:val="00277B0F"/>
    <w:rsid w:val="002801AE"/>
    <w:rsid w:val="0028162E"/>
    <w:rsid w:val="002858D8"/>
    <w:rsid w:val="00285A47"/>
    <w:rsid w:val="002913A8"/>
    <w:rsid w:val="002A329A"/>
    <w:rsid w:val="002A46A4"/>
    <w:rsid w:val="002A5526"/>
    <w:rsid w:val="002A75DC"/>
    <w:rsid w:val="002B23BF"/>
    <w:rsid w:val="002B3366"/>
    <w:rsid w:val="002B4162"/>
    <w:rsid w:val="002B61BE"/>
    <w:rsid w:val="002B7617"/>
    <w:rsid w:val="002C0ECD"/>
    <w:rsid w:val="002C23D8"/>
    <w:rsid w:val="002D2F0D"/>
    <w:rsid w:val="002D30BA"/>
    <w:rsid w:val="002D30D5"/>
    <w:rsid w:val="002D4B9C"/>
    <w:rsid w:val="002E4AE2"/>
    <w:rsid w:val="002F2569"/>
    <w:rsid w:val="0030210B"/>
    <w:rsid w:val="00306AFD"/>
    <w:rsid w:val="0031265E"/>
    <w:rsid w:val="00313FFC"/>
    <w:rsid w:val="003159F1"/>
    <w:rsid w:val="00317C13"/>
    <w:rsid w:val="00317E69"/>
    <w:rsid w:val="003218DD"/>
    <w:rsid w:val="00322067"/>
    <w:rsid w:val="003221E1"/>
    <w:rsid w:val="0032305C"/>
    <w:rsid w:val="003336C3"/>
    <w:rsid w:val="00334AC3"/>
    <w:rsid w:val="003351A2"/>
    <w:rsid w:val="00335AFC"/>
    <w:rsid w:val="0034170A"/>
    <w:rsid w:val="00351F5D"/>
    <w:rsid w:val="00351FDD"/>
    <w:rsid w:val="00360656"/>
    <w:rsid w:val="00371A35"/>
    <w:rsid w:val="00372BA2"/>
    <w:rsid w:val="003733F0"/>
    <w:rsid w:val="00374AC4"/>
    <w:rsid w:val="00377195"/>
    <w:rsid w:val="003805DF"/>
    <w:rsid w:val="00381516"/>
    <w:rsid w:val="00381C59"/>
    <w:rsid w:val="00385E71"/>
    <w:rsid w:val="00387946"/>
    <w:rsid w:val="00390596"/>
    <w:rsid w:val="003916F6"/>
    <w:rsid w:val="003939B7"/>
    <w:rsid w:val="00396334"/>
    <w:rsid w:val="003A1D1D"/>
    <w:rsid w:val="003A5965"/>
    <w:rsid w:val="003A6BFD"/>
    <w:rsid w:val="003B003E"/>
    <w:rsid w:val="003B19D6"/>
    <w:rsid w:val="003B33A2"/>
    <w:rsid w:val="003B6D98"/>
    <w:rsid w:val="003C2CEF"/>
    <w:rsid w:val="003D1D85"/>
    <w:rsid w:val="003D1DB7"/>
    <w:rsid w:val="003D3346"/>
    <w:rsid w:val="003D51AB"/>
    <w:rsid w:val="003E16DC"/>
    <w:rsid w:val="003F48B3"/>
    <w:rsid w:val="003F4DBA"/>
    <w:rsid w:val="003F59EA"/>
    <w:rsid w:val="003F6DCE"/>
    <w:rsid w:val="003F723A"/>
    <w:rsid w:val="004036A4"/>
    <w:rsid w:val="0040585F"/>
    <w:rsid w:val="004108B3"/>
    <w:rsid w:val="00411567"/>
    <w:rsid w:val="004136A0"/>
    <w:rsid w:val="0041373D"/>
    <w:rsid w:val="004140A9"/>
    <w:rsid w:val="00417C1F"/>
    <w:rsid w:val="00422CBE"/>
    <w:rsid w:val="004328F3"/>
    <w:rsid w:val="00440E21"/>
    <w:rsid w:val="00443611"/>
    <w:rsid w:val="00443DEE"/>
    <w:rsid w:val="00454A51"/>
    <w:rsid w:val="004622A3"/>
    <w:rsid w:val="00463D08"/>
    <w:rsid w:val="00463EFF"/>
    <w:rsid w:val="00464CDF"/>
    <w:rsid w:val="00475146"/>
    <w:rsid w:val="00477EB3"/>
    <w:rsid w:val="004826C8"/>
    <w:rsid w:val="00483EC2"/>
    <w:rsid w:val="00496B7F"/>
    <w:rsid w:val="004A0E99"/>
    <w:rsid w:val="004A33DD"/>
    <w:rsid w:val="004A4B71"/>
    <w:rsid w:val="004B38BE"/>
    <w:rsid w:val="004B7FBF"/>
    <w:rsid w:val="004D1E8F"/>
    <w:rsid w:val="004D2EFA"/>
    <w:rsid w:val="004D3E11"/>
    <w:rsid w:val="004D3E9D"/>
    <w:rsid w:val="004D5FFA"/>
    <w:rsid w:val="004E44CB"/>
    <w:rsid w:val="004E4854"/>
    <w:rsid w:val="004E5DFB"/>
    <w:rsid w:val="004F1BCA"/>
    <w:rsid w:val="004F25D4"/>
    <w:rsid w:val="004F2D9B"/>
    <w:rsid w:val="004F33AC"/>
    <w:rsid w:val="004F554E"/>
    <w:rsid w:val="004F7205"/>
    <w:rsid w:val="004F7DAA"/>
    <w:rsid w:val="00505230"/>
    <w:rsid w:val="00510F00"/>
    <w:rsid w:val="005159D0"/>
    <w:rsid w:val="0051772D"/>
    <w:rsid w:val="00517C7D"/>
    <w:rsid w:val="00521FE2"/>
    <w:rsid w:val="005307A0"/>
    <w:rsid w:val="00533AAB"/>
    <w:rsid w:val="0053474B"/>
    <w:rsid w:val="005363EC"/>
    <w:rsid w:val="0053669E"/>
    <w:rsid w:val="00537865"/>
    <w:rsid w:val="00540C42"/>
    <w:rsid w:val="00547A80"/>
    <w:rsid w:val="00551D32"/>
    <w:rsid w:val="0055491D"/>
    <w:rsid w:val="00555ABE"/>
    <w:rsid w:val="00561B7F"/>
    <w:rsid w:val="00564DE8"/>
    <w:rsid w:val="00573835"/>
    <w:rsid w:val="00574EC9"/>
    <w:rsid w:val="00575EDD"/>
    <w:rsid w:val="00581E97"/>
    <w:rsid w:val="0058359C"/>
    <w:rsid w:val="00583A28"/>
    <w:rsid w:val="005857A7"/>
    <w:rsid w:val="00591209"/>
    <w:rsid w:val="005A1769"/>
    <w:rsid w:val="005A40C3"/>
    <w:rsid w:val="005A47C9"/>
    <w:rsid w:val="005A6A11"/>
    <w:rsid w:val="005B5D38"/>
    <w:rsid w:val="005C2ECB"/>
    <w:rsid w:val="005C3EFC"/>
    <w:rsid w:val="005C76A7"/>
    <w:rsid w:val="005C77AF"/>
    <w:rsid w:val="005D00F8"/>
    <w:rsid w:val="005D4EBC"/>
    <w:rsid w:val="005D4F7E"/>
    <w:rsid w:val="005E089E"/>
    <w:rsid w:val="005E5C54"/>
    <w:rsid w:val="005E5D50"/>
    <w:rsid w:val="005F139B"/>
    <w:rsid w:val="005F33F4"/>
    <w:rsid w:val="005F7445"/>
    <w:rsid w:val="005F7BEE"/>
    <w:rsid w:val="00604CD7"/>
    <w:rsid w:val="0060543B"/>
    <w:rsid w:val="00613EC3"/>
    <w:rsid w:val="00616662"/>
    <w:rsid w:val="006219C2"/>
    <w:rsid w:val="006222FE"/>
    <w:rsid w:val="006232DC"/>
    <w:rsid w:val="0062661D"/>
    <w:rsid w:val="00644843"/>
    <w:rsid w:val="00645434"/>
    <w:rsid w:val="006478D6"/>
    <w:rsid w:val="00650253"/>
    <w:rsid w:val="00661578"/>
    <w:rsid w:val="00666783"/>
    <w:rsid w:val="006706FF"/>
    <w:rsid w:val="00671683"/>
    <w:rsid w:val="00672D7F"/>
    <w:rsid w:val="00673A52"/>
    <w:rsid w:val="00675E84"/>
    <w:rsid w:val="00681235"/>
    <w:rsid w:val="00693964"/>
    <w:rsid w:val="00694261"/>
    <w:rsid w:val="006948DD"/>
    <w:rsid w:val="00694A19"/>
    <w:rsid w:val="006A2B1B"/>
    <w:rsid w:val="006A4282"/>
    <w:rsid w:val="006A4485"/>
    <w:rsid w:val="006B04E6"/>
    <w:rsid w:val="006B11D4"/>
    <w:rsid w:val="006B3661"/>
    <w:rsid w:val="006B449B"/>
    <w:rsid w:val="006B512E"/>
    <w:rsid w:val="006B5318"/>
    <w:rsid w:val="006B70B4"/>
    <w:rsid w:val="006C65AD"/>
    <w:rsid w:val="006D1373"/>
    <w:rsid w:val="006D551D"/>
    <w:rsid w:val="006E0AF2"/>
    <w:rsid w:val="006E3D9E"/>
    <w:rsid w:val="006F1858"/>
    <w:rsid w:val="006F572F"/>
    <w:rsid w:val="006F63BB"/>
    <w:rsid w:val="006F6656"/>
    <w:rsid w:val="007008F7"/>
    <w:rsid w:val="00703B58"/>
    <w:rsid w:val="0070653F"/>
    <w:rsid w:val="00710171"/>
    <w:rsid w:val="00711D46"/>
    <w:rsid w:val="00713EAA"/>
    <w:rsid w:val="007158E2"/>
    <w:rsid w:val="007218EE"/>
    <w:rsid w:val="007222E8"/>
    <w:rsid w:val="00723F58"/>
    <w:rsid w:val="0072451B"/>
    <w:rsid w:val="00731563"/>
    <w:rsid w:val="00732404"/>
    <w:rsid w:val="00733E11"/>
    <w:rsid w:val="00742E00"/>
    <w:rsid w:val="00744802"/>
    <w:rsid w:val="00744E03"/>
    <w:rsid w:val="007453FD"/>
    <w:rsid w:val="00755439"/>
    <w:rsid w:val="00755C8F"/>
    <w:rsid w:val="007616DC"/>
    <w:rsid w:val="00761921"/>
    <w:rsid w:val="00764E17"/>
    <w:rsid w:val="00773738"/>
    <w:rsid w:val="00773AF6"/>
    <w:rsid w:val="00774FAF"/>
    <w:rsid w:val="007761F8"/>
    <w:rsid w:val="007879E9"/>
    <w:rsid w:val="00792CFB"/>
    <w:rsid w:val="00794D1B"/>
    <w:rsid w:val="00795AB9"/>
    <w:rsid w:val="00796B82"/>
    <w:rsid w:val="00796F24"/>
    <w:rsid w:val="007A6686"/>
    <w:rsid w:val="007A67B9"/>
    <w:rsid w:val="007B7A5F"/>
    <w:rsid w:val="007C7F7E"/>
    <w:rsid w:val="007D60AB"/>
    <w:rsid w:val="007D7D3B"/>
    <w:rsid w:val="007E3775"/>
    <w:rsid w:val="007E7B25"/>
    <w:rsid w:val="007F1FC7"/>
    <w:rsid w:val="007F5262"/>
    <w:rsid w:val="007F578C"/>
    <w:rsid w:val="007F772D"/>
    <w:rsid w:val="00801486"/>
    <w:rsid w:val="00812681"/>
    <w:rsid w:val="00812B27"/>
    <w:rsid w:val="00814975"/>
    <w:rsid w:val="008206A3"/>
    <w:rsid w:val="00821344"/>
    <w:rsid w:val="00822B39"/>
    <w:rsid w:val="00823689"/>
    <w:rsid w:val="00824213"/>
    <w:rsid w:val="0082606F"/>
    <w:rsid w:val="00826B60"/>
    <w:rsid w:val="008447EB"/>
    <w:rsid w:val="00844EF3"/>
    <w:rsid w:val="00857CD5"/>
    <w:rsid w:val="00882E63"/>
    <w:rsid w:val="00883282"/>
    <w:rsid w:val="0088565A"/>
    <w:rsid w:val="00886BCA"/>
    <w:rsid w:val="0089049B"/>
    <w:rsid w:val="0089088D"/>
    <w:rsid w:val="00892533"/>
    <w:rsid w:val="008969C6"/>
    <w:rsid w:val="008A3487"/>
    <w:rsid w:val="008A429E"/>
    <w:rsid w:val="008A4734"/>
    <w:rsid w:val="008A6EC3"/>
    <w:rsid w:val="008B42C1"/>
    <w:rsid w:val="008C7B74"/>
    <w:rsid w:val="008D06D2"/>
    <w:rsid w:val="008D137C"/>
    <w:rsid w:val="008D3381"/>
    <w:rsid w:val="008D4159"/>
    <w:rsid w:val="008D47FD"/>
    <w:rsid w:val="008D4F09"/>
    <w:rsid w:val="008D690B"/>
    <w:rsid w:val="008E7308"/>
    <w:rsid w:val="008E7B6A"/>
    <w:rsid w:val="008F0206"/>
    <w:rsid w:val="008F06F9"/>
    <w:rsid w:val="008F1494"/>
    <w:rsid w:val="008F34D9"/>
    <w:rsid w:val="008F5F81"/>
    <w:rsid w:val="0090186A"/>
    <w:rsid w:val="00903064"/>
    <w:rsid w:val="00910955"/>
    <w:rsid w:val="009148D0"/>
    <w:rsid w:val="00914ECE"/>
    <w:rsid w:val="0092049F"/>
    <w:rsid w:val="00922030"/>
    <w:rsid w:val="00923C53"/>
    <w:rsid w:val="00927F6F"/>
    <w:rsid w:val="00931404"/>
    <w:rsid w:val="0093249F"/>
    <w:rsid w:val="00932673"/>
    <w:rsid w:val="009354BD"/>
    <w:rsid w:val="00936692"/>
    <w:rsid w:val="0093798C"/>
    <w:rsid w:val="00940CF4"/>
    <w:rsid w:val="009452EF"/>
    <w:rsid w:val="009503AC"/>
    <w:rsid w:val="009513FE"/>
    <w:rsid w:val="00952F45"/>
    <w:rsid w:val="00954228"/>
    <w:rsid w:val="00954E2D"/>
    <w:rsid w:val="009575FD"/>
    <w:rsid w:val="00960F2D"/>
    <w:rsid w:val="009615FF"/>
    <w:rsid w:val="00961C6B"/>
    <w:rsid w:val="00962ABE"/>
    <w:rsid w:val="00964532"/>
    <w:rsid w:val="00966BC2"/>
    <w:rsid w:val="00982C43"/>
    <w:rsid w:val="00993EF7"/>
    <w:rsid w:val="00996F1A"/>
    <w:rsid w:val="009A03CD"/>
    <w:rsid w:val="009A1658"/>
    <w:rsid w:val="009A256D"/>
    <w:rsid w:val="009A59C7"/>
    <w:rsid w:val="009A6CBB"/>
    <w:rsid w:val="009A72B1"/>
    <w:rsid w:val="009A7C24"/>
    <w:rsid w:val="009B0490"/>
    <w:rsid w:val="009B32AB"/>
    <w:rsid w:val="009B4BCF"/>
    <w:rsid w:val="009B5B86"/>
    <w:rsid w:val="009B79F7"/>
    <w:rsid w:val="009C2E26"/>
    <w:rsid w:val="009C3EE8"/>
    <w:rsid w:val="009D2A82"/>
    <w:rsid w:val="009D4543"/>
    <w:rsid w:val="009E5968"/>
    <w:rsid w:val="009F6B1F"/>
    <w:rsid w:val="009F7497"/>
    <w:rsid w:val="00A000AC"/>
    <w:rsid w:val="00A03449"/>
    <w:rsid w:val="00A05E09"/>
    <w:rsid w:val="00A15E74"/>
    <w:rsid w:val="00A23387"/>
    <w:rsid w:val="00A36083"/>
    <w:rsid w:val="00A40DDD"/>
    <w:rsid w:val="00A42F67"/>
    <w:rsid w:val="00A4674F"/>
    <w:rsid w:val="00A52AF4"/>
    <w:rsid w:val="00A62CE4"/>
    <w:rsid w:val="00A676F3"/>
    <w:rsid w:val="00A71253"/>
    <w:rsid w:val="00A7762C"/>
    <w:rsid w:val="00A925A9"/>
    <w:rsid w:val="00A92824"/>
    <w:rsid w:val="00A92C54"/>
    <w:rsid w:val="00A95ADB"/>
    <w:rsid w:val="00AA01F5"/>
    <w:rsid w:val="00AA0CFB"/>
    <w:rsid w:val="00AA4083"/>
    <w:rsid w:val="00AA6BD2"/>
    <w:rsid w:val="00AB0CBA"/>
    <w:rsid w:val="00AB2CFF"/>
    <w:rsid w:val="00AB5D7B"/>
    <w:rsid w:val="00AB7040"/>
    <w:rsid w:val="00AC004C"/>
    <w:rsid w:val="00AC421B"/>
    <w:rsid w:val="00AC6CFA"/>
    <w:rsid w:val="00AD0CEB"/>
    <w:rsid w:val="00AD236E"/>
    <w:rsid w:val="00AE5FBF"/>
    <w:rsid w:val="00AE6F62"/>
    <w:rsid w:val="00AF2FEE"/>
    <w:rsid w:val="00AF524F"/>
    <w:rsid w:val="00AF6F1C"/>
    <w:rsid w:val="00AF702E"/>
    <w:rsid w:val="00AF7363"/>
    <w:rsid w:val="00B0659B"/>
    <w:rsid w:val="00B06B56"/>
    <w:rsid w:val="00B11AE1"/>
    <w:rsid w:val="00B12DD8"/>
    <w:rsid w:val="00B17E9F"/>
    <w:rsid w:val="00B21DF6"/>
    <w:rsid w:val="00B2308E"/>
    <w:rsid w:val="00B23478"/>
    <w:rsid w:val="00B35AC7"/>
    <w:rsid w:val="00B44B71"/>
    <w:rsid w:val="00B63037"/>
    <w:rsid w:val="00B6510B"/>
    <w:rsid w:val="00B67A5B"/>
    <w:rsid w:val="00B70859"/>
    <w:rsid w:val="00B731CB"/>
    <w:rsid w:val="00B76387"/>
    <w:rsid w:val="00B76391"/>
    <w:rsid w:val="00B76D9A"/>
    <w:rsid w:val="00B81647"/>
    <w:rsid w:val="00B8384E"/>
    <w:rsid w:val="00B851B0"/>
    <w:rsid w:val="00B90D7E"/>
    <w:rsid w:val="00B95F06"/>
    <w:rsid w:val="00B96387"/>
    <w:rsid w:val="00BA2218"/>
    <w:rsid w:val="00BA45B8"/>
    <w:rsid w:val="00BB1837"/>
    <w:rsid w:val="00BB2CCA"/>
    <w:rsid w:val="00BB67E1"/>
    <w:rsid w:val="00BC2BC7"/>
    <w:rsid w:val="00BC7D19"/>
    <w:rsid w:val="00BD04E1"/>
    <w:rsid w:val="00BE35E3"/>
    <w:rsid w:val="00BE3765"/>
    <w:rsid w:val="00BE4E53"/>
    <w:rsid w:val="00BE68B0"/>
    <w:rsid w:val="00BF75F4"/>
    <w:rsid w:val="00C01219"/>
    <w:rsid w:val="00C02972"/>
    <w:rsid w:val="00C04085"/>
    <w:rsid w:val="00C056DC"/>
    <w:rsid w:val="00C05C0E"/>
    <w:rsid w:val="00C10BFB"/>
    <w:rsid w:val="00C10D25"/>
    <w:rsid w:val="00C21026"/>
    <w:rsid w:val="00C2581D"/>
    <w:rsid w:val="00C33C38"/>
    <w:rsid w:val="00C40412"/>
    <w:rsid w:val="00C41D24"/>
    <w:rsid w:val="00C456C0"/>
    <w:rsid w:val="00C5065B"/>
    <w:rsid w:val="00C51FE9"/>
    <w:rsid w:val="00C53392"/>
    <w:rsid w:val="00C61234"/>
    <w:rsid w:val="00C751D3"/>
    <w:rsid w:val="00C81962"/>
    <w:rsid w:val="00C85C2F"/>
    <w:rsid w:val="00C90843"/>
    <w:rsid w:val="00C90EB5"/>
    <w:rsid w:val="00C92C91"/>
    <w:rsid w:val="00C97C53"/>
    <w:rsid w:val="00CA22C5"/>
    <w:rsid w:val="00CA2604"/>
    <w:rsid w:val="00CA65F6"/>
    <w:rsid w:val="00CB2FD8"/>
    <w:rsid w:val="00CB3916"/>
    <w:rsid w:val="00CB3BE2"/>
    <w:rsid w:val="00CB743B"/>
    <w:rsid w:val="00CC0F9D"/>
    <w:rsid w:val="00CC146A"/>
    <w:rsid w:val="00CC3C6C"/>
    <w:rsid w:val="00CD1C2D"/>
    <w:rsid w:val="00CD203D"/>
    <w:rsid w:val="00CE0A81"/>
    <w:rsid w:val="00CE3169"/>
    <w:rsid w:val="00CE45D9"/>
    <w:rsid w:val="00CE4B98"/>
    <w:rsid w:val="00CF0FD0"/>
    <w:rsid w:val="00CF1FC6"/>
    <w:rsid w:val="00CF2FD7"/>
    <w:rsid w:val="00CF3E54"/>
    <w:rsid w:val="00D05F53"/>
    <w:rsid w:val="00D07750"/>
    <w:rsid w:val="00D07B1E"/>
    <w:rsid w:val="00D11888"/>
    <w:rsid w:val="00D119C2"/>
    <w:rsid w:val="00D159CB"/>
    <w:rsid w:val="00D16348"/>
    <w:rsid w:val="00D169CA"/>
    <w:rsid w:val="00D2217A"/>
    <w:rsid w:val="00D30F83"/>
    <w:rsid w:val="00D329F8"/>
    <w:rsid w:val="00D330EB"/>
    <w:rsid w:val="00D337B8"/>
    <w:rsid w:val="00D37EFA"/>
    <w:rsid w:val="00D4046D"/>
    <w:rsid w:val="00D435E7"/>
    <w:rsid w:val="00D44828"/>
    <w:rsid w:val="00D50FF5"/>
    <w:rsid w:val="00D52578"/>
    <w:rsid w:val="00D526DB"/>
    <w:rsid w:val="00D53ABC"/>
    <w:rsid w:val="00D54917"/>
    <w:rsid w:val="00D5642D"/>
    <w:rsid w:val="00D6127E"/>
    <w:rsid w:val="00D62C3E"/>
    <w:rsid w:val="00D6518C"/>
    <w:rsid w:val="00D73152"/>
    <w:rsid w:val="00D75C4F"/>
    <w:rsid w:val="00D763D5"/>
    <w:rsid w:val="00D804A4"/>
    <w:rsid w:val="00D81F73"/>
    <w:rsid w:val="00D84DFA"/>
    <w:rsid w:val="00D84FC8"/>
    <w:rsid w:val="00D85260"/>
    <w:rsid w:val="00D85A80"/>
    <w:rsid w:val="00D93915"/>
    <w:rsid w:val="00D941D2"/>
    <w:rsid w:val="00D94A99"/>
    <w:rsid w:val="00D95E5A"/>
    <w:rsid w:val="00D96F7C"/>
    <w:rsid w:val="00D971DD"/>
    <w:rsid w:val="00D9795E"/>
    <w:rsid w:val="00DA11ED"/>
    <w:rsid w:val="00DB02BF"/>
    <w:rsid w:val="00DB2470"/>
    <w:rsid w:val="00DB325A"/>
    <w:rsid w:val="00DB3657"/>
    <w:rsid w:val="00DB471D"/>
    <w:rsid w:val="00DC0430"/>
    <w:rsid w:val="00DC1950"/>
    <w:rsid w:val="00DC29A2"/>
    <w:rsid w:val="00DC392A"/>
    <w:rsid w:val="00DC4BA1"/>
    <w:rsid w:val="00DD24CA"/>
    <w:rsid w:val="00DE102C"/>
    <w:rsid w:val="00DE4A4F"/>
    <w:rsid w:val="00DF17BC"/>
    <w:rsid w:val="00DF21FE"/>
    <w:rsid w:val="00DF7F54"/>
    <w:rsid w:val="00E02FD5"/>
    <w:rsid w:val="00E047C7"/>
    <w:rsid w:val="00E05425"/>
    <w:rsid w:val="00E114A7"/>
    <w:rsid w:val="00E13A8B"/>
    <w:rsid w:val="00E14424"/>
    <w:rsid w:val="00E168A1"/>
    <w:rsid w:val="00E1757B"/>
    <w:rsid w:val="00E209AF"/>
    <w:rsid w:val="00E26D86"/>
    <w:rsid w:val="00E31529"/>
    <w:rsid w:val="00E331E3"/>
    <w:rsid w:val="00E34308"/>
    <w:rsid w:val="00E348D8"/>
    <w:rsid w:val="00E45C77"/>
    <w:rsid w:val="00E5009F"/>
    <w:rsid w:val="00E54707"/>
    <w:rsid w:val="00E55B05"/>
    <w:rsid w:val="00E575FD"/>
    <w:rsid w:val="00E70D44"/>
    <w:rsid w:val="00E71974"/>
    <w:rsid w:val="00E77316"/>
    <w:rsid w:val="00E815E7"/>
    <w:rsid w:val="00E84D71"/>
    <w:rsid w:val="00E85603"/>
    <w:rsid w:val="00E86D02"/>
    <w:rsid w:val="00EA04AF"/>
    <w:rsid w:val="00EA1329"/>
    <w:rsid w:val="00EA2D65"/>
    <w:rsid w:val="00EA7522"/>
    <w:rsid w:val="00EB0733"/>
    <w:rsid w:val="00EB5C82"/>
    <w:rsid w:val="00EB646D"/>
    <w:rsid w:val="00EC335C"/>
    <w:rsid w:val="00EC3BDB"/>
    <w:rsid w:val="00EC6CDB"/>
    <w:rsid w:val="00ED6861"/>
    <w:rsid w:val="00EE49A9"/>
    <w:rsid w:val="00EE4C69"/>
    <w:rsid w:val="00EE57DB"/>
    <w:rsid w:val="00EF1053"/>
    <w:rsid w:val="00EF12BA"/>
    <w:rsid w:val="00EF313C"/>
    <w:rsid w:val="00EF4DE2"/>
    <w:rsid w:val="00EF60DE"/>
    <w:rsid w:val="00F0222A"/>
    <w:rsid w:val="00F02603"/>
    <w:rsid w:val="00F04245"/>
    <w:rsid w:val="00F05A34"/>
    <w:rsid w:val="00F07C67"/>
    <w:rsid w:val="00F104F4"/>
    <w:rsid w:val="00F1220D"/>
    <w:rsid w:val="00F12F0F"/>
    <w:rsid w:val="00F174C9"/>
    <w:rsid w:val="00F21129"/>
    <w:rsid w:val="00F23583"/>
    <w:rsid w:val="00F2705C"/>
    <w:rsid w:val="00F31F29"/>
    <w:rsid w:val="00F3504D"/>
    <w:rsid w:val="00F36C8D"/>
    <w:rsid w:val="00F40684"/>
    <w:rsid w:val="00F46B63"/>
    <w:rsid w:val="00F47374"/>
    <w:rsid w:val="00F50859"/>
    <w:rsid w:val="00F515B4"/>
    <w:rsid w:val="00F52DDE"/>
    <w:rsid w:val="00F544D2"/>
    <w:rsid w:val="00F568B8"/>
    <w:rsid w:val="00F57E26"/>
    <w:rsid w:val="00F61BA1"/>
    <w:rsid w:val="00F623FF"/>
    <w:rsid w:val="00F63937"/>
    <w:rsid w:val="00F6478A"/>
    <w:rsid w:val="00F64876"/>
    <w:rsid w:val="00F65D28"/>
    <w:rsid w:val="00F670EB"/>
    <w:rsid w:val="00F74E9E"/>
    <w:rsid w:val="00F75668"/>
    <w:rsid w:val="00F830A2"/>
    <w:rsid w:val="00F922BD"/>
    <w:rsid w:val="00F92B6B"/>
    <w:rsid w:val="00F94B8D"/>
    <w:rsid w:val="00F955DD"/>
    <w:rsid w:val="00F963D4"/>
    <w:rsid w:val="00F96760"/>
    <w:rsid w:val="00F970FB"/>
    <w:rsid w:val="00FA0064"/>
    <w:rsid w:val="00FA0A90"/>
    <w:rsid w:val="00FA3309"/>
    <w:rsid w:val="00FA6695"/>
    <w:rsid w:val="00FA74A5"/>
    <w:rsid w:val="00FA7800"/>
    <w:rsid w:val="00FB4096"/>
    <w:rsid w:val="00FB417B"/>
    <w:rsid w:val="00FB7459"/>
    <w:rsid w:val="00FC0564"/>
    <w:rsid w:val="00FC081C"/>
    <w:rsid w:val="00FC22EE"/>
    <w:rsid w:val="00FC2E6B"/>
    <w:rsid w:val="00FC3383"/>
    <w:rsid w:val="00FC4D98"/>
    <w:rsid w:val="00FD4FAE"/>
    <w:rsid w:val="00FD728D"/>
    <w:rsid w:val="00FE26C1"/>
    <w:rsid w:val="00FE4B73"/>
    <w:rsid w:val="00FE754F"/>
    <w:rsid w:val="00FF0DD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2D154E-CDB9-4F01-9099-37D43B83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BFB"/>
    <w:pPr>
      <w:spacing w:before="100" w:beforeAutospacing="1" w:after="100" w:afterAutospacing="1"/>
    </w:pPr>
    <w:rPr>
      <w:sz w:val="24"/>
      <w:szCs w:val="24"/>
    </w:rPr>
  </w:style>
  <w:style w:type="paragraph" w:styleId="Heading2">
    <w:name w:val="heading 2"/>
    <w:basedOn w:val="Normal"/>
    <w:next w:val="Normal"/>
    <w:link w:val="Heading2Char"/>
    <w:semiHidden/>
    <w:unhideWhenUsed/>
    <w:qFormat/>
    <w:rsid w:val="000F349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6222FE"/>
    <w:rPr>
      <w:b/>
      <w:bCs/>
    </w:rPr>
  </w:style>
  <w:style w:type="paragraph" w:styleId="ListParagraph">
    <w:name w:val="List Paragraph"/>
    <w:basedOn w:val="Normal"/>
    <w:uiPriority w:val="34"/>
    <w:qFormat/>
    <w:rsid w:val="004F25D4"/>
    <w:pPr>
      <w:spacing w:before="0" w:beforeAutospacing="0" w:after="200" w:afterAutospacing="0" w:line="312" w:lineRule="auto"/>
      <w:ind w:left="720"/>
      <w:contextualSpacing/>
      <w:jc w:val="both"/>
    </w:pPr>
    <w:rPr>
      <w:rFonts w:ascii="Calibri" w:eastAsia="Calibri" w:hAnsi="Calibri"/>
      <w:lang w:eastAsia="en-US"/>
    </w:rPr>
  </w:style>
  <w:style w:type="character" w:customStyle="1" w:styleId="Heading2Char">
    <w:name w:val="Heading 2 Char"/>
    <w:link w:val="Heading2"/>
    <w:semiHidden/>
    <w:rsid w:val="000F3491"/>
    <w:rPr>
      <w:rFonts w:ascii="Cambria" w:eastAsia="Times New Roman" w:hAnsi="Cambria" w:cs="Times New Roman"/>
      <w:b/>
      <w:bCs/>
      <w:i/>
      <w:iCs/>
      <w:sz w:val="28"/>
      <w:szCs w:val="28"/>
    </w:rPr>
  </w:style>
  <w:style w:type="table" w:styleId="TableGrid">
    <w:name w:val="Table Grid"/>
    <w:basedOn w:val="TableNormal"/>
    <w:rsid w:val="001268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68A5"/>
    <w:pPr>
      <w:autoSpaceDE w:val="0"/>
      <w:autoSpaceDN w:val="0"/>
      <w:adjustRightInd w:val="0"/>
    </w:pPr>
    <w:rPr>
      <w:rFonts w:ascii="Calibri" w:eastAsia="Calibri" w:hAnsi="Calibri" w:cs="Calibri"/>
      <w:color w:val="000000"/>
      <w:sz w:val="24"/>
      <w:szCs w:val="24"/>
      <w:lang w:eastAsia="en-US"/>
    </w:rPr>
  </w:style>
  <w:style w:type="paragraph" w:customStyle="1" w:styleId="CharCharCharChar1">
    <w:name w:val="Char Char Char Char1"/>
    <w:basedOn w:val="Normal"/>
    <w:rsid w:val="005363EC"/>
    <w:pPr>
      <w:spacing w:before="0" w:beforeAutospacing="0" w:after="0" w:afterAutospacing="0"/>
      <w:jc w:val="both"/>
    </w:pPr>
    <w:rPr>
      <w:lang w:val="pl-PL" w:eastAsia="pl-PL"/>
    </w:rPr>
  </w:style>
  <w:style w:type="paragraph" w:styleId="FootnoteText">
    <w:name w:val="footnote text"/>
    <w:basedOn w:val="Normal"/>
    <w:link w:val="FootnoteTextChar"/>
    <w:rsid w:val="00694261"/>
    <w:pPr>
      <w:overflowPunct w:val="0"/>
      <w:autoSpaceDE w:val="0"/>
      <w:autoSpaceDN w:val="0"/>
      <w:adjustRightInd w:val="0"/>
      <w:spacing w:before="0" w:beforeAutospacing="0" w:after="0" w:afterAutospacing="0"/>
      <w:textAlignment w:val="baseline"/>
    </w:pPr>
    <w:rPr>
      <w:rFonts w:ascii="Arial" w:hAnsi="Arial"/>
      <w:sz w:val="20"/>
      <w:szCs w:val="20"/>
      <w:lang w:val="en-US" w:eastAsia="en-US"/>
    </w:rPr>
  </w:style>
  <w:style w:type="character" w:customStyle="1" w:styleId="FootnoteTextChar">
    <w:name w:val="Footnote Text Char"/>
    <w:link w:val="FootnoteText"/>
    <w:rsid w:val="00694261"/>
    <w:rPr>
      <w:rFonts w:ascii="Arial" w:hAnsi="Arial"/>
      <w:lang w:val="en-US" w:eastAsia="en-US"/>
    </w:rPr>
  </w:style>
  <w:style w:type="character" w:styleId="FootnoteReference">
    <w:name w:val="footnote reference"/>
    <w:rsid w:val="00694261"/>
    <w:rPr>
      <w:vertAlign w:val="superscript"/>
    </w:rPr>
  </w:style>
  <w:style w:type="paragraph" w:styleId="BalloonText">
    <w:name w:val="Balloon Text"/>
    <w:basedOn w:val="Normal"/>
    <w:link w:val="BalloonTextChar"/>
    <w:rsid w:val="00AA0CFB"/>
    <w:pPr>
      <w:spacing w:before="0" w:after="0"/>
    </w:pPr>
    <w:rPr>
      <w:rFonts w:ascii="Tahoma" w:hAnsi="Tahoma" w:cs="Tahoma"/>
      <w:sz w:val="16"/>
      <w:szCs w:val="16"/>
    </w:rPr>
  </w:style>
  <w:style w:type="character" w:customStyle="1" w:styleId="BalloonTextChar">
    <w:name w:val="Balloon Text Char"/>
    <w:link w:val="BalloonText"/>
    <w:rsid w:val="00AA0CFB"/>
    <w:rPr>
      <w:rFonts w:ascii="Tahoma" w:hAnsi="Tahoma" w:cs="Tahoma"/>
      <w:sz w:val="16"/>
      <w:szCs w:val="16"/>
      <w:lang w:val="bg-BG" w:eastAsia="bg-BG"/>
    </w:rPr>
  </w:style>
  <w:style w:type="character" w:styleId="CommentReference">
    <w:name w:val="annotation reference"/>
    <w:rsid w:val="00A95ADB"/>
    <w:rPr>
      <w:sz w:val="16"/>
      <w:szCs w:val="16"/>
    </w:rPr>
  </w:style>
  <w:style w:type="paragraph" w:styleId="CommentText">
    <w:name w:val="annotation text"/>
    <w:basedOn w:val="Normal"/>
    <w:link w:val="CommentTextChar"/>
    <w:rsid w:val="00A95ADB"/>
    <w:rPr>
      <w:sz w:val="20"/>
      <w:szCs w:val="20"/>
    </w:rPr>
  </w:style>
  <w:style w:type="character" w:customStyle="1" w:styleId="CommentTextChar">
    <w:name w:val="Comment Text Char"/>
    <w:basedOn w:val="DefaultParagraphFont"/>
    <w:link w:val="CommentText"/>
    <w:rsid w:val="00A95ADB"/>
  </w:style>
  <w:style w:type="paragraph" w:styleId="CommentSubject">
    <w:name w:val="annotation subject"/>
    <w:basedOn w:val="CommentText"/>
    <w:next w:val="CommentText"/>
    <w:link w:val="CommentSubjectChar"/>
    <w:rsid w:val="00A95ADB"/>
    <w:rPr>
      <w:b/>
      <w:bCs/>
    </w:rPr>
  </w:style>
  <w:style w:type="character" w:customStyle="1" w:styleId="CommentSubjectChar">
    <w:name w:val="Comment Subject Char"/>
    <w:link w:val="CommentSubject"/>
    <w:rsid w:val="00A95ADB"/>
    <w:rPr>
      <w:b/>
      <w:bCs/>
    </w:rPr>
  </w:style>
  <w:style w:type="paragraph" w:styleId="Header">
    <w:name w:val="header"/>
    <w:basedOn w:val="Normal"/>
    <w:link w:val="HeaderChar"/>
    <w:rsid w:val="00A05E09"/>
    <w:pPr>
      <w:tabs>
        <w:tab w:val="center" w:pos="4536"/>
        <w:tab w:val="right" w:pos="9072"/>
      </w:tabs>
      <w:spacing w:before="0" w:after="0"/>
    </w:pPr>
  </w:style>
  <w:style w:type="character" w:customStyle="1" w:styleId="HeaderChar">
    <w:name w:val="Header Char"/>
    <w:basedOn w:val="DefaultParagraphFont"/>
    <w:link w:val="Header"/>
    <w:rsid w:val="00A05E09"/>
    <w:rPr>
      <w:sz w:val="24"/>
      <w:szCs w:val="24"/>
    </w:rPr>
  </w:style>
  <w:style w:type="paragraph" w:styleId="Footer">
    <w:name w:val="footer"/>
    <w:basedOn w:val="Normal"/>
    <w:link w:val="FooterChar"/>
    <w:rsid w:val="00A05E09"/>
    <w:pPr>
      <w:tabs>
        <w:tab w:val="center" w:pos="4536"/>
        <w:tab w:val="right" w:pos="9072"/>
      </w:tabs>
      <w:spacing w:before="0" w:after="0"/>
    </w:pPr>
  </w:style>
  <w:style w:type="character" w:customStyle="1" w:styleId="FooterChar">
    <w:name w:val="Footer Char"/>
    <w:basedOn w:val="DefaultParagraphFont"/>
    <w:link w:val="Footer"/>
    <w:rsid w:val="00A05E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03051">
      <w:bodyDiv w:val="1"/>
      <w:marLeft w:val="0"/>
      <w:marRight w:val="0"/>
      <w:marTop w:val="0"/>
      <w:marBottom w:val="0"/>
      <w:divBdr>
        <w:top w:val="none" w:sz="0" w:space="0" w:color="auto"/>
        <w:left w:val="none" w:sz="0" w:space="0" w:color="auto"/>
        <w:bottom w:val="none" w:sz="0" w:space="0" w:color="auto"/>
        <w:right w:val="none" w:sz="0" w:space="0" w:color="auto"/>
      </w:divBdr>
    </w:div>
    <w:div w:id="515271866">
      <w:bodyDiv w:val="1"/>
      <w:marLeft w:val="0"/>
      <w:marRight w:val="0"/>
      <w:marTop w:val="0"/>
      <w:marBottom w:val="0"/>
      <w:divBdr>
        <w:top w:val="none" w:sz="0" w:space="0" w:color="auto"/>
        <w:left w:val="none" w:sz="0" w:space="0" w:color="auto"/>
        <w:bottom w:val="none" w:sz="0" w:space="0" w:color="auto"/>
        <w:right w:val="none" w:sz="0" w:space="0" w:color="auto"/>
      </w:divBdr>
    </w:div>
    <w:div w:id="1169904992">
      <w:bodyDiv w:val="1"/>
      <w:marLeft w:val="390"/>
      <w:marRight w:val="390"/>
      <w:marTop w:val="0"/>
      <w:marBottom w:val="0"/>
      <w:divBdr>
        <w:top w:val="none" w:sz="0" w:space="0" w:color="auto"/>
        <w:left w:val="none" w:sz="0" w:space="0" w:color="auto"/>
        <w:bottom w:val="none" w:sz="0" w:space="0" w:color="auto"/>
        <w:right w:val="none" w:sz="0" w:space="0" w:color="auto"/>
      </w:divBdr>
      <w:divsChild>
        <w:div w:id="894319722">
          <w:marLeft w:val="0"/>
          <w:marRight w:val="0"/>
          <w:marTop w:val="0"/>
          <w:marBottom w:val="120"/>
          <w:divBdr>
            <w:top w:val="none" w:sz="0" w:space="0" w:color="auto"/>
            <w:left w:val="none" w:sz="0" w:space="0" w:color="auto"/>
            <w:bottom w:val="none" w:sz="0" w:space="0" w:color="auto"/>
            <w:right w:val="none" w:sz="0" w:space="0" w:color="auto"/>
          </w:divBdr>
          <w:divsChild>
            <w:div w:id="63575071">
              <w:marLeft w:val="0"/>
              <w:marRight w:val="0"/>
              <w:marTop w:val="0"/>
              <w:marBottom w:val="0"/>
              <w:divBdr>
                <w:top w:val="none" w:sz="0" w:space="0" w:color="auto"/>
                <w:left w:val="none" w:sz="0" w:space="0" w:color="auto"/>
                <w:bottom w:val="none" w:sz="0" w:space="0" w:color="auto"/>
                <w:right w:val="none" w:sz="0" w:space="0" w:color="auto"/>
              </w:divBdr>
            </w:div>
            <w:div w:id="79718005">
              <w:marLeft w:val="0"/>
              <w:marRight w:val="0"/>
              <w:marTop w:val="0"/>
              <w:marBottom w:val="0"/>
              <w:divBdr>
                <w:top w:val="none" w:sz="0" w:space="0" w:color="auto"/>
                <w:left w:val="none" w:sz="0" w:space="0" w:color="auto"/>
                <w:bottom w:val="none" w:sz="0" w:space="0" w:color="auto"/>
                <w:right w:val="none" w:sz="0" w:space="0" w:color="auto"/>
              </w:divBdr>
            </w:div>
            <w:div w:id="728185726">
              <w:marLeft w:val="0"/>
              <w:marRight w:val="0"/>
              <w:marTop w:val="0"/>
              <w:marBottom w:val="0"/>
              <w:divBdr>
                <w:top w:val="none" w:sz="0" w:space="0" w:color="auto"/>
                <w:left w:val="none" w:sz="0" w:space="0" w:color="auto"/>
                <w:bottom w:val="none" w:sz="0" w:space="0" w:color="auto"/>
                <w:right w:val="none" w:sz="0" w:space="0" w:color="auto"/>
              </w:divBdr>
            </w:div>
            <w:div w:id="1332640441">
              <w:marLeft w:val="0"/>
              <w:marRight w:val="0"/>
              <w:marTop w:val="0"/>
              <w:marBottom w:val="0"/>
              <w:divBdr>
                <w:top w:val="none" w:sz="0" w:space="0" w:color="auto"/>
                <w:left w:val="none" w:sz="0" w:space="0" w:color="auto"/>
                <w:bottom w:val="none" w:sz="0" w:space="0" w:color="auto"/>
                <w:right w:val="none" w:sz="0" w:space="0" w:color="auto"/>
              </w:divBdr>
            </w:div>
            <w:div w:id="1513648426">
              <w:marLeft w:val="0"/>
              <w:marRight w:val="0"/>
              <w:marTop w:val="0"/>
              <w:marBottom w:val="0"/>
              <w:divBdr>
                <w:top w:val="none" w:sz="0" w:space="0" w:color="auto"/>
                <w:left w:val="none" w:sz="0" w:space="0" w:color="auto"/>
                <w:bottom w:val="none" w:sz="0" w:space="0" w:color="auto"/>
                <w:right w:val="none" w:sz="0" w:space="0" w:color="auto"/>
              </w:divBdr>
            </w:div>
            <w:div w:id="20414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5984">
      <w:bodyDiv w:val="1"/>
      <w:marLeft w:val="0"/>
      <w:marRight w:val="0"/>
      <w:marTop w:val="0"/>
      <w:marBottom w:val="0"/>
      <w:divBdr>
        <w:top w:val="none" w:sz="0" w:space="0" w:color="auto"/>
        <w:left w:val="none" w:sz="0" w:space="0" w:color="auto"/>
        <w:bottom w:val="none" w:sz="0" w:space="0" w:color="auto"/>
        <w:right w:val="none" w:sz="0" w:space="0" w:color="auto"/>
      </w:divBdr>
    </w:div>
    <w:div w:id="1231501904">
      <w:bodyDiv w:val="1"/>
      <w:marLeft w:val="0"/>
      <w:marRight w:val="0"/>
      <w:marTop w:val="0"/>
      <w:marBottom w:val="0"/>
      <w:divBdr>
        <w:top w:val="none" w:sz="0" w:space="0" w:color="auto"/>
        <w:left w:val="none" w:sz="0" w:space="0" w:color="auto"/>
        <w:bottom w:val="none" w:sz="0" w:space="0" w:color="auto"/>
        <w:right w:val="none" w:sz="0" w:space="0" w:color="auto"/>
      </w:divBdr>
    </w:div>
    <w:div w:id="1417441912">
      <w:bodyDiv w:val="1"/>
      <w:marLeft w:val="0"/>
      <w:marRight w:val="0"/>
      <w:marTop w:val="0"/>
      <w:marBottom w:val="0"/>
      <w:divBdr>
        <w:top w:val="none" w:sz="0" w:space="0" w:color="auto"/>
        <w:left w:val="none" w:sz="0" w:space="0" w:color="auto"/>
        <w:bottom w:val="none" w:sz="0" w:space="0" w:color="auto"/>
        <w:right w:val="none" w:sz="0" w:space="0" w:color="auto"/>
      </w:divBdr>
      <w:divsChild>
        <w:div w:id="1134329343">
          <w:marLeft w:val="0"/>
          <w:marRight w:val="0"/>
          <w:marTop w:val="0"/>
          <w:marBottom w:val="0"/>
          <w:divBdr>
            <w:top w:val="none" w:sz="0" w:space="0" w:color="auto"/>
            <w:left w:val="none" w:sz="0" w:space="0" w:color="auto"/>
            <w:bottom w:val="none" w:sz="0" w:space="0" w:color="auto"/>
            <w:right w:val="none" w:sz="0" w:space="0" w:color="auto"/>
          </w:divBdr>
          <w:divsChild>
            <w:div w:id="822703611">
              <w:marLeft w:val="0"/>
              <w:marRight w:val="0"/>
              <w:marTop w:val="0"/>
              <w:marBottom w:val="0"/>
              <w:divBdr>
                <w:top w:val="none" w:sz="0" w:space="0" w:color="auto"/>
                <w:left w:val="none" w:sz="0" w:space="0" w:color="auto"/>
                <w:bottom w:val="none" w:sz="0" w:space="0" w:color="auto"/>
                <w:right w:val="none" w:sz="0" w:space="0" w:color="auto"/>
              </w:divBdr>
              <w:divsChild>
                <w:div w:id="764037617">
                  <w:marLeft w:val="0"/>
                  <w:marRight w:val="0"/>
                  <w:marTop w:val="0"/>
                  <w:marBottom w:val="0"/>
                  <w:divBdr>
                    <w:top w:val="none" w:sz="0" w:space="0" w:color="auto"/>
                    <w:left w:val="none" w:sz="0" w:space="0" w:color="auto"/>
                    <w:bottom w:val="none" w:sz="0" w:space="0" w:color="auto"/>
                    <w:right w:val="none" w:sz="0" w:space="0" w:color="auto"/>
                  </w:divBdr>
                  <w:divsChild>
                    <w:div w:id="2023899565">
                      <w:marLeft w:val="-150"/>
                      <w:marRight w:val="-150"/>
                      <w:marTop w:val="0"/>
                      <w:marBottom w:val="0"/>
                      <w:divBdr>
                        <w:top w:val="none" w:sz="0" w:space="0" w:color="auto"/>
                        <w:left w:val="none" w:sz="0" w:space="0" w:color="auto"/>
                        <w:bottom w:val="none" w:sz="0" w:space="0" w:color="auto"/>
                        <w:right w:val="none" w:sz="0" w:space="0" w:color="auto"/>
                      </w:divBdr>
                      <w:divsChild>
                        <w:div w:id="534272870">
                          <w:marLeft w:val="0"/>
                          <w:marRight w:val="0"/>
                          <w:marTop w:val="0"/>
                          <w:marBottom w:val="0"/>
                          <w:divBdr>
                            <w:top w:val="none" w:sz="0" w:space="0" w:color="auto"/>
                            <w:left w:val="none" w:sz="0" w:space="0" w:color="auto"/>
                            <w:bottom w:val="none" w:sz="0" w:space="0" w:color="auto"/>
                            <w:right w:val="none" w:sz="0" w:space="0" w:color="auto"/>
                          </w:divBdr>
                          <w:divsChild>
                            <w:div w:id="177621094">
                              <w:marLeft w:val="0"/>
                              <w:marRight w:val="0"/>
                              <w:marTop w:val="0"/>
                              <w:marBottom w:val="0"/>
                              <w:divBdr>
                                <w:top w:val="none" w:sz="0" w:space="0" w:color="auto"/>
                                <w:left w:val="none" w:sz="0" w:space="0" w:color="auto"/>
                                <w:bottom w:val="none" w:sz="0" w:space="0" w:color="auto"/>
                                <w:right w:val="none" w:sz="0" w:space="0" w:color="auto"/>
                              </w:divBdr>
                              <w:divsChild>
                                <w:div w:id="251938591">
                                  <w:marLeft w:val="0"/>
                                  <w:marRight w:val="0"/>
                                  <w:marTop w:val="0"/>
                                  <w:marBottom w:val="300"/>
                                  <w:divBdr>
                                    <w:top w:val="none" w:sz="0" w:space="0" w:color="auto"/>
                                    <w:left w:val="none" w:sz="0" w:space="0" w:color="auto"/>
                                    <w:bottom w:val="none" w:sz="0" w:space="0" w:color="auto"/>
                                    <w:right w:val="none" w:sz="0" w:space="0" w:color="auto"/>
                                  </w:divBdr>
                                  <w:divsChild>
                                    <w:div w:id="1446658823">
                                      <w:marLeft w:val="0"/>
                                      <w:marRight w:val="0"/>
                                      <w:marTop w:val="0"/>
                                      <w:marBottom w:val="0"/>
                                      <w:divBdr>
                                        <w:top w:val="none" w:sz="0" w:space="0" w:color="auto"/>
                                        <w:left w:val="none" w:sz="0" w:space="0" w:color="auto"/>
                                        <w:bottom w:val="none" w:sz="0" w:space="0" w:color="auto"/>
                                        <w:right w:val="none" w:sz="0" w:space="0" w:color="auto"/>
                                      </w:divBdr>
                                      <w:divsChild>
                                        <w:div w:id="16739748">
                                          <w:marLeft w:val="0"/>
                                          <w:marRight w:val="0"/>
                                          <w:marTop w:val="0"/>
                                          <w:marBottom w:val="0"/>
                                          <w:divBdr>
                                            <w:top w:val="none" w:sz="0" w:space="0" w:color="auto"/>
                                            <w:left w:val="none" w:sz="0" w:space="0" w:color="auto"/>
                                            <w:bottom w:val="none" w:sz="0" w:space="0" w:color="auto"/>
                                            <w:right w:val="none" w:sz="0" w:space="0" w:color="auto"/>
                                          </w:divBdr>
                                          <w:divsChild>
                                            <w:div w:id="638076646">
                                              <w:marLeft w:val="0"/>
                                              <w:marRight w:val="0"/>
                                              <w:marTop w:val="0"/>
                                              <w:marBottom w:val="0"/>
                                              <w:divBdr>
                                                <w:top w:val="none" w:sz="0" w:space="0" w:color="auto"/>
                                                <w:left w:val="none" w:sz="0" w:space="0" w:color="auto"/>
                                                <w:bottom w:val="none" w:sz="0" w:space="0" w:color="auto"/>
                                                <w:right w:val="none" w:sz="0" w:space="0" w:color="auto"/>
                                              </w:divBdr>
                                              <w:divsChild>
                                                <w:div w:id="406074102">
                                                  <w:marLeft w:val="0"/>
                                                  <w:marRight w:val="0"/>
                                                  <w:marTop w:val="0"/>
                                                  <w:marBottom w:val="0"/>
                                                  <w:divBdr>
                                                    <w:top w:val="none" w:sz="0" w:space="0" w:color="auto"/>
                                                    <w:left w:val="none" w:sz="0" w:space="0" w:color="auto"/>
                                                    <w:bottom w:val="none" w:sz="0" w:space="0" w:color="auto"/>
                                                    <w:right w:val="none" w:sz="0" w:space="0" w:color="auto"/>
                                                  </w:divBdr>
                                                  <w:divsChild>
                                                    <w:div w:id="1212840185">
                                                      <w:marLeft w:val="0"/>
                                                      <w:marRight w:val="0"/>
                                                      <w:marTop w:val="0"/>
                                                      <w:marBottom w:val="0"/>
                                                      <w:divBdr>
                                                        <w:top w:val="none" w:sz="0" w:space="0" w:color="auto"/>
                                                        <w:left w:val="none" w:sz="0" w:space="0" w:color="auto"/>
                                                        <w:bottom w:val="none" w:sz="0" w:space="0" w:color="auto"/>
                                                        <w:right w:val="none" w:sz="0" w:space="0" w:color="auto"/>
                                                      </w:divBdr>
                                                      <w:divsChild>
                                                        <w:div w:id="1069887363">
                                                          <w:marLeft w:val="0"/>
                                                          <w:marRight w:val="0"/>
                                                          <w:marTop w:val="0"/>
                                                          <w:marBottom w:val="0"/>
                                                          <w:divBdr>
                                                            <w:top w:val="none" w:sz="0" w:space="0" w:color="auto"/>
                                                            <w:left w:val="none" w:sz="0" w:space="0" w:color="auto"/>
                                                            <w:bottom w:val="none" w:sz="0" w:space="0" w:color="auto"/>
                                                            <w:right w:val="none" w:sz="0" w:space="0" w:color="auto"/>
                                                          </w:divBdr>
                                                          <w:divsChild>
                                                            <w:div w:id="435446125">
                                                              <w:marLeft w:val="0"/>
                                                              <w:marRight w:val="0"/>
                                                              <w:marTop w:val="0"/>
                                                              <w:marBottom w:val="0"/>
                                                              <w:divBdr>
                                                                <w:top w:val="none" w:sz="0" w:space="0" w:color="auto"/>
                                                                <w:left w:val="none" w:sz="0" w:space="0" w:color="auto"/>
                                                                <w:bottom w:val="none" w:sz="0" w:space="0" w:color="auto"/>
                                                                <w:right w:val="none" w:sz="0" w:space="0" w:color="auto"/>
                                                              </w:divBdr>
                                                              <w:divsChild>
                                                                <w:div w:id="22949955">
                                                                  <w:marLeft w:val="0"/>
                                                                  <w:marRight w:val="0"/>
                                                                  <w:marTop w:val="0"/>
                                                                  <w:marBottom w:val="0"/>
                                                                  <w:divBdr>
                                                                    <w:top w:val="none" w:sz="0" w:space="0" w:color="auto"/>
                                                                    <w:left w:val="none" w:sz="0" w:space="0" w:color="auto"/>
                                                                    <w:bottom w:val="none" w:sz="0" w:space="0" w:color="auto"/>
                                                                    <w:right w:val="none" w:sz="0" w:space="0" w:color="auto"/>
                                                                  </w:divBdr>
                                                                  <w:divsChild>
                                                                    <w:div w:id="1771000624">
                                                                      <w:marLeft w:val="0"/>
                                                                      <w:marRight w:val="0"/>
                                                                      <w:marTop w:val="0"/>
                                                                      <w:marBottom w:val="0"/>
                                                                      <w:divBdr>
                                                                        <w:top w:val="none" w:sz="0" w:space="0" w:color="auto"/>
                                                                        <w:left w:val="none" w:sz="0" w:space="0" w:color="auto"/>
                                                                        <w:bottom w:val="none" w:sz="0" w:space="0" w:color="auto"/>
                                                                        <w:right w:val="none" w:sz="0" w:space="0" w:color="auto"/>
                                                                      </w:divBdr>
                                                                      <w:divsChild>
                                                                        <w:div w:id="171122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95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3D797-2FA7-4FB7-8A1A-5012A6B41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5163</Words>
  <Characters>29433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mzh</Company>
  <LinksUpToDate>false</LinksUpToDate>
  <CharactersWithSpaces>34527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dfileva</dc:creator>
  <cp:lastModifiedBy>Desislava g. Georgieva</cp:lastModifiedBy>
  <cp:revision>2</cp:revision>
  <cp:lastPrinted>2020-08-12T07:48:00Z</cp:lastPrinted>
  <dcterms:created xsi:type="dcterms:W3CDTF">2020-10-13T13:43:00Z</dcterms:created>
  <dcterms:modified xsi:type="dcterms:W3CDTF">2020-10-13T13:43:00Z</dcterms:modified>
</cp:coreProperties>
</file>