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D3" w:rsidRDefault="002F53D3">
      <w:pPr>
        <w:spacing w:line="360" w:lineRule="auto"/>
        <w:rPr>
          <w:rFonts w:ascii="Verdana" w:hAnsi="Verdana"/>
          <w:b/>
          <w:lang w:val="bg-BG"/>
        </w:rPr>
      </w:pPr>
      <w:bookmarkStart w:id="0" w:name="_GoBack"/>
      <w:bookmarkEnd w:id="0"/>
    </w:p>
    <w:p w:rsidR="002F53D3" w:rsidRDefault="002F53D3">
      <w:pPr>
        <w:spacing w:line="360" w:lineRule="auto"/>
        <w:rPr>
          <w:rFonts w:ascii="Verdana" w:hAnsi="Verdana"/>
          <w:b/>
          <w:lang w:val="bg-BG"/>
        </w:rPr>
      </w:pPr>
    </w:p>
    <w:p w:rsidR="002F53D3" w:rsidRDefault="002F53D3">
      <w:pPr>
        <w:spacing w:line="360" w:lineRule="auto"/>
        <w:rPr>
          <w:rFonts w:ascii="Verdana" w:hAnsi="Verdana"/>
          <w:b/>
          <w:lang w:val="bg-BG"/>
        </w:rPr>
      </w:pPr>
    </w:p>
    <w:p w:rsidR="003F5B76" w:rsidRDefault="005F3625">
      <w:pPr>
        <w:spacing w:line="360" w:lineRule="auto"/>
        <w:rPr>
          <w:rFonts w:ascii="Verdana" w:hAnsi="Verdana"/>
          <w:b/>
          <w:lang w:val="bg-BG"/>
        </w:rPr>
      </w:pPr>
      <w:r>
        <w:rPr>
          <w:rFonts w:ascii="Verdana" w:hAnsi="Verdana"/>
          <w:b/>
          <w:lang w:val="bg-BG"/>
        </w:rPr>
        <w:t>ДО</w:t>
      </w:r>
    </w:p>
    <w:p w:rsidR="003F5B76" w:rsidRDefault="005F3625">
      <w:pPr>
        <w:spacing w:line="360" w:lineRule="auto"/>
        <w:jc w:val="both"/>
        <w:outlineLvl w:val="0"/>
        <w:rPr>
          <w:rFonts w:ascii="Verdana" w:hAnsi="Verdana"/>
          <w:b/>
          <w:lang w:val="bg-BG"/>
        </w:rPr>
      </w:pPr>
      <w:r>
        <w:rPr>
          <w:rFonts w:ascii="Verdana" w:hAnsi="Verdana"/>
          <w:b/>
          <w:lang w:val="bg-BG"/>
        </w:rPr>
        <w:t>МИНИСТЕРСКИЯ СЪВЕТ</w:t>
      </w:r>
    </w:p>
    <w:p w:rsidR="003F5B76" w:rsidRDefault="005F3625">
      <w:pPr>
        <w:spacing w:line="360" w:lineRule="auto"/>
        <w:jc w:val="both"/>
        <w:outlineLvl w:val="0"/>
        <w:rPr>
          <w:rFonts w:ascii="Verdana" w:hAnsi="Verdana"/>
          <w:b/>
          <w:lang w:val="bg-BG"/>
        </w:rPr>
      </w:pPr>
      <w:r>
        <w:rPr>
          <w:rFonts w:ascii="Verdana" w:hAnsi="Verdana"/>
          <w:b/>
          <w:lang w:val="bg-BG"/>
        </w:rPr>
        <w:t>НА РЕПУБЛИКА БЪЛГАРИЯ</w:t>
      </w:r>
    </w:p>
    <w:p w:rsidR="003F5B76" w:rsidRDefault="003F5B76">
      <w:pPr>
        <w:spacing w:line="360" w:lineRule="auto"/>
        <w:jc w:val="center"/>
        <w:rPr>
          <w:rFonts w:ascii="Verdana" w:hAnsi="Verdana"/>
          <w:b/>
          <w:spacing w:val="60"/>
          <w:lang w:val="bg-BG"/>
        </w:rPr>
      </w:pPr>
    </w:p>
    <w:p w:rsidR="002F53D3" w:rsidRDefault="002F53D3">
      <w:pPr>
        <w:spacing w:line="360" w:lineRule="auto"/>
        <w:jc w:val="center"/>
        <w:rPr>
          <w:rFonts w:ascii="Verdana" w:hAnsi="Verdana"/>
          <w:b/>
          <w:spacing w:val="60"/>
          <w:lang w:val="bg-BG"/>
        </w:rPr>
      </w:pPr>
    </w:p>
    <w:p w:rsidR="003F5B76" w:rsidRDefault="005F3625">
      <w:pPr>
        <w:spacing w:line="360" w:lineRule="auto"/>
        <w:jc w:val="center"/>
        <w:rPr>
          <w:rFonts w:ascii="Verdana" w:hAnsi="Verdana"/>
          <w:b/>
          <w:spacing w:val="60"/>
          <w:sz w:val="24"/>
          <w:szCs w:val="24"/>
          <w:lang w:val="bg-BG"/>
        </w:rPr>
      </w:pPr>
      <w:r>
        <w:rPr>
          <w:rFonts w:ascii="Verdana" w:hAnsi="Verdana"/>
          <w:b/>
          <w:spacing w:val="60"/>
          <w:sz w:val="24"/>
          <w:szCs w:val="24"/>
          <w:lang w:val="bg-BG"/>
        </w:rPr>
        <w:t>ДОКЛАД</w:t>
      </w:r>
    </w:p>
    <w:p w:rsidR="003F5B76" w:rsidRDefault="005F3625">
      <w:pPr>
        <w:spacing w:line="360" w:lineRule="auto"/>
        <w:jc w:val="center"/>
        <w:rPr>
          <w:rFonts w:ascii="Verdana" w:hAnsi="Verdana"/>
          <w:b/>
          <w:lang w:val="bg-BG"/>
        </w:rPr>
      </w:pPr>
      <w:r>
        <w:rPr>
          <w:rFonts w:ascii="Verdana" w:hAnsi="Verdana"/>
          <w:b/>
          <w:lang w:val="bg-BG"/>
        </w:rPr>
        <w:t>ОТ ДЕСИСЛАВА ТАНЕВА – МИНИСТЪР НА ЗЕМЕДЕЛИЕТО, ХРАНИТЕ И ГОРИТЕ</w:t>
      </w:r>
    </w:p>
    <w:p w:rsidR="003F5B76" w:rsidRDefault="003F5B76">
      <w:pPr>
        <w:spacing w:line="360" w:lineRule="auto"/>
        <w:ind w:firstLine="567"/>
        <w:jc w:val="center"/>
        <w:rPr>
          <w:rFonts w:ascii="Verdana" w:hAnsi="Verdana"/>
          <w:b/>
          <w:lang w:val="bg-BG"/>
        </w:rPr>
      </w:pPr>
    </w:p>
    <w:p w:rsidR="002F53D3" w:rsidRDefault="002F53D3">
      <w:pPr>
        <w:spacing w:line="360" w:lineRule="auto"/>
        <w:ind w:firstLine="567"/>
        <w:jc w:val="center"/>
        <w:rPr>
          <w:rFonts w:ascii="Verdana" w:hAnsi="Verdana"/>
          <w:b/>
          <w:lang w:val="bg-BG"/>
        </w:rPr>
      </w:pPr>
    </w:p>
    <w:p w:rsidR="003F5B76" w:rsidRDefault="003F5B76">
      <w:pPr>
        <w:spacing w:line="360" w:lineRule="auto"/>
        <w:ind w:firstLine="567"/>
        <w:jc w:val="center"/>
        <w:rPr>
          <w:rFonts w:ascii="Verdana" w:hAnsi="Verdana"/>
          <w:b/>
          <w:lang w:val="bg-BG"/>
        </w:rPr>
      </w:pPr>
    </w:p>
    <w:p w:rsidR="003F5B76" w:rsidRPr="006A220E" w:rsidRDefault="005F3625">
      <w:pPr>
        <w:spacing w:line="360" w:lineRule="auto"/>
        <w:ind w:left="1134" w:hanging="1134"/>
        <w:jc w:val="both"/>
        <w:rPr>
          <w:rFonts w:ascii="Verdana" w:hAnsi="Verdana"/>
          <w:lang w:val="bg-BG"/>
        </w:rPr>
      </w:pPr>
      <w:r>
        <w:rPr>
          <w:rFonts w:ascii="Verdana" w:hAnsi="Verdana"/>
          <w:b/>
          <w:lang w:val="bg-BG"/>
        </w:rPr>
        <w:t>Относно:</w:t>
      </w:r>
      <w:r>
        <w:rPr>
          <w:rFonts w:ascii="Verdana" w:hAnsi="Verdana"/>
          <w:lang w:val="bg-BG"/>
        </w:rPr>
        <w:t xml:space="preserve"> Проект на Постановление на Министерския съвет за приемане на Наредба за </w:t>
      </w:r>
      <w:r w:rsidR="006A220E">
        <w:rPr>
          <w:rFonts w:ascii="Verdana" w:hAnsi="Verdana"/>
          <w:lang w:val="bg-BG"/>
        </w:rPr>
        <w:t xml:space="preserve">предоставянето на информация на потребителите за храните </w:t>
      </w:r>
    </w:p>
    <w:p w:rsidR="003F5B76" w:rsidRDefault="003F5B76">
      <w:pPr>
        <w:spacing w:line="360" w:lineRule="auto"/>
        <w:ind w:firstLine="851"/>
        <w:jc w:val="both"/>
        <w:outlineLvl w:val="0"/>
        <w:rPr>
          <w:rFonts w:ascii="Verdana" w:hAnsi="Verdana"/>
          <w:b/>
          <w:lang w:val="bg-BG"/>
        </w:rPr>
      </w:pPr>
    </w:p>
    <w:p w:rsidR="003F5B76" w:rsidRDefault="003F5B76">
      <w:pPr>
        <w:spacing w:line="360" w:lineRule="auto"/>
        <w:ind w:firstLine="851"/>
        <w:jc w:val="both"/>
        <w:outlineLvl w:val="0"/>
        <w:rPr>
          <w:rFonts w:ascii="Verdana" w:hAnsi="Verdana"/>
          <w:b/>
          <w:lang w:val="bg-BG"/>
        </w:rPr>
      </w:pPr>
    </w:p>
    <w:p w:rsidR="002F53D3" w:rsidRDefault="002F53D3">
      <w:pPr>
        <w:spacing w:line="360" w:lineRule="auto"/>
        <w:ind w:firstLine="851"/>
        <w:jc w:val="both"/>
        <w:outlineLvl w:val="0"/>
        <w:rPr>
          <w:rFonts w:ascii="Verdana" w:hAnsi="Verdana"/>
          <w:b/>
          <w:lang w:val="bg-BG"/>
        </w:rPr>
      </w:pPr>
    </w:p>
    <w:p w:rsidR="003F5B76" w:rsidRDefault="005F3625">
      <w:pPr>
        <w:spacing w:line="360" w:lineRule="auto"/>
        <w:rPr>
          <w:rFonts w:ascii="Verdana" w:hAnsi="Verdana"/>
          <w:b/>
          <w:lang w:val="bg-BG"/>
        </w:rPr>
      </w:pPr>
      <w:r>
        <w:rPr>
          <w:rFonts w:ascii="Verdana" w:hAnsi="Verdana"/>
          <w:b/>
          <w:lang w:val="bg-BG"/>
        </w:rPr>
        <w:t>УВАЖАЕМИ ГОСПОДИН МИНИСТЪР-ПРЕДСЕДАТЕЛ,</w:t>
      </w:r>
    </w:p>
    <w:p w:rsidR="003F5B76" w:rsidRDefault="005F3625">
      <w:pPr>
        <w:spacing w:after="120" w:line="360" w:lineRule="auto"/>
        <w:rPr>
          <w:rFonts w:ascii="Verdana" w:hAnsi="Verdana"/>
          <w:b/>
          <w:lang w:val="bg-BG"/>
        </w:rPr>
      </w:pPr>
      <w:r>
        <w:rPr>
          <w:rFonts w:ascii="Verdana" w:hAnsi="Verdana"/>
          <w:b/>
          <w:lang w:val="bg-BG"/>
        </w:rPr>
        <w:t>УВАЖАЕМИ ГОСПОЖИ И ГОСПОДА МИНИСТРИ,</w:t>
      </w:r>
    </w:p>
    <w:p w:rsidR="003F5B76" w:rsidRDefault="005F3625" w:rsidP="002F53D3">
      <w:pPr>
        <w:spacing w:line="360" w:lineRule="auto"/>
        <w:ind w:firstLine="709"/>
        <w:jc w:val="both"/>
        <w:rPr>
          <w:rFonts w:ascii="Verdana" w:hAnsi="Verdana"/>
          <w:b/>
          <w:lang w:val="bg-BG"/>
        </w:rPr>
      </w:pPr>
      <w:r>
        <w:rPr>
          <w:rFonts w:ascii="Verdana" w:hAnsi="Verdana" w:cs="Verdana"/>
          <w:lang w:val="bg-BG" w:eastAsia="zh-CN"/>
        </w:rPr>
        <w:t>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Наредба за</w:t>
      </w:r>
      <w:r w:rsidR="006A220E">
        <w:rPr>
          <w:rFonts w:ascii="Verdana" w:hAnsi="Verdana" w:cs="Verdana"/>
          <w:lang w:val="bg-BG" w:eastAsia="zh-CN"/>
        </w:rPr>
        <w:t xml:space="preserve"> </w:t>
      </w:r>
      <w:r w:rsidR="006A220E">
        <w:rPr>
          <w:rFonts w:ascii="Verdana" w:hAnsi="Verdana"/>
          <w:lang w:val="bg-BG"/>
        </w:rPr>
        <w:t>предоставянето на информация на потребителите за храните</w:t>
      </w:r>
      <w:r>
        <w:rPr>
          <w:rFonts w:ascii="Verdana" w:hAnsi="Verdana" w:cs="Verdana"/>
          <w:lang w:val="bg-BG" w:eastAsia="zh-CN"/>
        </w:rPr>
        <w:t xml:space="preserve">. </w:t>
      </w:r>
    </w:p>
    <w:p w:rsidR="002F53D3" w:rsidRDefault="002F53D3" w:rsidP="002F53D3">
      <w:pPr>
        <w:spacing w:line="360" w:lineRule="auto"/>
        <w:ind w:firstLine="709"/>
        <w:jc w:val="both"/>
        <w:rPr>
          <w:rFonts w:ascii="Verdana" w:hAnsi="Verdana" w:cs="Verdana"/>
          <w:b/>
          <w:lang w:val="bg-BG"/>
        </w:rPr>
      </w:pPr>
    </w:p>
    <w:p w:rsidR="00EB278A" w:rsidRDefault="00EB278A" w:rsidP="002F53D3">
      <w:pPr>
        <w:spacing w:line="360" w:lineRule="auto"/>
        <w:ind w:firstLine="709"/>
        <w:jc w:val="both"/>
        <w:rPr>
          <w:rFonts w:ascii="Verdana" w:hAnsi="Verdana" w:cs="Verdana"/>
          <w:b/>
          <w:lang w:val="bg-BG"/>
        </w:rPr>
      </w:pPr>
      <w:r w:rsidRPr="00EB278A">
        <w:rPr>
          <w:rFonts w:ascii="Verdana" w:hAnsi="Verdana" w:cs="Verdana"/>
          <w:b/>
          <w:lang w:val="bg-BG"/>
        </w:rPr>
        <w:t>Причини, които налагат приемането на акта</w:t>
      </w:r>
    </w:p>
    <w:p w:rsidR="00CC6B92" w:rsidRDefault="00CC6B92" w:rsidP="00CC6B92">
      <w:pPr>
        <w:spacing w:line="360" w:lineRule="auto"/>
        <w:ind w:firstLine="851"/>
        <w:jc w:val="both"/>
        <w:rPr>
          <w:rFonts w:ascii="Verdana" w:hAnsi="Verdana"/>
          <w:lang w:val="bg-BG"/>
        </w:rPr>
      </w:pPr>
      <w:r w:rsidRPr="00A25B1D">
        <w:rPr>
          <w:rFonts w:ascii="Verdana" w:hAnsi="Verdana"/>
          <w:bCs/>
          <w:lang w:val="bg-BG"/>
        </w:rPr>
        <w:t xml:space="preserve">В </w:t>
      </w:r>
      <w:r w:rsidR="003A339C">
        <w:rPr>
          <w:rFonts w:ascii="Verdana" w:hAnsi="Verdana"/>
          <w:lang w:val="bg-BG"/>
        </w:rPr>
        <w:t>„</w:t>
      </w:r>
      <w:r w:rsidRPr="00A25B1D">
        <w:rPr>
          <w:rFonts w:ascii="Verdana" w:hAnsi="Verdana"/>
          <w:bCs/>
          <w:lang w:val="bg-BG"/>
        </w:rPr>
        <w:t>Държавен вестник</w:t>
      </w:r>
      <w:r w:rsidR="009F2B5F">
        <w:rPr>
          <w:rFonts w:ascii="Verdana" w:hAnsi="Verdana"/>
          <w:bCs/>
        </w:rPr>
        <w:t>”</w:t>
      </w:r>
      <w:r w:rsidRPr="00A25B1D">
        <w:rPr>
          <w:rFonts w:ascii="Verdana" w:hAnsi="Verdana"/>
          <w:bCs/>
          <w:lang w:val="bg-BG"/>
        </w:rPr>
        <w:t xml:space="preserve"> бр. 52 от 2020</w:t>
      </w:r>
      <w:r w:rsidR="009F2B5F">
        <w:rPr>
          <w:rFonts w:ascii="Verdana" w:hAnsi="Verdana"/>
          <w:bCs/>
        </w:rPr>
        <w:t xml:space="preserve"> </w:t>
      </w:r>
      <w:r w:rsidR="009F2B5F">
        <w:rPr>
          <w:rFonts w:ascii="Verdana" w:hAnsi="Verdana"/>
          <w:bCs/>
          <w:lang w:val="bg-BG"/>
        </w:rPr>
        <w:t>г.</w:t>
      </w:r>
      <w:r w:rsidRPr="00A25B1D">
        <w:rPr>
          <w:rFonts w:ascii="Verdana" w:hAnsi="Verdana"/>
          <w:bCs/>
          <w:lang w:val="bg-BG"/>
        </w:rPr>
        <w:t xml:space="preserve"> е публикуван</w:t>
      </w:r>
      <w:r>
        <w:rPr>
          <w:rFonts w:ascii="Verdana" w:hAnsi="Verdana"/>
          <w:bCs/>
          <w:lang w:val="bg-BG"/>
        </w:rPr>
        <w:t xml:space="preserve"> новият Закон</w:t>
      </w:r>
      <w:r w:rsidRPr="00A25B1D">
        <w:rPr>
          <w:rFonts w:ascii="Verdana" w:hAnsi="Verdana"/>
          <w:bCs/>
          <w:lang w:val="bg-BG"/>
        </w:rPr>
        <w:t xml:space="preserve"> за храните. Законът влиза в сила в деня на</w:t>
      </w:r>
      <w:r w:rsidRPr="00A25B1D">
        <w:rPr>
          <w:rFonts w:ascii="Verdana" w:hAnsi="Verdana"/>
          <w:lang w:val="bg-BG"/>
        </w:rPr>
        <w:t xml:space="preserve"> обнародването му в </w:t>
      </w:r>
      <w:r w:rsidR="009F2B5F">
        <w:rPr>
          <w:rFonts w:ascii="Verdana" w:hAnsi="Verdana"/>
          <w:lang w:val="bg-BG"/>
        </w:rPr>
        <w:t>„</w:t>
      </w:r>
      <w:r w:rsidRPr="00A25B1D">
        <w:rPr>
          <w:rFonts w:ascii="Verdana" w:hAnsi="Verdana"/>
          <w:lang w:val="bg-BG"/>
        </w:rPr>
        <w:t>Държавен вестник</w:t>
      </w:r>
      <w:r w:rsidR="009F2B5F">
        <w:rPr>
          <w:rFonts w:ascii="Verdana" w:hAnsi="Verdana"/>
          <w:lang w:val="bg-BG"/>
        </w:rPr>
        <w:t>“</w:t>
      </w:r>
      <w:r w:rsidRPr="00A25B1D">
        <w:rPr>
          <w:rFonts w:ascii="Verdana" w:hAnsi="Verdana"/>
          <w:lang w:val="bg-BG"/>
        </w:rPr>
        <w:t>.</w:t>
      </w:r>
    </w:p>
    <w:p w:rsidR="00CC6B92" w:rsidRDefault="009F2B5F" w:rsidP="00CC6B92">
      <w:pPr>
        <w:spacing w:line="360" w:lineRule="auto"/>
        <w:ind w:firstLine="851"/>
        <w:jc w:val="both"/>
        <w:rPr>
          <w:rFonts w:ascii="Verdana" w:hAnsi="Verdana"/>
          <w:bCs/>
          <w:lang w:val="bg-BG"/>
        </w:rPr>
      </w:pPr>
      <w:r>
        <w:rPr>
          <w:rFonts w:ascii="Verdana" w:hAnsi="Verdana"/>
          <w:bCs/>
          <w:lang w:val="bg-BG"/>
        </w:rPr>
        <w:t>Съгласно § 8, ал. 1 от п</w:t>
      </w:r>
      <w:r w:rsidR="00CC6B92" w:rsidRPr="00A25B1D">
        <w:rPr>
          <w:rFonts w:ascii="Verdana" w:hAnsi="Verdana"/>
          <w:bCs/>
          <w:lang w:val="bg-BG"/>
        </w:rPr>
        <w:t>реходните и заключителни разпоредби на Закона за храните, подзаконовите нормативни актове по прилагането му се приемат, съответно издават, в 6-месечен сро</w:t>
      </w:r>
      <w:r w:rsidR="00CC6B92">
        <w:rPr>
          <w:rFonts w:ascii="Verdana" w:hAnsi="Verdana"/>
          <w:bCs/>
          <w:lang w:val="bg-BG"/>
        </w:rPr>
        <w:t>к от влизането на закона в сила, а съгласно ал.</w:t>
      </w:r>
      <w:r>
        <w:rPr>
          <w:rFonts w:ascii="Verdana" w:hAnsi="Verdana"/>
          <w:bCs/>
          <w:lang w:val="bg-BG"/>
        </w:rPr>
        <w:t xml:space="preserve"> </w:t>
      </w:r>
      <w:r w:rsidR="00CC6B92">
        <w:rPr>
          <w:rFonts w:ascii="Verdana" w:hAnsi="Verdana"/>
          <w:bCs/>
          <w:lang w:val="bg-BG"/>
        </w:rPr>
        <w:t>3, до приемането, съответно издаването на актовете по ал.</w:t>
      </w:r>
      <w:r w:rsidR="00322469">
        <w:rPr>
          <w:rFonts w:ascii="Verdana" w:hAnsi="Verdana"/>
          <w:bCs/>
        </w:rPr>
        <w:t xml:space="preserve"> </w:t>
      </w:r>
      <w:r w:rsidR="00CC6B92">
        <w:rPr>
          <w:rFonts w:ascii="Verdana" w:hAnsi="Verdana"/>
          <w:bCs/>
          <w:lang w:val="bg-BG"/>
        </w:rPr>
        <w:t>1</w:t>
      </w:r>
      <w:r w:rsidR="00700E64">
        <w:rPr>
          <w:rFonts w:ascii="Verdana" w:hAnsi="Verdana"/>
          <w:bCs/>
        </w:rPr>
        <w:t>,</w:t>
      </w:r>
      <w:r w:rsidR="00CC6B92">
        <w:rPr>
          <w:rFonts w:ascii="Verdana" w:hAnsi="Verdana"/>
          <w:bCs/>
          <w:lang w:val="bg-BG"/>
        </w:rPr>
        <w:t xml:space="preserve"> се прилагат подзаконовите нормативни актове по прилагането на отменения Закон за храните, доколкото не противоречат на този закон. </w:t>
      </w:r>
    </w:p>
    <w:p w:rsidR="00CC6B92" w:rsidRPr="00C34234" w:rsidRDefault="00CC6B92" w:rsidP="00CC6B92">
      <w:pPr>
        <w:spacing w:line="360" w:lineRule="auto"/>
        <w:ind w:firstLine="851"/>
        <w:jc w:val="both"/>
        <w:rPr>
          <w:rFonts w:ascii="Verdana" w:hAnsi="Verdana"/>
          <w:bCs/>
          <w:lang w:val="bg-BG"/>
        </w:rPr>
      </w:pPr>
      <w:r w:rsidRPr="00C34234">
        <w:rPr>
          <w:rFonts w:ascii="Verdana" w:hAnsi="Verdana"/>
          <w:bCs/>
          <w:lang w:val="bg-BG"/>
        </w:rPr>
        <w:lastRenderedPageBreak/>
        <w:t>На основание чл.</w:t>
      </w:r>
      <w:r w:rsidR="00150BFF">
        <w:rPr>
          <w:rFonts w:ascii="Verdana" w:hAnsi="Verdana"/>
          <w:bCs/>
          <w:lang w:val="bg-BG"/>
        </w:rPr>
        <w:t xml:space="preserve"> </w:t>
      </w:r>
      <w:r w:rsidR="00187C1E">
        <w:rPr>
          <w:rFonts w:ascii="Verdana" w:hAnsi="Verdana"/>
          <w:bCs/>
          <w:lang w:val="bg-BG"/>
        </w:rPr>
        <w:t>19 от З</w:t>
      </w:r>
      <w:r w:rsidRPr="00C34234">
        <w:rPr>
          <w:rFonts w:ascii="Verdana" w:hAnsi="Verdana"/>
          <w:bCs/>
          <w:lang w:val="bg-BG"/>
        </w:rPr>
        <w:t>акона</w:t>
      </w:r>
      <w:r w:rsidR="00187C1E">
        <w:rPr>
          <w:rFonts w:ascii="Verdana" w:hAnsi="Verdana"/>
          <w:bCs/>
          <w:lang w:val="bg-BG"/>
        </w:rPr>
        <w:t xml:space="preserve"> за храните</w:t>
      </w:r>
      <w:r w:rsidRPr="00C34234">
        <w:rPr>
          <w:rFonts w:ascii="Verdana" w:hAnsi="Verdana"/>
          <w:bCs/>
          <w:lang w:val="bg-BG"/>
        </w:rPr>
        <w:t xml:space="preserve">, изискванията за предоставянето на информация на потребителите за храните се определят с наредба на Министерския съвет, с която се: </w:t>
      </w:r>
    </w:p>
    <w:p w:rsidR="00CC6B92" w:rsidRPr="00C34234" w:rsidRDefault="00CC6B92" w:rsidP="00CC6B92">
      <w:pPr>
        <w:spacing w:line="360" w:lineRule="auto"/>
        <w:ind w:firstLine="851"/>
        <w:jc w:val="both"/>
        <w:rPr>
          <w:rFonts w:ascii="Verdana" w:hAnsi="Verdana"/>
          <w:bCs/>
          <w:lang w:val="bg-BG"/>
        </w:rPr>
      </w:pPr>
      <w:r w:rsidRPr="00C34234">
        <w:rPr>
          <w:rFonts w:ascii="Verdana" w:hAnsi="Verdana"/>
          <w:bCs/>
          <w:lang w:val="bg-BG"/>
        </w:rPr>
        <w:t>1. въвеждат изискванията на Директива 2011/91/ЕС на Европейския парламент и на Съвета от 13 декември 2011 г. относно означенията или маркировките, идентифициращи партидата, към която принадлежи дадена храна (ОВ, L 334/1 от 16 декември 2011 г.);</w:t>
      </w:r>
    </w:p>
    <w:p w:rsidR="00CC6B92" w:rsidRDefault="00CC6B92" w:rsidP="00CC6B92">
      <w:pPr>
        <w:spacing w:line="360" w:lineRule="auto"/>
        <w:ind w:firstLine="851"/>
        <w:jc w:val="both"/>
        <w:rPr>
          <w:rFonts w:ascii="Verdana" w:hAnsi="Verdana"/>
        </w:rPr>
      </w:pPr>
      <w:r w:rsidRPr="00C34234">
        <w:rPr>
          <w:rFonts w:ascii="Verdana" w:hAnsi="Verdana"/>
          <w:bCs/>
          <w:lang w:val="bg-BG"/>
        </w:rPr>
        <w:t>2. определят национални мерки за предоставянето на информация за храните на потребителите съгласно чл. 38-44 на Регламент (ЕС) № 1169/2011</w:t>
      </w:r>
      <w:r w:rsidR="001B21DB">
        <w:rPr>
          <w:rFonts w:ascii="Verdana" w:hAnsi="Verdana"/>
          <w:bCs/>
          <w:lang w:val="bg-BG"/>
        </w:rPr>
        <w:t xml:space="preserve"> </w:t>
      </w:r>
      <w:r w:rsidR="001B21DB" w:rsidRPr="001B21DB">
        <w:rPr>
          <w:rFonts w:ascii="Verdana" w:hAnsi="Verdana"/>
          <w:lang w:val="x-none"/>
        </w:rPr>
        <w:t>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от 22.11.2011 г.)</w:t>
      </w:r>
      <w:r w:rsidR="00150BFF">
        <w:rPr>
          <w:rFonts w:ascii="Verdana" w:hAnsi="Verdana"/>
          <w:lang w:val="bg-BG"/>
        </w:rPr>
        <w:t xml:space="preserve"> (Регламент (ЕС) 1169/2011)</w:t>
      </w:r>
    </w:p>
    <w:p w:rsidR="00046EB4" w:rsidRDefault="00AB0B34" w:rsidP="00046EB4">
      <w:pPr>
        <w:spacing w:line="360" w:lineRule="auto"/>
        <w:ind w:firstLine="851"/>
        <w:jc w:val="both"/>
        <w:rPr>
          <w:rFonts w:ascii="Verdana" w:hAnsi="Verdana"/>
          <w:bCs/>
        </w:rPr>
      </w:pPr>
      <w:r w:rsidRPr="00AB0B34">
        <w:rPr>
          <w:rFonts w:ascii="Verdana" w:hAnsi="Verdana"/>
          <w:bCs/>
          <w:lang w:val="bg-BG"/>
        </w:rPr>
        <w:t>В тази връзка на това основание е необходимо да бъде издадена нова наредба, която да отмени Наредбата за изискванията за етикетирането и представянето на храните приета с ПМС № 383 от 2014 г. (обн. ДВ. бр.102 от 2014 г.).</w:t>
      </w:r>
    </w:p>
    <w:p w:rsidR="0008263A" w:rsidRPr="00046EB4" w:rsidRDefault="00CC6B92" w:rsidP="00046EB4">
      <w:pPr>
        <w:spacing w:line="360" w:lineRule="auto"/>
        <w:ind w:firstLine="851"/>
        <w:jc w:val="both"/>
        <w:rPr>
          <w:rFonts w:ascii="Verdana" w:hAnsi="Verdana"/>
          <w:bCs/>
          <w:lang w:val="bg-BG"/>
        </w:rPr>
      </w:pPr>
      <w:r w:rsidRPr="00061B79">
        <w:rPr>
          <w:rFonts w:ascii="Verdana" w:hAnsi="Verdana"/>
          <w:bCs/>
          <w:iCs/>
          <w:lang w:val="bg-BG"/>
        </w:rPr>
        <w:t>Проектът на наредба следва структурата и съдържанието на сега действащата Наредба за</w:t>
      </w:r>
      <w:r>
        <w:rPr>
          <w:rFonts w:ascii="Verdana" w:hAnsi="Verdana"/>
          <w:bCs/>
          <w:iCs/>
          <w:lang w:val="bg-BG"/>
        </w:rPr>
        <w:t xml:space="preserve"> изискванията за етикетирането и представянето на храните</w:t>
      </w:r>
      <w:r w:rsidRPr="00061B79">
        <w:rPr>
          <w:rFonts w:ascii="Verdana" w:hAnsi="Verdana"/>
          <w:bCs/>
          <w:iCs/>
          <w:lang w:val="bg-BG"/>
        </w:rPr>
        <w:t xml:space="preserve">, като са </w:t>
      </w:r>
      <w:r w:rsidR="00E96ECA" w:rsidRPr="00E96ECA">
        <w:rPr>
          <w:rFonts w:ascii="Verdana" w:hAnsi="Verdana"/>
          <w:bCs/>
          <w:iCs/>
          <w:lang w:val="bg-BG"/>
        </w:rPr>
        <w:t>дефинирани по-ясно някои разпоредби</w:t>
      </w:r>
      <w:r w:rsidR="00ED5808">
        <w:rPr>
          <w:rFonts w:ascii="Verdana" w:hAnsi="Verdana"/>
          <w:bCs/>
          <w:iCs/>
          <w:lang w:val="bg-BG"/>
        </w:rPr>
        <w:t>,</w:t>
      </w:r>
      <w:r w:rsidR="00E96ECA" w:rsidRPr="00E96ECA">
        <w:rPr>
          <w:rFonts w:ascii="Verdana" w:hAnsi="Verdana"/>
          <w:bCs/>
          <w:iCs/>
          <w:lang w:val="bg-BG"/>
        </w:rPr>
        <w:t xml:space="preserve"> свързани с предоставянето на информация на потребителите за храните в съответствие с изискванията на Регламент (ЕС) 1169/2011, изискванията предвидени в специални разпоредби на регламентите на ЕС за определени храни, Закона за храните и на подзаконовите нормативни актове по прилагането му, както и разпоредбите</w:t>
      </w:r>
      <w:r w:rsidR="00ED5808">
        <w:rPr>
          <w:rFonts w:ascii="Verdana" w:hAnsi="Verdana"/>
          <w:bCs/>
          <w:iCs/>
          <w:lang w:val="bg-BG"/>
        </w:rPr>
        <w:t>,</w:t>
      </w:r>
      <w:r w:rsidR="00E96ECA" w:rsidRPr="00E96ECA">
        <w:rPr>
          <w:rFonts w:ascii="Verdana" w:hAnsi="Verdana"/>
          <w:bCs/>
          <w:iCs/>
          <w:lang w:val="bg-BG"/>
        </w:rPr>
        <w:t xml:space="preserve"> имащи за цел да въведат определени изисквания по отношение на означенията или маркировките, идентифициращи партидата, към която принадлежи дадена храна.</w:t>
      </w:r>
      <w:r w:rsidR="0008263A">
        <w:rPr>
          <w:rFonts w:ascii="Verdana" w:hAnsi="Verdana"/>
          <w:bCs/>
          <w:iCs/>
        </w:rPr>
        <w:t xml:space="preserve"> </w:t>
      </w:r>
      <w:r w:rsidR="0008263A" w:rsidRPr="0008263A">
        <w:rPr>
          <w:rFonts w:ascii="Verdana" w:hAnsi="Verdana"/>
          <w:bCs/>
          <w:iCs/>
          <w:lang w:val="bg-BG"/>
        </w:rPr>
        <w:t>С проекта се въвеждат и национални мерки</w:t>
      </w:r>
      <w:r w:rsidR="00B25BE6">
        <w:rPr>
          <w:rFonts w:ascii="Verdana" w:hAnsi="Verdana"/>
          <w:bCs/>
          <w:iCs/>
          <w:lang w:val="bg-BG"/>
        </w:rPr>
        <w:t xml:space="preserve"> </w:t>
      </w:r>
      <w:r w:rsidR="00B25BE6" w:rsidRPr="00B25BE6">
        <w:rPr>
          <w:rFonts w:ascii="Verdana" w:hAnsi="Verdana"/>
          <w:bCs/>
          <w:iCs/>
          <w:lang w:val="bg-BG"/>
        </w:rPr>
        <w:t>съгласно</w:t>
      </w:r>
      <w:r w:rsidR="00D32658">
        <w:rPr>
          <w:rFonts w:ascii="Verdana" w:hAnsi="Verdana"/>
          <w:bCs/>
          <w:iCs/>
          <w:lang w:val="bg-BG"/>
        </w:rPr>
        <w:t xml:space="preserve"> чл.</w:t>
      </w:r>
      <w:r w:rsidR="00B25BE6" w:rsidRPr="00B25BE6">
        <w:rPr>
          <w:rFonts w:ascii="Verdana" w:hAnsi="Verdana"/>
          <w:bCs/>
          <w:iCs/>
          <w:lang w:val="bg-BG"/>
        </w:rPr>
        <w:t xml:space="preserve"> 44 на Регламент (ЕС) 1169 </w:t>
      </w:r>
      <w:r w:rsidR="00B25BE6">
        <w:rPr>
          <w:rFonts w:ascii="Verdana" w:hAnsi="Verdana"/>
          <w:bCs/>
          <w:iCs/>
          <w:lang w:val="bg-BG"/>
        </w:rPr>
        <w:t xml:space="preserve">/2011 </w:t>
      </w:r>
      <w:r w:rsidR="0008263A" w:rsidRPr="0008263A">
        <w:rPr>
          <w:rFonts w:ascii="Verdana" w:hAnsi="Verdana"/>
          <w:bCs/>
          <w:iCs/>
          <w:lang w:val="bg-BG"/>
        </w:rPr>
        <w:t>за предоставянето на информация</w:t>
      </w:r>
      <w:r w:rsidR="0008263A">
        <w:rPr>
          <w:rFonts w:ascii="Verdana" w:hAnsi="Verdana"/>
          <w:bCs/>
          <w:iCs/>
        </w:rPr>
        <w:t xml:space="preserve"> </w:t>
      </w:r>
      <w:r w:rsidR="0008263A">
        <w:rPr>
          <w:rFonts w:ascii="Verdana" w:hAnsi="Verdana"/>
          <w:bCs/>
          <w:iCs/>
          <w:lang w:val="bg-BG"/>
        </w:rPr>
        <w:t>при предлагане за продажба на храни на краен потребител или на заведение за обществено хранене без предварително опаковане, или когато храните са опаковани в търговските помещения по искане на потребителя или са предварително опаковани за директна продажба</w:t>
      </w:r>
      <w:r w:rsidR="00B25BE6">
        <w:rPr>
          <w:rFonts w:ascii="Verdana" w:hAnsi="Verdana"/>
          <w:bCs/>
          <w:iCs/>
          <w:lang w:val="bg-BG"/>
        </w:rPr>
        <w:t xml:space="preserve">. </w:t>
      </w:r>
    </w:p>
    <w:p w:rsidR="002F53D3" w:rsidRDefault="002F53D3" w:rsidP="00CC6B92">
      <w:pPr>
        <w:spacing w:line="360" w:lineRule="auto"/>
        <w:ind w:firstLine="851"/>
        <w:jc w:val="both"/>
        <w:rPr>
          <w:rFonts w:ascii="Verdana" w:hAnsi="Verdana"/>
          <w:b/>
          <w:lang w:val="bg-BG"/>
        </w:rPr>
      </w:pPr>
    </w:p>
    <w:p w:rsidR="00CC6B92" w:rsidRDefault="00CC6B92" w:rsidP="00CC6B92">
      <w:pPr>
        <w:spacing w:line="360" w:lineRule="auto"/>
        <w:ind w:firstLine="851"/>
        <w:jc w:val="both"/>
        <w:rPr>
          <w:rFonts w:ascii="Verdana" w:hAnsi="Verdana"/>
          <w:b/>
          <w:lang w:val="bg-BG"/>
        </w:rPr>
      </w:pPr>
      <w:r w:rsidRPr="00D67AD5">
        <w:rPr>
          <w:rFonts w:ascii="Verdana" w:hAnsi="Verdana"/>
          <w:b/>
          <w:lang w:val="bg-BG"/>
        </w:rPr>
        <w:t>Цели</w:t>
      </w:r>
    </w:p>
    <w:p w:rsidR="00CC6B92" w:rsidRPr="00667343" w:rsidRDefault="00CC6B92" w:rsidP="00CC6B92">
      <w:pPr>
        <w:spacing w:line="360" w:lineRule="auto"/>
        <w:ind w:firstLine="851"/>
        <w:jc w:val="both"/>
        <w:rPr>
          <w:rFonts w:ascii="Verdana" w:hAnsi="Verdana"/>
          <w:lang w:val="bg-BG"/>
        </w:rPr>
      </w:pPr>
      <w:r w:rsidRPr="00667343">
        <w:rPr>
          <w:rFonts w:ascii="Verdana" w:hAnsi="Verdana"/>
          <w:lang w:val="bg-BG"/>
        </w:rPr>
        <w:t xml:space="preserve">Проектът на Наредба за </w:t>
      </w:r>
      <w:r>
        <w:rPr>
          <w:rFonts w:ascii="Verdana" w:hAnsi="Verdana"/>
          <w:lang w:val="bg-BG"/>
        </w:rPr>
        <w:t>предоставянето на информация на потребителите за храните определя</w:t>
      </w:r>
      <w:r w:rsidRPr="00667343">
        <w:rPr>
          <w:rFonts w:ascii="Verdana" w:hAnsi="Verdana"/>
          <w:lang w:val="bg-BG"/>
        </w:rPr>
        <w:t>:</w:t>
      </w:r>
    </w:p>
    <w:p w:rsidR="00CC6B92" w:rsidRDefault="00040A6B" w:rsidP="00CC6B92">
      <w:pPr>
        <w:spacing w:line="360" w:lineRule="auto"/>
        <w:ind w:firstLine="851"/>
        <w:jc w:val="both"/>
        <w:rPr>
          <w:rFonts w:ascii="Verdana" w:hAnsi="Verdana"/>
        </w:rPr>
      </w:pPr>
      <w:r>
        <w:rPr>
          <w:rFonts w:ascii="Verdana" w:hAnsi="Verdana"/>
        </w:rPr>
        <w:t>1</w:t>
      </w:r>
      <w:r w:rsidR="00CC6B92">
        <w:rPr>
          <w:rFonts w:ascii="Verdana" w:hAnsi="Verdana"/>
          <w:lang w:val="bg-BG"/>
        </w:rPr>
        <w:t>. изискванията към означенията или маркировките, идентифициращи партидата, към която принадлежи дадена храна</w:t>
      </w:r>
      <w:r w:rsidR="00CC6B92" w:rsidRPr="00E62E0D">
        <w:rPr>
          <w:rFonts w:ascii="Verdana" w:hAnsi="Verdana"/>
          <w:lang w:val="x-none"/>
        </w:rPr>
        <w:t>;</w:t>
      </w:r>
    </w:p>
    <w:p w:rsidR="00CC6B92" w:rsidRPr="000C1B39" w:rsidRDefault="00040A6B" w:rsidP="001B21DB">
      <w:pPr>
        <w:spacing w:line="360" w:lineRule="auto"/>
        <w:ind w:firstLine="851"/>
        <w:jc w:val="both"/>
        <w:rPr>
          <w:rFonts w:ascii="Verdana" w:hAnsi="Verdana"/>
          <w:lang w:val="bg-BG"/>
        </w:rPr>
      </w:pPr>
      <w:r>
        <w:rPr>
          <w:rFonts w:ascii="Verdana" w:hAnsi="Verdana"/>
        </w:rPr>
        <w:lastRenderedPageBreak/>
        <w:t>2</w:t>
      </w:r>
      <w:r w:rsidR="001B21DB">
        <w:rPr>
          <w:rFonts w:ascii="Verdana" w:hAnsi="Verdana"/>
        </w:rPr>
        <w:t>.</w:t>
      </w:r>
      <w:r w:rsidR="00383BFF">
        <w:rPr>
          <w:rFonts w:ascii="Verdana" w:hAnsi="Verdana"/>
          <w:lang w:val="bg-BG"/>
        </w:rPr>
        <w:t xml:space="preserve"> </w:t>
      </w:r>
      <w:r w:rsidR="001B21DB" w:rsidRPr="001B21DB">
        <w:rPr>
          <w:rFonts w:ascii="Verdana" w:hAnsi="Verdana"/>
          <w:lang w:val="x-none"/>
        </w:rPr>
        <w:t>национални мерки за предоставянето на информация за храните на потребителите съгласно чл. 44 на Регламент (ЕС) № 1169/2011</w:t>
      </w:r>
      <w:r w:rsidR="000C1B39">
        <w:rPr>
          <w:rFonts w:ascii="Verdana" w:hAnsi="Verdana"/>
          <w:lang w:val="bg-BG"/>
        </w:rPr>
        <w:t xml:space="preserve">. </w:t>
      </w:r>
    </w:p>
    <w:p w:rsidR="002F53D3" w:rsidRPr="00831010" w:rsidRDefault="00CC6B92" w:rsidP="00CC6B92">
      <w:pPr>
        <w:spacing w:line="360" w:lineRule="auto"/>
        <w:ind w:firstLine="851"/>
        <w:jc w:val="both"/>
        <w:rPr>
          <w:rFonts w:ascii="Verdana" w:hAnsi="Verdana"/>
          <w:b/>
          <w:lang w:val="bg-BG"/>
        </w:rPr>
      </w:pPr>
      <w:r w:rsidRPr="00475654">
        <w:rPr>
          <w:rFonts w:ascii="Verdana" w:hAnsi="Verdana"/>
          <w:lang w:val="bg-BG"/>
        </w:rPr>
        <w:t xml:space="preserve">Наредбата се издава на основание чл. </w:t>
      </w:r>
      <w:r>
        <w:rPr>
          <w:rFonts w:ascii="Verdana" w:hAnsi="Verdana"/>
          <w:lang w:val="bg-BG"/>
        </w:rPr>
        <w:t xml:space="preserve">19 </w:t>
      </w:r>
      <w:r w:rsidRPr="00475654">
        <w:rPr>
          <w:rFonts w:ascii="Verdana" w:hAnsi="Verdana"/>
          <w:lang w:val="bg-BG"/>
        </w:rPr>
        <w:t>от Закона за храните и отменя</w:t>
      </w:r>
      <w:r>
        <w:rPr>
          <w:rFonts w:ascii="Verdana" w:hAnsi="Verdana"/>
          <w:lang w:val="bg-BG"/>
        </w:rPr>
        <w:t xml:space="preserve"> </w:t>
      </w:r>
      <w:r w:rsidRPr="00B64A5E">
        <w:rPr>
          <w:rFonts w:ascii="Verdana" w:hAnsi="Verdana"/>
          <w:bCs/>
          <w:lang w:val="bg-BG"/>
        </w:rPr>
        <w:t xml:space="preserve">Наредба за изискванията за етикетирането и представянето на храните - </w:t>
      </w:r>
      <w:r w:rsidRPr="00831010">
        <w:rPr>
          <w:rFonts w:ascii="Verdana" w:hAnsi="Verdana"/>
          <w:bCs/>
          <w:iCs/>
          <w:lang w:val="bg-BG"/>
        </w:rPr>
        <w:t>приета с ПМС № 383 от</w:t>
      </w:r>
      <w:r w:rsidR="00060CE5" w:rsidRPr="00831010">
        <w:rPr>
          <w:rFonts w:ascii="Verdana" w:hAnsi="Verdana"/>
          <w:bCs/>
          <w:iCs/>
          <w:lang w:val="bg-BG"/>
        </w:rPr>
        <w:t xml:space="preserve"> </w:t>
      </w:r>
      <w:r w:rsidRPr="00831010">
        <w:rPr>
          <w:rFonts w:ascii="Verdana" w:hAnsi="Verdana"/>
          <w:bCs/>
          <w:iCs/>
          <w:lang w:val="bg-BG"/>
        </w:rPr>
        <w:t>2014 г.</w:t>
      </w:r>
      <w:r w:rsidRPr="00831010">
        <w:rPr>
          <w:rFonts w:ascii="Verdana" w:hAnsi="Verdana"/>
          <w:bCs/>
          <w:lang w:val="bg-BG"/>
        </w:rPr>
        <w:t xml:space="preserve"> </w:t>
      </w:r>
      <w:r w:rsidRPr="00831010">
        <w:rPr>
          <w:rFonts w:ascii="Verdana" w:hAnsi="Verdana"/>
          <w:bCs/>
          <w:iCs/>
          <w:lang w:val="bg-BG"/>
        </w:rPr>
        <w:t>(обн. ДВ. бр.102 от 2014</w:t>
      </w:r>
      <w:r w:rsidR="00060CE5" w:rsidRPr="00831010">
        <w:rPr>
          <w:rFonts w:ascii="Verdana" w:hAnsi="Verdana"/>
          <w:bCs/>
          <w:iCs/>
          <w:lang w:val="bg-BG"/>
        </w:rPr>
        <w:t xml:space="preserve"> </w:t>
      </w:r>
      <w:r w:rsidRPr="00831010">
        <w:rPr>
          <w:rFonts w:ascii="Verdana" w:hAnsi="Verdana"/>
          <w:bCs/>
          <w:iCs/>
          <w:lang w:val="bg-BG"/>
        </w:rPr>
        <w:t>г</w:t>
      </w:r>
      <w:r w:rsidR="00060CE5" w:rsidRPr="00831010">
        <w:rPr>
          <w:rFonts w:ascii="Verdana" w:hAnsi="Verdana"/>
          <w:bCs/>
          <w:iCs/>
          <w:lang w:val="bg-BG"/>
        </w:rPr>
        <w:t>.)</w:t>
      </w:r>
    </w:p>
    <w:p w:rsidR="00CC6B92" w:rsidRDefault="00CC6B92" w:rsidP="00CC6B92">
      <w:pPr>
        <w:spacing w:line="360" w:lineRule="auto"/>
        <w:ind w:firstLine="851"/>
        <w:jc w:val="both"/>
        <w:rPr>
          <w:rFonts w:ascii="Verdana" w:hAnsi="Verdana"/>
          <w:b/>
          <w:lang w:val="bg-BG"/>
        </w:rPr>
      </w:pPr>
      <w:r w:rsidRPr="00D67AD5">
        <w:rPr>
          <w:rFonts w:ascii="Verdana" w:hAnsi="Verdana"/>
          <w:b/>
          <w:lang w:val="bg-BG"/>
        </w:rPr>
        <w:t>Очаквани резултати от прилагането на акта</w:t>
      </w:r>
    </w:p>
    <w:p w:rsidR="003431DC" w:rsidRDefault="00CC6B92" w:rsidP="00CC6B92">
      <w:pPr>
        <w:spacing w:line="360" w:lineRule="auto"/>
        <w:ind w:firstLine="709"/>
        <w:jc w:val="both"/>
        <w:rPr>
          <w:rFonts w:ascii="Verdana" w:hAnsi="Verdana"/>
          <w:lang w:val="bg-BG"/>
        </w:rPr>
      </w:pPr>
      <w:r w:rsidRPr="00AE5976">
        <w:rPr>
          <w:rFonts w:ascii="Verdana" w:hAnsi="Verdana"/>
          <w:lang w:val="bg-BG"/>
        </w:rPr>
        <w:t xml:space="preserve">С оглед постигане на високо равнище на защита на здравето на потребителите и гарантиране на правото им на информация, следва да се гарантира, че потребителите са подходящо информирани относно консумираните от тях храни. </w:t>
      </w:r>
      <w:r w:rsidRPr="008A3228">
        <w:rPr>
          <w:rFonts w:ascii="Verdana" w:hAnsi="Verdana"/>
          <w:lang w:val="bg-BG"/>
        </w:rPr>
        <w:t xml:space="preserve">С прилагането на </w:t>
      </w:r>
      <w:r>
        <w:rPr>
          <w:rFonts w:ascii="Verdana" w:hAnsi="Verdana"/>
          <w:lang w:val="bg-BG"/>
        </w:rPr>
        <w:t xml:space="preserve">наредбата ще се постигне и определяне на конкретни и </w:t>
      </w:r>
      <w:r w:rsidR="00DB7ECD">
        <w:rPr>
          <w:rFonts w:ascii="Verdana" w:hAnsi="Verdana"/>
          <w:lang w:val="bg-BG"/>
        </w:rPr>
        <w:t>точни изисквания за етикетиране и</w:t>
      </w:r>
      <w:r>
        <w:rPr>
          <w:rFonts w:ascii="Verdana" w:hAnsi="Verdana"/>
          <w:lang w:val="bg-BG"/>
        </w:rPr>
        <w:t xml:space="preserve"> представяне на храните, които да гарантират правото на потребителите на информиран избор. </w:t>
      </w:r>
    </w:p>
    <w:p w:rsidR="00CC6B92" w:rsidRPr="00AE5976" w:rsidRDefault="003431DC" w:rsidP="00CC6B92">
      <w:pPr>
        <w:spacing w:line="360" w:lineRule="auto"/>
        <w:ind w:firstLine="709"/>
        <w:jc w:val="both"/>
        <w:rPr>
          <w:rFonts w:ascii="Verdana" w:hAnsi="Verdana"/>
          <w:lang w:val="bg-BG"/>
        </w:rPr>
      </w:pPr>
      <w:r>
        <w:rPr>
          <w:rFonts w:ascii="Verdana" w:hAnsi="Verdana"/>
          <w:lang w:val="bg-BG"/>
        </w:rPr>
        <w:t>С проекта се определят</w:t>
      </w:r>
      <w:r w:rsidR="00F64AB4">
        <w:rPr>
          <w:rFonts w:ascii="Verdana" w:hAnsi="Verdana"/>
          <w:lang w:val="bg-BG"/>
        </w:rPr>
        <w:t xml:space="preserve"> и</w:t>
      </w:r>
      <w:r>
        <w:rPr>
          <w:rFonts w:ascii="Verdana" w:hAnsi="Verdana"/>
          <w:lang w:val="bg-BG"/>
        </w:rPr>
        <w:t xml:space="preserve"> ясни правила за предоставяне на информа</w:t>
      </w:r>
      <w:r w:rsidR="00F64AB4">
        <w:rPr>
          <w:rFonts w:ascii="Verdana" w:hAnsi="Verdana"/>
          <w:lang w:val="bg-BG"/>
        </w:rPr>
        <w:t>ц</w:t>
      </w:r>
      <w:r w:rsidR="00415A2F">
        <w:rPr>
          <w:rFonts w:ascii="Verdana" w:hAnsi="Verdana"/>
          <w:lang w:val="bg-BG"/>
        </w:rPr>
        <w:t xml:space="preserve">ия на потребителите за храните и предлагане за продажба на храни на краен потребител или на заведение за обществено хранене </w:t>
      </w:r>
      <w:r w:rsidR="00415A2F">
        <w:rPr>
          <w:rFonts w:ascii="Verdana" w:hAnsi="Verdana"/>
          <w:bCs/>
          <w:iCs/>
          <w:lang w:val="bg-BG"/>
        </w:rPr>
        <w:t>без предварително опаковане, или когато храните са опаковани в търговските помещения по искане на потребителя или са предварително опаковани за директна продажба.</w:t>
      </w:r>
    </w:p>
    <w:p w:rsidR="00A46B31" w:rsidRDefault="00A46B31" w:rsidP="00A46B31">
      <w:pPr>
        <w:spacing w:line="360" w:lineRule="auto"/>
        <w:ind w:firstLine="708"/>
        <w:jc w:val="both"/>
        <w:rPr>
          <w:rFonts w:ascii="Verdana" w:hAnsi="Verdana"/>
          <w:lang w:val="bg-BG"/>
        </w:rPr>
      </w:pPr>
      <w:r w:rsidRPr="00A46B31">
        <w:rPr>
          <w:rFonts w:ascii="Verdana" w:hAnsi="Verdana"/>
          <w:lang w:val="bg-BG"/>
        </w:rPr>
        <w:t>С прилагането на изискванията на наредбата се постига по-добра информираност по отношение на идентичността на продуктите посредством означението на партидата, към която принадлежи даденa хранa. Означа</w:t>
      </w:r>
      <w:r w:rsidR="001B5A90">
        <w:rPr>
          <w:rFonts w:ascii="Verdana" w:hAnsi="Verdana"/>
          <w:lang w:val="bg-BG"/>
        </w:rPr>
        <w:t>ването на партидата се използва</w:t>
      </w:r>
      <w:r w:rsidRPr="00A46B31">
        <w:rPr>
          <w:rFonts w:ascii="Verdana" w:hAnsi="Verdana"/>
          <w:lang w:val="bg-BG"/>
        </w:rPr>
        <w:t xml:space="preserve"> като полезен източник на информация, когато храните трябва да бъдат проследени и идентифицирани или представляват риск за здравето на потребителите.</w:t>
      </w:r>
    </w:p>
    <w:p w:rsidR="002F53D3" w:rsidRPr="00A46B31" w:rsidRDefault="002F53D3" w:rsidP="00A46B31">
      <w:pPr>
        <w:spacing w:line="360" w:lineRule="auto"/>
        <w:ind w:firstLine="708"/>
        <w:jc w:val="both"/>
        <w:rPr>
          <w:rFonts w:ascii="Verdana" w:hAnsi="Verdana"/>
          <w:lang w:val="bg-BG"/>
        </w:rPr>
      </w:pPr>
    </w:p>
    <w:p w:rsidR="00CC6B92" w:rsidRPr="00D67AD5" w:rsidRDefault="00CC6B92" w:rsidP="00CC6B92">
      <w:pPr>
        <w:spacing w:line="360" w:lineRule="auto"/>
        <w:ind w:left="142" w:firstLine="709"/>
        <w:jc w:val="both"/>
        <w:rPr>
          <w:rFonts w:ascii="Verdana" w:hAnsi="Verdana"/>
          <w:b/>
          <w:lang w:val="bg-BG"/>
        </w:rPr>
      </w:pPr>
      <w:r w:rsidRPr="00D67AD5">
        <w:rPr>
          <w:rFonts w:ascii="Verdana" w:hAnsi="Verdana"/>
          <w:b/>
          <w:lang w:val="bg-BG"/>
        </w:rPr>
        <w:t>Анализ за съответствие с правото на Европейския съюз</w:t>
      </w:r>
    </w:p>
    <w:p w:rsidR="00CC6B92" w:rsidRDefault="00CC6B92" w:rsidP="00CC6B92">
      <w:pPr>
        <w:spacing w:line="360" w:lineRule="auto"/>
        <w:ind w:firstLine="851"/>
        <w:jc w:val="both"/>
        <w:rPr>
          <w:rFonts w:ascii="Verdana" w:hAnsi="Verdana"/>
          <w:lang w:val="bg-BG"/>
        </w:rPr>
      </w:pPr>
      <w:r>
        <w:rPr>
          <w:rFonts w:ascii="Verdana" w:hAnsi="Verdana"/>
          <w:lang w:val="bg-BG"/>
        </w:rPr>
        <w:t xml:space="preserve">С наредбата се въвеждат разпоредбите на Директива </w:t>
      </w:r>
      <w:r w:rsidRPr="00EF3AF1">
        <w:rPr>
          <w:rFonts w:ascii="Verdana" w:hAnsi="Verdana"/>
          <w:lang w:val="bg-BG"/>
        </w:rPr>
        <w:t>2011/91/ЕС на Европейския парламент и на Съвета от 13 декември 2011 година относно означенията или маркировките, идентифициращи партидата, към която принадлежи дадена храна.</w:t>
      </w:r>
      <w:r>
        <w:rPr>
          <w:rFonts w:ascii="Verdana" w:hAnsi="Verdana"/>
          <w:lang w:val="bg-BG"/>
        </w:rPr>
        <w:t xml:space="preserve"> Във връзка с това е приложена таблица на съответствието с правото на ЕС. </w:t>
      </w:r>
    </w:p>
    <w:p w:rsidR="002F53D3" w:rsidRPr="00EF3AF1" w:rsidRDefault="002F53D3" w:rsidP="00CC6B92">
      <w:pPr>
        <w:spacing w:line="360" w:lineRule="auto"/>
        <w:ind w:firstLine="851"/>
        <w:jc w:val="both"/>
        <w:rPr>
          <w:rFonts w:ascii="Verdana" w:hAnsi="Verdana"/>
          <w:lang w:val="bg-BG"/>
        </w:rPr>
      </w:pPr>
    </w:p>
    <w:p w:rsidR="0074318D" w:rsidRPr="00B9324E" w:rsidRDefault="0074318D" w:rsidP="0074318D">
      <w:pPr>
        <w:spacing w:line="360" w:lineRule="auto"/>
        <w:ind w:firstLine="708"/>
        <w:jc w:val="both"/>
        <w:rPr>
          <w:rFonts w:ascii="Verdana" w:hAnsi="Verdana"/>
          <w:b/>
          <w:color w:val="000000"/>
          <w:shd w:val="clear" w:color="auto" w:fill="FEFEFE"/>
          <w:lang w:val="ru-RU"/>
        </w:rPr>
      </w:pPr>
      <w:r w:rsidRPr="00B9324E">
        <w:rPr>
          <w:rFonts w:ascii="Verdana" w:hAnsi="Verdana"/>
          <w:b/>
          <w:color w:val="000000"/>
          <w:shd w:val="clear" w:color="auto" w:fill="FEFEFE"/>
          <w:lang w:val="ru-RU"/>
        </w:rPr>
        <w:t xml:space="preserve">Финансови и други средства, необходими за прилагането на новата уредба </w:t>
      </w:r>
    </w:p>
    <w:p w:rsidR="00B9324E" w:rsidRDefault="005F3625">
      <w:pPr>
        <w:spacing w:after="120" w:line="360" w:lineRule="auto"/>
        <w:ind w:firstLine="709"/>
        <w:jc w:val="both"/>
        <w:rPr>
          <w:rFonts w:ascii="Verdana" w:hAnsi="Verdana" w:cs="Verdana"/>
          <w:lang w:val="bg-BG"/>
        </w:rPr>
      </w:pPr>
      <w:r>
        <w:rPr>
          <w:rFonts w:ascii="Verdana" w:hAnsi="Verdana" w:cs="Verdana"/>
          <w:lang w:val="bg-BG"/>
        </w:rPr>
        <w:t xml:space="preserve">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w:t>
      </w:r>
    </w:p>
    <w:p w:rsidR="00B9324E" w:rsidRDefault="005F3625">
      <w:pPr>
        <w:spacing w:after="120" w:line="360" w:lineRule="auto"/>
        <w:ind w:firstLine="709"/>
        <w:jc w:val="both"/>
        <w:rPr>
          <w:rFonts w:ascii="Verdana" w:hAnsi="Verdana" w:cs="Verdana"/>
          <w:lang w:val="bg-BG"/>
        </w:rPr>
      </w:pPr>
      <w:r>
        <w:rPr>
          <w:rFonts w:ascii="Verdana" w:hAnsi="Verdana" w:cs="Verdana"/>
          <w:lang w:val="bg-BG"/>
        </w:rPr>
        <w:lastRenderedPageBreak/>
        <w:t xml:space="preserve">Не са </w:t>
      </w:r>
      <w:r w:rsidR="0074318D">
        <w:rPr>
          <w:rFonts w:ascii="Verdana" w:hAnsi="Verdana" w:cs="Verdana"/>
          <w:lang w:val="bg-BG"/>
        </w:rPr>
        <w:t>необходими допълнителни разходи/</w:t>
      </w:r>
      <w:r>
        <w:rPr>
          <w:rFonts w:ascii="Verdana" w:hAnsi="Verdana" w:cs="Verdana"/>
          <w:lang w:val="bg-BG"/>
        </w:rPr>
        <w:t xml:space="preserve">трансфери </w:t>
      </w:r>
      <w:r w:rsidR="0074318D">
        <w:rPr>
          <w:rFonts w:ascii="Verdana" w:hAnsi="Verdana" w:cs="Verdana"/>
          <w:lang w:val="bg-BG"/>
        </w:rPr>
        <w:t>и</w:t>
      </w:r>
      <w:r>
        <w:rPr>
          <w:rFonts w:ascii="Verdana" w:hAnsi="Verdana" w:cs="Verdana"/>
          <w:lang w:val="bg-BG"/>
        </w:rPr>
        <w:t xml:space="preserve"> други плащания по бюджета на Министерството на земеделието, храните и горите за 2020 г. </w:t>
      </w:r>
    </w:p>
    <w:p w:rsidR="003F5B76" w:rsidRDefault="001B5A90" w:rsidP="002F53D3">
      <w:pPr>
        <w:spacing w:line="360" w:lineRule="auto"/>
        <w:ind w:firstLine="709"/>
        <w:jc w:val="both"/>
        <w:rPr>
          <w:rFonts w:ascii="Verdana" w:hAnsi="Verdana" w:cs="Verdana"/>
          <w:lang w:val="bg-BG"/>
        </w:rPr>
      </w:pPr>
      <w:r>
        <w:rPr>
          <w:rFonts w:ascii="Verdana" w:hAnsi="Verdana" w:cs="Verdana"/>
          <w:lang w:val="bg-BG"/>
        </w:rPr>
        <w:t>Проектът</w:t>
      </w:r>
      <w:r w:rsidR="005F3625">
        <w:rPr>
          <w:rFonts w:ascii="Verdana" w:hAnsi="Verdana" w:cs="Verdana"/>
          <w:lang w:val="bg-BG"/>
        </w:rPr>
        <w:t xml:space="preserve"> на акт не води до изменения в целевите стойности на показателите за изпълнение, в т</w:t>
      </w:r>
      <w:r w:rsidR="002F53D3">
        <w:rPr>
          <w:rFonts w:ascii="Verdana" w:hAnsi="Verdana" w:cs="Verdana"/>
          <w:lang w:val="bg-BG"/>
        </w:rPr>
        <w:t xml:space="preserve">ова </w:t>
      </w:r>
      <w:r w:rsidR="005F3625">
        <w:rPr>
          <w:rFonts w:ascii="Verdana" w:hAnsi="Verdana" w:cs="Verdana"/>
          <w:lang w:val="bg-BG"/>
        </w:rPr>
        <w:t>ч</w:t>
      </w:r>
      <w:r w:rsidR="002F53D3">
        <w:rPr>
          <w:rFonts w:ascii="Verdana" w:hAnsi="Verdana" w:cs="Verdana"/>
          <w:lang w:val="bg-BG"/>
        </w:rPr>
        <w:t>исло</w:t>
      </w:r>
      <w:r w:rsidR="005F3625">
        <w:rPr>
          <w:rFonts w:ascii="Verdana" w:hAnsi="Verdana" w:cs="Verdana"/>
          <w:lang w:val="bg-BG"/>
        </w:rPr>
        <w:t xml:space="preserve"> ключовите индикатори. </w:t>
      </w:r>
    </w:p>
    <w:p w:rsidR="002F53D3" w:rsidRDefault="002F53D3" w:rsidP="002F53D3">
      <w:pPr>
        <w:spacing w:line="360" w:lineRule="auto"/>
        <w:ind w:firstLine="709"/>
        <w:jc w:val="both"/>
        <w:rPr>
          <w:rFonts w:ascii="Verdana" w:hAnsi="Verdana" w:cs="Verdana"/>
          <w:lang w:val="bg-BG"/>
        </w:rPr>
      </w:pPr>
    </w:p>
    <w:p w:rsidR="0074318D" w:rsidRPr="0074318D" w:rsidRDefault="0074318D" w:rsidP="0074318D">
      <w:pPr>
        <w:spacing w:line="360" w:lineRule="auto"/>
        <w:ind w:firstLine="708"/>
        <w:jc w:val="both"/>
        <w:rPr>
          <w:rFonts w:ascii="Verdana" w:hAnsi="Verdana"/>
          <w:b/>
          <w:color w:val="000000"/>
          <w:shd w:val="clear" w:color="auto" w:fill="FEFEFE"/>
          <w:lang w:val="bg-BG"/>
        </w:rPr>
      </w:pPr>
      <w:r w:rsidRPr="00B9324E">
        <w:rPr>
          <w:rFonts w:ascii="Verdana" w:hAnsi="Verdana"/>
          <w:b/>
          <w:color w:val="000000"/>
          <w:shd w:val="clear" w:color="auto" w:fill="FEFEFE"/>
          <w:lang w:val="ru-RU"/>
        </w:rPr>
        <w:t>Информация за проведените обществени консултации</w:t>
      </w:r>
    </w:p>
    <w:p w:rsidR="003F5B76" w:rsidRDefault="005F3625">
      <w:pPr>
        <w:overflowPunct/>
        <w:spacing w:after="120" w:line="360" w:lineRule="auto"/>
        <w:ind w:firstLine="709"/>
        <w:jc w:val="both"/>
        <w:textAlignment w:val="auto"/>
        <w:rPr>
          <w:rFonts w:ascii="Verdana" w:hAnsi="Verdana" w:cs="Verdana"/>
          <w:lang w:val="bg-BG" w:eastAsia="zh-CN"/>
        </w:rPr>
      </w:pPr>
      <w:r>
        <w:rPr>
          <w:rFonts w:ascii="Verdana" w:hAnsi="Verdana" w:cs="Verdana"/>
          <w:lang w:val="bg-BG" w:eastAsia="zh-CN"/>
        </w:rPr>
        <w:t xml:space="preserve">Съгласно чл. 26, ал. 3 и 4 от Закона за нормативните актове проектът на постановление, докладът към него, частичната предварителната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3F5B76" w:rsidRDefault="005F3625">
      <w:pPr>
        <w:overflowPunct/>
        <w:autoSpaceDE/>
        <w:autoSpaceDN/>
        <w:adjustRightInd/>
        <w:spacing w:after="120" w:line="360" w:lineRule="auto"/>
        <w:ind w:firstLine="709"/>
        <w:jc w:val="both"/>
        <w:textAlignment w:val="auto"/>
        <w:rPr>
          <w:rFonts w:ascii="Verdana" w:hAnsi="Verdana" w:cs="Verdana"/>
          <w:lang w:val="bg-BG"/>
        </w:rPr>
      </w:pPr>
      <w:r>
        <w:rPr>
          <w:rFonts w:ascii="Verdana" w:hAnsi="Verdana" w:cs="Verdana"/>
          <w:lang w:val="bg-BG"/>
        </w:rPr>
        <w:t xml:space="preserve">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 храните и горите и на Портала за обществени консултации. </w:t>
      </w:r>
    </w:p>
    <w:p w:rsidR="003F5B76" w:rsidRPr="008B0CB5" w:rsidRDefault="005F3625" w:rsidP="008B0CB5">
      <w:pPr>
        <w:overflowPunct/>
        <w:autoSpaceDE/>
        <w:autoSpaceDN/>
        <w:adjustRightInd/>
        <w:spacing w:after="120" w:line="360" w:lineRule="auto"/>
        <w:ind w:firstLine="709"/>
        <w:jc w:val="both"/>
        <w:textAlignment w:val="auto"/>
        <w:rPr>
          <w:rFonts w:ascii="Verdana" w:hAnsi="Verdana" w:cs="Verdana"/>
          <w:lang w:val="bg-BG"/>
        </w:rPr>
      </w:pPr>
      <w:r>
        <w:rPr>
          <w:rFonts w:ascii="Verdana" w:hAnsi="Verdana" w:cs="Verdana"/>
          <w:lang w:val="bg-BG"/>
        </w:rPr>
        <w:t xml:space="preserve">Проектът на Постановление на Министерския съвет за приемане на Наредба за </w:t>
      </w:r>
      <w:r w:rsidR="00F64AB4">
        <w:rPr>
          <w:rFonts w:ascii="Verdana" w:hAnsi="Verdana" w:cs="Verdana"/>
          <w:lang w:val="bg-BG"/>
        </w:rPr>
        <w:t xml:space="preserve">предоставянето на информация на потребителите за храните </w:t>
      </w:r>
      <w:r>
        <w:rPr>
          <w:rFonts w:ascii="Verdana" w:hAnsi="Verdana" w:cs="Verdana"/>
          <w:lang w:val="bg-BG"/>
        </w:rPr>
        <w:t>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rsidR="000F4EF1" w:rsidRDefault="000F4EF1">
      <w:pPr>
        <w:spacing w:line="360" w:lineRule="auto"/>
        <w:rPr>
          <w:rFonts w:ascii="Verdana" w:hAnsi="Verdana"/>
          <w:b/>
          <w:lang w:val="bg-BG"/>
        </w:rPr>
      </w:pPr>
    </w:p>
    <w:p w:rsidR="003F5B76" w:rsidRDefault="005F3625">
      <w:pPr>
        <w:spacing w:line="360" w:lineRule="auto"/>
        <w:rPr>
          <w:rFonts w:ascii="Verdana" w:hAnsi="Verdana"/>
          <w:b/>
          <w:lang w:val="bg-BG"/>
        </w:rPr>
      </w:pPr>
      <w:r>
        <w:rPr>
          <w:rFonts w:ascii="Verdana" w:hAnsi="Verdana"/>
          <w:b/>
          <w:lang w:val="bg-BG"/>
        </w:rPr>
        <w:t>УВАЖАЕМИ ГОСПОДИН МИНИСТЪР-ПРЕДСЕДАТЕЛ,</w:t>
      </w:r>
    </w:p>
    <w:p w:rsidR="003F5B76" w:rsidRDefault="005F3625" w:rsidP="00734C3D">
      <w:pPr>
        <w:spacing w:line="360" w:lineRule="auto"/>
        <w:rPr>
          <w:rFonts w:ascii="Verdana" w:hAnsi="Verdana"/>
          <w:b/>
          <w:lang w:val="bg-BG"/>
        </w:rPr>
      </w:pPr>
      <w:r>
        <w:rPr>
          <w:rFonts w:ascii="Verdana" w:hAnsi="Verdana"/>
          <w:b/>
          <w:lang w:val="bg-BG"/>
        </w:rPr>
        <w:t>УВАЖАЕМИ ГОСПОЖИ И ГОСПОДА МИНИСТРИ,</w:t>
      </w:r>
    </w:p>
    <w:p w:rsidR="003F5B76" w:rsidRPr="008B0CB5" w:rsidRDefault="005F3625" w:rsidP="008B0CB5">
      <w:pPr>
        <w:widowControl w:val="0"/>
        <w:overflowPunct/>
        <w:spacing w:before="120" w:after="120" w:line="360" w:lineRule="auto"/>
        <w:ind w:firstLine="720"/>
        <w:jc w:val="both"/>
        <w:textAlignment w:val="auto"/>
        <w:rPr>
          <w:rFonts w:ascii="Verdana" w:hAnsi="Verdana" w:cs="Verdana"/>
          <w:strike/>
          <w:lang w:val="bg-BG" w:eastAsia="zh-CN"/>
        </w:rPr>
      </w:pPr>
      <w:r>
        <w:rPr>
          <w:rFonts w:ascii="Verdana" w:hAnsi="Verdana" w:cs="Verdana"/>
          <w:lang w:val="bg-BG" w:eastAsia="zh-CN"/>
        </w:rPr>
        <w:t>Във връзка с гореи</w:t>
      </w:r>
      <w:r w:rsidR="005750F9">
        <w:rPr>
          <w:rFonts w:ascii="Verdana" w:hAnsi="Verdana" w:cs="Verdana"/>
          <w:lang w:val="bg-BG" w:eastAsia="zh-CN"/>
        </w:rPr>
        <w:t>зложеното и на основание чл.</w:t>
      </w:r>
      <w:r w:rsidR="00D74610">
        <w:rPr>
          <w:rFonts w:ascii="Verdana" w:hAnsi="Verdana" w:cs="Verdana"/>
          <w:lang w:val="bg-BG" w:eastAsia="zh-CN"/>
        </w:rPr>
        <w:t xml:space="preserve"> </w:t>
      </w:r>
      <w:r w:rsidR="005750F9">
        <w:rPr>
          <w:rFonts w:ascii="Verdana" w:hAnsi="Verdana" w:cs="Verdana"/>
          <w:lang w:val="bg-BG" w:eastAsia="zh-CN"/>
        </w:rPr>
        <w:t>19</w:t>
      </w:r>
      <w:r>
        <w:rPr>
          <w:rFonts w:ascii="Verdana" w:hAnsi="Verdana" w:cs="Verdana"/>
          <w:lang w:val="bg-BG" w:eastAsia="zh-CN"/>
        </w:rPr>
        <w:t xml:space="preserve"> от Закона за </w:t>
      </w:r>
      <w:r w:rsidR="00C8760D">
        <w:rPr>
          <w:rFonts w:ascii="Verdana" w:hAnsi="Verdana" w:cs="Verdana"/>
          <w:lang w:val="bg-BG" w:eastAsia="zh-CN"/>
        </w:rPr>
        <w:t xml:space="preserve">храните </w:t>
      </w:r>
      <w:r>
        <w:rPr>
          <w:rFonts w:ascii="Verdana" w:hAnsi="Verdana" w:cs="Verdana"/>
          <w:lang w:val="bg-BG" w:eastAsia="zh-CN"/>
        </w:rPr>
        <w:t xml:space="preserve">и </w:t>
      </w:r>
      <w:r w:rsidR="0074318D">
        <w:rPr>
          <w:rFonts w:ascii="Verdana" w:hAnsi="Verdana" w:cs="Verdana"/>
          <w:lang w:val="bg-BG" w:eastAsia="zh-CN"/>
        </w:rPr>
        <w:t xml:space="preserve">   </w:t>
      </w:r>
      <w:r>
        <w:rPr>
          <w:rFonts w:ascii="Verdana" w:hAnsi="Verdana" w:cs="Verdana"/>
          <w:lang w:val="bg-BG" w:eastAsia="zh-CN"/>
        </w:rPr>
        <w:t>чл. 8, ал. 2 от Устройствения правилник на Министерският съвет и на неговата администрация предлагам Министерския</w:t>
      </w:r>
      <w:r w:rsidR="00D01474">
        <w:rPr>
          <w:rFonts w:ascii="Verdana" w:hAnsi="Verdana" w:cs="Verdana"/>
          <w:lang w:val="bg-BG" w:eastAsia="zh-CN"/>
        </w:rPr>
        <w:t>т</w:t>
      </w:r>
      <w:r>
        <w:rPr>
          <w:rFonts w:ascii="Verdana" w:hAnsi="Verdana" w:cs="Verdana"/>
          <w:lang w:val="bg-BG" w:eastAsia="zh-CN"/>
        </w:rPr>
        <w:t xml:space="preserve"> съвет да приеме приложения проект на Постановление.  </w:t>
      </w:r>
    </w:p>
    <w:tbl>
      <w:tblPr>
        <w:tblW w:w="8512" w:type="dxa"/>
        <w:tblInd w:w="668" w:type="dxa"/>
        <w:tblLook w:val="01E0" w:firstRow="1" w:lastRow="1" w:firstColumn="1" w:lastColumn="1" w:noHBand="0" w:noVBand="0"/>
      </w:tblPr>
      <w:tblGrid>
        <w:gridCol w:w="1781"/>
        <w:gridCol w:w="6731"/>
      </w:tblGrid>
      <w:tr w:rsidR="003F5B76" w:rsidRPr="00963C55" w:rsidTr="0074318D">
        <w:tc>
          <w:tcPr>
            <w:tcW w:w="1781" w:type="dxa"/>
          </w:tcPr>
          <w:p w:rsidR="003F5B76" w:rsidRDefault="005F3625">
            <w:pPr>
              <w:spacing w:line="360" w:lineRule="auto"/>
              <w:rPr>
                <w:rFonts w:ascii="Verdana" w:hAnsi="Verdana"/>
                <w:b/>
                <w:bCs/>
                <w:lang w:val="bg-BG"/>
              </w:rPr>
            </w:pPr>
            <w:r>
              <w:rPr>
                <w:rFonts w:ascii="Verdana" w:hAnsi="Verdana"/>
                <w:b/>
                <w:bCs/>
                <w:lang w:val="bg-BG"/>
              </w:rPr>
              <w:t xml:space="preserve">Приложениe: </w:t>
            </w:r>
          </w:p>
        </w:tc>
        <w:tc>
          <w:tcPr>
            <w:tcW w:w="6731" w:type="dxa"/>
          </w:tcPr>
          <w:p w:rsidR="003F5B76"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Проект на Постановление</w:t>
            </w:r>
            <w:r w:rsidR="00734C3D">
              <w:rPr>
                <w:rFonts w:ascii="Verdana" w:hAnsi="Verdana"/>
                <w:lang w:val="bg-BG"/>
              </w:rPr>
              <w:t xml:space="preserve"> на Министерския съвет</w:t>
            </w:r>
            <w:r>
              <w:rPr>
                <w:rFonts w:ascii="Verdana" w:hAnsi="Verdana"/>
                <w:lang w:val="bg-BG"/>
              </w:rPr>
              <w:t xml:space="preserve">; </w:t>
            </w:r>
          </w:p>
          <w:p w:rsidR="003F5B76"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Проект на Наредба</w:t>
            </w:r>
            <w:r w:rsidR="00734C3D">
              <w:rPr>
                <w:rFonts w:ascii="Verdana" w:hAnsi="Verdana"/>
                <w:lang w:val="bg-BG"/>
              </w:rPr>
              <w:t xml:space="preserve"> за</w:t>
            </w:r>
            <w:r w:rsidR="00E83A70">
              <w:rPr>
                <w:rFonts w:ascii="Verdana" w:hAnsi="Verdana"/>
                <w:lang w:val="bg-BG"/>
              </w:rPr>
              <w:t xml:space="preserve"> предоставянето на информация на потребителите за храните</w:t>
            </w:r>
            <w:r>
              <w:rPr>
                <w:rFonts w:ascii="Verdana" w:hAnsi="Verdana"/>
                <w:lang w:val="bg-BG"/>
              </w:rPr>
              <w:t xml:space="preserve">; </w:t>
            </w:r>
          </w:p>
          <w:p w:rsidR="003F5B76"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 xml:space="preserve">Частична предварителна оценка на въздействието; </w:t>
            </w:r>
          </w:p>
          <w:p w:rsidR="003F5B76"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Становище на дирекция „М</w:t>
            </w:r>
            <w:r w:rsidR="00734C3D">
              <w:rPr>
                <w:rFonts w:ascii="Verdana" w:hAnsi="Verdana"/>
                <w:lang w:val="bg-BG"/>
              </w:rPr>
              <w:t>одернизация на администрацията“ на Министерския съвет</w:t>
            </w:r>
            <w:r>
              <w:rPr>
                <w:rFonts w:ascii="Verdana" w:hAnsi="Verdana"/>
                <w:lang w:val="bg-BG"/>
              </w:rPr>
              <w:t>;</w:t>
            </w:r>
          </w:p>
          <w:p w:rsidR="00734C3D" w:rsidRDefault="00734C3D">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Финансова обосновка;</w:t>
            </w:r>
          </w:p>
          <w:p w:rsidR="002F53D3" w:rsidRPr="00191421" w:rsidRDefault="002F53D3">
            <w:pPr>
              <w:pStyle w:val="ListParagraph"/>
              <w:numPr>
                <w:ilvl w:val="0"/>
                <w:numId w:val="33"/>
              </w:numPr>
              <w:overflowPunct/>
              <w:autoSpaceDE/>
              <w:autoSpaceDN/>
              <w:adjustRightInd/>
              <w:spacing w:line="360" w:lineRule="auto"/>
              <w:jc w:val="both"/>
              <w:textAlignment w:val="auto"/>
              <w:rPr>
                <w:rFonts w:ascii="Verdana" w:hAnsi="Verdana"/>
                <w:lang w:val="bg-BG"/>
              </w:rPr>
            </w:pPr>
            <w:r w:rsidRPr="00191421">
              <w:rPr>
                <w:rFonts w:ascii="Verdana" w:hAnsi="Verdana"/>
                <w:lang w:val="bg-BG"/>
              </w:rPr>
              <w:t>Таблица на съответствието с правото на ЕС;</w:t>
            </w:r>
          </w:p>
          <w:p w:rsidR="003F5B76"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 xml:space="preserve">Справка за отразяване на постъпилите по реда на чл. 32 </w:t>
            </w:r>
            <w:r>
              <w:rPr>
                <w:rFonts w:ascii="Verdana" w:hAnsi="Verdana"/>
                <w:lang w:val="bg-BG"/>
              </w:rPr>
              <w:lastRenderedPageBreak/>
              <w:t>– 34 от УПМСНА становища;</w:t>
            </w:r>
          </w:p>
          <w:p w:rsidR="00734C3D" w:rsidRDefault="00734C3D">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Постъпили становища;</w:t>
            </w:r>
          </w:p>
          <w:p w:rsidR="003F5B76"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Справка за</w:t>
            </w:r>
            <w:r w:rsidR="00734C3D">
              <w:rPr>
                <w:rFonts w:ascii="Verdana" w:hAnsi="Verdana"/>
                <w:lang w:val="bg-BG"/>
              </w:rPr>
              <w:t xml:space="preserve"> получените предложения и становища от</w:t>
            </w:r>
            <w:r>
              <w:rPr>
                <w:rFonts w:ascii="Verdana" w:hAnsi="Verdana"/>
                <w:lang w:val="bg-BG"/>
              </w:rPr>
              <w:t xml:space="preserve"> </w:t>
            </w:r>
            <w:r w:rsidR="00734C3D">
              <w:rPr>
                <w:rFonts w:ascii="Verdana" w:hAnsi="Verdana"/>
                <w:lang w:val="bg-BG"/>
              </w:rPr>
              <w:t>проведената обществена</w:t>
            </w:r>
            <w:r>
              <w:rPr>
                <w:rFonts w:ascii="Verdana" w:hAnsi="Verdana"/>
                <w:lang w:val="bg-BG"/>
              </w:rPr>
              <w:t xml:space="preserve"> консултация; </w:t>
            </w:r>
          </w:p>
          <w:p w:rsidR="003F5B76" w:rsidRDefault="00734C3D">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Получени предложения и становища</w:t>
            </w:r>
            <w:r w:rsidR="005F3625">
              <w:rPr>
                <w:rFonts w:ascii="Verdana" w:hAnsi="Verdana"/>
                <w:lang w:val="bg-BG"/>
              </w:rPr>
              <w:t>;</w:t>
            </w:r>
          </w:p>
          <w:p w:rsidR="003F5B76" w:rsidRDefault="005F3625">
            <w:pPr>
              <w:pStyle w:val="ListParagraph"/>
              <w:numPr>
                <w:ilvl w:val="0"/>
                <w:numId w:val="33"/>
              </w:numPr>
              <w:overflowPunct/>
              <w:autoSpaceDE/>
              <w:autoSpaceDN/>
              <w:adjustRightInd/>
              <w:spacing w:line="360" w:lineRule="auto"/>
              <w:jc w:val="both"/>
              <w:textAlignment w:val="auto"/>
              <w:rPr>
                <w:rFonts w:ascii="Verdana" w:hAnsi="Verdana"/>
                <w:lang w:val="bg-BG"/>
              </w:rPr>
            </w:pPr>
            <w:r>
              <w:rPr>
                <w:rFonts w:ascii="Verdana" w:hAnsi="Verdana"/>
                <w:lang w:val="bg-BG"/>
              </w:rPr>
              <w:t>Проект на съобщение за средствата за масово осведомяване.</w:t>
            </w:r>
          </w:p>
        </w:tc>
      </w:tr>
    </w:tbl>
    <w:p w:rsidR="008B0CB5" w:rsidRDefault="008B0CB5">
      <w:pPr>
        <w:widowControl w:val="0"/>
        <w:overflowPunct/>
        <w:spacing w:line="360" w:lineRule="auto"/>
        <w:textAlignment w:val="auto"/>
        <w:rPr>
          <w:rFonts w:ascii="Verdana" w:hAnsi="Verdana" w:cs="Verdana"/>
          <w:szCs w:val="24"/>
          <w:lang w:val="bg-BG" w:eastAsia="bg-BG"/>
        </w:rPr>
      </w:pPr>
    </w:p>
    <w:p w:rsidR="002F53D3" w:rsidRDefault="002F53D3">
      <w:pPr>
        <w:widowControl w:val="0"/>
        <w:overflowPunct/>
        <w:spacing w:line="360" w:lineRule="auto"/>
        <w:textAlignment w:val="auto"/>
        <w:rPr>
          <w:rFonts w:ascii="Verdana" w:hAnsi="Verdana" w:cs="Verdana"/>
          <w:szCs w:val="24"/>
          <w:lang w:val="bg-BG" w:eastAsia="bg-BG"/>
        </w:rPr>
      </w:pPr>
    </w:p>
    <w:p w:rsidR="002F53D3" w:rsidRDefault="002F53D3">
      <w:pPr>
        <w:widowControl w:val="0"/>
        <w:overflowPunct/>
        <w:spacing w:line="360" w:lineRule="auto"/>
        <w:textAlignment w:val="auto"/>
        <w:rPr>
          <w:rFonts w:ascii="Verdana" w:hAnsi="Verdana" w:cs="Verdana"/>
          <w:szCs w:val="24"/>
          <w:lang w:val="bg-BG" w:eastAsia="bg-BG"/>
        </w:rPr>
      </w:pPr>
    </w:p>
    <w:p w:rsidR="003F5B76" w:rsidRDefault="005F3625">
      <w:pPr>
        <w:spacing w:line="360" w:lineRule="auto"/>
        <w:jc w:val="both"/>
        <w:rPr>
          <w:rFonts w:ascii="Verdana" w:eastAsia="PMingLiU" w:hAnsi="Verdana" w:cs="Verdana"/>
          <w:b/>
          <w:bCs/>
          <w:lang w:val="bg-BG"/>
        </w:rPr>
      </w:pPr>
      <w:r>
        <w:rPr>
          <w:rFonts w:ascii="Verdana" w:eastAsia="PMingLiU" w:hAnsi="Verdana" w:cs="Verdana"/>
          <w:b/>
          <w:bCs/>
          <w:lang w:val="bg-BG"/>
        </w:rPr>
        <w:t>ДЕСИСЛАВА ТАНЕВА</w:t>
      </w:r>
    </w:p>
    <w:p w:rsidR="003F5B76" w:rsidRDefault="005F3625" w:rsidP="00734C3D">
      <w:pPr>
        <w:tabs>
          <w:tab w:val="left" w:pos="0"/>
        </w:tabs>
        <w:spacing w:after="120" w:line="360" w:lineRule="auto"/>
        <w:jc w:val="both"/>
        <w:outlineLvl w:val="0"/>
        <w:rPr>
          <w:rFonts w:ascii="Verdana" w:eastAsia="PMingLiU" w:hAnsi="Verdana" w:cs="Verdana"/>
          <w:i/>
          <w:iCs/>
        </w:rPr>
      </w:pPr>
      <w:r>
        <w:rPr>
          <w:rFonts w:ascii="Verdana" w:eastAsia="PMingLiU" w:hAnsi="Verdana" w:cs="Verdana"/>
          <w:i/>
          <w:iCs/>
          <w:lang w:val="bg-BG"/>
        </w:rPr>
        <w:t>Министър на земеделието, храните и горите</w:t>
      </w:r>
    </w:p>
    <w:p w:rsidR="00963C55" w:rsidRDefault="00963C55" w:rsidP="00734C3D">
      <w:pPr>
        <w:tabs>
          <w:tab w:val="left" w:pos="0"/>
        </w:tabs>
        <w:spacing w:after="120" w:line="360" w:lineRule="auto"/>
        <w:jc w:val="both"/>
        <w:outlineLvl w:val="0"/>
        <w:rPr>
          <w:rFonts w:ascii="Verdana" w:eastAsia="PMingLiU" w:hAnsi="Verdana" w:cs="Verdana"/>
          <w:i/>
          <w:iCs/>
          <w:lang w:val="bg-BG"/>
        </w:rPr>
      </w:pPr>
    </w:p>
    <w:sectPr w:rsidR="00963C55" w:rsidSect="002F53D3">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FE" w:rsidRDefault="006C71FE">
      <w:r>
        <w:separator/>
      </w:r>
    </w:p>
  </w:endnote>
  <w:endnote w:type="continuationSeparator" w:id="0">
    <w:p w:rsidR="006C71FE" w:rsidRDefault="006C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5B76" w:rsidRDefault="003F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Footer"/>
      <w:jc w:val="right"/>
      <w:rPr>
        <w:rFonts w:ascii="Verdana" w:hAnsi="Verdana"/>
        <w:sz w:val="16"/>
        <w:szCs w:val="16"/>
        <w:lang w:val="bg-BG"/>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EA553B">
      <w:rPr>
        <w:rFonts w:ascii="Verdana" w:hAnsi="Verdana"/>
        <w:noProof/>
        <w:sz w:val="16"/>
        <w:szCs w:val="16"/>
      </w:rPr>
      <w:t>2</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FE" w:rsidRDefault="006C71FE">
      <w:r>
        <w:separator/>
      </w:r>
    </w:p>
  </w:footnote>
  <w:footnote w:type="continuationSeparator" w:id="0">
    <w:p w:rsidR="006C71FE" w:rsidRDefault="006C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76" w:rsidRDefault="005F3625">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8240" behindDoc="1" locked="0" layoutInCell="1" allowOverlap="1" wp14:anchorId="027B5905" wp14:editId="5112D674">
          <wp:simplePos x="0" y="0"/>
          <wp:positionH relativeFrom="column">
            <wp:posOffset>2205355</wp:posOffset>
          </wp:positionH>
          <wp:positionV relativeFrom="paragraph">
            <wp:posOffset>107474</wp:posOffset>
          </wp:positionV>
          <wp:extent cx="1223645" cy="1214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spacing w:val="40"/>
        <w:sz w:val="40"/>
        <w:szCs w:val="40"/>
      </w:rPr>
    </w:pPr>
  </w:p>
  <w:p w:rsidR="003F5B76" w:rsidRDefault="003F5B76">
    <w:pPr>
      <w:pStyle w:val="Heading1"/>
      <w:framePr w:w="0" w:hRule="auto" w:wrap="auto" w:vAnchor="margin" w:hAnchor="text" w:xAlign="left" w:yAlign="inline"/>
      <w:rPr>
        <w:rFonts w:ascii="Platinum Bg" w:hAnsi="Platinum Bg"/>
        <w:b w:val="0"/>
        <w:spacing w:val="40"/>
        <w:sz w:val="36"/>
        <w:szCs w:val="36"/>
      </w:rPr>
    </w:pPr>
  </w:p>
  <w:p w:rsidR="003F5B76" w:rsidRDefault="003F5B76">
    <w:pPr>
      <w:pStyle w:val="Heading1"/>
      <w:framePr w:w="0" w:hRule="auto" w:wrap="auto" w:vAnchor="margin" w:hAnchor="text" w:xAlign="left" w:yAlign="inline"/>
      <w:rPr>
        <w:rFonts w:ascii="Platinum Bg" w:hAnsi="Platinum Bg"/>
        <w:b w:val="0"/>
        <w:spacing w:val="40"/>
        <w:sz w:val="36"/>
        <w:szCs w:val="36"/>
        <w:lang w:val="bg-BG"/>
      </w:rPr>
    </w:pPr>
  </w:p>
  <w:p w:rsidR="003F5B76" w:rsidRDefault="005F3625">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3F5B76" w:rsidRDefault="005F3625">
    <w:pPr>
      <w:pStyle w:val="Heading1"/>
      <w:framePr w:w="0" w:hRule="auto" w:wrap="auto" w:vAnchor="margin" w:hAnchor="text" w:xAlign="left" w:yAlign="inline"/>
      <w:pBdr>
        <w:bottom w:val="single" w:sz="4" w:space="1" w:color="auto"/>
      </w:pBdr>
      <w:rPr>
        <w:lang w:val="ru-RU"/>
      </w:rPr>
    </w:pPr>
    <w:r>
      <w:rPr>
        <w:rFonts w:ascii="Platinum Bg" w:hAnsi="Platinum Bg"/>
        <w:b w:val="0"/>
        <w:spacing w:val="40"/>
        <w:lang w:val="bg-BG"/>
      </w:rPr>
      <w:t>Министър на земеделието, храните и горите</w:t>
    </w:r>
    <w:r>
      <w:rPr>
        <w:noProof/>
      </w:rPr>
      <mc:AlternateContent>
        <mc:Choice Requires="wps">
          <w:drawing>
            <wp:anchor distT="4294967295" distB="4294967295" distL="114300" distR="114300" simplePos="0" relativeHeight="251657216" behindDoc="0" locked="0" layoutInCell="0" allowOverlap="1" wp14:anchorId="5AB9FE7A" wp14:editId="2C64731A">
              <wp:simplePos x="0" y="0"/>
              <wp:positionH relativeFrom="column">
                <wp:posOffset>-226695</wp:posOffset>
              </wp:positionH>
              <wp:positionV relativeFrom="paragraph">
                <wp:posOffset>9744074</wp:posOffset>
              </wp:positionV>
              <wp:extent cx="758952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E0205"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1"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6"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0"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1" w15:restartNumberingAfterBreak="0">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2"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0"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22"/>
  </w:num>
  <w:num w:numId="5">
    <w:abstractNumId w:val="23"/>
  </w:num>
  <w:num w:numId="6">
    <w:abstractNumId w:val="12"/>
  </w:num>
  <w:num w:numId="7">
    <w:abstractNumId w:val="26"/>
  </w:num>
  <w:num w:numId="8">
    <w:abstractNumId w:val="32"/>
  </w:num>
  <w:num w:numId="9">
    <w:abstractNumId w:val="28"/>
  </w:num>
  <w:num w:numId="10">
    <w:abstractNumId w:val="27"/>
  </w:num>
  <w:num w:numId="11">
    <w:abstractNumId w:val="17"/>
  </w:num>
  <w:num w:numId="12">
    <w:abstractNumId w:val="2"/>
  </w:num>
  <w:num w:numId="13">
    <w:abstractNumId w:val="8"/>
  </w:num>
  <w:num w:numId="14">
    <w:abstractNumId w:val="29"/>
  </w:num>
  <w:num w:numId="15">
    <w:abstractNumId w:val="15"/>
  </w:num>
  <w:num w:numId="16">
    <w:abstractNumId w:val="10"/>
  </w:num>
  <w:num w:numId="17">
    <w:abstractNumId w:val="18"/>
  </w:num>
  <w:num w:numId="18">
    <w:abstractNumId w:val="3"/>
  </w:num>
  <w:num w:numId="19">
    <w:abstractNumId w:val="25"/>
  </w:num>
  <w:num w:numId="20">
    <w:abstractNumId w:val="0"/>
  </w:num>
  <w:num w:numId="21">
    <w:abstractNumId w:val="20"/>
  </w:num>
  <w:num w:numId="22">
    <w:abstractNumId w:val="7"/>
  </w:num>
  <w:num w:numId="23">
    <w:abstractNumId w:val="5"/>
  </w:num>
  <w:num w:numId="24">
    <w:abstractNumId w:val="31"/>
  </w:num>
  <w:num w:numId="25">
    <w:abstractNumId w:val="6"/>
  </w:num>
  <w:num w:numId="26">
    <w:abstractNumId w:val="9"/>
  </w:num>
  <w:num w:numId="27">
    <w:abstractNumId w:val="16"/>
  </w:num>
  <w:num w:numId="28">
    <w:abstractNumId w:val="1"/>
  </w:num>
  <w:num w:numId="29">
    <w:abstractNumId w:val="11"/>
  </w:num>
  <w:num w:numId="30">
    <w:abstractNumId w:val="4"/>
  </w:num>
  <w:num w:numId="31">
    <w:abstractNumId w:val="13"/>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76"/>
    <w:rsid w:val="00021FE3"/>
    <w:rsid w:val="000342B9"/>
    <w:rsid w:val="00040A6B"/>
    <w:rsid w:val="00046EB4"/>
    <w:rsid w:val="0005301D"/>
    <w:rsid w:val="00060CE5"/>
    <w:rsid w:val="000632F6"/>
    <w:rsid w:val="0008263A"/>
    <w:rsid w:val="0008520F"/>
    <w:rsid w:val="000C1B39"/>
    <w:rsid w:val="000F4EF1"/>
    <w:rsid w:val="00123C4C"/>
    <w:rsid w:val="00150BFF"/>
    <w:rsid w:val="00187C1E"/>
    <w:rsid w:val="00191421"/>
    <w:rsid w:val="001B21DB"/>
    <w:rsid w:val="001B5A90"/>
    <w:rsid w:val="001C5521"/>
    <w:rsid w:val="001D0720"/>
    <w:rsid w:val="00201B94"/>
    <w:rsid w:val="00247F92"/>
    <w:rsid w:val="00292359"/>
    <w:rsid w:val="002C35B9"/>
    <w:rsid w:val="002D10DA"/>
    <w:rsid w:val="002F53D3"/>
    <w:rsid w:val="00306EDB"/>
    <w:rsid w:val="00316F96"/>
    <w:rsid w:val="00322469"/>
    <w:rsid w:val="003431DC"/>
    <w:rsid w:val="00383BFF"/>
    <w:rsid w:val="003A339C"/>
    <w:rsid w:val="003F5B76"/>
    <w:rsid w:val="00415A2F"/>
    <w:rsid w:val="00433AAB"/>
    <w:rsid w:val="004471B7"/>
    <w:rsid w:val="004C0C71"/>
    <w:rsid w:val="005750F9"/>
    <w:rsid w:val="005D5B90"/>
    <w:rsid w:val="005D5CBB"/>
    <w:rsid w:val="005F3625"/>
    <w:rsid w:val="00634D16"/>
    <w:rsid w:val="00637F63"/>
    <w:rsid w:val="00680135"/>
    <w:rsid w:val="00683B4E"/>
    <w:rsid w:val="00684943"/>
    <w:rsid w:val="006A220E"/>
    <w:rsid w:val="006B5295"/>
    <w:rsid w:val="006C71FE"/>
    <w:rsid w:val="00700E64"/>
    <w:rsid w:val="0071183E"/>
    <w:rsid w:val="00730FDE"/>
    <w:rsid w:val="00734C3D"/>
    <w:rsid w:val="0074318D"/>
    <w:rsid w:val="00766E02"/>
    <w:rsid w:val="007A440E"/>
    <w:rsid w:val="007D42CB"/>
    <w:rsid w:val="007E3E0B"/>
    <w:rsid w:val="00831010"/>
    <w:rsid w:val="00860764"/>
    <w:rsid w:val="008B0CB5"/>
    <w:rsid w:val="008B4B87"/>
    <w:rsid w:val="00912C13"/>
    <w:rsid w:val="00963C55"/>
    <w:rsid w:val="00973EB2"/>
    <w:rsid w:val="009D0593"/>
    <w:rsid w:val="009F2B5F"/>
    <w:rsid w:val="00A4289F"/>
    <w:rsid w:val="00A46B31"/>
    <w:rsid w:val="00AB0B34"/>
    <w:rsid w:val="00B25BE6"/>
    <w:rsid w:val="00B34CF6"/>
    <w:rsid w:val="00B43B7B"/>
    <w:rsid w:val="00B8015F"/>
    <w:rsid w:val="00B9324E"/>
    <w:rsid w:val="00C80072"/>
    <w:rsid w:val="00C8760D"/>
    <w:rsid w:val="00CB0D48"/>
    <w:rsid w:val="00CC628A"/>
    <w:rsid w:val="00CC6B92"/>
    <w:rsid w:val="00D01474"/>
    <w:rsid w:val="00D1504E"/>
    <w:rsid w:val="00D32658"/>
    <w:rsid w:val="00D74610"/>
    <w:rsid w:val="00DB7ECD"/>
    <w:rsid w:val="00E83A70"/>
    <w:rsid w:val="00E96ECA"/>
    <w:rsid w:val="00EA553B"/>
    <w:rsid w:val="00EB278A"/>
    <w:rsid w:val="00ED5808"/>
    <w:rsid w:val="00F33A68"/>
    <w:rsid w:val="00F56592"/>
    <w:rsid w:val="00F64AB4"/>
    <w:rsid w:val="00F66707"/>
    <w:rsid w:val="00F9261A"/>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BDEEF-2882-4320-9081-3BB29F59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99"/>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rsid w:val="00963C55"/>
    <w:pPr>
      <w:spacing w:after="120" w:line="480" w:lineRule="auto"/>
      <w:ind w:left="283"/>
    </w:pPr>
  </w:style>
  <w:style w:type="character" w:customStyle="1" w:styleId="BodyTextIndent2Char">
    <w:name w:val="Body Text Indent 2 Char"/>
    <w:basedOn w:val="DefaultParagraphFont"/>
    <w:link w:val="BodyTextIndent2"/>
    <w:uiPriority w:val="99"/>
    <w:semiHidden/>
    <w:rsid w:val="00963C55"/>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22BF-D55C-4756-A1DC-25668ADA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7097</Characters>
  <Application>Microsoft Office Word</Application>
  <DocSecurity>0</DocSecurity>
  <Lines>59</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Desislava g. Georgieva</cp:lastModifiedBy>
  <cp:revision>2</cp:revision>
  <cp:lastPrinted>2020-01-22T15:56:00Z</cp:lastPrinted>
  <dcterms:created xsi:type="dcterms:W3CDTF">2020-10-13T13:42:00Z</dcterms:created>
  <dcterms:modified xsi:type="dcterms:W3CDTF">2020-10-13T13:42:00Z</dcterms:modified>
</cp:coreProperties>
</file>