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E" w:rsidRPr="00B6096C" w:rsidRDefault="001408DE" w:rsidP="001408D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bookmarkStart w:id="0" w:name="_GoBack"/>
      <w:bookmarkEnd w:id="0"/>
      <w:r w:rsidRPr="00B6096C">
        <w:rPr>
          <w:rFonts w:ascii="Verdana" w:hAnsi="Verdana"/>
          <w:bCs/>
          <w:sz w:val="20"/>
          <w:szCs w:val="20"/>
          <w:lang w:val="bg-BG"/>
        </w:rPr>
        <w:t>Проект</w:t>
      </w:r>
    </w:p>
    <w:p w:rsidR="00630328" w:rsidRDefault="00630328" w:rsidP="00936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774A80" w:rsidRPr="00CF786F" w:rsidRDefault="00740EE5" w:rsidP="00936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x-none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 xml:space="preserve">НАРЕДБА </w:t>
      </w:r>
    </w:p>
    <w:p w:rsidR="00762A02" w:rsidRPr="00CF786F" w:rsidRDefault="00F85CFD" w:rsidP="00936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x-none"/>
        </w:rPr>
      </w:pPr>
      <w:proofErr w:type="spellStart"/>
      <w:r w:rsidRPr="004D0486">
        <w:rPr>
          <w:rFonts w:ascii="Verdana" w:hAnsi="Verdana"/>
          <w:b/>
          <w:bCs/>
          <w:sz w:val="20"/>
          <w:szCs w:val="20"/>
          <w:lang w:val="x-none"/>
        </w:rPr>
        <w:t>за</w:t>
      </w:r>
      <w:proofErr w:type="spellEnd"/>
      <w:r w:rsidRPr="00CF786F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предоставянето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на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информация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на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потребителите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за</w:t>
      </w:r>
      <w:proofErr w:type="spellEnd"/>
      <w:r w:rsidRPr="00762A02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  <w:proofErr w:type="spellStart"/>
      <w:r w:rsidRPr="00762A02">
        <w:rPr>
          <w:rFonts w:ascii="Verdana" w:hAnsi="Verdana"/>
          <w:b/>
          <w:bCs/>
          <w:sz w:val="20"/>
          <w:szCs w:val="20"/>
          <w:lang w:val="x-none"/>
        </w:rPr>
        <w:t>храните</w:t>
      </w:r>
      <w:proofErr w:type="spellEnd"/>
      <w:r w:rsidRPr="004D0486">
        <w:rPr>
          <w:rFonts w:ascii="Verdana" w:hAnsi="Verdana"/>
          <w:b/>
          <w:bCs/>
          <w:sz w:val="20"/>
          <w:szCs w:val="20"/>
          <w:lang w:val="x-none"/>
        </w:rPr>
        <w:t xml:space="preserve"> </w:t>
      </w:r>
    </w:p>
    <w:p w:rsidR="000C19E8" w:rsidRDefault="000C19E8" w:rsidP="00936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36531" w:rsidRPr="0041226E" w:rsidRDefault="00936531" w:rsidP="00936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proofErr w:type="spellStart"/>
      <w:r w:rsidRPr="004D0486">
        <w:rPr>
          <w:rFonts w:ascii="Verdana" w:hAnsi="Verdana"/>
          <w:b/>
          <w:bCs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b/>
          <w:bCs/>
          <w:sz w:val="20"/>
          <w:szCs w:val="20"/>
          <w:lang w:val="x-none"/>
        </w:rPr>
        <w:t>. 1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4D0486">
        <w:rPr>
          <w:rFonts w:ascii="Verdana" w:hAnsi="Verdana"/>
          <w:sz w:val="20"/>
          <w:szCs w:val="20"/>
          <w:lang w:val="x-none"/>
        </w:rPr>
        <w:t xml:space="preserve"> С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наредбата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определят</w:t>
      </w:r>
      <w:proofErr w:type="spellEnd"/>
      <w:r w:rsidR="00774A80">
        <w:rPr>
          <w:rFonts w:ascii="Verdana" w:hAnsi="Verdana"/>
          <w:sz w:val="20"/>
          <w:szCs w:val="20"/>
          <w:lang w:val="bg-BG"/>
        </w:rPr>
        <w:t>:</w:t>
      </w:r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</w:p>
    <w:p w:rsidR="002529C1" w:rsidRDefault="00B43C37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</w:t>
      </w:r>
      <w:r w:rsidR="00AE2165" w:rsidRPr="004D0486">
        <w:rPr>
          <w:rFonts w:ascii="Verdana" w:hAnsi="Verdana"/>
          <w:sz w:val="20"/>
          <w:szCs w:val="20"/>
          <w:lang w:val="x-none"/>
        </w:rPr>
        <w:t>.</w:t>
      </w:r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изискванията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към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означенията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маркировките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идентифициращи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партидата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към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която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принадлежи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дадена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храна</w:t>
      </w:r>
      <w:proofErr w:type="spellEnd"/>
      <w:r w:rsidR="002529C1">
        <w:rPr>
          <w:rFonts w:ascii="Verdana" w:hAnsi="Verdana"/>
          <w:sz w:val="20"/>
          <w:szCs w:val="20"/>
          <w:lang w:val="bg-BG"/>
        </w:rPr>
        <w:t>;</w:t>
      </w:r>
    </w:p>
    <w:p w:rsidR="00AE2165" w:rsidRDefault="00B43C37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2</w:t>
      </w:r>
      <w:r w:rsidR="002529C1">
        <w:rPr>
          <w:rFonts w:ascii="Verdana" w:hAnsi="Verdana"/>
          <w:sz w:val="20"/>
          <w:szCs w:val="20"/>
          <w:lang w:val="bg-BG"/>
        </w:rPr>
        <w:t>.</w:t>
      </w:r>
      <w:r w:rsidR="0020445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национални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мерки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предоставянето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информация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потребителите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съгласно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. 44 </w:t>
      </w:r>
      <w:proofErr w:type="spellStart"/>
      <w:r w:rsidR="00845438" w:rsidRPr="00845438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845438" w:rsidRPr="0084543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Регламент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(ЕС) № 1169/2011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Европейския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парламент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525627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525627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25627">
        <w:rPr>
          <w:rFonts w:ascii="Verdana" w:hAnsi="Verdana"/>
          <w:sz w:val="20"/>
          <w:szCs w:val="20"/>
          <w:lang w:val="x-none"/>
        </w:rPr>
        <w:t>Съвета</w:t>
      </w:r>
      <w:proofErr w:type="spellEnd"/>
      <w:r w:rsidR="00525627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25627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="00525627">
        <w:rPr>
          <w:rFonts w:ascii="Verdana" w:hAnsi="Verdana"/>
          <w:sz w:val="20"/>
          <w:szCs w:val="20"/>
          <w:lang w:val="x-none"/>
        </w:rPr>
        <w:t xml:space="preserve"> 25 </w:t>
      </w:r>
      <w:proofErr w:type="spellStart"/>
      <w:r w:rsidR="00525627">
        <w:rPr>
          <w:rFonts w:ascii="Verdana" w:hAnsi="Verdana"/>
          <w:sz w:val="20"/>
          <w:szCs w:val="20"/>
          <w:lang w:val="x-none"/>
        </w:rPr>
        <w:t>октомври</w:t>
      </w:r>
      <w:proofErr w:type="spellEnd"/>
      <w:r w:rsidR="00525627">
        <w:rPr>
          <w:rFonts w:ascii="Verdana" w:hAnsi="Verdana"/>
          <w:sz w:val="20"/>
          <w:szCs w:val="20"/>
          <w:lang w:val="x-none"/>
        </w:rPr>
        <w:t xml:space="preserve"> 2011 </w:t>
      </w:r>
      <w:proofErr w:type="spellStart"/>
      <w:r w:rsidR="00525627">
        <w:rPr>
          <w:rFonts w:ascii="Verdana" w:hAnsi="Verdana"/>
          <w:sz w:val="20"/>
          <w:szCs w:val="20"/>
          <w:lang w:val="x-none"/>
        </w:rPr>
        <w:t>г</w:t>
      </w:r>
      <w:r w:rsidR="00525627">
        <w:rPr>
          <w:rFonts w:ascii="Verdana" w:hAnsi="Verdana"/>
          <w:sz w:val="20"/>
          <w:szCs w:val="20"/>
          <w:lang w:val="bg-BG"/>
        </w:rPr>
        <w:t>одина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предоставянето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информация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потребителите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изменение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регламенти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(ЕО) № 1924/2006 и (ЕО) № 1925/2006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Европейския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парламент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Съвета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отмяна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Директива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87/250/ЕИО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Комисията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Директива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90/496/ЕИО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Съвета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Директива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1999/10/ЕО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Комисията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Директива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2000/13/ЕО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Европейския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парламент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Съвета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директиви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2002/67/ЕО и 2008/5/ЕО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Комисията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Регламент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(ЕО) № 608/2004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204450" w:rsidRPr="0020445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204450" w:rsidRPr="00204450">
        <w:rPr>
          <w:rFonts w:ascii="Verdana" w:hAnsi="Verdana"/>
          <w:sz w:val="20"/>
          <w:szCs w:val="20"/>
          <w:lang w:val="x-none"/>
        </w:rPr>
        <w:t>Комисият</w:t>
      </w:r>
      <w:r w:rsidR="00A746BC">
        <w:rPr>
          <w:rFonts w:ascii="Verdana" w:hAnsi="Verdana"/>
          <w:sz w:val="20"/>
          <w:szCs w:val="20"/>
          <w:lang w:val="x-none"/>
        </w:rPr>
        <w:t>а</w:t>
      </w:r>
      <w:proofErr w:type="spellEnd"/>
      <w:r w:rsidR="00A746BC">
        <w:rPr>
          <w:rFonts w:ascii="Verdana" w:hAnsi="Verdana"/>
          <w:sz w:val="20"/>
          <w:szCs w:val="20"/>
          <w:lang w:val="x-none"/>
        </w:rPr>
        <w:t xml:space="preserve"> (ОВ, L 304 </w:t>
      </w:r>
      <w:proofErr w:type="spellStart"/>
      <w:r w:rsidR="00A746BC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="00A746BC">
        <w:rPr>
          <w:rFonts w:ascii="Verdana" w:hAnsi="Verdana"/>
          <w:sz w:val="20"/>
          <w:szCs w:val="20"/>
          <w:lang w:val="x-none"/>
        </w:rPr>
        <w:t xml:space="preserve"> 22.11.2011 г.)</w:t>
      </w:r>
      <w:r w:rsidR="00A746BC">
        <w:rPr>
          <w:rFonts w:ascii="Verdana" w:hAnsi="Verdana"/>
          <w:sz w:val="20"/>
          <w:szCs w:val="20"/>
        </w:rPr>
        <w:t>, (</w:t>
      </w:r>
      <w:proofErr w:type="spellStart"/>
      <w:r w:rsidR="00A746BC">
        <w:rPr>
          <w:rFonts w:ascii="Verdana" w:hAnsi="Verdana"/>
          <w:sz w:val="20"/>
          <w:szCs w:val="20"/>
          <w:lang w:val="x-none"/>
        </w:rPr>
        <w:t>Регламент</w:t>
      </w:r>
      <w:proofErr w:type="spellEnd"/>
      <w:r w:rsidR="00A746BC">
        <w:rPr>
          <w:rFonts w:ascii="Verdana" w:hAnsi="Verdana"/>
          <w:sz w:val="20"/>
          <w:szCs w:val="20"/>
          <w:lang w:val="x-none"/>
        </w:rPr>
        <w:t xml:space="preserve"> (ЕС) № 1169/2011</w:t>
      </w:r>
      <w:r w:rsidR="00A746BC">
        <w:rPr>
          <w:rFonts w:ascii="Verdana" w:hAnsi="Verdana"/>
          <w:sz w:val="20"/>
          <w:szCs w:val="20"/>
        </w:rPr>
        <w:t>)</w:t>
      </w:r>
      <w:r w:rsidR="00845438" w:rsidRPr="00845438">
        <w:rPr>
          <w:rFonts w:ascii="Verdana" w:hAnsi="Verdana"/>
          <w:sz w:val="20"/>
          <w:szCs w:val="20"/>
          <w:lang w:val="x-none"/>
        </w:rPr>
        <w:t xml:space="preserve">. </w:t>
      </w:r>
    </w:p>
    <w:p w:rsidR="000C19E8" w:rsidRPr="000C19E8" w:rsidRDefault="000C19E8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4D0486">
        <w:rPr>
          <w:rFonts w:ascii="Verdana" w:hAnsi="Verdana"/>
          <w:b/>
          <w:bCs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b/>
          <w:bCs/>
          <w:sz w:val="20"/>
          <w:szCs w:val="20"/>
          <w:lang w:val="x-none"/>
        </w:rPr>
        <w:t>. 2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E0556E">
        <w:rPr>
          <w:rFonts w:ascii="Verdana" w:hAnsi="Verdana"/>
          <w:sz w:val="20"/>
          <w:szCs w:val="20"/>
          <w:lang w:val="x-none"/>
        </w:rPr>
        <w:t>П</w:t>
      </w:r>
      <w:r w:rsidR="00774A80" w:rsidRPr="00774A80">
        <w:rPr>
          <w:rFonts w:ascii="Verdana" w:hAnsi="Verdana"/>
          <w:sz w:val="20"/>
          <w:szCs w:val="20"/>
          <w:lang w:val="x-none"/>
        </w:rPr>
        <w:t>редоставянето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информация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потребителите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774A80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774A80" w:rsidRPr="00774A80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774A80" w:rsidRPr="008222C8">
        <w:rPr>
          <w:rFonts w:ascii="Verdana" w:hAnsi="Verdana"/>
          <w:sz w:val="20"/>
          <w:szCs w:val="20"/>
          <w:lang w:val="x-none"/>
        </w:rPr>
        <w:t>извършва</w:t>
      </w:r>
      <w:proofErr w:type="spellEnd"/>
      <w:r w:rsidRPr="008222C8">
        <w:rPr>
          <w:rFonts w:ascii="Verdana" w:hAnsi="Verdana"/>
          <w:sz w:val="20"/>
          <w:szCs w:val="20"/>
          <w:lang w:val="x-none"/>
        </w:rPr>
        <w:t xml:space="preserve"> </w:t>
      </w:r>
      <w:r w:rsidR="00804302" w:rsidRPr="008222C8">
        <w:rPr>
          <w:rFonts w:ascii="Verdana" w:hAnsi="Verdana"/>
          <w:sz w:val="20"/>
          <w:szCs w:val="20"/>
          <w:lang w:val="bg-BG"/>
        </w:rPr>
        <w:t xml:space="preserve">от лицата по чл. 8 от Регламент (ЕС) № 1169/2011 </w:t>
      </w:r>
      <w:r w:rsidRPr="008222C8">
        <w:rPr>
          <w:rFonts w:ascii="Verdana" w:hAnsi="Verdana"/>
          <w:sz w:val="20"/>
          <w:szCs w:val="20"/>
          <w:lang w:val="x-none"/>
        </w:rPr>
        <w:t xml:space="preserve">в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съответствие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с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изискванията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r w:rsidR="00804302">
        <w:rPr>
          <w:rFonts w:ascii="Verdana" w:hAnsi="Verdana"/>
          <w:sz w:val="20"/>
          <w:szCs w:val="20"/>
          <w:lang w:val="bg-BG"/>
        </w:rPr>
        <w:t>същия регламент, както и тези,</w:t>
      </w:r>
      <w:r w:rsidR="00E0556E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E0556E" w:rsidRPr="00E0556E">
        <w:rPr>
          <w:rFonts w:ascii="Verdana" w:hAnsi="Verdana"/>
          <w:sz w:val="20"/>
          <w:szCs w:val="20"/>
          <w:lang w:val="x-none"/>
        </w:rPr>
        <w:t>предвидени</w:t>
      </w:r>
      <w:proofErr w:type="spellEnd"/>
      <w:r w:rsidR="00E0556E" w:rsidRPr="00E0556E">
        <w:rPr>
          <w:rFonts w:ascii="Verdana" w:hAnsi="Verdana"/>
          <w:sz w:val="20"/>
          <w:szCs w:val="20"/>
          <w:lang w:val="x-none"/>
        </w:rPr>
        <w:t xml:space="preserve"> в </w:t>
      </w:r>
      <w:proofErr w:type="spellStart"/>
      <w:r w:rsidR="00E0556E" w:rsidRPr="00E0556E">
        <w:rPr>
          <w:rFonts w:ascii="Verdana" w:hAnsi="Verdana"/>
          <w:sz w:val="20"/>
          <w:szCs w:val="20"/>
          <w:lang w:val="x-none"/>
        </w:rPr>
        <w:t>специални</w:t>
      </w:r>
      <w:proofErr w:type="spellEnd"/>
      <w:r w:rsidR="00E0556E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E0556E" w:rsidRPr="00E0556E">
        <w:rPr>
          <w:rFonts w:ascii="Verdana" w:hAnsi="Verdana"/>
          <w:sz w:val="20"/>
          <w:szCs w:val="20"/>
          <w:lang w:val="x-none"/>
        </w:rPr>
        <w:t>разпоредби</w:t>
      </w:r>
      <w:proofErr w:type="spellEnd"/>
      <w:r w:rsidR="00E0556E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E0556E" w:rsidRPr="00E0556E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C261A2">
        <w:rPr>
          <w:rFonts w:ascii="Verdana" w:hAnsi="Verdana"/>
          <w:sz w:val="20"/>
          <w:szCs w:val="20"/>
        </w:rPr>
        <w:t xml:space="preserve"> </w:t>
      </w:r>
      <w:r w:rsidR="00C261A2">
        <w:rPr>
          <w:rFonts w:ascii="Verdana" w:hAnsi="Verdana"/>
          <w:sz w:val="20"/>
          <w:szCs w:val="20"/>
          <w:lang w:val="bg-BG"/>
        </w:rPr>
        <w:t>п</w:t>
      </w:r>
      <w:r w:rsidR="00525A3D">
        <w:rPr>
          <w:rFonts w:ascii="Verdana" w:hAnsi="Verdana"/>
          <w:sz w:val="20"/>
          <w:szCs w:val="20"/>
          <w:lang w:val="bg-BG"/>
        </w:rPr>
        <w:t>риложимото право на Европейския</w:t>
      </w:r>
      <w:r w:rsidR="00C261A2">
        <w:rPr>
          <w:rFonts w:ascii="Verdana" w:hAnsi="Verdana"/>
          <w:sz w:val="20"/>
          <w:szCs w:val="20"/>
          <w:lang w:val="bg-BG"/>
        </w:rPr>
        <w:t xml:space="preserve"> съюз за определени храни,</w:t>
      </w:r>
      <w:r w:rsidR="00E0556E" w:rsidRPr="00E0556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Закона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подзаконовите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нормативни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актове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прилагането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C15E2F" w:rsidRPr="00E0556E">
        <w:rPr>
          <w:rFonts w:ascii="Verdana" w:hAnsi="Verdana"/>
          <w:sz w:val="20"/>
          <w:szCs w:val="20"/>
          <w:lang w:val="x-none"/>
        </w:rPr>
        <w:t>му</w:t>
      </w:r>
      <w:proofErr w:type="spellEnd"/>
      <w:r w:rsidR="00C15E2F" w:rsidRPr="00E0556E">
        <w:rPr>
          <w:rFonts w:ascii="Verdana" w:hAnsi="Verdana"/>
          <w:sz w:val="20"/>
          <w:szCs w:val="20"/>
          <w:lang w:val="x-none"/>
        </w:rPr>
        <w:t>.</w:t>
      </w:r>
    </w:p>
    <w:p w:rsidR="00B6096C" w:rsidRPr="005D20BE" w:rsidRDefault="00B6096C" w:rsidP="00936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E2165" w:rsidRDefault="000E37C3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x-none"/>
        </w:rPr>
        <w:t>Чл</w:t>
      </w:r>
      <w:proofErr w:type="spellEnd"/>
      <w:r>
        <w:rPr>
          <w:rFonts w:ascii="Verdana" w:hAnsi="Verdana"/>
          <w:b/>
          <w:bCs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b/>
          <w:bCs/>
          <w:sz w:val="20"/>
          <w:szCs w:val="20"/>
          <w:lang w:val="bg-BG"/>
        </w:rPr>
        <w:t>3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При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етикетирането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освен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данните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. 9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Регламент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(ЕС) № 1169/2011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задължително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посочва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маркировка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позволяваща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идентифициране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партидата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към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която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принадлежи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храната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>.</w:t>
      </w:r>
    </w:p>
    <w:p w:rsidR="00B6096C" w:rsidRPr="00B6096C" w:rsidRDefault="00B6096C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4D0486">
        <w:rPr>
          <w:rFonts w:ascii="Verdana" w:hAnsi="Verdana"/>
          <w:b/>
          <w:bCs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b/>
          <w:bCs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b/>
          <w:bCs/>
          <w:sz w:val="20"/>
          <w:szCs w:val="20"/>
          <w:lang w:val="bg-BG"/>
        </w:rPr>
        <w:t>4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4D0486">
        <w:rPr>
          <w:rFonts w:ascii="Verdana" w:hAnsi="Verdana"/>
          <w:sz w:val="20"/>
          <w:szCs w:val="20"/>
          <w:lang w:val="x-none"/>
        </w:rPr>
        <w:t xml:space="preserve"> (1)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Партидата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дадена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определя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във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всеки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отделен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случай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производителя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лицето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</w:t>
      </w:r>
      <w:r w:rsidR="0056367C">
        <w:rPr>
          <w:rFonts w:ascii="Verdana" w:hAnsi="Verdana"/>
          <w:sz w:val="20"/>
          <w:szCs w:val="20"/>
          <w:lang w:val="bg-BG"/>
        </w:rPr>
        <w:t>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първия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търговец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установен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в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рамките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Европейския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съюз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определя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обозначава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съгласно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задължението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тези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лица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B6096C" w:rsidRPr="00B6096C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(2)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предхожда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изписването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латинската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буква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"L"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освен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в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случаите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когато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ясно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различима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другите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означения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етикета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56367C" w:rsidRPr="004D0486" w:rsidRDefault="0056367C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(</w:t>
      </w:r>
      <w:r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Когато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предварително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x-none"/>
        </w:rPr>
        <w:t>опакована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x-none"/>
        </w:rPr>
        <w:t>по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x-none"/>
        </w:rPr>
        <w:t>чл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където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приложимо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буквата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"L"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поставят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върху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предварителната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опаковка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върху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прикрепен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към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етикет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56367C" w:rsidRDefault="00D5427F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x-none"/>
        </w:rPr>
        <w:t>(</w:t>
      </w:r>
      <w:r>
        <w:rPr>
          <w:rFonts w:ascii="Verdana" w:hAnsi="Verdana"/>
          <w:sz w:val="20"/>
          <w:szCs w:val="20"/>
          <w:lang w:val="bg-BG"/>
        </w:rPr>
        <w:t>4</w:t>
      </w:r>
      <w:r w:rsidR="0056367C" w:rsidRPr="004D0486">
        <w:rPr>
          <w:rFonts w:ascii="Verdana" w:hAnsi="Verdana"/>
          <w:sz w:val="20"/>
          <w:szCs w:val="20"/>
          <w:lang w:val="x-none"/>
        </w:rPr>
        <w:t xml:space="preserve">)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Когато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храната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не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предварително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>
        <w:rPr>
          <w:rFonts w:ascii="Verdana" w:hAnsi="Verdana"/>
          <w:sz w:val="20"/>
          <w:szCs w:val="20"/>
          <w:lang w:val="x-none"/>
        </w:rPr>
        <w:t>опакована</w:t>
      </w:r>
      <w:proofErr w:type="spellEnd"/>
      <w:r w:rsidR="0056367C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56367C"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 w:rsidR="0056367C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="0056367C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="0056367C">
        <w:rPr>
          <w:rFonts w:ascii="Verdana" w:hAnsi="Verdana"/>
          <w:sz w:val="20"/>
          <w:szCs w:val="20"/>
          <w:lang w:val="x-none"/>
        </w:rPr>
        <w:t xml:space="preserve">. </w:t>
      </w:r>
      <w:r w:rsidR="005D20BE">
        <w:rPr>
          <w:rFonts w:ascii="Verdana" w:hAnsi="Verdana"/>
          <w:sz w:val="20"/>
          <w:szCs w:val="20"/>
          <w:lang w:val="bg-BG"/>
        </w:rPr>
        <w:t>3</w:t>
      </w:r>
      <w:r w:rsidR="0056367C"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lastRenderedPageBreak/>
        <w:t>където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приложимо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буквата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"L"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поставят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върху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опаковката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контейнера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ако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това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не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възможно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– в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съответните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търговски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56367C" w:rsidRPr="004D0486">
        <w:rPr>
          <w:rFonts w:ascii="Verdana" w:hAnsi="Verdana"/>
          <w:sz w:val="20"/>
          <w:szCs w:val="20"/>
          <w:lang w:val="x-none"/>
        </w:rPr>
        <w:t>документи</w:t>
      </w:r>
      <w:proofErr w:type="spellEnd"/>
      <w:r w:rsidR="0056367C" w:rsidRPr="004D0486">
        <w:rPr>
          <w:rFonts w:ascii="Verdana" w:hAnsi="Verdana"/>
          <w:sz w:val="20"/>
          <w:szCs w:val="20"/>
          <w:lang w:val="x-none"/>
        </w:rPr>
        <w:t>.</w:t>
      </w:r>
    </w:p>
    <w:p w:rsidR="00D5427F" w:rsidRPr="004D0486" w:rsidRDefault="00D5427F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(</w:t>
      </w:r>
      <w:r>
        <w:rPr>
          <w:rFonts w:ascii="Verdana" w:hAnsi="Verdana"/>
          <w:sz w:val="20"/>
          <w:szCs w:val="20"/>
          <w:lang w:val="bg-BG"/>
        </w:rPr>
        <w:t>5</w:t>
      </w:r>
      <w:r w:rsidRPr="004D0486">
        <w:rPr>
          <w:rFonts w:ascii="Verdana" w:hAnsi="Verdana"/>
          <w:sz w:val="20"/>
          <w:szCs w:val="20"/>
          <w:lang w:val="x-none"/>
        </w:rPr>
        <w:t xml:space="preserve">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групови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които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съдържат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индивидуални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порции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сладолед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x-none"/>
        </w:rPr>
        <w:t>по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x-none"/>
        </w:rPr>
        <w:t>чл</w:t>
      </w:r>
      <w:proofErr w:type="spellEnd"/>
      <w:r>
        <w:rPr>
          <w:rFonts w:ascii="Verdana" w:hAnsi="Verdana"/>
          <w:sz w:val="20"/>
          <w:szCs w:val="20"/>
          <w:lang w:val="x-none"/>
        </w:rPr>
        <w:t xml:space="preserve">. </w:t>
      </w:r>
      <w:r w:rsidR="00F96728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поставя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груповите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56367C" w:rsidRPr="004D0486" w:rsidRDefault="0056367C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(6) </w:t>
      </w:r>
      <w:r w:rsidR="00D5427F">
        <w:rPr>
          <w:rFonts w:ascii="Verdana" w:hAnsi="Verdana"/>
          <w:sz w:val="20"/>
          <w:szCs w:val="20"/>
          <w:lang w:val="bg-BG"/>
        </w:rPr>
        <w:t>М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аркировката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  <w:r w:rsidR="00F96728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буквата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"L"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трябва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нанесени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такъв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начин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лесновидими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ясно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четливи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неизтриваеми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(7)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изисква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</w:t>
      </w:r>
      <w:r w:rsidR="008159E8">
        <w:rPr>
          <w:rFonts w:ascii="Verdana" w:hAnsi="Verdana"/>
          <w:sz w:val="20"/>
          <w:szCs w:val="20"/>
          <w:lang w:val="bg-BG"/>
        </w:rPr>
        <w:t>бо</w:t>
      </w:r>
      <w:r w:rsidRPr="004D0486">
        <w:rPr>
          <w:rFonts w:ascii="Verdana" w:hAnsi="Verdana"/>
          <w:sz w:val="20"/>
          <w:szCs w:val="20"/>
          <w:lang w:val="x-none"/>
        </w:rPr>
        <w:t>значаване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партидата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: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1.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316200">
        <w:rPr>
          <w:rFonts w:ascii="Verdana" w:hAnsi="Verdana"/>
          <w:sz w:val="20"/>
          <w:szCs w:val="20"/>
          <w:lang w:val="bg-BG"/>
        </w:rPr>
        <w:t>селскостопан</w:t>
      </w:r>
      <w:r w:rsidRPr="004D0486">
        <w:rPr>
          <w:rFonts w:ascii="Verdana" w:hAnsi="Verdana"/>
          <w:sz w:val="20"/>
          <w:szCs w:val="20"/>
          <w:lang w:val="x-none"/>
        </w:rPr>
        <w:t>ски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продукти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които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след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напускане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r w:rsidR="00316200">
        <w:rPr>
          <w:rFonts w:ascii="Verdana" w:hAnsi="Verdana"/>
          <w:sz w:val="20"/>
          <w:szCs w:val="20"/>
          <w:lang w:val="bg-BG"/>
        </w:rPr>
        <w:t>стопанството</w:t>
      </w:r>
      <w:r w:rsidRPr="004D0486">
        <w:rPr>
          <w:rFonts w:ascii="Verdana" w:hAnsi="Verdana"/>
          <w:sz w:val="20"/>
          <w:szCs w:val="20"/>
          <w:lang w:val="x-none"/>
        </w:rPr>
        <w:t>: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а)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продават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доставят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в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пунктове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временно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складиране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обработка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опаковане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;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б)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подлежат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транспортиране</w:t>
      </w:r>
      <w:proofErr w:type="spellEnd"/>
      <w:r w:rsidR="007D02C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предприятия</w:t>
      </w:r>
      <w:proofErr w:type="spellEnd"/>
      <w:r w:rsidR="007D02C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производство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;</w:t>
      </w:r>
    </w:p>
    <w:p w:rsidR="00AE2165" w:rsidRPr="007D02C8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в)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подлежат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незабавна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преработка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в </w:t>
      </w:r>
      <w:r w:rsidR="007D02C8">
        <w:rPr>
          <w:rFonts w:ascii="Verdana" w:hAnsi="Verdana"/>
          <w:sz w:val="20"/>
          <w:szCs w:val="20"/>
          <w:lang w:val="bg-BG"/>
        </w:rPr>
        <w:t xml:space="preserve">производствено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предприятие</w:t>
      </w:r>
      <w:proofErr w:type="spellEnd"/>
      <w:r w:rsidR="002A0C83">
        <w:rPr>
          <w:rFonts w:ascii="Verdana" w:hAnsi="Verdana"/>
          <w:sz w:val="20"/>
          <w:szCs w:val="20"/>
          <w:lang w:val="bg-BG"/>
        </w:rPr>
        <w:t>;</w:t>
      </w: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D0486">
        <w:rPr>
          <w:rFonts w:ascii="Verdana" w:hAnsi="Verdana"/>
          <w:sz w:val="20"/>
          <w:szCs w:val="20"/>
          <w:lang w:val="x-none"/>
        </w:rPr>
        <w:t>2.</w:t>
      </w:r>
      <w:r w:rsidR="00E23D03" w:rsidRPr="00E23D03">
        <w:rPr>
          <w:rFonts w:ascii="Verdana" w:hAnsi="Verdana"/>
          <w:sz w:val="20"/>
          <w:szCs w:val="20"/>
          <w:lang w:val="bg-BG"/>
        </w:rPr>
        <w:t xml:space="preserve"> </w:t>
      </w:r>
      <w:r w:rsidR="00E23D03">
        <w:rPr>
          <w:rFonts w:ascii="Verdana" w:hAnsi="Verdana"/>
          <w:sz w:val="20"/>
          <w:szCs w:val="20"/>
          <w:lang w:val="bg-BG"/>
        </w:rPr>
        <w:t xml:space="preserve">при </w:t>
      </w:r>
      <w:r w:rsidR="00E23D03" w:rsidRPr="00E23D03">
        <w:rPr>
          <w:rFonts w:ascii="Verdana" w:hAnsi="Verdana"/>
          <w:sz w:val="20"/>
          <w:szCs w:val="20"/>
          <w:lang w:val="bg-BG"/>
        </w:rPr>
        <w:t>предлага</w:t>
      </w:r>
      <w:r w:rsidR="00E23D03">
        <w:rPr>
          <w:rFonts w:ascii="Verdana" w:hAnsi="Verdana"/>
          <w:sz w:val="20"/>
          <w:szCs w:val="20"/>
          <w:lang w:val="bg-BG"/>
        </w:rPr>
        <w:t>не</w:t>
      </w:r>
      <w:r w:rsidR="00E23D03" w:rsidRPr="00E23D03">
        <w:rPr>
          <w:rFonts w:ascii="Verdana" w:hAnsi="Verdana"/>
          <w:sz w:val="20"/>
          <w:szCs w:val="20"/>
          <w:lang w:val="bg-BG"/>
        </w:rPr>
        <w:t xml:space="preserve"> за продажба на краен</w:t>
      </w:r>
      <w:r w:rsidR="00E23D03">
        <w:rPr>
          <w:rFonts w:ascii="Verdana" w:hAnsi="Verdana"/>
          <w:sz w:val="20"/>
          <w:szCs w:val="20"/>
          <w:lang w:val="bg-BG"/>
        </w:rPr>
        <w:t xml:space="preserve"> </w:t>
      </w:r>
      <w:r w:rsidR="00E23D03" w:rsidRPr="00E23D03">
        <w:rPr>
          <w:rFonts w:ascii="Verdana" w:hAnsi="Verdana"/>
          <w:sz w:val="20"/>
          <w:szCs w:val="20"/>
          <w:lang w:val="bg-BG"/>
        </w:rPr>
        <w:t>потребител без предварително опаковане, или когато храните с</w:t>
      </w:r>
      <w:r w:rsidR="00E23D03">
        <w:rPr>
          <w:rFonts w:ascii="Verdana" w:hAnsi="Verdana"/>
          <w:sz w:val="20"/>
          <w:szCs w:val="20"/>
          <w:lang w:val="bg-BG"/>
        </w:rPr>
        <w:t>е</w:t>
      </w:r>
      <w:r w:rsidR="00E23D03" w:rsidRPr="00E23D03">
        <w:rPr>
          <w:rFonts w:ascii="Verdana" w:hAnsi="Verdana"/>
          <w:sz w:val="20"/>
          <w:szCs w:val="20"/>
          <w:lang w:val="bg-BG"/>
        </w:rPr>
        <w:t xml:space="preserve"> опакова</w:t>
      </w:r>
      <w:r w:rsidR="00E23D03">
        <w:rPr>
          <w:rFonts w:ascii="Verdana" w:hAnsi="Verdana"/>
          <w:sz w:val="20"/>
          <w:szCs w:val="20"/>
          <w:lang w:val="bg-BG"/>
        </w:rPr>
        <w:t>т</w:t>
      </w:r>
      <w:r w:rsidR="00E23D03" w:rsidRPr="00E23D03">
        <w:rPr>
          <w:rFonts w:ascii="Verdana" w:hAnsi="Verdana"/>
          <w:sz w:val="20"/>
          <w:szCs w:val="20"/>
          <w:lang w:val="bg-BG"/>
        </w:rPr>
        <w:t xml:space="preserve"> по искане на потребителя или са предварително опаковани за </w:t>
      </w:r>
      <w:r w:rsidR="00F96728">
        <w:rPr>
          <w:rFonts w:ascii="Verdana" w:hAnsi="Verdana"/>
          <w:sz w:val="20"/>
          <w:szCs w:val="20"/>
          <w:lang w:val="bg-BG"/>
        </w:rPr>
        <w:t xml:space="preserve">незабавна </w:t>
      </w:r>
      <w:r w:rsidR="00E23D03" w:rsidRPr="00E23D03">
        <w:rPr>
          <w:rFonts w:ascii="Verdana" w:hAnsi="Verdana"/>
          <w:sz w:val="20"/>
          <w:szCs w:val="20"/>
          <w:lang w:val="bg-BG"/>
        </w:rPr>
        <w:t>продажба</w:t>
      </w:r>
      <w:r w:rsidRPr="004D0486">
        <w:rPr>
          <w:rFonts w:ascii="Verdana" w:hAnsi="Verdana"/>
          <w:sz w:val="20"/>
          <w:szCs w:val="20"/>
          <w:lang w:val="x-none"/>
        </w:rPr>
        <w:t>;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3.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върху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контейнери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чиято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най-голяма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страна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е с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площ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10 cm</w:t>
      </w:r>
      <w:r w:rsidRPr="005B1A6C">
        <w:rPr>
          <w:rFonts w:ascii="Verdana" w:hAnsi="Verdana"/>
          <w:sz w:val="20"/>
          <w:szCs w:val="20"/>
          <w:vertAlign w:val="superscript"/>
          <w:lang w:val="x-none"/>
        </w:rPr>
        <w:t>2</w:t>
      </w:r>
      <w:r w:rsidRPr="004D0486">
        <w:rPr>
          <w:rFonts w:ascii="Verdana" w:hAnsi="Verdana"/>
          <w:sz w:val="20"/>
          <w:szCs w:val="20"/>
          <w:lang w:val="x-none"/>
        </w:rPr>
        <w:t>;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4.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върху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индивидуални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порции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сладолед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D0486">
        <w:rPr>
          <w:rFonts w:ascii="Verdana" w:hAnsi="Verdana"/>
          <w:sz w:val="20"/>
          <w:szCs w:val="20"/>
          <w:lang w:val="x-none"/>
        </w:rPr>
        <w:t xml:space="preserve">(8)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Когато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етикета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поставен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срокът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минимална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трайност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обозначението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"ИЗПОЛЗВАЙ ПРЕДИ",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последвано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конкретна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изисква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поставяне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маркировката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  <w:r w:rsidR="001D55FA">
        <w:rPr>
          <w:rFonts w:ascii="Verdana" w:hAnsi="Verdana"/>
          <w:sz w:val="20"/>
          <w:szCs w:val="20"/>
          <w:lang w:val="bg-BG"/>
        </w:rPr>
        <w:t>3</w:t>
      </w:r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условие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че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датата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съдържа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поне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некодирано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означение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деня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месеца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в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този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ред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>.</w:t>
      </w:r>
    </w:p>
    <w:p w:rsidR="00992B9A" w:rsidRDefault="00992B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92B9A" w:rsidRPr="00992B9A" w:rsidRDefault="001D55F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Чл. 5</w:t>
      </w:r>
      <w:r w:rsidR="00992B9A" w:rsidRPr="00992B9A">
        <w:rPr>
          <w:rFonts w:ascii="Verdana" w:hAnsi="Verdana"/>
          <w:b/>
          <w:sz w:val="20"/>
          <w:szCs w:val="20"/>
          <w:lang w:val="bg-BG"/>
        </w:rPr>
        <w:t>.</w:t>
      </w:r>
      <w:r w:rsidR="00992B9A" w:rsidRPr="00992B9A">
        <w:rPr>
          <w:rFonts w:ascii="Verdana" w:hAnsi="Verdana"/>
          <w:sz w:val="20"/>
          <w:szCs w:val="20"/>
          <w:lang w:val="bg-BG"/>
        </w:rPr>
        <w:t xml:space="preserve"> (1) При предлагане за продажба на храни на краен потребител или на заведение за обществено хранене без предварително опаковане, или когато храните са опаковани в търговските помещения по искане на потребителя или са предварително опаковани за директна продажба, освен информацията по чл. 9, параграф 1, буква в), се предоставя и информацията по чл. 9, параграф 1, бу</w:t>
      </w:r>
      <w:r w:rsidR="00D40028">
        <w:rPr>
          <w:rFonts w:ascii="Verdana" w:hAnsi="Verdana"/>
          <w:sz w:val="20"/>
          <w:szCs w:val="20"/>
          <w:lang w:val="bg-BG"/>
        </w:rPr>
        <w:t>кви а), е) и з) от Регламент (ЕС</w:t>
      </w:r>
      <w:r w:rsidR="00992B9A" w:rsidRPr="00992B9A">
        <w:rPr>
          <w:rFonts w:ascii="Verdana" w:hAnsi="Verdana"/>
          <w:sz w:val="20"/>
          <w:szCs w:val="20"/>
          <w:lang w:val="bg-BG"/>
        </w:rPr>
        <w:t>) № 1169/2011.</w:t>
      </w:r>
    </w:p>
    <w:p w:rsidR="00992B9A" w:rsidRPr="00992B9A" w:rsidRDefault="00992B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92B9A">
        <w:rPr>
          <w:rFonts w:ascii="Verdana" w:hAnsi="Verdana"/>
          <w:sz w:val="20"/>
          <w:szCs w:val="20"/>
          <w:lang w:val="bg-BG"/>
        </w:rPr>
        <w:t>(2) В случаите по ал. 1, когато е приложимо, се предоставя и допълнителна информация за конкретни видове или категории храни, съгласно чл.</w:t>
      </w:r>
      <w:r w:rsidR="00227AFD">
        <w:rPr>
          <w:rFonts w:ascii="Verdana" w:hAnsi="Verdana"/>
          <w:sz w:val="20"/>
          <w:szCs w:val="20"/>
          <w:lang w:val="bg-BG"/>
        </w:rPr>
        <w:t xml:space="preserve"> 10, параграф 1 от Регламент (ЕС</w:t>
      </w:r>
      <w:r w:rsidRPr="00992B9A">
        <w:rPr>
          <w:rFonts w:ascii="Verdana" w:hAnsi="Verdana"/>
          <w:sz w:val="20"/>
          <w:szCs w:val="20"/>
          <w:lang w:val="bg-BG"/>
        </w:rPr>
        <w:t>) № 1169/2011.</w:t>
      </w:r>
    </w:p>
    <w:p w:rsidR="00992B9A" w:rsidRPr="00992B9A" w:rsidRDefault="00992B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92B9A" w:rsidRPr="00992B9A" w:rsidRDefault="001D55F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Чл. 6</w:t>
      </w:r>
      <w:r w:rsidR="00992B9A" w:rsidRPr="00992B9A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Информацията по чл. 5</w:t>
      </w:r>
      <w:r w:rsidR="00992B9A" w:rsidRPr="00992B9A">
        <w:rPr>
          <w:rFonts w:ascii="Verdana" w:hAnsi="Verdana"/>
          <w:sz w:val="20"/>
          <w:szCs w:val="20"/>
          <w:lang w:val="bg-BG"/>
        </w:rPr>
        <w:t xml:space="preserve"> се предоставя на български език, при спазване изискванията на чл.</w:t>
      </w:r>
      <w:r w:rsidR="00AF08FE">
        <w:rPr>
          <w:rFonts w:ascii="Verdana" w:hAnsi="Verdana"/>
          <w:sz w:val="20"/>
          <w:szCs w:val="20"/>
          <w:lang w:val="bg-BG"/>
        </w:rPr>
        <w:t xml:space="preserve"> 13, параграф 1 от Регламент (ЕС</w:t>
      </w:r>
      <w:r w:rsidR="00992B9A" w:rsidRPr="00992B9A">
        <w:rPr>
          <w:rFonts w:ascii="Verdana" w:hAnsi="Verdana"/>
          <w:sz w:val="20"/>
          <w:szCs w:val="20"/>
          <w:lang w:val="bg-BG"/>
        </w:rPr>
        <w:t>) № 1169/2011:</w:t>
      </w:r>
    </w:p>
    <w:p w:rsidR="00992B9A" w:rsidRPr="00992B9A" w:rsidRDefault="00992B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92B9A">
        <w:rPr>
          <w:rFonts w:ascii="Verdana" w:hAnsi="Verdana"/>
          <w:sz w:val="20"/>
          <w:szCs w:val="20"/>
          <w:lang w:val="bg-BG"/>
        </w:rPr>
        <w:t>1.</w:t>
      </w:r>
      <w:r w:rsidR="00AF08FE" w:rsidRPr="00AF08FE">
        <w:rPr>
          <w:rFonts w:ascii="Verdana" w:hAnsi="Verdana"/>
          <w:sz w:val="20"/>
          <w:szCs w:val="20"/>
          <w:lang w:val="bg-BG"/>
        </w:rPr>
        <w:t xml:space="preserve"> </w:t>
      </w:r>
      <w:r w:rsidR="00AF08FE" w:rsidRPr="00992B9A">
        <w:rPr>
          <w:rFonts w:ascii="Verdana" w:hAnsi="Verdana"/>
          <w:sz w:val="20"/>
          <w:szCs w:val="20"/>
          <w:lang w:val="bg-BG"/>
        </w:rPr>
        <w:t>в близост до храната</w:t>
      </w:r>
      <w:r w:rsidR="00AF08FE">
        <w:rPr>
          <w:rFonts w:ascii="Verdana" w:hAnsi="Verdana"/>
          <w:sz w:val="20"/>
          <w:szCs w:val="20"/>
          <w:lang w:val="bg-BG"/>
        </w:rPr>
        <w:t xml:space="preserve"> -</w:t>
      </w:r>
      <w:r w:rsidRPr="00992B9A">
        <w:rPr>
          <w:rFonts w:ascii="Verdana" w:hAnsi="Verdana"/>
          <w:sz w:val="20"/>
          <w:szCs w:val="20"/>
          <w:lang w:val="bg-BG"/>
        </w:rPr>
        <w:t xml:space="preserve"> на мястото на предлагане</w:t>
      </w:r>
      <w:r w:rsidR="00AF08FE">
        <w:rPr>
          <w:rFonts w:ascii="Verdana" w:hAnsi="Verdana"/>
          <w:sz w:val="20"/>
          <w:szCs w:val="20"/>
          <w:lang w:val="bg-BG"/>
        </w:rPr>
        <w:t>то й в обекти за търговия на дребно с храни</w:t>
      </w:r>
      <w:r w:rsidRPr="00992B9A">
        <w:rPr>
          <w:rFonts w:ascii="Verdana" w:hAnsi="Verdana"/>
          <w:sz w:val="20"/>
          <w:szCs w:val="20"/>
          <w:lang w:val="bg-BG"/>
        </w:rPr>
        <w:t>;</w:t>
      </w:r>
    </w:p>
    <w:p w:rsidR="00992B9A" w:rsidRPr="00992B9A" w:rsidRDefault="00CF786F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="00992B9A" w:rsidRPr="00992B9A">
        <w:rPr>
          <w:rFonts w:ascii="Verdana" w:hAnsi="Verdana"/>
          <w:sz w:val="20"/>
          <w:szCs w:val="20"/>
          <w:lang w:val="bg-BG"/>
        </w:rPr>
        <w:t>при получаване на храната - за храни, предварително опаковани за директна продажба в помещенията на обекти за търговия на дребно и храни</w:t>
      </w:r>
      <w:r w:rsidR="00AF1A3C">
        <w:rPr>
          <w:rFonts w:ascii="Verdana" w:hAnsi="Verdana"/>
          <w:sz w:val="20"/>
          <w:szCs w:val="20"/>
          <w:lang w:val="bg-BG"/>
        </w:rPr>
        <w:t>,</w:t>
      </w:r>
      <w:r w:rsidR="00992B9A" w:rsidRPr="00992B9A">
        <w:rPr>
          <w:rFonts w:ascii="Verdana" w:hAnsi="Verdana"/>
          <w:sz w:val="20"/>
          <w:szCs w:val="20"/>
          <w:lang w:val="bg-BG"/>
        </w:rPr>
        <w:t xml:space="preserve"> доставяни от заведения за обществено хранене до краен потребител;</w:t>
      </w:r>
    </w:p>
    <w:p w:rsidR="00992B9A" w:rsidRPr="00992B9A" w:rsidRDefault="00992B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92B9A">
        <w:rPr>
          <w:rFonts w:ascii="Verdana" w:hAnsi="Verdana"/>
          <w:sz w:val="20"/>
          <w:szCs w:val="20"/>
          <w:lang w:val="bg-BG"/>
        </w:rPr>
        <w:t xml:space="preserve">3. </w:t>
      </w:r>
      <w:r w:rsidR="00455D99">
        <w:rPr>
          <w:rFonts w:ascii="Verdana" w:hAnsi="Verdana"/>
          <w:sz w:val="20"/>
          <w:szCs w:val="20"/>
          <w:lang w:val="bg-BG"/>
        </w:rPr>
        <w:t>при поискване на клиента - за храни, които се консумират</w:t>
      </w:r>
      <w:r w:rsidRPr="00992B9A">
        <w:rPr>
          <w:rFonts w:ascii="Verdana" w:hAnsi="Verdana"/>
          <w:sz w:val="20"/>
          <w:szCs w:val="20"/>
          <w:lang w:val="bg-BG"/>
        </w:rPr>
        <w:t xml:space="preserve"> в </w:t>
      </w:r>
      <w:r w:rsidR="00455D99">
        <w:rPr>
          <w:rFonts w:ascii="Verdana" w:hAnsi="Verdana"/>
          <w:sz w:val="20"/>
          <w:szCs w:val="20"/>
          <w:lang w:val="bg-BG"/>
        </w:rPr>
        <w:t xml:space="preserve">заведения за </w:t>
      </w:r>
      <w:r w:rsidR="00455D99">
        <w:rPr>
          <w:rFonts w:ascii="Verdana" w:hAnsi="Verdana"/>
          <w:sz w:val="20"/>
          <w:szCs w:val="20"/>
          <w:lang w:val="bg-BG"/>
        </w:rPr>
        <w:lastRenderedPageBreak/>
        <w:t>обществено хранене;</w:t>
      </w:r>
    </w:p>
    <w:p w:rsidR="00C2539A" w:rsidRDefault="00C2539A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x-none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>ДОПЪЛНИТЕЛНИ РАЗПОРЕДБИ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>§ 1</w:t>
      </w:r>
      <w:r w:rsidR="00612FB9" w:rsidRPr="00936531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8D296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3562EE" w:rsidRPr="003562EE">
        <w:rPr>
          <w:rFonts w:ascii="Verdana" w:hAnsi="Verdana"/>
          <w:bCs/>
          <w:sz w:val="20"/>
          <w:szCs w:val="20"/>
          <w:lang w:val="bg-BG"/>
        </w:rPr>
        <w:t>(1)</w:t>
      </w:r>
      <w:r w:rsidR="000C19E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0C19E8">
        <w:rPr>
          <w:rFonts w:ascii="Verdana" w:hAnsi="Verdana"/>
          <w:sz w:val="20"/>
          <w:szCs w:val="20"/>
          <w:lang w:val="x-none"/>
        </w:rPr>
        <w:t>По</w:t>
      </w:r>
      <w:proofErr w:type="spellEnd"/>
      <w:r w:rsidR="000C19E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0C19E8">
        <w:rPr>
          <w:rFonts w:ascii="Verdana" w:hAnsi="Verdana"/>
          <w:sz w:val="20"/>
          <w:szCs w:val="20"/>
          <w:lang w:val="x-none"/>
        </w:rPr>
        <w:t>смисъла</w:t>
      </w:r>
      <w:proofErr w:type="spellEnd"/>
      <w:r w:rsidR="000C19E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0C19E8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0C19E8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0C19E8">
        <w:rPr>
          <w:rFonts w:ascii="Verdana" w:hAnsi="Verdana"/>
          <w:sz w:val="20"/>
          <w:szCs w:val="20"/>
          <w:lang w:val="x-none"/>
        </w:rPr>
        <w:t>наредбата</w:t>
      </w:r>
      <w:proofErr w:type="spellEnd"/>
      <w:r w:rsidR="000C19E8">
        <w:rPr>
          <w:rFonts w:ascii="Verdana" w:hAnsi="Verdana"/>
          <w:sz w:val="20"/>
          <w:szCs w:val="20"/>
          <w:lang w:val="x-none"/>
        </w:rPr>
        <w:t xml:space="preserve"> </w:t>
      </w:r>
      <w:r w:rsidR="000C19E8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0C19E8">
        <w:rPr>
          <w:rFonts w:ascii="Verdana" w:hAnsi="Verdana"/>
          <w:sz w:val="20"/>
          <w:szCs w:val="20"/>
          <w:lang w:val="x-none"/>
        </w:rPr>
        <w:t>партида</w:t>
      </w:r>
      <w:proofErr w:type="spellEnd"/>
      <w:r w:rsidR="000C19E8">
        <w:rPr>
          <w:rFonts w:ascii="Verdana" w:hAnsi="Verdana"/>
          <w:sz w:val="20"/>
          <w:szCs w:val="20"/>
          <w:lang w:val="bg-BG"/>
        </w:rPr>
        <w:t>“</w:t>
      </w:r>
      <w:r w:rsidRPr="004D0486">
        <w:rPr>
          <w:rFonts w:ascii="Verdana" w:hAnsi="Verdana"/>
          <w:sz w:val="20"/>
          <w:szCs w:val="20"/>
          <w:lang w:val="x-none"/>
        </w:rPr>
        <w:t xml:space="preserve"> е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група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единици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продажба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дадена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създадени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произведени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опаковани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практически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едни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същи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условия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. </w:t>
      </w:r>
    </w:p>
    <w:p w:rsidR="00B6096C" w:rsidRDefault="003562EE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(2)</w:t>
      </w:r>
      <w:r w:rsidR="00FC4C1C">
        <w:rPr>
          <w:rFonts w:ascii="Verdana" w:hAnsi="Verdana"/>
          <w:sz w:val="20"/>
          <w:szCs w:val="20"/>
          <w:lang w:val="bg-BG"/>
        </w:rPr>
        <w:t xml:space="preserve"> За целите на наредбата се прилагат и определенията от Регламент (ЕС) </w:t>
      </w:r>
      <w:r w:rsidR="00FC4C1C" w:rsidRPr="00FC4C1C">
        <w:rPr>
          <w:rFonts w:ascii="Verdana" w:hAnsi="Verdana"/>
          <w:sz w:val="20"/>
          <w:szCs w:val="20"/>
          <w:lang w:val="bg-BG"/>
        </w:rPr>
        <w:t>№</w:t>
      </w:r>
      <w:r w:rsidR="00FC4C1C">
        <w:rPr>
          <w:rFonts w:ascii="Verdana" w:hAnsi="Verdana"/>
          <w:sz w:val="20"/>
          <w:szCs w:val="20"/>
          <w:lang w:val="bg-BG"/>
        </w:rPr>
        <w:t xml:space="preserve"> 1169/2011.</w:t>
      </w:r>
    </w:p>
    <w:p w:rsidR="00936531" w:rsidRPr="003562EE" w:rsidRDefault="00936531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AE2165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>§ 2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Pr="004D0486">
        <w:rPr>
          <w:rFonts w:ascii="Verdana" w:hAnsi="Verdana"/>
          <w:sz w:val="20"/>
          <w:szCs w:val="20"/>
          <w:lang w:val="x-none"/>
        </w:rPr>
        <w:t xml:space="preserve"> С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наредбата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въвеждат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разпоредбите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Директива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2011/91/ЕС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Европейския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парламент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и </w:t>
      </w:r>
      <w:proofErr w:type="spellStart"/>
      <w:r w:rsidR="00AB5222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AB5222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B5222">
        <w:rPr>
          <w:rFonts w:ascii="Verdana" w:hAnsi="Verdana"/>
          <w:sz w:val="20"/>
          <w:szCs w:val="20"/>
          <w:lang w:val="x-none"/>
        </w:rPr>
        <w:t>Съвета</w:t>
      </w:r>
      <w:proofErr w:type="spellEnd"/>
      <w:r w:rsidR="00AB5222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B5222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="00AB5222">
        <w:rPr>
          <w:rFonts w:ascii="Verdana" w:hAnsi="Verdana"/>
          <w:sz w:val="20"/>
          <w:szCs w:val="20"/>
          <w:lang w:val="x-none"/>
        </w:rPr>
        <w:t xml:space="preserve"> 13 </w:t>
      </w:r>
      <w:proofErr w:type="spellStart"/>
      <w:r w:rsidR="00AB5222">
        <w:rPr>
          <w:rFonts w:ascii="Verdana" w:hAnsi="Verdana"/>
          <w:sz w:val="20"/>
          <w:szCs w:val="20"/>
          <w:lang w:val="x-none"/>
        </w:rPr>
        <w:t>декември</w:t>
      </w:r>
      <w:proofErr w:type="spellEnd"/>
      <w:r w:rsidR="00AB5222">
        <w:rPr>
          <w:rFonts w:ascii="Verdana" w:hAnsi="Verdana"/>
          <w:sz w:val="20"/>
          <w:szCs w:val="20"/>
          <w:lang w:val="x-none"/>
        </w:rPr>
        <w:t xml:space="preserve"> 2011 </w:t>
      </w:r>
      <w:proofErr w:type="spellStart"/>
      <w:r w:rsidR="00AB5222">
        <w:rPr>
          <w:rFonts w:ascii="Verdana" w:hAnsi="Verdana"/>
          <w:sz w:val="20"/>
          <w:szCs w:val="20"/>
          <w:lang w:val="x-none"/>
        </w:rPr>
        <w:t>г</w:t>
      </w:r>
      <w:r w:rsidR="00AB5222">
        <w:rPr>
          <w:rFonts w:ascii="Verdana" w:hAnsi="Verdana"/>
          <w:sz w:val="20"/>
          <w:szCs w:val="20"/>
          <w:lang w:val="bg-BG"/>
        </w:rPr>
        <w:t>одина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относно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означенията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или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маркировките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идентифициращи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партидата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,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към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която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принадлежи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дадена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храна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(ОВ, L 334 </w:t>
      </w:r>
      <w:proofErr w:type="spellStart"/>
      <w:r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Pr="004D0486">
        <w:rPr>
          <w:rFonts w:ascii="Verdana" w:hAnsi="Verdana"/>
          <w:sz w:val="20"/>
          <w:szCs w:val="20"/>
          <w:lang w:val="x-none"/>
        </w:rPr>
        <w:t xml:space="preserve"> 16.12.2011 г.).</w:t>
      </w:r>
    </w:p>
    <w:p w:rsidR="00936531" w:rsidRDefault="00936531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8B54E5" w:rsidRPr="008B54E5" w:rsidRDefault="008B54E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3</w:t>
      </w:r>
      <w:r w:rsidRPr="009D6EB6">
        <w:rPr>
          <w:rFonts w:ascii="Verdana" w:hAnsi="Verdana"/>
          <w:b/>
          <w:sz w:val="20"/>
          <w:szCs w:val="20"/>
          <w:lang w:val="bg-BG"/>
        </w:rPr>
        <w:t>.</w:t>
      </w:r>
      <w:r w:rsidRPr="009D6EB6">
        <w:rPr>
          <w:rFonts w:ascii="Verdana" w:hAnsi="Verdana"/>
          <w:sz w:val="20"/>
          <w:szCs w:val="20"/>
          <w:lang w:val="bg-BG"/>
        </w:rPr>
        <w:t xml:space="preserve"> </w:t>
      </w:r>
      <w:r w:rsidRPr="008B54E5">
        <w:rPr>
          <w:rFonts w:ascii="Verdana" w:hAnsi="Verdana"/>
          <w:sz w:val="20"/>
          <w:szCs w:val="20"/>
          <w:lang w:val="bg-BG"/>
        </w:rPr>
        <w:t>С наредбата се осигурява прилагането на Регламент (ЕС) № 1169/2011.</w:t>
      </w:r>
    </w:p>
    <w:p w:rsidR="008B54E5" w:rsidRDefault="008B54E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AE2165" w:rsidRPr="00E76D48" w:rsidRDefault="00E76D48" w:rsidP="009365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ПРЕХОДНИ И </w:t>
      </w:r>
      <w:r w:rsidR="007C2BF4">
        <w:rPr>
          <w:rFonts w:ascii="Verdana" w:hAnsi="Verdana"/>
          <w:b/>
          <w:bCs/>
          <w:sz w:val="20"/>
          <w:szCs w:val="20"/>
          <w:lang w:val="x-none"/>
        </w:rPr>
        <w:t>ЗАКЛЮЧИТЕЛН</w:t>
      </w:r>
      <w:r>
        <w:rPr>
          <w:rFonts w:ascii="Verdana" w:hAnsi="Verdana"/>
          <w:b/>
          <w:bCs/>
          <w:sz w:val="20"/>
          <w:szCs w:val="20"/>
          <w:lang w:val="bg-BG"/>
        </w:rPr>
        <w:t>И</w:t>
      </w:r>
      <w:r w:rsidR="007C2BF4">
        <w:rPr>
          <w:rFonts w:ascii="Verdana" w:hAnsi="Verdana"/>
          <w:b/>
          <w:bCs/>
          <w:sz w:val="20"/>
          <w:szCs w:val="20"/>
          <w:lang w:val="x-none"/>
        </w:rPr>
        <w:t xml:space="preserve"> РАЗПОРЕДБ</w:t>
      </w:r>
      <w:r>
        <w:rPr>
          <w:rFonts w:ascii="Verdana" w:hAnsi="Verdana"/>
          <w:b/>
          <w:bCs/>
          <w:sz w:val="20"/>
          <w:szCs w:val="20"/>
          <w:lang w:val="bg-BG"/>
        </w:rPr>
        <w:t>И</w:t>
      </w:r>
    </w:p>
    <w:p w:rsidR="00AE2165" w:rsidRPr="004D0486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x-none"/>
        </w:rPr>
      </w:pPr>
    </w:p>
    <w:p w:rsidR="008F05AD" w:rsidRPr="00A83F70" w:rsidRDefault="00AE2165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 xml:space="preserve">§ </w:t>
      </w:r>
      <w:r w:rsidR="00705B25">
        <w:rPr>
          <w:rFonts w:ascii="Verdana" w:hAnsi="Verdana"/>
          <w:b/>
          <w:bCs/>
          <w:sz w:val="20"/>
          <w:szCs w:val="20"/>
          <w:lang w:val="bg-BG"/>
        </w:rPr>
        <w:t>4</w:t>
      </w:r>
      <w:r w:rsidR="00612FB9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6B68EF">
        <w:rPr>
          <w:rFonts w:ascii="Verdana" w:hAnsi="Verdana"/>
          <w:sz w:val="20"/>
          <w:szCs w:val="20"/>
          <w:lang w:val="x-none"/>
        </w:rPr>
        <w:t xml:space="preserve"> </w:t>
      </w:r>
      <w:r w:rsidR="00554442">
        <w:rPr>
          <w:rFonts w:ascii="Verdana" w:hAnsi="Verdana"/>
          <w:sz w:val="20"/>
          <w:szCs w:val="20"/>
          <w:lang w:val="bg-BG"/>
        </w:rPr>
        <w:t xml:space="preserve">Разпоредбите на чл. 5 и 6 </w:t>
      </w:r>
      <w:r w:rsidR="00A83F70" w:rsidRPr="00A83F70">
        <w:rPr>
          <w:rFonts w:ascii="Verdana" w:hAnsi="Verdana"/>
          <w:sz w:val="20"/>
          <w:szCs w:val="20"/>
          <w:lang w:val="bg-BG"/>
        </w:rPr>
        <w:t>влиза</w:t>
      </w:r>
      <w:r w:rsidR="00A83F70">
        <w:rPr>
          <w:rFonts w:ascii="Verdana" w:hAnsi="Verdana"/>
          <w:sz w:val="20"/>
          <w:szCs w:val="20"/>
          <w:lang w:val="bg-BG"/>
        </w:rPr>
        <w:t>т</w:t>
      </w:r>
      <w:r w:rsidR="00A83F70" w:rsidRPr="00A83F70">
        <w:rPr>
          <w:rFonts w:ascii="Verdana" w:hAnsi="Verdana"/>
          <w:sz w:val="20"/>
          <w:szCs w:val="20"/>
          <w:lang w:val="bg-BG"/>
        </w:rPr>
        <w:t xml:space="preserve"> в сила в срок 3 месеца от влизането в сила на </w:t>
      </w:r>
      <w:r w:rsidR="00A83F70">
        <w:rPr>
          <w:rFonts w:ascii="Verdana" w:hAnsi="Verdana"/>
          <w:sz w:val="20"/>
          <w:szCs w:val="20"/>
          <w:lang w:val="bg-BG"/>
        </w:rPr>
        <w:t>наредбата.</w:t>
      </w:r>
    </w:p>
    <w:p w:rsidR="00AE2165" w:rsidRDefault="008F05AD" w:rsidP="00936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D0486">
        <w:rPr>
          <w:rFonts w:ascii="Verdana" w:hAnsi="Verdana"/>
          <w:b/>
          <w:bCs/>
          <w:sz w:val="20"/>
          <w:szCs w:val="20"/>
          <w:lang w:val="x-none"/>
        </w:rPr>
        <w:t xml:space="preserve">§ </w:t>
      </w:r>
      <w:r>
        <w:rPr>
          <w:rFonts w:ascii="Verdana" w:hAnsi="Verdana"/>
          <w:b/>
          <w:bCs/>
          <w:sz w:val="20"/>
          <w:szCs w:val="20"/>
          <w:lang w:val="bg-BG"/>
        </w:rPr>
        <w:t>5.</w:t>
      </w:r>
      <w:r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6B68EF">
        <w:rPr>
          <w:rFonts w:ascii="Verdana" w:hAnsi="Verdana"/>
          <w:sz w:val="20"/>
          <w:szCs w:val="20"/>
          <w:lang w:val="x-none"/>
        </w:rPr>
        <w:t>Наредбата</w:t>
      </w:r>
      <w:proofErr w:type="spellEnd"/>
      <w:r w:rsidR="006B68EF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6B68EF">
        <w:rPr>
          <w:rFonts w:ascii="Verdana" w:hAnsi="Verdana"/>
          <w:sz w:val="20"/>
          <w:szCs w:val="20"/>
          <w:lang w:val="x-none"/>
        </w:rPr>
        <w:t>се</w:t>
      </w:r>
      <w:proofErr w:type="spellEnd"/>
      <w:r w:rsidR="006B68EF">
        <w:rPr>
          <w:rFonts w:ascii="Verdana" w:hAnsi="Verdana"/>
          <w:sz w:val="20"/>
          <w:szCs w:val="20"/>
          <w:lang w:val="x-none"/>
        </w:rPr>
        <w:t xml:space="preserve"> </w:t>
      </w:r>
      <w:r w:rsidR="006B68EF">
        <w:rPr>
          <w:rFonts w:ascii="Verdana" w:hAnsi="Verdana"/>
          <w:sz w:val="20"/>
          <w:szCs w:val="20"/>
          <w:lang w:val="bg-BG"/>
        </w:rPr>
        <w:t>издава</w:t>
      </w:r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на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основание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чл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>. 1</w:t>
      </w:r>
      <w:r w:rsidR="00A067D2">
        <w:rPr>
          <w:rFonts w:ascii="Verdana" w:hAnsi="Verdana"/>
          <w:sz w:val="20"/>
          <w:szCs w:val="20"/>
        </w:rPr>
        <w:t>9</w:t>
      </w:r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от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Закона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за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 xml:space="preserve"> </w:t>
      </w:r>
      <w:proofErr w:type="spellStart"/>
      <w:r w:rsidR="00AE2165" w:rsidRPr="004D0486">
        <w:rPr>
          <w:rFonts w:ascii="Verdana" w:hAnsi="Verdana"/>
          <w:sz w:val="20"/>
          <w:szCs w:val="20"/>
          <w:lang w:val="x-none"/>
        </w:rPr>
        <w:t>храните</w:t>
      </w:r>
      <w:proofErr w:type="spellEnd"/>
      <w:r w:rsidR="00AE2165" w:rsidRPr="004D0486">
        <w:rPr>
          <w:rFonts w:ascii="Verdana" w:hAnsi="Verdana"/>
          <w:sz w:val="20"/>
          <w:szCs w:val="20"/>
          <w:lang w:val="x-none"/>
        </w:rPr>
        <w:t>.</w:t>
      </w:r>
      <w:r w:rsidR="00B6096C">
        <w:rPr>
          <w:rFonts w:ascii="Verdana" w:hAnsi="Verdana"/>
          <w:sz w:val="20"/>
          <w:szCs w:val="20"/>
        </w:rPr>
        <w:t xml:space="preserve">  </w:t>
      </w:r>
    </w:p>
    <w:p w:rsidR="000C19E8" w:rsidRDefault="000C19E8" w:rsidP="00CF786F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Verdana" w:hAnsi="Verdana"/>
          <w:sz w:val="16"/>
          <w:szCs w:val="16"/>
        </w:rPr>
      </w:pPr>
    </w:p>
    <w:p w:rsidR="00F85CFD" w:rsidRDefault="00F85CFD" w:rsidP="00F85CF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936531" w:rsidRDefault="00936531" w:rsidP="00F85CF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6"/>
          <w:szCs w:val="16"/>
          <w:lang w:val="bg-BG"/>
        </w:rPr>
      </w:pPr>
    </w:p>
    <w:sectPr w:rsidR="00936531" w:rsidSect="00F85CFD">
      <w:footerReference w:type="default" r:id="rId6"/>
      <w:pgSz w:w="11907" w:h="16840" w:code="9"/>
      <w:pgMar w:top="1134" w:right="1134" w:bottom="1134" w:left="170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14" w:rsidRDefault="00575714" w:rsidP="00CF786F">
      <w:pPr>
        <w:spacing w:after="0" w:line="240" w:lineRule="auto"/>
      </w:pPr>
      <w:r>
        <w:separator/>
      </w:r>
    </w:p>
  </w:endnote>
  <w:endnote w:type="continuationSeparator" w:id="0">
    <w:p w:rsidR="00575714" w:rsidRDefault="00575714" w:rsidP="00CF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1434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F786F" w:rsidRPr="00CF786F" w:rsidRDefault="00CF786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F786F">
          <w:rPr>
            <w:rFonts w:ascii="Verdana" w:hAnsi="Verdana"/>
            <w:sz w:val="16"/>
            <w:szCs w:val="16"/>
          </w:rPr>
          <w:fldChar w:fldCharType="begin"/>
        </w:r>
        <w:r w:rsidRPr="00CF786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F786F">
          <w:rPr>
            <w:rFonts w:ascii="Verdana" w:hAnsi="Verdana"/>
            <w:sz w:val="16"/>
            <w:szCs w:val="16"/>
          </w:rPr>
          <w:fldChar w:fldCharType="separate"/>
        </w:r>
        <w:r w:rsidR="00FB5191">
          <w:rPr>
            <w:rFonts w:ascii="Verdana" w:hAnsi="Verdana"/>
            <w:noProof/>
            <w:sz w:val="16"/>
            <w:szCs w:val="16"/>
          </w:rPr>
          <w:t>3</w:t>
        </w:r>
        <w:r w:rsidRPr="00CF786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14" w:rsidRDefault="00575714" w:rsidP="00CF786F">
      <w:pPr>
        <w:spacing w:after="0" w:line="240" w:lineRule="auto"/>
      </w:pPr>
      <w:r>
        <w:separator/>
      </w:r>
    </w:p>
  </w:footnote>
  <w:footnote w:type="continuationSeparator" w:id="0">
    <w:p w:rsidR="00575714" w:rsidRDefault="00575714" w:rsidP="00CF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86"/>
    <w:rsid w:val="00002E11"/>
    <w:rsid w:val="000C19E8"/>
    <w:rsid w:val="000E37C3"/>
    <w:rsid w:val="000F5ACE"/>
    <w:rsid w:val="00111960"/>
    <w:rsid w:val="001408DE"/>
    <w:rsid w:val="00187A3B"/>
    <w:rsid w:val="001A4E01"/>
    <w:rsid w:val="001C0579"/>
    <w:rsid w:val="001D55FA"/>
    <w:rsid w:val="001E5921"/>
    <w:rsid w:val="00204450"/>
    <w:rsid w:val="00227AFD"/>
    <w:rsid w:val="002410C6"/>
    <w:rsid w:val="002529C1"/>
    <w:rsid w:val="0025524D"/>
    <w:rsid w:val="002A0C83"/>
    <w:rsid w:val="002B471D"/>
    <w:rsid w:val="002E618B"/>
    <w:rsid w:val="002F4920"/>
    <w:rsid w:val="003123F6"/>
    <w:rsid w:val="0031560D"/>
    <w:rsid w:val="00316200"/>
    <w:rsid w:val="00353DF8"/>
    <w:rsid w:val="003562EE"/>
    <w:rsid w:val="00371D84"/>
    <w:rsid w:val="003A0B30"/>
    <w:rsid w:val="0041226E"/>
    <w:rsid w:val="004155DE"/>
    <w:rsid w:val="00455D99"/>
    <w:rsid w:val="00471CBB"/>
    <w:rsid w:val="004B3AE9"/>
    <w:rsid w:val="004D0486"/>
    <w:rsid w:val="00525627"/>
    <w:rsid w:val="00525A3D"/>
    <w:rsid w:val="00554442"/>
    <w:rsid w:val="0056367C"/>
    <w:rsid w:val="00575714"/>
    <w:rsid w:val="005B1A6C"/>
    <w:rsid w:val="005D20BE"/>
    <w:rsid w:val="006066E8"/>
    <w:rsid w:val="00612FB9"/>
    <w:rsid w:val="0062519B"/>
    <w:rsid w:val="00630328"/>
    <w:rsid w:val="0064530D"/>
    <w:rsid w:val="00687BBD"/>
    <w:rsid w:val="006B68EF"/>
    <w:rsid w:val="006E2873"/>
    <w:rsid w:val="006F78AF"/>
    <w:rsid w:val="00705B25"/>
    <w:rsid w:val="0072642E"/>
    <w:rsid w:val="00740EE5"/>
    <w:rsid w:val="00762A02"/>
    <w:rsid w:val="00774A80"/>
    <w:rsid w:val="007C2BF4"/>
    <w:rsid w:val="007D02C8"/>
    <w:rsid w:val="007F42E9"/>
    <w:rsid w:val="00804302"/>
    <w:rsid w:val="0080562C"/>
    <w:rsid w:val="00811B5F"/>
    <w:rsid w:val="008159E8"/>
    <w:rsid w:val="008222C8"/>
    <w:rsid w:val="00845438"/>
    <w:rsid w:val="008B4164"/>
    <w:rsid w:val="008B54E5"/>
    <w:rsid w:val="008D2962"/>
    <w:rsid w:val="008F05AD"/>
    <w:rsid w:val="00936531"/>
    <w:rsid w:val="00965B10"/>
    <w:rsid w:val="00992B9A"/>
    <w:rsid w:val="009E462A"/>
    <w:rsid w:val="00A067D2"/>
    <w:rsid w:val="00A746BC"/>
    <w:rsid w:val="00A83F70"/>
    <w:rsid w:val="00A9494A"/>
    <w:rsid w:val="00AB5222"/>
    <w:rsid w:val="00AC145A"/>
    <w:rsid w:val="00AE2165"/>
    <w:rsid w:val="00AF08FE"/>
    <w:rsid w:val="00AF1A3C"/>
    <w:rsid w:val="00AF6B02"/>
    <w:rsid w:val="00B43C37"/>
    <w:rsid w:val="00B6096C"/>
    <w:rsid w:val="00B838DB"/>
    <w:rsid w:val="00C15E2F"/>
    <w:rsid w:val="00C2539A"/>
    <w:rsid w:val="00C261A2"/>
    <w:rsid w:val="00C67EFF"/>
    <w:rsid w:val="00CF786F"/>
    <w:rsid w:val="00D40028"/>
    <w:rsid w:val="00D5427F"/>
    <w:rsid w:val="00DC11E9"/>
    <w:rsid w:val="00E0556E"/>
    <w:rsid w:val="00E23D03"/>
    <w:rsid w:val="00E76D48"/>
    <w:rsid w:val="00F108F3"/>
    <w:rsid w:val="00F15B2E"/>
    <w:rsid w:val="00F85CFD"/>
    <w:rsid w:val="00F96728"/>
    <w:rsid w:val="00FB5191"/>
    <w:rsid w:val="00FC2C2D"/>
    <w:rsid w:val="00FC4C1C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6EE5E5-7FBF-4C87-9F6D-C4E92536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6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6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Kristiana Pavlova</dc:creator>
  <cp:lastModifiedBy>Desislava g. Georgieva</cp:lastModifiedBy>
  <cp:revision>2</cp:revision>
  <cp:lastPrinted>2020-08-12T07:27:00Z</cp:lastPrinted>
  <dcterms:created xsi:type="dcterms:W3CDTF">2020-10-13T13:48:00Z</dcterms:created>
  <dcterms:modified xsi:type="dcterms:W3CDTF">2020-10-13T13:48:00Z</dcterms:modified>
</cp:coreProperties>
</file>