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452D19" w:rsidTr="005C75B3">
        <w:trPr>
          <w:trHeight w:val="958"/>
          <w:jc w:val="center"/>
        </w:trPr>
        <w:tc>
          <w:tcPr>
            <w:tcW w:w="15650" w:type="dxa"/>
            <w:shd w:val="clear" w:color="auto" w:fill="BDD6EE"/>
          </w:tcPr>
          <w:p w:rsidR="00C975B4" w:rsidRPr="00452D19" w:rsidRDefault="00C975B4" w:rsidP="00291E9B">
            <w:pPr>
              <w:tabs>
                <w:tab w:val="left" w:pos="2190"/>
              </w:tabs>
              <w:spacing w:before="120" w:line="360" w:lineRule="auto"/>
              <w:jc w:val="center"/>
              <w:rPr>
                <w:rFonts w:ascii="Verdana" w:hAnsi="Verdana"/>
                <w:b/>
                <w:spacing w:val="60"/>
                <w:sz w:val="20"/>
                <w:szCs w:val="20"/>
              </w:rPr>
            </w:pPr>
            <w:r w:rsidRPr="00452D19">
              <w:rPr>
                <w:rFonts w:ascii="Verdana" w:hAnsi="Verdana"/>
                <w:b/>
                <w:spacing w:val="60"/>
                <w:sz w:val="20"/>
                <w:szCs w:val="20"/>
              </w:rPr>
              <w:t>СПРАВКА</w:t>
            </w:r>
          </w:p>
          <w:p w:rsidR="00E220AD" w:rsidRDefault="00C975B4" w:rsidP="002B32EB">
            <w:pPr>
              <w:tabs>
                <w:tab w:val="left" w:pos="2190"/>
              </w:tabs>
              <w:spacing w:before="120" w:line="360" w:lineRule="auto"/>
              <w:jc w:val="center"/>
              <w:rPr>
                <w:rFonts w:ascii="Verdana" w:hAnsi="Verdana"/>
                <w:b/>
                <w:sz w:val="20"/>
                <w:szCs w:val="20"/>
              </w:rPr>
            </w:pPr>
            <w:r w:rsidRPr="00452D19">
              <w:rPr>
                <w:rFonts w:ascii="Verdana" w:hAnsi="Verdana"/>
                <w:b/>
                <w:sz w:val="20"/>
                <w:szCs w:val="20"/>
              </w:rPr>
              <w:t>ЗА ОТРАЗЯВАНЕ НА ПОСТЪПИЛИТЕ ПРЕДЛОЖЕНИЯ ОТ ОБЩЕСТВЕНИТЕ КОНСУЛТАЦИИ НА</w:t>
            </w:r>
            <w:r w:rsidR="000632EC" w:rsidRPr="00452D19">
              <w:rPr>
                <w:rFonts w:ascii="Verdana" w:hAnsi="Verdana"/>
                <w:b/>
                <w:sz w:val="20"/>
                <w:szCs w:val="20"/>
              </w:rPr>
              <w:t xml:space="preserve"> ПРОЕКТ </w:t>
            </w:r>
            <w:r w:rsidR="00665AE8" w:rsidRPr="00452D19">
              <w:rPr>
                <w:rFonts w:ascii="Verdana" w:hAnsi="Verdana"/>
                <w:b/>
                <w:sz w:val="20"/>
                <w:szCs w:val="20"/>
              </w:rPr>
              <w:t xml:space="preserve">НА </w:t>
            </w:r>
            <w:r w:rsidR="00B97D40" w:rsidRPr="00452D19">
              <w:rPr>
                <w:rFonts w:ascii="Verdana" w:hAnsi="Verdana"/>
                <w:b/>
                <w:sz w:val="20"/>
                <w:szCs w:val="20"/>
              </w:rPr>
              <w:t>НАРЕДБА ЗА МЕРКИТЕ ЗА ПРОФИЛАКТИКА, ОГРАНИЧАВАНЕ И ЛИКВИДИРАНЕ НА БОЛЕСТТА АНТРАКС ПО ЖИВОТНИТЕ И ЗА УСЛОВИЯТА И РЕДА ЗА ПРИЛАГАНЕТО ИМ</w:t>
            </w:r>
          </w:p>
          <w:p w:rsidR="002B32EB" w:rsidRPr="002B32EB" w:rsidRDefault="002B32EB" w:rsidP="002B32EB">
            <w:pPr>
              <w:tabs>
                <w:tab w:val="left" w:pos="2190"/>
              </w:tabs>
              <w:spacing w:line="360" w:lineRule="auto"/>
              <w:jc w:val="center"/>
              <w:rPr>
                <w:rFonts w:ascii="Verdana" w:hAnsi="Verdana"/>
                <w:b/>
                <w:sz w:val="20"/>
                <w:szCs w:val="20"/>
              </w:rPr>
            </w:pPr>
          </w:p>
        </w:tc>
      </w:tr>
    </w:tbl>
    <w:p w:rsidR="00291E9B" w:rsidRPr="00452D19" w:rsidRDefault="00291E9B">
      <w:pPr>
        <w:rPr>
          <w:rFonts w:ascii="Verdana" w:hAnsi="Verdana"/>
          <w:sz w:val="20"/>
          <w:szCs w:val="20"/>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10"/>
        <w:gridCol w:w="6042"/>
        <w:gridCol w:w="1786"/>
        <w:gridCol w:w="4790"/>
      </w:tblGrid>
      <w:tr w:rsidR="00E220AD" w:rsidRPr="00452D19" w:rsidTr="007424CB">
        <w:trPr>
          <w:trHeight w:val="565"/>
          <w:tblHeader/>
          <w:jc w:val="center"/>
        </w:trPr>
        <w:tc>
          <w:tcPr>
            <w:tcW w:w="622" w:type="dxa"/>
            <w:tcBorders>
              <w:bottom w:val="single" w:sz="12" w:space="0" w:color="2E74B5"/>
            </w:tcBorders>
            <w:shd w:val="clear" w:color="auto" w:fill="DEEAF6"/>
            <w:vAlign w:val="center"/>
          </w:tcPr>
          <w:p w:rsidR="00E220AD" w:rsidRPr="00452D19" w:rsidRDefault="00E220AD" w:rsidP="00E220AD">
            <w:pPr>
              <w:tabs>
                <w:tab w:val="left" w:pos="192"/>
              </w:tabs>
              <w:jc w:val="center"/>
              <w:rPr>
                <w:rFonts w:ascii="Verdana" w:hAnsi="Verdana"/>
                <w:b/>
                <w:sz w:val="20"/>
                <w:szCs w:val="20"/>
              </w:rPr>
            </w:pPr>
            <w:r w:rsidRPr="00452D19">
              <w:rPr>
                <w:rFonts w:ascii="Verdana" w:hAnsi="Verdana"/>
                <w:b/>
                <w:sz w:val="20"/>
                <w:szCs w:val="20"/>
              </w:rPr>
              <w:t>№</w:t>
            </w:r>
          </w:p>
        </w:tc>
        <w:tc>
          <w:tcPr>
            <w:tcW w:w="2410" w:type="dxa"/>
            <w:tcBorders>
              <w:bottom w:val="single" w:sz="12" w:space="0" w:color="2E74B5"/>
            </w:tcBorders>
            <w:shd w:val="clear" w:color="auto" w:fill="DEEAF6"/>
            <w:vAlign w:val="center"/>
          </w:tcPr>
          <w:p w:rsidR="00E220AD" w:rsidRPr="00452D19" w:rsidRDefault="00E220AD" w:rsidP="00DD502C">
            <w:pPr>
              <w:spacing w:before="40"/>
              <w:jc w:val="center"/>
              <w:rPr>
                <w:rFonts w:ascii="Verdana" w:hAnsi="Verdana"/>
                <w:b/>
                <w:sz w:val="20"/>
                <w:szCs w:val="20"/>
              </w:rPr>
            </w:pPr>
            <w:r w:rsidRPr="00452D19">
              <w:rPr>
                <w:rFonts w:ascii="Verdana" w:hAnsi="Verdana"/>
                <w:b/>
                <w:sz w:val="20"/>
                <w:szCs w:val="20"/>
              </w:rPr>
              <w:t>Организация/</w:t>
            </w:r>
            <w:r w:rsidR="00DD502C" w:rsidRPr="00452D19">
              <w:rPr>
                <w:rFonts w:ascii="Verdana" w:hAnsi="Verdana"/>
                <w:b/>
                <w:sz w:val="20"/>
                <w:szCs w:val="20"/>
              </w:rPr>
              <w:t xml:space="preserve"> </w:t>
            </w:r>
            <w:r w:rsidR="00DD502C" w:rsidRPr="00452D19">
              <w:rPr>
                <w:rFonts w:ascii="Verdana" w:hAnsi="Verdana"/>
                <w:b/>
                <w:sz w:val="20"/>
                <w:szCs w:val="20"/>
              </w:rPr>
              <w:br/>
            </w:r>
            <w:r w:rsidRPr="00452D19">
              <w:rPr>
                <w:rFonts w:ascii="Verdana" w:hAnsi="Verdana"/>
                <w:b/>
                <w:sz w:val="20"/>
                <w:szCs w:val="20"/>
              </w:rPr>
              <w:t>потребител</w:t>
            </w:r>
          </w:p>
          <w:p w:rsidR="005424B9" w:rsidRPr="00E83913" w:rsidRDefault="00291E9B" w:rsidP="00DD502C">
            <w:pPr>
              <w:spacing w:after="20"/>
              <w:jc w:val="center"/>
              <w:rPr>
                <w:rFonts w:ascii="Verdana" w:hAnsi="Verdana"/>
                <w:b/>
                <w:sz w:val="13"/>
                <w:szCs w:val="13"/>
              </w:rPr>
            </w:pPr>
            <w:r w:rsidRPr="00E83913">
              <w:rPr>
                <w:rFonts w:ascii="Verdana" w:hAnsi="Verdana"/>
                <w:b/>
                <w:sz w:val="13"/>
                <w:szCs w:val="13"/>
              </w:rPr>
              <w:t>(</w:t>
            </w:r>
            <w:r w:rsidR="005424B9" w:rsidRPr="00E83913">
              <w:rPr>
                <w:rFonts w:ascii="Verdana" w:hAnsi="Verdana"/>
                <w:b/>
                <w:sz w:val="13"/>
                <w:szCs w:val="13"/>
              </w:rPr>
              <w:t>вкл. начина на получаване на предложението</w:t>
            </w:r>
            <w:r w:rsidRPr="00E83913">
              <w:rPr>
                <w:rFonts w:ascii="Verdana" w:hAnsi="Verdana"/>
                <w:b/>
                <w:sz w:val="13"/>
                <w:szCs w:val="13"/>
              </w:rPr>
              <w:t>)</w:t>
            </w:r>
          </w:p>
        </w:tc>
        <w:tc>
          <w:tcPr>
            <w:tcW w:w="6042" w:type="dxa"/>
            <w:tcBorders>
              <w:bottom w:val="single" w:sz="12" w:space="0" w:color="2E74B5"/>
            </w:tcBorders>
            <w:shd w:val="clear" w:color="auto" w:fill="DEEAF6"/>
            <w:vAlign w:val="center"/>
          </w:tcPr>
          <w:p w:rsidR="00E220AD" w:rsidRPr="00452D19" w:rsidRDefault="00E220AD" w:rsidP="00E220AD">
            <w:pPr>
              <w:jc w:val="center"/>
              <w:rPr>
                <w:rFonts w:ascii="Verdana" w:hAnsi="Verdana"/>
                <w:b/>
                <w:sz w:val="20"/>
                <w:szCs w:val="20"/>
              </w:rPr>
            </w:pPr>
            <w:r w:rsidRPr="00452D19">
              <w:rPr>
                <w:rFonts w:ascii="Verdana" w:hAnsi="Verdana"/>
                <w:b/>
                <w:sz w:val="20"/>
                <w:szCs w:val="20"/>
              </w:rPr>
              <w:t>Бележки и предложения</w:t>
            </w:r>
          </w:p>
        </w:tc>
        <w:tc>
          <w:tcPr>
            <w:tcW w:w="1786" w:type="dxa"/>
            <w:tcBorders>
              <w:bottom w:val="single" w:sz="12" w:space="0" w:color="2E74B5"/>
            </w:tcBorders>
            <w:shd w:val="clear" w:color="auto" w:fill="DEEAF6"/>
            <w:vAlign w:val="center"/>
          </w:tcPr>
          <w:p w:rsidR="00E220AD" w:rsidRPr="00452D19" w:rsidRDefault="00E220AD" w:rsidP="00E220AD">
            <w:pPr>
              <w:jc w:val="center"/>
              <w:rPr>
                <w:rFonts w:ascii="Verdana" w:hAnsi="Verdana"/>
                <w:b/>
                <w:sz w:val="20"/>
                <w:szCs w:val="20"/>
              </w:rPr>
            </w:pPr>
            <w:r w:rsidRPr="00452D19">
              <w:rPr>
                <w:rFonts w:ascii="Verdana" w:hAnsi="Verdana"/>
                <w:b/>
                <w:sz w:val="20"/>
                <w:szCs w:val="20"/>
              </w:rPr>
              <w:t>Приети/</w:t>
            </w:r>
          </w:p>
          <w:p w:rsidR="00E220AD" w:rsidRPr="00452D19" w:rsidRDefault="00E220AD" w:rsidP="00E220AD">
            <w:pPr>
              <w:jc w:val="center"/>
              <w:rPr>
                <w:rFonts w:ascii="Verdana" w:hAnsi="Verdana"/>
                <w:b/>
                <w:sz w:val="20"/>
                <w:szCs w:val="20"/>
              </w:rPr>
            </w:pPr>
            <w:r w:rsidRPr="00452D19">
              <w:rPr>
                <w:rFonts w:ascii="Verdana" w:hAnsi="Verdana"/>
                <w:b/>
                <w:sz w:val="20"/>
                <w:szCs w:val="20"/>
              </w:rPr>
              <w:t>неприети</w:t>
            </w:r>
          </w:p>
        </w:tc>
        <w:tc>
          <w:tcPr>
            <w:tcW w:w="4790" w:type="dxa"/>
            <w:tcBorders>
              <w:bottom w:val="single" w:sz="12" w:space="0" w:color="2E74B5"/>
            </w:tcBorders>
            <w:shd w:val="clear" w:color="auto" w:fill="DEEAF6"/>
            <w:vAlign w:val="center"/>
          </w:tcPr>
          <w:p w:rsidR="00E220AD" w:rsidRPr="00452D19" w:rsidRDefault="00E220AD" w:rsidP="00E220AD">
            <w:pPr>
              <w:jc w:val="center"/>
              <w:rPr>
                <w:rFonts w:ascii="Verdana" w:hAnsi="Verdana"/>
                <w:sz w:val="20"/>
                <w:szCs w:val="20"/>
              </w:rPr>
            </w:pPr>
            <w:r w:rsidRPr="00452D19">
              <w:rPr>
                <w:rFonts w:ascii="Verdana" w:hAnsi="Verdana"/>
                <w:b/>
                <w:sz w:val="20"/>
                <w:szCs w:val="20"/>
              </w:rPr>
              <w:t>Мотиви</w:t>
            </w:r>
          </w:p>
        </w:tc>
      </w:tr>
      <w:tr w:rsidR="002A5AE6" w:rsidRPr="00452D19" w:rsidTr="007424CB">
        <w:trPr>
          <w:trHeight w:val="376"/>
          <w:jc w:val="center"/>
        </w:trPr>
        <w:tc>
          <w:tcPr>
            <w:tcW w:w="622" w:type="dxa"/>
            <w:vMerge w:val="restart"/>
            <w:tcBorders>
              <w:bottom w:val="single" w:sz="4" w:space="0" w:color="auto"/>
            </w:tcBorders>
            <w:shd w:val="clear" w:color="auto" w:fill="auto"/>
          </w:tcPr>
          <w:p w:rsidR="002A5AE6" w:rsidRPr="00452D19" w:rsidRDefault="002A5AE6"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val="restart"/>
            <w:tcBorders>
              <w:bottom w:val="single" w:sz="4" w:space="0" w:color="auto"/>
            </w:tcBorders>
            <w:shd w:val="clear" w:color="auto" w:fill="auto"/>
          </w:tcPr>
          <w:p w:rsidR="002A5AE6" w:rsidRPr="00452D19" w:rsidRDefault="009318BC" w:rsidP="009318BC">
            <w:pPr>
              <w:spacing w:before="40" w:after="20"/>
              <w:rPr>
                <w:rFonts w:ascii="Verdana" w:hAnsi="Verdana"/>
                <w:b/>
                <w:sz w:val="20"/>
                <w:szCs w:val="20"/>
                <w:lang w:val="ru-RU"/>
              </w:rPr>
            </w:pPr>
            <w:r w:rsidRPr="00452D19">
              <w:rPr>
                <w:rFonts w:ascii="Verdana" w:hAnsi="Verdana"/>
                <w:b/>
                <w:bCs/>
                <w:color w:val="000000"/>
                <w:spacing w:val="-2"/>
                <w:sz w:val="20"/>
                <w:szCs w:val="20"/>
              </w:rPr>
              <w:t>БРАНШОВА КАМАРА НА МЕСОДАЙНОТО ЖИВОТНОВЪДСТВО</w:t>
            </w:r>
            <w:r w:rsidRPr="00452D19">
              <w:rPr>
                <w:rFonts w:ascii="Verdana" w:hAnsi="Verdana"/>
                <w:b/>
                <w:bCs/>
                <w:color w:val="000000"/>
                <w:spacing w:val="-2"/>
                <w:sz w:val="20"/>
                <w:szCs w:val="20"/>
              </w:rPr>
              <w:br/>
            </w:r>
            <w:r w:rsidRPr="00452D19">
              <w:rPr>
                <w:rFonts w:ascii="Verdana" w:hAnsi="Verdana"/>
                <w:bCs/>
                <w:color w:val="000000"/>
                <w:spacing w:val="-2"/>
                <w:sz w:val="20"/>
                <w:szCs w:val="20"/>
                <w:lang w:val="ru-RU"/>
              </w:rPr>
              <w:t>(</w:t>
            </w:r>
            <w:r w:rsidRPr="00452D19">
              <w:rPr>
                <w:rFonts w:ascii="Verdana" w:hAnsi="Verdana"/>
                <w:bCs/>
                <w:color w:val="000000"/>
                <w:spacing w:val="-2"/>
                <w:sz w:val="20"/>
                <w:szCs w:val="20"/>
              </w:rPr>
              <w:t>постъпило по електронен път</w:t>
            </w:r>
            <w:r w:rsidRPr="00452D19">
              <w:rPr>
                <w:rFonts w:ascii="Verdana" w:hAnsi="Verdana"/>
                <w:bCs/>
                <w:color w:val="000000"/>
                <w:spacing w:val="-2"/>
                <w:sz w:val="20"/>
                <w:szCs w:val="20"/>
                <w:lang w:val="ru-RU"/>
              </w:rPr>
              <w:t>)</w:t>
            </w:r>
          </w:p>
        </w:tc>
        <w:tc>
          <w:tcPr>
            <w:tcW w:w="6042" w:type="dxa"/>
            <w:tcBorders>
              <w:bottom w:val="nil"/>
            </w:tcBorders>
            <w:shd w:val="clear" w:color="auto" w:fill="auto"/>
          </w:tcPr>
          <w:p w:rsidR="002A5AE6" w:rsidRPr="00452D19" w:rsidRDefault="009318BC" w:rsidP="00910FCC">
            <w:pPr>
              <w:spacing w:before="80" w:after="40"/>
              <w:jc w:val="both"/>
              <w:rPr>
                <w:rFonts w:ascii="Verdana" w:hAnsi="Verdana"/>
                <w:sz w:val="20"/>
                <w:szCs w:val="20"/>
                <w:lang w:val="ru-RU"/>
              </w:rPr>
            </w:pPr>
            <w:r w:rsidRPr="00452D19">
              <w:rPr>
                <w:rFonts w:ascii="Verdana" w:hAnsi="Verdana"/>
                <w:sz w:val="20"/>
                <w:szCs w:val="20"/>
              </w:rPr>
              <w:t>С настоящето становище призоваваме, за по ясно прецизиране на текстовете в посочените по-долу точки, настоявайки че колкото по-детайлно и ясно са обяснени всички специфики, толкова по-малко е възможността за двузначно тълкуване на наредбата.</w:t>
            </w:r>
          </w:p>
        </w:tc>
        <w:tc>
          <w:tcPr>
            <w:tcW w:w="1786" w:type="dxa"/>
            <w:tcBorders>
              <w:bottom w:val="nil"/>
            </w:tcBorders>
            <w:shd w:val="clear" w:color="auto" w:fill="auto"/>
          </w:tcPr>
          <w:p w:rsidR="002A5AE6" w:rsidRPr="00452D19" w:rsidRDefault="009318BC" w:rsidP="00910FCC">
            <w:pPr>
              <w:spacing w:before="80" w:after="40"/>
              <w:jc w:val="both"/>
              <w:rPr>
                <w:rFonts w:ascii="Verdana" w:hAnsi="Verdana"/>
                <w:color w:val="000000"/>
                <w:sz w:val="20"/>
                <w:szCs w:val="20"/>
              </w:rPr>
            </w:pPr>
            <w:r w:rsidRPr="00105B7D">
              <w:rPr>
                <w:rFonts w:ascii="Verdana" w:hAnsi="Verdana"/>
                <w:color w:val="000000" w:themeColor="text1"/>
                <w:sz w:val="20"/>
                <w:szCs w:val="20"/>
              </w:rPr>
              <w:t>Приема се</w:t>
            </w:r>
            <w:r w:rsidR="00015F4F" w:rsidRPr="00105B7D">
              <w:rPr>
                <w:rFonts w:ascii="Verdana" w:hAnsi="Verdana"/>
                <w:color w:val="000000" w:themeColor="text1"/>
                <w:sz w:val="20"/>
                <w:szCs w:val="20"/>
              </w:rPr>
              <w:t xml:space="preserve"> по принцип</w:t>
            </w:r>
          </w:p>
        </w:tc>
        <w:tc>
          <w:tcPr>
            <w:tcW w:w="4790" w:type="dxa"/>
            <w:tcBorders>
              <w:bottom w:val="nil"/>
            </w:tcBorders>
            <w:shd w:val="clear" w:color="auto" w:fill="auto"/>
          </w:tcPr>
          <w:p w:rsidR="002A5AE6" w:rsidRPr="003B5492" w:rsidRDefault="00015F4F" w:rsidP="003B5492">
            <w:pPr>
              <w:overflowPunct w:val="0"/>
              <w:autoSpaceDE w:val="0"/>
              <w:autoSpaceDN w:val="0"/>
              <w:adjustRightInd w:val="0"/>
              <w:spacing w:before="80" w:after="40"/>
              <w:jc w:val="both"/>
              <w:textAlignment w:val="baseline"/>
              <w:rPr>
                <w:rFonts w:ascii="Verdana" w:hAnsi="Verdana"/>
                <w:sz w:val="20"/>
                <w:szCs w:val="20"/>
                <w:lang w:eastAsia="en-US"/>
              </w:rPr>
            </w:pPr>
            <w:r w:rsidRPr="00452D19">
              <w:rPr>
                <w:rFonts w:ascii="Verdana" w:hAnsi="Verdana"/>
                <w:sz w:val="20"/>
                <w:szCs w:val="20"/>
                <w:lang w:eastAsia="en-US"/>
              </w:rPr>
              <w:t xml:space="preserve">От значение за подобряването на организационният процес е изготвянето на </w:t>
            </w:r>
            <w:r w:rsidR="00A12B33" w:rsidRPr="00452D19">
              <w:rPr>
                <w:rFonts w:ascii="Verdana" w:hAnsi="Verdana"/>
                <w:sz w:val="20"/>
                <w:szCs w:val="20"/>
                <w:lang w:eastAsia="en-US"/>
              </w:rPr>
              <w:t>настоящата</w:t>
            </w:r>
            <w:r w:rsidRPr="00452D19">
              <w:rPr>
                <w:rFonts w:ascii="Verdana" w:hAnsi="Verdana"/>
                <w:sz w:val="20"/>
                <w:szCs w:val="20"/>
                <w:lang w:eastAsia="en-US"/>
              </w:rPr>
              <w:t xml:space="preserve"> наредба, обхващаща всички етапи и дейности по прилагането на мерките по профилактика, ограничаване и ликвидиране на болестта Антракс, подчинени на специфичността на тази особено опасна заразна болест по животните и човека. Създаването на актуална нормативна рамка, с оглед устойчивостта на спорите на причинителя на болестта и броя на регистрираните 164 населени места от 1985 г. насам в страната ни </w:t>
            </w:r>
            <w:r w:rsidRPr="00452D19">
              <w:rPr>
                <w:rFonts w:ascii="Verdana" w:hAnsi="Verdana"/>
                <w:sz w:val="20"/>
                <w:szCs w:val="20"/>
              </w:rPr>
              <w:t>ще окаже положително въздействие за повишаване на адекватността на изпълнение на задълженията както на ветеринарномедицинските органи, така и на физическите лица - собственици или ползватели на животновъдни обекти</w:t>
            </w:r>
            <w:r w:rsidRPr="00452D19">
              <w:rPr>
                <w:rFonts w:ascii="Verdana" w:hAnsi="Verdana"/>
                <w:sz w:val="20"/>
                <w:szCs w:val="20"/>
                <w:lang w:eastAsia="en-US"/>
              </w:rPr>
              <w:t>.</w:t>
            </w:r>
          </w:p>
        </w:tc>
      </w:tr>
      <w:tr w:rsidR="009318BC" w:rsidRPr="00452D19" w:rsidTr="007424CB">
        <w:trPr>
          <w:trHeight w:val="234"/>
          <w:jc w:val="center"/>
        </w:trPr>
        <w:tc>
          <w:tcPr>
            <w:tcW w:w="622" w:type="dxa"/>
            <w:vMerge/>
            <w:tcBorders>
              <w:bottom w:val="single" w:sz="4" w:space="0" w:color="auto"/>
            </w:tcBorders>
            <w:shd w:val="clear" w:color="auto" w:fill="auto"/>
          </w:tcPr>
          <w:p w:rsidR="009318BC" w:rsidRPr="00452D19" w:rsidRDefault="009318BC"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9318BC" w:rsidRPr="00452D19" w:rsidRDefault="009318BC"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9318BC" w:rsidRPr="00452D19" w:rsidRDefault="009318BC" w:rsidP="00910FCC">
            <w:pPr>
              <w:spacing w:before="80" w:after="40"/>
              <w:jc w:val="both"/>
              <w:rPr>
                <w:rFonts w:ascii="Verdana" w:hAnsi="Verdana"/>
                <w:sz w:val="20"/>
                <w:szCs w:val="20"/>
              </w:rPr>
            </w:pPr>
            <w:r w:rsidRPr="00452D19">
              <w:rPr>
                <w:rFonts w:ascii="Verdana" w:hAnsi="Verdana"/>
                <w:sz w:val="20"/>
                <w:szCs w:val="20"/>
              </w:rPr>
              <w:t>КОМЕНТАРИ И ПРЕДЛОЖЕНИЯ ПО РАЗДЕЛИ:</w:t>
            </w:r>
          </w:p>
        </w:tc>
        <w:tc>
          <w:tcPr>
            <w:tcW w:w="1786" w:type="dxa"/>
            <w:tcBorders>
              <w:top w:val="nil"/>
              <w:bottom w:val="nil"/>
            </w:tcBorders>
            <w:shd w:val="clear" w:color="auto" w:fill="auto"/>
          </w:tcPr>
          <w:p w:rsidR="009318BC" w:rsidRPr="00105B7D" w:rsidRDefault="009318BC" w:rsidP="00910FCC">
            <w:pPr>
              <w:spacing w:before="80" w:after="40"/>
              <w:rPr>
                <w:rFonts w:ascii="Verdana" w:hAnsi="Verdana"/>
                <w:color w:val="000000" w:themeColor="text1"/>
                <w:sz w:val="20"/>
                <w:szCs w:val="20"/>
              </w:rPr>
            </w:pPr>
          </w:p>
        </w:tc>
        <w:tc>
          <w:tcPr>
            <w:tcW w:w="4790" w:type="dxa"/>
            <w:tcBorders>
              <w:top w:val="nil"/>
              <w:bottom w:val="nil"/>
            </w:tcBorders>
            <w:shd w:val="clear" w:color="auto" w:fill="auto"/>
          </w:tcPr>
          <w:p w:rsidR="009318BC" w:rsidRPr="00452D19" w:rsidRDefault="009318BC" w:rsidP="00910FCC">
            <w:pPr>
              <w:widowControl w:val="0"/>
              <w:autoSpaceDE w:val="0"/>
              <w:autoSpaceDN w:val="0"/>
              <w:adjustRightInd w:val="0"/>
              <w:spacing w:before="80" w:after="40"/>
              <w:jc w:val="both"/>
              <w:rPr>
                <w:rFonts w:ascii="Verdana" w:hAnsi="Verdana"/>
                <w:sz w:val="20"/>
                <w:szCs w:val="20"/>
              </w:rPr>
            </w:pPr>
          </w:p>
        </w:tc>
      </w:tr>
      <w:tr w:rsidR="009318BC" w:rsidRPr="00452D19" w:rsidTr="007424CB">
        <w:trPr>
          <w:trHeight w:val="596"/>
          <w:jc w:val="center"/>
        </w:trPr>
        <w:tc>
          <w:tcPr>
            <w:tcW w:w="622" w:type="dxa"/>
            <w:vMerge/>
            <w:tcBorders>
              <w:bottom w:val="single" w:sz="4" w:space="0" w:color="auto"/>
            </w:tcBorders>
            <w:shd w:val="clear" w:color="auto" w:fill="auto"/>
          </w:tcPr>
          <w:p w:rsidR="009318BC" w:rsidRPr="00452D19" w:rsidRDefault="009318BC"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9318BC" w:rsidRPr="00452D19" w:rsidRDefault="009318BC"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9318BC" w:rsidRPr="00452D19" w:rsidRDefault="009318BC" w:rsidP="00910FCC">
            <w:pPr>
              <w:spacing w:before="80" w:after="40"/>
              <w:jc w:val="both"/>
              <w:rPr>
                <w:rFonts w:ascii="Verdana" w:hAnsi="Verdana"/>
                <w:sz w:val="20"/>
                <w:szCs w:val="20"/>
              </w:rPr>
            </w:pPr>
            <w:r w:rsidRPr="00452D19">
              <w:rPr>
                <w:rFonts w:ascii="Verdana" w:hAnsi="Verdana"/>
                <w:sz w:val="20"/>
                <w:szCs w:val="20"/>
              </w:rPr>
              <w:t>Раздел I</w:t>
            </w:r>
          </w:p>
          <w:p w:rsidR="009318BC" w:rsidRPr="00452D19" w:rsidRDefault="009318BC" w:rsidP="00910FCC">
            <w:pPr>
              <w:spacing w:before="80" w:after="40"/>
              <w:jc w:val="both"/>
              <w:rPr>
                <w:rFonts w:ascii="Verdana" w:hAnsi="Verdana"/>
                <w:sz w:val="20"/>
                <w:szCs w:val="20"/>
              </w:rPr>
            </w:pPr>
            <w:r w:rsidRPr="00452D19">
              <w:rPr>
                <w:rFonts w:ascii="Verdana" w:hAnsi="Verdana"/>
                <w:sz w:val="20"/>
                <w:szCs w:val="20"/>
              </w:rPr>
              <w:t>Общопрофилактични и санитарно-хигиенни мерки</w:t>
            </w:r>
          </w:p>
        </w:tc>
        <w:tc>
          <w:tcPr>
            <w:tcW w:w="1786" w:type="dxa"/>
            <w:tcBorders>
              <w:top w:val="nil"/>
              <w:bottom w:val="nil"/>
            </w:tcBorders>
            <w:shd w:val="clear" w:color="auto" w:fill="auto"/>
          </w:tcPr>
          <w:p w:rsidR="009318BC" w:rsidRPr="00452D19" w:rsidRDefault="009318BC" w:rsidP="00910FCC">
            <w:pPr>
              <w:spacing w:before="80" w:after="40"/>
              <w:jc w:val="both"/>
              <w:rPr>
                <w:rFonts w:ascii="Verdana" w:hAnsi="Verdana"/>
                <w:color w:val="000000"/>
                <w:sz w:val="20"/>
                <w:szCs w:val="20"/>
              </w:rPr>
            </w:pPr>
          </w:p>
        </w:tc>
        <w:tc>
          <w:tcPr>
            <w:tcW w:w="4790" w:type="dxa"/>
            <w:tcBorders>
              <w:top w:val="nil"/>
              <w:bottom w:val="nil"/>
            </w:tcBorders>
            <w:shd w:val="clear" w:color="auto" w:fill="auto"/>
          </w:tcPr>
          <w:p w:rsidR="009318BC" w:rsidRPr="00452D19" w:rsidRDefault="009318BC" w:rsidP="00910FCC">
            <w:pPr>
              <w:spacing w:before="80" w:after="40"/>
              <w:jc w:val="both"/>
              <w:rPr>
                <w:rFonts w:ascii="Verdana" w:hAnsi="Verdana"/>
                <w:sz w:val="20"/>
                <w:szCs w:val="20"/>
              </w:rPr>
            </w:pPr>
          </w:p>
        </w:tc>
      </w:tr>
      <w:tr w:rsidR="009318BC" w:rsidRPr="00452D19" w:rsidTr="007424CB">
        <w:trPr>
          <w:trHeight w:val="596"/>
          <w:jc w:val="center"/>
        </w:trPr>
        <w:tc>
          <w:tcPr>
            <w:tcW w:w="622" w:type="dxa"/>
            <w:vMerge/>
            <w:tcBorders>
              <w:bottom w:val="single" w:sz="4" w:space="0" w:color="auto"/>
            </w:tcBorders>
            <w:shd w:val="clear" w:color="auto" w:fill="auto"/>
          </w:tcPr>
          <w:p w:rsidR="009318BC" w:rsidRPr="00452D19" w:rsidRDefault="009318BC"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9318BC" w:rsidRPr="00452D19" w:rsidRDefault="009318BC"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9318BC" w:rsidRPr="00452D19" w:rsidRDefault="009318BC" w:rsidP="00910FCC">
            <w:pPr>
              <w:spacing w:before="80" w:after="40"/>
              <w:jc w:val="both"/>
              <w:rPr>
                <w:rFonts w:ascii="Verdana" w:hAnsi="Verdana"/>
                <w:sz w:val="20"/>
                <w:szCs w:val="20"/>
              </w:rPr>
            </w:pPr>
            <w:r w:rsidRPr="00452D19">
              <w:rPr>
                <w:rFonts w:ascii="Verdana" w:hAnsi="Verdana"/>
                <w:sz w:val="20"/>
                <w:szCs w:val="20"/>
              </w:rPr>
              <w:t>Чл. 6. (1) Българската агенция по безопасност на храните прилага Общопрофилактични и санитарно-хигиенни мерки за предотвратяване на риска от зара</w:t>
            </w:r>
            <w:r w:rsidRPr="00452D19">
              <w:rPr>
                <w:rFonts w:ascii="Verdana" w:hAnsi="Verdana"/>
                <w:sz w:val="20"/>
                <w:szCs w:val="20"/>
              </w:rPr>
              <w:lastRenderedPageBreak/>
              <w:t>зяване на животните с антракс.</w:t>
            </w:r>
          </w:p>
        </w:tc>
        <w:tc>
          <w:tcPr>
            <w:tcW w:w="1786" w:type="dxa"/>
            <w:tcBorders>
              <w:top w:val="nil"/>
              <w:bottom w:val="nil"/>
            </w:tcBorders>
            <w:shd w:val="clear" w:color="auto" w:fill="auto"/>
          </w:tcPr>
          <w:p w:rsidR="009318BC" w:rsidRPr="00452D19" w:rsidRDefault="009318BC" w:rsidP="00910FCC">
            <w:pPr>
              <w:spacing w:before="80" w:after="40"/>
              <w:rPr>
                <w:rFonts w:ascii="Verdana" w:hAnsi="Verdana"/>
                <w:color w:val="000000"/>
                <w:sz w:val="20"/>
                <w:szCs w:val="20"/>
              </w:rPr>
            </w:pPr>
          </w:p>
        </w:tc>
        <w:tc>
          <w:tcPr>
            <w:tcW w:w="4790" w:type="dxa"/>
            <w:tcBorders>
              <w:top w:val="nil"/>
              <w:bottom w:val="nil"/>
            </w:tcBorders>
            <w:shd w:val="clear" w:color="auto" w:fill="auto"/>
          </w:tcPr>
          <w:p w:rsidR="009318BC" w:rsidRPr="00452D19" w:rsidRDefault="009318BC" w:rsidP="00910FCC">
            <w:pPr>
              <w:spacing w:before="80" w:after="40"/>
              <w:jc w:val="both"/>
              <w:rPr>
                <w:rFonts w:ascii="Verdana" w:hAnsi="Verdana"/>
                <w:sz w:val="20"/>
                <w:szCs w:val="20"/>
              </w:rPr>
            </w:pPr>
          </w:p>
        </w:tc>
      </w:tr>
      <w:tr w:rsidR="009318BC" w:rsidRPr="00452D19" w:rsidTr="007424CB">
        <w:trPr>
          <w:trHeight w:val="596"/>
          <w:jc w:val="center"/>
        </w:trPr>
        <w:tc>
          <w:tcPr>
            <w:tcW w:w="622" w:type="dxa"/>
            <w:vMerge/>
            <w:tcBorders>
              <w:bottom w:val="single" w:sz="4" w:space="0" w:color="auto"/>
            </w:tcBorders>
            <w:shd w:val="clear" w:color="auto" w:fill="auto"/>
          </w:tcPr>
          <w:p w:rsidR="009318BC" w:rsidRPr="00452D19" w:rsidRDefault="009318BC"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9318BC" w:rsidRPr="00452D19" w:rsidRDefault="009318BC"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9318BC" w:rsidRPr="00452D19" w:rsidRDefault="009318BC" w:rsidP="00910FCC">
            <w:pPr>
              <w:spacing w:before="80" w:after="40"/>
              <w:jc w:val="both"/>
              <w:rPr>
                <w:rFonts w:ascii="Verdana" w:hAnsi="Verdana"/>
                <w:sz w:val="20"/>
                <w:szCs w:val="20"/>
              </w:rPr>
            </w:pPr>
            <w:r w:rsidRPr="00452D19">
              <w:rPr>
                <w:rFonts w:ascii="Verdana" w:hAnsi="Verdana"/>
                <w:sz w:val="20"/>
                <w:szCs w:val="20"/>
              </w:rPr>
              <w:t>КОМЕНТАР НА БКМЖ: Какво са общопрофилактични и санитарно-хигиенни мерки. Да бъде дадено ясно описание и какво ще коства на животновъда/какво се изисква от него?</w:t>
            </w:r>
          </w:p>
        </w:tc>
        <w:tc>
          <w:tcPr>
            <w:tcW w:w="1786" w:type="dxa"/>
            <w:tcBorders>
              <w:top w:val="nil"/>
              <w:bottom w:val="nil"/>
            </w:tcBorders>
            <w:shd w:val="clear" w:color="auto" w:fill="auto"/>
          </w:tcPr>
          <w:p w:rsidR="009318BC" w:rsidRPr="00452D19" w:rsidRDefault="007B571A" w:rsidP="003B5492">
            <w:pPr>
              <w:spacing w:before="80" w:after="40"/>
              <w:jc w:val="both"/>
              <w:rPr>
                <w:rFonts w:ascii="Verdana" w:hAnsi="Verdana"/>
                <w:color w:val="FF0000"/>
                <w:sz w:val="20"/>
                <w:szCs w:val="20"/>
              </w:rPr>
            </w:pPr>
            <w:r w:rsidRPr="00105B7D">
              <w:rPr>
                <w:rFonts w:ascii="Verdana" w:hAnsi="Verdana"/>
                <w:color w:val="000000" w:themeColor="text1"/>
                <w:sz w:val="20"/>
                <w:szCs w:val="20"/>
              </w:rPr>
              <w:t>Приема се</w:t>
            </w:r>
            <w:r w:rsidRPr="00105B7D">
              <w:rPr>
                <w:rFonts w:ascii="Verdana" w:hAnsi="Verdana"/>
                <w:color w:val="000000" w:themeColor="text1"/>
                <w:sz w:val="20"/>
                <w:szCs w:val="20"/>
                <w:lang w:val="en-US"/>
              </w:rPr>
              <w:t xml:space="preserve"> </w:t>
            </w:r>
            <w:r w:rsidRPr="00105B7D">
              <w:rPr>
                <w:rFonts w:ascii="Verdana" w:hAnsi="Verdana"/>
                <w:color w:val="000000" w:themeColor="text1"/>
                <w:sz w:val="20"/>
                <w:szCs w:val="20"/>
              </w:rPr>
              <w:t>по принцип</w:t>
            </w:r>
          </w:p>
        </w:tc>
        <w:tc>
          <w:tcPr>
            <w:tcW w:w="4790" w:type="dxa"/>
            <w:tcBorders>
              <w:top w:val="nil"/>
              <w:bottom w:val="nil"/>
            </w:tcBorders>
            <w:shd w:val="clear" w:color="auto" w:fill="auto"/>
          </w:tcPr>
          <w:p w:rsidR="009318BC" w:rsidRPr="007B571A" w:rsidRDefault="007B571A" w:rsidP="00910FCC">
            <w:pPr>
              <w:widowControl w:val="0"/>
              <w:autoSpaceDE w:val="0"/>
              <w:autoSpaceDN w:val="0"/>
              <w:adjustRightInd w:val="0"/>
              <w:spacing w:before="80" w:after="40"/>
              <w:jc w:val="both"/>
              <w:rPr>
                <w:rFonts w:ascii="Verdana" w:eastAsia="Calibri" w:hAnsi="Verdana"/>
                <w:sz w:val="20"/>
                <w:szCs w:val="20"/>
              </w:rPr>
            </w:pPr>
            <w:r w:rsidRPr="00452D19">
              <w:rPr>
                <w:rFonts w:ascii="Verdana" w:eastAsia="Calibri" w:hAnsi="Verdana"/>
                <w:bCs/>
                <w:sz w:val="20"/>
                <w:szCs w:val="20"/>
              </w:rPr>
              <w:t>В чл. 4 от проекта на наредбата</w:t>
            </w:r>
            <w:r w:rsidRPr="00452D19">
              <w:rPr>
                <w:rFonts w:ascii="Verdana" w:eastAsia="Calibri" w:hAnsi="Verdana"/>
                <w:sz w:val="20"/>
                <w:szCs w:val="20"/>
              </w:rPr>
              <w:t xml:space="preserve"> са конкретизирани кои са мерките за профилактика, ограничаване и ликвидиране на болестта антракс и се реферира към глава шеста, раздел І от Закона за ветеринарномедицинска дейност (ЗВД), тъй като се спазва принципа да не се преписват текстове на законодателни разпоредби. </w:t>
            </w:r>
            <w:r>
              <w:rPr>
                <w:rFonts w:ascii="Verdana" w:eastAsia="Calibri" w:hAnsi="Verdana"/>
                <w:sz w:val="20"/>
                <w:szCs w:val="20"/>
              </w:rPr>
              <w:t>В</w:t>
            </w:r>
            <w:r w:rsidRPr="00452D19">
              <w:rPr>
                <w:rFonts w:ascii="Verdana" w:eastAsia="Calibri" w:hAnsi="Verdana"/>
                <w:sz w:val="20"/>
                <w:szCs w:val="20"/>
              </w:rPr>
              <w:t xml:space="preserve"> </w:t>
            </w:r>
            <w:r>
              <w:rPr>
                <w:rFonts w:ascii="Verdana" w:eastAsia="Calibri" w:hAnsi="Verdana"/>
                <w:sz w:val="20"/>
                <w:szCs w:val="20"/>
              </w:rPr>
              <w:t>ЗВД</w:t>
            </w:r>
            <w:r w:rsidRPr="00452D19">
              <w:rPr>
                <w:rFonts w:ascii="Verdana" w:eastAsia="Calibri" w:hAnsi="Verdana"/>
                <w:sz w:val="20"/>
                <w:szCs w:val="20"/>
              </w:rPr>
              <w:t xml:space="preserve"> ясно са </w:t>
            </w:r>
            <w:r>
              <w:rPr>
                <w:rFonts w:ascii="Verdana" w:eastAsia="Calibri" w:hAnsi="Verdana"/>
                <w:sz w:val="20"/>
                <w:szCs w:val="20"/>
              </w:rPr>
              <w:t>регламентирани</w:t>
            </w:r>
            <w:r w:rsidRPr="00452D19">
              <w:rPr>
                <w:rFonts w:ascii="Verdana" w:eastAsia="Calibri" w:hAnsi="Verdana"/>
                <w:sz w:val="20"/>
                <w:szCs w:val="20"/>
              </w:rPr>
              <w:t xml:space="preserve"> мерките, които е необходимо да се приложат. </w:t>
            </w:r>
          </w:p>
        </w:tc>
      </w:tr>
      <w:tr w:rsidR="009318BC" w:rsidRPr="00452D19" w:rsidTr="007424CB">
        <w:trPr>
          <w:trHeight w:val="596"/>
          <w:jc w:val="center"/>
        </w:trPr>
        <w:tc>
          <w:tcPr>
            <w:tcW w:w="622" w:type="dxa"/>
            <w:vMerge/>
            <w:tcBorders>
              <w:bottom w:val="single" w:sz="4" w:space="0" w:color="auto"/>
            </w:tcBorders>
            <w:shd w:val="clear" w:color="auto" w:fill="auto"/>
          </w:tcPr>
          <w:p w:rsidR="009318BC" w:rsidRPr="00452D19" w:rsidRDefault="009318BC"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9318BC" w:rsidRPr="00452D19" w:rsidRDefault="009318BC"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Чл. 8. В стационарните антраксни огнища и застрашените територии, Областната дирекция за безопасност на храните (ОДБХ), на чиято територия се намират огнищата, провежда, една или няколко от следните общопрофилактични и санитарно-хигиенни мерки, в зависимост от епизоотичната обстановка:</w:t>
            </w:r>
          </w:p>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1. постоянен епизоотологичен надзор с клинични прегледи и проверка на идентичността на животните;</w:t>
            </w:r>
          </w:p>
          <w:p w:rsidR="009318BC" w:rsidRPr="00452D19" w:rsidRDefault="00D81B26" w:rsidP="00910FCC">
            <w:pPr>
              <w:spacing w:before="80" w:after="40"/>
              <w:jc w:val="both"/>
              <w:rPr>
                <w:rFonts w:ascii="Verdana" w:hAnsi="Verdana"/>
                <w:sz w:val="20"/>
                <w:szCs w:val="20"/>
              </w:rPr>
            </w:pPr>
            <w:r w:rsidRPr="00452D19">
              <w:rPr>
                <w:rFonts w:ascii="Verdana" w:hAnsi="Verdana"/>
                <w:sz w:val="20"/>
                <w:szCs w:val="20"/>
              </w:rPr>
              <w:t>2. задължителни лабораторни изследвания на болни и умрели животни, както и на животни, заклани по необходимост;</w:t>
            </w:r>
          </w:p>
        </w:tc>
        <w:tc>
          <w:tcPr>
            <w:tcW w:w="1786" w:type="dxa"/>
            <w:tcBorders>
              <w:top w:val="nil"/>
              <w:bottom w:val="nil"/>
            </w:tcBorders>
            <w:shd w:val="clear" w:color="auto" w:fill="auto"/>
          </w:tcPr>
          <w:p w:rsidR="009318BC" w:rsidRPr="00452D19" w:rsidRDefault="009318BC" w:rsidP="00910FCC">
            <w:pPr>
              <w:spacing w:before="80" w:after="40"/>
              <w:rPr>
                <w:rFonts w:ascii="Verdana" w:hAnsi="Verdana"/>
                <w:color w:val="000000"/>
                <w:sz w:val="20"/>
                <w:szCs w:val="20"/>
              </w:rPr>
            </w:pPr>
          </w:p>
        </w:tc>
        <w:tc>
          <w:tcPr>
            <w:tcW w:w="4790" w:type="dxa"/>
            <w:tcBorders>
              <w:top w:val="nil"/>
              <w:bottom w:val="nil"/>
            </w:tcBorders>
            <w:shd w:val="clear" w:color="auto" w:fill="auto"/>
          </w:tcPr>
          <w:p w:rsidR="009318BC" w:rsidRPr="00452D19" w:rsidRDefault="009318BC" w:rsidP="00910FCC">
            <w:pPr>
              <w:spacing w:before="80" w:after="40"/>
              <w:jc w:val="both"/>
              <w:rPr>
                <w:rFonts w:ascii="Verdana" w:hAnsi="Verdana"/>
                <w:sz w:val="20"/>
                <w:szCs w:val="20"/>
              </w:rPr>
            </w:pPr>
          </w:p>
        </w:tc>
      </w:tr>
      <w:tr w:rsidR="009318BC" w:rsidRPr="00452D19" w:rsidTr="007424CB">
        <w:trPr>
          <w:trHeight w:val="596"/>
          <w:jc w:val="center"/>
        </w:trPr>
        <w:tc>
          <w:tcPr>
            <w:tcW w:w="622" w:type="dxa"/>
            <w:vMerge/>
            <w:tcBorders>
              <w:bottom w:val="single" w:sz="4" w:space="0" w:color="auto"/>
            </w:tcBorders>
            <w:shd w:val="clear" w:color="auto" w:fill="auto"/>
          </w:tcPr>
          <w:p w:rsidR="009318BC" w:rsidRPr="00452D19" w:rsidRDefault="009318BC"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9318BC" w:rsidRPr="00452D19" w:rsidRDefault="009318BC"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КОМЕНТАР</w:t>
            </w:r>
            <w:r w:rsidRPr="00452D19">
              <w:rPr>
                <w:rFonts w:ascii="Verdana" w:hAnsi="Verdana"/>
                <w:sz w:val="20"/>
                <w:szCs w:val="20"/>
                <w:lang w:val="ru-RU"/>
              </w:rPr>
              <w:t xml:space="preserve"> </w:t>
            </w:r>
            <w:r w:rsidRPr="00452D19">
              <w:rPr>
                <w:rFonts w:ascii="Verdana" w:hAnsi="Verdana"/>
                <w:sz w:val="20"/>
                <w:szCs w:val="20"/>
              </w:rPr>
              <w:t>НА БКМЖ: Да бъдат дефинирани ясно критерии за определяне сериозността на епизоотичната обстановка?</w:t>
            </w:r>
          </w:p>
          <w:p w:rsidR="009318BC" w:rsidRPr="00452D19" w:rsidRDefault="00D81B26" w:rsidP="00910FCC">
            <w:pPr>
              <w:spacing w:before="80" w:after="40"/>
              <w:jc w:val="both"/>
              <w:rPr>
                <w:rFonts w:ascii="Verdana" w:hAnsi="Verdana"/>
                <w:sz w:val="20"/>
                <w:szCs w:val="20"/>
              </w:rPr>
            </w:pPr>
            <w:r w:rsidRPr="00452D19">
              <w:rPr>
                <w:rFonts w:ascii="Verdana" w:hAnsi="Verdana"/>
                <w:sz w:val="20"/>
                <w:szCs w:val="20"/>
              </w:rPr>
              <w:t>Ясна дефиниция на постоянен; Колко често? Постоянен=всеки ден/седмица/месец/година? Силно не ефикасен метод за превенция на заболяване.</w:t>
            </w:r>
          </w:p>
        </w:tc>
        <w:tc>
          <w:tcPr>
            <w:tcW w:w="1786" w:type="dxa"/>
            <w:tcBorders>
              <w:top w:val="nil"/>
              <w:bottom w:val="nil"/>
            </w:tcBorders>
            <w:shd w:val="clear" w:color="auto" w:fill="auto"/>
          </w:tcPr>
          <w:p w:rsidR="009318BC" w:rsidRPr="00105B7D" w:rsidRDefault="00D81B26" w:rsidP="007424CB">
            <w:pPr>
              <w:spacing w:before="80" w:after="40"/>
              <w:jc w:val="both"/>
              <w:rPr>
                <w:rFonts w:ascii="Verdana" w:hAnsi="Verdana"/>
                <w:color w:val="000000" w:themeColor="text1"/>
                <w:sz w:val="20"/>
                <w:szCs w:val="20"/>
              </w:rPr>
            </w:pPr>
            <w:r w:rsidRPr="00105B7D">
              <w:rPr>
                <w:rFonts w:ascii="Verdana" w:hAnsi="Verdana"/>
                <w:color w:val="000000" w:themeColor="text1"/>
                <w:sz w:val="20"/>
                <w:szCs w:val="20"/>
              </w:rPr>
              <w:t>Приема се</w:t>
            </w:r>
            <w:r w:rsidR="000A7862" w:rsidRPr="00105B7D">
              <w:rPr>
                <w:rFonts w:ascii="Verdana" w:hAnsi="Verdana"/>
                <w:color w:val="000000" w:themeColor="text1"/>
                <w:sz w:val="20"/>
                <w:szCs w:val="20"/>
              </w:rPr>
              <w:t xml:space="preserve"> по принцип</w:t>
            </w:r>
          </w:p>
        </w:tc>
        <w:tc>
          <w:tcPr>
            <w:tcW w:w="4790" w:type="dxa"/>
            <w:tcBorders>
              <w:top w:val="nil"/>
              <w:bottom w:val="nil"/>
            </w:tcBorders>
            <w:shd w:val="clear" w:color="auto" w:fill="auto"/>
          </w:tcPr>
          <w:p w:rsidR="000A7862" w:rsidRPr="00452D19" w:rsidRDefault="000A7862" w:rsidP="00910FCC">
            <w:pPr>
              <w:shd w:val="clear" w:color="auto" w:fill="FFFFFF"/>
              <w:overflowPunct w:val="0"/>
              <w:autoSpaceDE w:val="0"/>
              <w:autoSpaceDN w:val="0"/>
              <w:adjustRightInd w:val="0"/>
              <w:spacing w:before="80" w:after="40"/>
              <w:jc w:val="both"/>
              <w:textAlignment w:val="baseline"/>
              <w:rPr>
                <w:rFonts w:ascii="Verdana" w:hAnsi="Verdana"/>
                <w:sz w:val="20"/>
                <w:szCs w:val="20"/>
                <w:lang w:eastAsia="en-US"/>
              </w:rPr>
            </w:pPr>
            <w:r w:rsidRPr="00452D19">
              <w:rPr>
                <w:rFonts w:ascii="Verdana" w:hAnsi="Verdana"/>
                <w:sz w:val="20"/>
                <w:szCs w:val="20"/>
                <w:lang w:eastAsia="en-US"/>
              </w:rPr>
              <w:t xml:space="preserve">В Република България се прилага постоянно действаща система за профилактика и контрол срещу заразните болести, бърза диагностика и ефективна борба при възникване на огнища на заболявания с цел ограничаването и ликвидирането им - Национална програма за профилактика, надзор, контрол и ликвидиране на болестите по животните и зоонозите (Програма). </w:t>
            </w:r>
          </w:p>
          <w:p w:rsidR="000A7862" w:rsidRPr="00452D19" w:rsidRDefault="000A7862" w:rsidP="00910FCC">
            <w:pPr>
              <w:shd w:val="clear" w:color="auto" w:fill="FFFFFF"/>
              <w:overflowPunct w:val="0"/>
              <w:autoSpaceDE w:val="0"/>
              <w:autoSpaceDN w:val="0"/>
              <w:adjustRightInd w:val="0"/>
              <w:spacing w:before="80" w:after="40"/>
              <w:jc w:val="both"/>
              <w:textAlignment w:val="baseline"/>
              <w:rPr>
                <w:rFonts w:ascii="Verdana" w:hAnsi="Verdana"/>
                <w:sz w:val="20"/>
                <w:szCs w:val="20"/>
                <w:lang w:eastAsia="en-US"/>
              </w:rPr>
            </w:pPr>
            <w:r w:rsidRPr="00452D19">
              <w:rPr>
                <w:rFonts w:ascii="Verdana" w:hAnsi="Verdana"/>
                <w:sz w:val="20"/>
                <w:szCs w:val="20"/>
                <w:lang w:eastAsia="en-US"/>
              </w:rPr>
              <w:lastRenderedPageBreak/>
              <w:t xml:space="preserve">В съответствие с чл.118, ал.1 от ЗВД, Българската агенция по безопасност на храните изготвя Програмата, срещу които ветеринарномедицинските органи провеждат мерки за профилактика, ограничаване и ликвидиране на болестите, задължителни за всички физически и юридически лица, за които се отнасят. </w:t>
            </w:r>
          </w:p>
          <w:p w:rsidR="009318BC" w:rsidRPr="007B571A" w:rsidRDefault="00763674" w:rsidP="00910FCC">
            <w:pPr>
              <w:shd w:val="clear" w:color="auto" w:fill="FFFFFF"/>
              <w:tabs>
                <w:tab w:val="left" w:pos="864"/>
              </w:tabs>
              <w:spacing w:before="80" w:after="40"/>
              <w:jc w:val="both"/>
              <w:rPr>
                <w:rFonts w:ascii="Verdana" w:hAnsi="Verdana"/>
                <w:color w:val="000000"/>
                <w:sz w:val="20"/>
                <w:szCs w:val="20"/>
                <w:lang w:eastAsia="en-US"/>
              </w:rPr>
            </w:pPr>
            <w:r w:rsidRPr="00452D19">
              <w:rPr>
                <w:rFonts w:ascii="Verdana" w:hAnsi="Verdana"/>
                <w:sz w:val="20"/>
                <w:szCs w:val="20"/>
                <w:lang w:eastAsia="en-US"/>
              </w:rPr>
              <w:t xml:space="preserve">В </w:t>
            </w:r>
            <w:r w:rsidR="000A7862" w:rsidRPr="00452D19">
              <w:rPr>
                <w:rFonts w:ascii="Verdana" w:hAnsi="Verdana"/>
                <w:sz w:val="20"/>
                <w:szCs w:val="20"/>
                <w:lang w:eastAsia="en-US"/>
              </w:rPr>
              <w:t>Програмата за болестта А</w:t>
            </w:r>
            <w:r w:rsidR="004A20BF">
              <w:rPr>
                <w:rFonts w:ascii="Verdana" w:hAnsi="Verdana"/>
                <w:sz w:val="20"/>
                <w:szCs w:val="20"/>
                <w:lang w:eastAsia="en-US"/>
              </w:rPr>
              <w:t>н</w:t>
            </w:r>
            <w:r w:rsidR="000A7862" w:rsidRPr="00452D19">
              <w:rPr>
                <w:rFonts w:ascii="Verdana" w:hAnsi="Verdana"/>
                <w:sz w:val="20"/>
                <w:szCs w:val="20"/>
                <w:lang w:eastAsia="en-US"/>
              </w:rPr>
              <w:t xml:space="preserve">тракс </w:t>
            </w:r>
            <w:r w:rsidRPr="00452D19">
              <w:rPr>
                <w:rFonts w:ascii="Verdana" w:hAnsi="Verdana"/>
                <w:sz w:val="20"/>
                <w:szCs w:val="20"/>
                <w:lang w:eastAsia="en-US"/>
              </w:rPr>
              <w:t xml:space="preserve">подробно е определено какви са мерките при антраксни огнища </w:t>
            </w:r>
            <w:r w:rsidR="000A7862" w:rsidRPr="00452D19">
              <w:rPr>
                <w:rFonts w:ascii="Verdana" w:hAnsi="Verdana"/>
                <w:color w:val="000000"/>
                <w:sz w:val="20"/>
                <w:szCs w:val="20"/>
                <w:lang w:eastAsia="en-US"/>
              </w:rPr>
              <w:t xml:space="preserve">в населени места, в които през последните </w:t>
            </w:r>
            <w:r w:rsidR="000A7862" w:rsidRPr="00452D19">
              <w:rPr>
                <w:rFonts w:ascii="Verdana" w:hAnsi="Verdana"/>
                <w:b/>
                <w:bCs/>
                <w:color w:val="000000"/>
                <w:sz w:val="20"/>
                <w:szCs w:val="20"/>
                <w:lang w:eastAsia="en-US"/>
              </w:rPr>
              <w:t>50 години</w:t>
            </w:r>
            <w:r w:rsidR="000A7862" w:rsidRPr="00452D19">
              <w:rPr>
                <w:rFonts w:ascii="Verdana" w:hAnsi="Verdana"/>
                <w:color w:val="000000"/>
                <w:sz w:val="20"/>
                <w:szCs w:val="20"/>
                <w:lang w:eastAsia="en-US"/>
              </w:rPr>
              <w:t xml:space="preserve"> е регистриран еднократно антракс</w:t>
            </w:r>
            <w:r w:rsidRPr="00452D19">
              <w:rPr>
                <w:rFonts w:ascii="Verdana" w:hAnsi="Verdana"/>
                <w:color w:val="000000"/>
                <w:sz w:val="20"/>
                <w:szCs w:val="20"/>
                <w:lang w:eastAsia="en-US"/>
              </w:rPr>
              <w:t xml:space="preserve">; </w:t>
            </w:r>
            <w:r w:rsidR="000A7862" w:rsidRPr="00452D19">
              <w:rPr>
                <w:rFonts w:ascii="Verdana" w:hAnsi="Verdana"/>
                <w:color w:val="000000"/>
                <w:sz w:val="20"/>
                <w:szCs w:val="20"/>
                <w:lang w:eastAsia="en-US"/>
              </w:rPr>
              <w:t xml:space="preserve">в населени места, в които през последните </w:t>
            </w:r>
            <w:r w:rsidR="000A7862" w:rsidRPr="00452D19">
              <w:rPr>
                <w:rFonts w:ascii="Verdana" w:hAnsi="Verdana"/>
                <w:b/>
                <w:bCs/>
                <w:color w:val="000000"/>
                <w:sz w:val="20"/>
                <w:szCs w:val="20"/>
                <w:lang w:eastAsia="en-US"/>
              </w:rPr>
              <w:t>30 години</w:t>
            </w:r>
            <w:r w:rsidR="000A7862" w:rsidRPr="00452D19">
              <w:rPr>
                <w:rFonts w:ascii="Verdana" w:hAnsi="Verdana"/>
                <w:color w:val="000000"/>
                <w:sz w:val="20"/>
                <w:szCs w:val="20"/>
                <w:lang w:eastAsia="en-US"/>
              </w:rPr>
              <w:t xml:space="preserve"> е регистриран еднократно антракс при жи</w:t>
            </w:r>
            <w:r w:rsidR="004A20BF">
              <w:rPr>
                <w:rFonts w:ascii="Verdana" w:hAnsi="Verdana"/>
                <w:color w:val="000000"/>
                <w:sz w:val="20"/>
                <w:szCs w:val="20"/>
                <w:lang w:eastAsia="en-US"/>
              </w:rPr>
              <w:t>вотнит</w:t>
            </w:r>
            <w:r w:rsidR="000A7862" w:rsidRPr="00452D19">
              <w:rPr>
                <w:rFonts w:ascii="Verdana" w:hAnsi="Verdana"/>
                <w:color w:val="000000"/>
                <w:sz w:val="20"/>
                <w:szCs w:val="20"/>
                <w:lang w:eastAsia="en-US"/>
              </w:rPr>
              <w:t xml:space="preserve"> </w:t>
            </w:r>
            <w:r w:rsidRPr="00452D19">
              <w:rPr>
                <w:rFonts w:ascii="Verdana" w:hAnsi="Verdana"/>
                <w:color w:val="000000"/>
                <w:sz w:val="20"/>
                <w:szCs w:val="20"/>
                <w:lang w:eastAsia="en-US"/>
              </w:rPr>
              <w:t xml:space="preserve">, както </w:t>
            </w:r>
            <w:r w:rsidRPr="004A20BF">
              <w:rPr>
                <w:rFonts w:ascii="Verdana" w:hAnsi="Verdana"/>
                <w:color w:val="000000"/>
                <w:sz w:val="20"/>
                <w:szCs w:val="20"/>
                <w:lang w:eastAsia="en-US"/>
              </w:rPr>
              <w:t xml:space="preserve">и </w:t>
            </w:r>
            <w:r w:rsidR="000A7862" w:rsidRPr="004A20BF">
              <w:rPr>
                <w:rFonts w:ascii="Verdana" w:hAnsi="Verdana"/>
                <w:bCs/>
                <w:color w:val="000000"/>
                <w:sz w:val="20"/>
                <w:szCs w:val="20"/>
                <w:lang w:eastAsia="en-US"/>
              </w:rPr>
              <w:t>в населени места, в които е регистриран</w:t>
            </w:r>
            <w:r w:rsidR="000A7862" w:rsidRPr="00452D19">
              <w:rPr>
                <w:rFonts w:ascii="Verdana" w:hAnsi="Verdana"/>
                <w:b/>
                <w:bCs/>
                <w:color w:val="000000"/>
                <w:sz w:val="20"/>
                <w:szCs w:val="20"/>
                <w:lang w:eastAsia="en-US"/>
              </w:rPr>
              <w:t xml:space="preserve"> повече от един случай на болестта при животни през последните 50 години (стационарни антраксни огнища)</w:t>
            </w:r>
            <w:r w:rsidRPr="00452D19">
              <w:rPr>
                <w:rFonts w:ascii="Verdana" w:hAnsi="Verdana"/>
                <w:color w:val="000000"/>
                <w:sz w:val="20"/>
                <w:szCs w:val="20"/>
                <w:lang w:eastAsia="en-US"/>
              </w:rPr>
              <w:t xml:space="preserve">, включително и </w:t>
            </w:r>
            <w:r w:rsidRPr="004A20BF">
              <w:rPr>
                <w:rFonts w:ascii="Verdana" w:hAnsi="Verdana"/>
                <w:b/>
                <w:color w:val="000000"/>
                <w:sz w:val="20"/>
                <w:szCs w:val="20"/>
                <w:lang w:eastAsia="en-US"/>
              </w:rPr>
              <w:t>п</w:t>
            </w:r>
            <w:r w:rsidR="000A7862" w:rsidRPr="00452D19">
              <w:rPr>
                <w:rFonts w:ascii="Verdana" w:hAnsi="Verdana"/>
                <w:b/>
                <w:bCs/>
                <w:color w:val="000000"/>
                <w:sz w:val="20"/>
                <w:szCs w:val="20"/>
                <w:lang w:eastAsia="en-US"/>
              </w:rPr>
              <w:t>ри констатиране на случай на антракс</w:t>
            </w:r>
            <w:r w:rsidRPr="00452D19">
              <w:rPr>
                <w:rFonts w:ascii="Verdana" w:hAnsi="Verdana"/>
                <w:b/>
                <w:bCs/>
                <w:color w:val="000000"/>
                <w:sz w:val="20"/>
                <w:szCs w:val="20"/>
                <w:lang w:eastAsia="en-US"/>
              </w:rPr>
              <w:t>.</w:t>
            </w:r>
          </w:p>
        </w:tc>
      </w:tr>
      <w:tr w:rsidR="00D81B26" w:rsidRPr="00452D19" w:rsidTr="007424CB">
        <w:trPr>
          <w:trHeight w:val="596"/>
          <w:jc w:val="center"/>
        </w:trPr>
        <w:tc>
          <w:tcPr>
            <w:tcW w:w="622" w:type="dxa"/>
            <w:vMerge/>
            <w:tcBorders>
              <w:bottom w:val="single" w:sz="4" w:space="0" w:color="auto"/>
            </w:tcBorders>
            <w:shd w:val="clear" w:color="auto" w:fill="auto"/>
          </w:tcPr>
          <w:p w:rsidR="00D81B26" w:rsidRPr="00452D19" w:rsidRDefault="00D81B26"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D81B26" w:rsidRPr="00452D19" w:rsidRDefault="00D81B26"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10. проверка на санитарно-хигиенното състояние на животновъдните обекти и на обектите за добив и преработка на суровини от животинки произход, почистване, дезинфекция, дезинсекция, дератизация и девастация (ДДДД);</w:t>
            </w:r>
          </w:p>
        </w:tc>
        <w:tc>
          <w:tcPr>
            <w:tcW w:w="1786" w:type="dxa"/>
            <w:tcBorders>
              <w:top w:val="nil"/>
              <w:bottom w:val="nil"/>
            </w:tcBorders>
            <w:shd w:val="clear" w:color="auto" w:fill="auto"/>
          </w:tcPr>
          <w:p w:rsidR="00D81B26" w:rsidRPr="00452D19" w:rsidRDefault="00D81B26" w:rsidP="00910FCC">
            <w:pPr>
              <w:spacing w:before="80" w:after="40"/>
              <w:rPr>
                <w:rFonts w:ascii="Verdana" w:hAnsi="Verdana"/>
                <w:color w:val="FF0000"/>
                <w:sz w:val="20"/>
                <w:szCs w:val="20"/>
              </w:rPr>
            </w:pPr>
          </w:p>
        </w:tc>
        <w:tc>
          <w:tcPr>
            <w:tcW w:w="4790"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p>
        </w:tc>
      </w:tr>
      <w:tr w:rsidR="00D81B26" w:rsidRPr="00452D19" w:rsidTr="007424CB">
        <w:trPr>
          <w:trHeight w:val="596"/>
          <w:jc w:val="center"/>
        </w:trPr>
        <w:tc>
          <w:tcPr>
            <w:tcW w:w="622" w:type="dxa"/>
            <w:vMerge/>
            <w:tcBorders>
              <w:bottom w:val="single" w:sz="4" w:space="0" w:color="auto"/>
            </w:tcBorders>
            <w:shd w:val="clear" w:color="auto" w:fill="auto"/>
          </w:tcPr>
          <w:p w:rsidR="00D81B26" w:rsidRPr="00452D19" w:rsidRDefault="00D81B26"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D81B26" w:rsidRPr="00452D19" w:rsidRDefault="00D81B26"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КОМЕНТАР НА БКМЖ: Да се определят допустими/недопустими препарати, които ефектив</w:t>
            </w:r>
            <w:r w:rsidR="007B571A">
              <w:rPr>
                <w:rFonts w:ascii="Verdana" w:hAnsi="Verdana"/>
                <w:sz w:val="20"/>
                <w:szCs w:val="20"/>
              </w:rPr>
              <w:t>но могат да елиминират спори. /</w:t>
            </w:r>
            <w:r w:rsidRPr="00452D19">
              <w:rPr>
                <w:rFonts w:ascii="Verdana" w:hAnsi="Verdana"/>
                <w:sz w:val="20"/>
                <w:szCs w:val="20"/>
              </w:rPr>
              <w:t>Пример: КАЛЦИЕВИ продукти - НЕ! (съхраняват спорите); Натриев хипохлодир - ДА/</w:t>
            </w:r>
          </w:p>
        </w:tc>
        <w:tc>
          <w:tcPr>
            <w:tcW w:w="1786" w:type="dxa"/>
            <w:tcBorders>
              <w:top w:val="nil"/>
              <w:bottom w:val="nil"/>
            </w:tcBorders>
            <w:shd w:val="clear" w:color="auto" w:fill="auto"/>
          </w:tcPr>
          <w:p w:rsidR="00D81B26" w:rsidRPr="00452D19" w:rsidRDefault="00D81B26" w:rsidP="007424CB">
            <w:pPr>
              <w:spacing w:before="80" w:after="40"/>
              <w:jc w:val="both"/>
              <w:rPr>
                <w:rFonts w:ascii="Verdana" w:hAnsi="Verdana"/>
                <w:color w:val="FF0000"/>
                <w:sz w:val="20"/>
                <w:szCs w:val="20"/>
              </w:rPr>
            </w:pPr>
            <w:r w:rsidRPr="007B571A">
              <w:rPr>
                <w:rFonts w:ascii="Verdana" w:hAnsi="Verdana"/>
                <w:color w:val="000000" w:themeColor="text1"/>
                <w:sz w:val="20"/>
                <w:szCs w:val="20"/>
              </w:rPr>
              <w:t>Приема се</w:t>
            </w:r>
            <w:r w:rsidR="0047473E" w:rsidRPr="007B571A">
              <w:rPr>
                <w:rFonts w:ascii="Verdana" w:hAnsi="Verdana"/>
                <w:color w:val="000000" w:themeColor="text1"/>
                <w:sz w:val="20"/>
                <w:szCs w:val="20"/>
              </w:rPr>
              <w:t xml:space="preserve"> по принцип</w:t>
            </w:r>
          </w:p>
        </w:tc>
        <w:tc>
          <w:tcPr>
            <w:tcW w:w="4790" w:type="dxa"/>
            <w:tcBorders>
              <w:top w:val="nil"/>
              <w:bottom w:val="nil"/>
            </w:tcBorders>
            <w:shd w:val="clear" w:color="auto" w:fill="auto"/>
          </w:tcPr>
          <w:p w:rsidR="00D81B26" w:rsidRPr="00452D19" w:rsidRDefault="004A20BF" w:rsidP="00910FCC">
            <w:pPr>
              <w:spacing w:before="80" w:after="40"/>
              <w:jc w:val="both"/>
              <w:rPr>
                <w:rFonts w:ascii="Verdana" w:hAnsi="Verdana"/>
                <w:sz w:val="20"/>
                <w:szCs w:val="20"/>
              </w:rPr>
            </w:pPr>
            <w:r>
              <w:rPr>
                <w:rFonts w:ascii="Verdana" w:hAnsi="Verdana"/>
                <w:sz w:val="20"/>
                <w:szCs w:val="20"/>
              </w:rPr>
              <w:t>Основен</w:t>
            </w:r>
            <w:r w:rsidR="00D3758E" w:rsidRPr="00452D19">
              <w:rPr>
                <w:rFonts w:ascii="Verdana" w:hAnsi="Verdana"/>
                <w:sz w:val="20"/>
                <w:szCs w:val="20"/>
              </w:rPr>
              <w:t xml:space="preserve"> принцип в практическото нормотворчество е да бъдат определени в законовите и подзаконовите нормативни актове основни положения с трайна употреба, за които не е необходима постоянна промяна. Заради това наред с нормативните актове се одобряват оперативни документи от изпълнителния директор на БАБХ, </w:t>
            </w:r>
            <w:r w:rsidR="00D3758E" w:rsidRPr="00452D19">
              <w:rPr>
                <w:rFonts w:ascii="Verdana" w:hAnsi="Verdana"/>
                <w:sz w:val="20"/>
                <w:szCs w:val="20"/>
              </w:rPr>
              <w:lastRenderedPageBreak/>
              <w:t>чието съдържание е свързано със специфики за целите на официалния контрол, които да бъдат в  съответствие с новите научни изследвания.</w:t>
            </w:r>
          </w:p>
        </w:tc>
      </w:tr>
      <w:tr w:rsidR="00D81B26" w:rsidRPr="00452D19" w:rsidTr="007424CB">
        <w:trPr>
          <w:trHeight w:val="596"/>
          <w:jc w:val="center"/>
        </w:trPr>
        <w:tc>
          <w:tcPr>
            <w:tcW w:w="622" w:type="dxa"/>
            <w:vMerge/>
            <w:tcBorders>
              <w:bottom w:val="single" w:sz="4" w:space="0" w:color="auto"/>
            </w:tcBorders>
            <w:shd w:val="clear" w:color="auto" w:fill="auto"/>
          </w:tcPr>
          <w:p w:rsidR="00D81B26" w:rsidRPr="00452D19" w:rsidRDefault="00D81B26"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D81B26" w:rsidRPr="00452D19" w:rsidRDefault="00D81B26"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D81B26" w:rsidP="00910FCC">
            <w:pPr>
              <w:spacing w:before="80" w:after="40"/>
              <w:jc w:val="both"/>
              <w:rPr>
                <w:rFonts w:ascii="Verdana" w:hAnsi="Verdana"/>
                <w:spacing w:val="4"/>
                <w:sz w:val="20"/>
                <w:szCs w:val="20"/>
              </w:rPr>
            </w:pPr>
            <w:r w:rsidRPr="00452D19">
              <w:rPr>
                <w:rFonts w:ascii="Verdana" w:hAnsi="Verdana"/>
                <w:sz w:val="20"/>
                <w:szCs w:val="20"/>
              </w:rPr>
              <w:t xml:space="preserve">Чл. 10. (1) </w:t>
            </w:r>
            <w:r w:rsidRPr="00452D19">
              <w:rPr>
                <w:rFonts w:ascii="Verdana" w:hAnsi="Verdana"/>
                <w:spacing w:val="4"/>
                <w:sz w:val="20"/>
                <w:szCs w:val="20"/>
              </w:rPr>
              <w:t>Българската агенция по безопасност на храните ежегодно организира извършването на профилактична ваксинация на говеда, овце и коне срещу болестта антракс с честота (еднократна или двукратна) и териториален обхват, определени в програмата за профилактика, надзор, контрол и ликвидиране на болести по животните и зоонози по чл. 118 от ЗВД;</w:t>
            </w:r>
          </w:p>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(2) Профилактична ваксинация на биволи, кози и свине може да се извършва само по преценка на БАБХ, в зависимост от епизоотичната обстановка.</w:t>
            </w:r>
          </w:p>
        </w:tc>
        <w:tc>
          <w:tcPr>
            <w:tcW w:w="1786" w:type="dxa"/>
            <w:tcBorders>
              <w:top w:val="nil"/>
              <w:bottom w:val="nil"/>
            </w:tcBorders>
            <w:shd w:val="clear" w:color="auto" w:fill="auto"/>
          </w:tcPr>
          <w:p w:rsidR="00D81B26" w:rsidRPr="00452D19" w:rsidRDefault="00D81B26" w:rsidP="00910FCC">
            <w:pPr>
              <w:spacing w:before="80" w:after="40"/>
              <w:rPr>
                <w:rFonts w:ascii="Verdana" w:hAnsi="Verdana"/>
                <w:color w:val="FF0000"/>
                <w:sz w:val="20"/>
                <w:szCs w:val="20"/>
              </w:rPr>
            </w:pPr>
          </w:p>
        </w:tc>
        <w:tc>
          <w:tcPr>
            <w:tcW w:w="4790"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p>
        </w:tc>
      </w:tr>
      <w:tr w:rsidR="00D81B26" w:rsidRPr="00452D19" w:rsidTr="007424CB">
        <w:trPr>
          <w:trHeight w:val="596"/>
          <w:jc w:val="center"/>
        </w:trPr>
        <w:tc>
          <w:tcPr>
            <w:tcW w:w="622" w:type="dxa"/>
            <w:vMerge/>
            <w:tcBorders>
              <w:bottom w:val="single" w:sz="4" w:space="0" w:color="auto"/>
            </w:tcBorders>
            <w:shd w:val="clear" w:color="auto" w:fill="auto"/>
          </w:tcPr>
          <w:p w:rsidR="00D81B26" w:rsidRPr="00452D19" w:rsidRDefault="00D81B26"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D81B26" w:rsidRPr="00452D19" w:rsidRDefault="00D81B26"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КОМЕНТАР НА БКМЖ:</w:t>
            </w:r>
          </w:p>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Нужда да се поясни типа ваксина – жива/атенюирана. С препоръка да се борави с атенюирана (по малки рискове от странични ефекти, съвременен начин).</w:t>
            </w:r>
          </w:p>
        </w:tc>
        <w:tc>
          <w:tcPr>
            <w:tcW w:w="1786" w:type="dxa"/>
            <w:tcBorders>
              <w:top w:val="nil"/>
              <w:bottom w:val="nil"/>
            </w:tcBorders>
            <w:shd w:val="clear" w:color="auto" w:fill="auto"/>
          </w:tcPr>
          <w:p w:rsidR="00D81B26" w:rsidRPr="007B571A" w:rsidRDefault="00D81B26" w:rsidP="007424CB">
            <w:pPr>
              <w:spacing w:before="80" w:after="40"/>
              <w:jc w:val="both"/>
              <w:rPr>
                <w:rFonts w:ascii="Verdana" w:hAnsi="Verdana"/>
                <w:color w:val="000000" w:themeColor="text1"/>
                <w:sz w:val="20"/>
                <w:szCs w:val="20"/>
              </w:rPr>
            </w:pPr>
            <w:r w:rsidRPr="007B571A">
              <w:rPr>
                <w:rFonts w:ascii="Verdana" w:hAnsi="Verdana"/>
                <w:color w:val="000000" w:themeColor="text1"/>
                <w:sz w:val="20"/>
                <w:szCs w:val="20"/>
              </w:rPr>
              <w:t>Приема се</w:t>
            </w:r>
            <w:r w:rsidR="00FD7E89" w:rsidRPr="007B571A">
              <w:rPr>
                <w:rFonts w:ascii="Verdana" w:hAnsi="Verdana"/>
                <w:color w:val="000000" w:themeColor="text1"/>
                <w:sz w:val="20"/>
                <w:szCs w:val="20"/>
              </w:rPr>
              <w:t xml:space="preserve"> по </w:t>
            </w:r>
            <w:r w:rsidR="00C74DCA" w:rsidRPr="007B571A">
              <w:rPr>
                <w:rFonts w:ascii="Verdana" w:hAnsi="Verdana"/>
                <w:color w:val="000000" w:themeColor="text1"/>
                <w:sz w:val="20"/>
                <w:szCs w:val="20"/>
              </w:rPr>
              <w:t>принцип</w:t>
            </w:r>
          </w:p>
        </w:tc>
        <w:tc>
          <w:tcPr>
            <w:tcW w:w="4790" w:type="dxa"/>
            <w:tcBorders>
              <w:top w:val="nil"/>
              <w:bottom w:val="nil"/>
            </w:tcBorders>
            <w:shd w:val="clear" w:color="auto" w:fill="auto"/>
          </w:tcPr>
          <w:p w:rsidR="00FD7E89" w:rsidRPr="00452D19" w:rsidRDefault="00FD7E89" w:rsidP="00910FCC">
            <w:pPr>
              <w:spacing w:before="80" w:after="40"/>
              <w:jc w:val="both"/>
              <w:rPr>
                <w:rFonts w:ascii="Verdana" w:hAnsi="Verdana"/>
                <w:sz w:val="20"/>
                <w:szCs w:val="20"/>
              </w:rPr>
            </w:pPr>
            <w:r w:rsidRPr="00452D19">
              <w:rPr>
                <w:rFonts w:ascii="Verdana" w:hAnsi="Verdana"/>
                <w:sz w:val="20"/>
                <w:szCs w:val="20"/>
              </w:rPr>
              <w:t xml:space="preserve">Изискванията към тази ваксина, както и всички други ветеринарномедицински продукти, които се използват за изпълнение на профилактичните мерки в </w:t>
            </w:r>
            <w:r w:rsidR="00B5462D" w:rsidRPr="00452D19">
              <w:rPr>
                <w:rFonts w:ascii="Verdana" w:hAnsi="Verdana"/>
                <w:sz w:val="20"/>
                <w:szCs w:val="20"/>
              </w:rPr>
              <w:t>съответствие</w:t>
            </w:r>
            <w:r w:rsidRPr="00452D19">
              <w:rPr>
                <w:rFonts w:ascii="Verdana" w:hAnsi="Verdana"/>
                <w:sz w:val="20"/>
                <w:szCs w:val="20"/>
              </w:rPr>
              <w:t xml:space="preserve"> с Програмата се </w:t>
            </w:r>
            <w:r w:rsidR="00B5462D" w:rsidRPr="00452D19">
              <w:rPr>
                <w:rFonts w:ascii="Verdana" w:hAnsi="Verdana"/>
                <w:sz w:val="20"/>
                <w:szCs w:val="20"/>
              </w:rPr>
              <w:t>регламентират</w:t>
            </w:r>
            <w:r w:rsidRPr="00452D19">
              <w:rPr>
                <w:rFonts w:ascii="Verdana" w:hAnsi="Verdana"/>
                <w:sz w:val="20"/>
                <w:szCs w:val="20"/>
              </w:rPr>
              <w:t xml:space="preserve"> в техническите </w:t>
            </w:r>
            <w:r w:rsidR="004A20BF">
              <w:rPr>
                <w:rFonts w:ascii="Verdana" w:hAnsi="Verdana"/>
                <w:sz w:val="20"/>
                <w:szCs w:val="20"/>
              </w:rPr>
              <w:t xml:space="preserve">им </w:t>
            </w:r>
            <w:r w:rsidRPr="00452D19">
              <w:rPr>
                <w:rFonts w:ascii="Verdana" w:hAnsi="Verdana"/>
                <w:sz w:val="20"/>
                <w:szCs w:val="20"/>
              </w:rPr>
              <w:t xml:space="preserve">спецификации. Избора на </w:t>
            </w:r>
            <w:r w:rsidR="004A20BF">
              <w:rPr>
                <w:rFonts w:ascii="Verdana" w:hAnsi="Verdana"/>
                <w:sz w:val="20"/>
                <w:szCs w:val="20"/>
              </w:rPr>
              <w:t xml:space="preserve">тази </w:t>
            </w:r>
            <w:r w:rsidRPr="00452D19">
              <w:rPr>
                <w:rFonts w:ascii="Verdana" w:hAnsi="Verdana"/>
                <w:sz w:val="20"/>
                <w:szCs w:val="20"/>
              </w:rPr>
              <w:t>ваксина се прави въз основа на следните критерии</w:t>
            </w:r>
            <w:r w:rsidR="004A20BF">
              <w:rPr>
                <w:rFonts w:ascii="Verdana" w:hAnsi="Verdana"/>
                <w:sz w:val="20"/>
                <w:szCs w:val="20"/>
              </w:rPr>
              <w:t>, съобразени с етиологията на болестта, а именно</w:t>
            </w:r>
            <w:r w:rsidRPr="00452D19">
              <w:rPr>
                <w:rFonts w:ascii="Verdana" w:hAnsi="Verdana"/>
                <w:sz w:val="20"/>
                <w:szCs w:val="20"/>
              </w:rPr>
              <w:t xml:space="preserve">: </w:t>
            </w:r>
          </w:p>
          <w:p w:rsidR="00FD7E89" w:rsidRPr="00FD7E89" w:rsidRDefault="00FD7E89" w:rsidP="00910FCC">
            <w:pPr>
              <w:spacing w:before="80" w:after="40"/>
              <w:jc w:val="both"/>
              <w:rPr>
                <w:rFonts w:ascii="Verdana" w:hAnsi="Verdana"/>
                <w:sz w:val="20"/>
                <w:szCs w:val="20"/>
              </w:rPr>
            </w:pPr>
            <w:r w:rsidRPr="00452D19">
              <w:rPr>
                <w:rFonts w:ascii="Verdana" w:hAnsi="Verdana"/>
                <w:sz w:val="20"/>
                <w:szCs w:val="20"/>
              </w:rPr>
              <w:t xml:space="preserve">- </w:t>
            </w:r>
            <w:r w:rsidRPr="00FD7E89">
              <w:rPr>
                <w:rFonts w:ascii="Verdana" w:hAnsi="Verdana"/>
                <w:sz w:val="20"/>
                <w:szCs w:val="20"/>
              </w:rPr>
              <w:t xml:space="preserve">да е лицензирана за употреба в страната </w:t>
            </w:r>
            <w:r w:rsidRPr="00910FCC">
              <w:rPr>
                <w:rFonts w:ascii="Verdana" w:hAnsi="Verdana"/>
                <w:sz w:val="20"/>
                <w:szCs w:val="20"/>
              </w:rPr>
              <w:t xml:space="preserve">съгласно чл. 288 </w:t>
            </w:r>
            <w:r w:rsidRPr="00FD7E89">
              <w:rPr>
                <w:rFonts w:ascii="Verdana" w:hAnsi="Verdana"/>
                <w:sz w:val="20"/>
                <w:szCs w:val="20"/>
              </w:rPr>
              <w:t>ал.1</w:t>
            </w:r>
            <w:r w:rsidRPr="00910FCC">
              <w:rPr>
                <w:rFonts w:ascii="Verdana" w:hAnsi="Verdana"/>
                <w:sz w:val="20"/>
                <w:szCs w:val="20"/>
              </w:rPr>
              <w:t xml:space="preserve"> от ЗВД</w:t>
            </w:r>
            <w:r w:rsidRPr="00FD7E89">
              <w:rPr>
                <w:rFonts w:ascii="Verdana" w:hAnsi="Verdana"/>
                <w:sz w:val="20"/>
                <w:szCs w:val="20"/>
              </w:rPr>
              <w:t>,</w:t>
            </w:r>
            <w:r w:rsidR="00910FCC">
              <w:rPr>
                <w:rFonts w:ascii="Verdana" w:hAnsi="Verdana"/>
                <w:sz w:val="20"/>
                <w:szCs w:val="20"/>
              </w:rPr>
              <w:t xml:space="preserve"> </w:t>
            </w:r>
            <w:r w:rsidR="007B571A">
              <w:rPr>
                <w:rFonts w:ascii="Verdana" w:hAnsi="Verdana"/>
                <w:sz w:val="20"/>
                <w:szCs w:val="20"/>
              </w:rPr>
              <w:t xml:space="preserve">или </w:t>
            </w:r>
            <w:r w:rsidRPr="00FD7E89">
              <w:rPr>
                <w:rFonts w:ascii="Verdana" w:hAnsi="Verdana"/>
                <w:sz w:val="20"/>
                <w:szCs w:val="20"/>
              </w:rPr>
              <w:t>Решение за взаимно признаване п</w:t>
            </w:r>
            <w:r w:rsidR="007B571A">
              <w:rPr>
                <w:rFonts w:ascii="Verdana" w:hAnsi="Verdana"/>
                <w:sz w:val="20"/>
                <w:szCs w:val="20"/>
              </w:rPr>
              <w:t xml:space="preserve">о реда на чл.332, ал.7 от ЗВД, или </w:t>
            </w:r>
            <w:r w:rsidRPr="00FD7E89">
              <w:rPr>
                <w:rFonts w:ascii="Verdana" w:hAnsi="Verdana"/>
                <w:sz w:val="20"/>
                <w:szCs w:val="20"/>
              </w:rPr>
              <w:t>издаден от Европейската агенция по лекарствата лиценз за употреба по реда на Централизирана процедура</w:t>
            </w:r>
            <w:r w:rsidR="00910FCC">
              <w:rPr>
                <w:rFonts w:ascii="Verdana" w:hAnsi="Verdana"/>
                <w:sz w:val="20"/>
                <w:szCs w:val="20"/>
              </w:rPr>
              <w:t>;</w:t>
            </w:r>
          </w:p>
          <w:p w:rsidR="00FD7E89" w:rsidRPr="00FD7E89" w:rsidRDefault="00FD7E89" w:rsidP="00910FCC">
            <w:pPr>
              <w:spacing w:before="80" w:after="40"/>
              <w:jc w:val="both"/>
              <w:rPr>
                <w:rFonts w:ascii="Verdana" w:hAnsi="Verdana"/>
                <w:sz w:val="20"/>
                <w:szCs w:val="20"/>
              </w:rPr>
            </w:pPr>
            <w:r w:rsidRPr="00452D19">
              <w:rPr>
                <w:rFonts w:ascii="Verdana" w:hAnsi="Verdana"/>
                <w:sz w:val="20"/>
                <w:szCs w:val="20"/>
              </w:rPr>
              <w:t xml:space="preserve">- </w:t>
            </w:r>
            <w:r w:rsidRPr="00FD7E89">
              <w:rPr>
                <w:rFonts w:ascii="Verdana" w:hAnsi="Verdana"/>
                <w:sz w:val="20"/>
                <w:szCs w:val="20"/>
              </w:rPr>
              <w:t>да е жив</w:t>
            </w:r>
            <w:r w:rsidR="00910FCC">
              <w:rPr>
                <w:rFonts w:ascii="Verdana" w:hAnsi="Verdana"/>
                <w:sz w:val="20"/>
                <w:szCs w:val="20"/>
              </w:rPr>
              <w:t>а, без остатъчна</w:t>
            </w:r>
            <w:r w:rsidRPr="00FD7E89">
              <w:rPr>
                <w:rFonts w:ascii="Verdana" w:hAnsi="Verdana"/>
                <w:sz w:val="20"/>
                <w:szCs w:val="20"/>
              </w:rPr>
              <w:t xml:space="preserve"> вирулентност;</w:t>
            </w:r>
          </w:p>
          <w:p w:rsidR="00FD7E89" w:rsidRPr="00FD7E89" w:rsidRDefault="00FD7E89" w:rsidP="00910FCC">
            <w:pPr>
              <w:spacing w:before="80" w:after="40"/>
              <w:jc w:val="both"/>
              <w:rPr>
                <w:rFonts w:ascii="Verdana" w:hAnsi="Verdana"/>
                <w:sz w:val="20"/>
                <w:szCs w:val="20"/>
              </w:rPr>
            </w:pPr>
            <w:r w:rsidRPr="00452D19">
              <w:rPr>
                <w:rFonts w:ascii="Verdana" w:hAnsi="Verdana"/>
                <w:sz w:val="20"/>
                <w:szCs w:val="20"/>
              </w:rPr>
              <w:t xml:space="preserve">- </w:t>
            </w:r>
            <w:r w:rsidRPr="00FD7E89">
              <w:rPr>
                <w:rFonts w:ascii="Verdana" w:hAnsi="Verdana"/>
                <w:sz w:val="20"/>
                <w:szCs w:val="20"/>
              </w:rPr>
              <w:t>да изгражда имунитет най-много до 14 дни след прилагането;</w:t>
            </w:r>
          </w:p>
          <w:p w:rsidR="00D81B26" w:rsidRPr="00452D19" w:rsidRDefault="00FD7E89" w:rsidP="00910FCC">
            <w:pPr>
              <w:spacing w:before="80" w:after="40"/>
              <w:jc w:val="both"/>
              <w:rPr>
                <w:rFonts w:ascii="Verdana" w:hAnsi="Verdana"/>
                <w:sz w:val="20"/>
                <w:szCs w:val="20"/>
              </w:rPr>
            </w:pPr>
            <w:r w:rsidRPr="00452D19">
              <w:rPr>
                <w:rFonts w:ascii="Verdana" w:hAnsi="Verdana"/>
                <w:sz w:val="20"/>
                <w:szCs w:val="20"/>
              </w:rPr>
              <w:lastRenderedPageBreak/>
              <w:t xml:space="preserve">- </w:t>
            </w:r>
            <w:r w:rsidRPr="00FD7E89">
              <w:rPr>
                <w:rFonts w:ascii="Verdana" w:hAnsi="Verdana"/>
                <w:sz w:val="20"/>
                <w:szCs w:val="20"/>
              </w:rPr>
              <w:t>да създава имунитет за една година</w:t>
            </w:r>
            <w:r w:rsidR="00910FCC">
              <w:rPr>
                <w:rFonts w:ascii="Verdana" w:hAnsi="Verdana"/>
                <w:sz w:val="20"/>
                <w:szCs w:val="20"/>
              </w:rPr>
              <w:t>.</w:t>
            </w:r>
          </w:p>
        </w:tc>
      </w:tr>
      <w:tr w:rsidR="00D81B26" w:rsidRPr="00452D19" w:rsidTr="007424CB">
        <w:trPr>
          <w:trHeight w:val="261"/>
          <w:jc w:val="center"/>
        </w:trPr>
        <w:tc>
          <w:tcPr>
            <w:tcW w:w="622" w:type="dxa"/>
            <w:vMerge/>
            <w:tcBorders>
              <w:bottom w:val="single" w:sz="4" w:space="0" w:color="auto"/>
            </w:tcBorders>
            <w:shd w:val="clear" w:color="auto" w:fill="auto"/>
          </w:tcPr>
          <w:p w:rsidR="00D81B26" w:rsidRPr="00452D19" w:rsidRDefault="00D81B26"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D81B26" w:rsidRPr="00452D19" w:rsidRDefault="00D81B26"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r w:rsidRPr="00452D19">
              <w:rPr>
                <w:rFonts w:ascii="Verdana" w:hAnsi="Verdana"/>
                <w:sz w:val="20"/>
                <w:szCs w:val="20"/>
              </w:rPr>
              <w:t>ДОПЪЛНИТЕЛНА РАЗПОРЕДБА</w:t>
            </w:r>
          </w:p>
        </w:tc>
        <w:tc>
          <w:tcPr>
            <w:tcW w:w="1786" w:type="dxa"/>
            <w:tcBorders>
              <w:top w:val="nil"/>
              <w:bottom w:val="nil"/>
            </w:tcBorders>
            <w:shd w:val="clear" w:color="auto" w:fill="auto"/>
          </w:tcPr>
          <w:p w:rsidR="00D81B26" w:rsidRPr="00452D19" w:rsidRDefault="00D81B26" w:rsidP="00910FCC">
            <w:pPr>
              <w:spacing w:before="80" w:after="40"/>
              <w:rPr>
                <w:rFonts w:ascii="Verdana" w:hAnsi="Verdana"/>
                <w:color w:val="FF0000"/>
                <w:sz w:val="20"/>
                <w:szCs w:val="20"/>
              </w:rPr>
            </w:pPr>
          </w:p>
        </w:tc>
        <w:tc>
          <w:tcPr>
            <w:tcW w:w="4790"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p>
        </w:tc>
      </w:tr>
      <w:tr w:rsidR="00D81B26" w:rsidRPr="00452D19" w:rsidTr="007424CB">
        <w:trPr>
          <w:trHeight w:val="377"/>
          <w:jc w:val="center"/>
        </w:trPr>
        <w:tc>
          <w:tcPr>
            <w:tcW w:w="622" w:type="dxa"/>
            <w:vMerge/>
            <w:tcBorders>
              <w:bottom w:val="single" w:sz="4" w:space="0" w:color="auto"/>
            </w:tcBorders>
            <w:shd w:val="clear" w:color="auto" w:fill="auto"/>
          </w:tcPr>
          <w:p w:rsidR="00D81B26" w:rsidRPr="00452D19" w:rsidRDefault="00D81B26" w:rsidP="009318BC">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D81B26" w:rsidRPr="00452D19" w:rsidRDefault="00D81B26" w:rsidP="009318BC">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D81B26" w:rsidRPr="00452D19" w:rsidRDefault="00374FF4" w:rsidP="00910FCC">
            <w:pPr>
              <w:spacing w:before="80" w:after="40"/>
              <w:jc w:val="both"/>
              <w:rPr>
                <w:rFonts w:ascii="Verdana" w:hAnsi="Verdana"/>
                <w:sz w:val="20"/>
                <w:szCs w:val="20"/>
              </w:rPr>
            </w:pPr>
            <w:r w:rsidRPr="00452D19">
              <w:rPr>
                <w:rFonts w:ascii="Verdana" w:hAnsi="Verdana"/>
                <w:sz w:val="20"/>
                <w:szCs w:val="20"/>
              </w:rPr>
              <w:t>5. „Съмнение</w:t>
            </w:r>
            <w:r w:rsidR="007B571A">
              <w:rPr>
                <w:rFonts w:ascii="Verdana" w:hAnsi="Verdana"/>
                <w:sz w:val="20"/>
                <w:szCs w:val="20"/>
              </w:rPr>
              <w:t>“</w:t>
            </w:r>
            <w:r w:rsidRPr="00452D19">
              <w:rPr>
                <w:rFonts w:ascii="Verdana" w:hAnsi="Verdana"/>
                <w:sz w:val="20"/>
                <w:szCs w:val="20"/>
              </w:rPr>
              <w:t xml:space="preserve"> е появата на клиничен признак и установяването на епизоотологични данни, които дават достатъчно основание да се предполага наличие на антракс. </w:t>
            </w:r>
          </w:p>
        </w:tc>
        <w:tc>
          <w:tcPr>
            <w:tcW w:w="1786" w:type="dxa"/>
            <w:tcBorders>
              <w:top w:val="nil"/>
              <w:bottom w:val="nil"/>
            </w:tcBorders>
            <w:shd w:val="clear" w:color="auto" w:fill="auto"/>
          </w:tcPr>
          <w:p w:rsidR="00D81B26" w:rsidRPr="00452D19" w:rsidRDefault="00D81B26" w:rsidP="00910FCC">
            <w:pPr>
              <w:spacing w:before="80" w:after="40"/>
              <w:rPr>
                <w:rFonts w:ascii="Verdana" w:hAnsi="Verdana"/>
                <w:color w:val="FF0000"/>
                <w:sz w:val="20"/>
                <w:szCs w:val="20"/>
              </w:rPr>
            </w:pPr>
          </w:p>
        </w:tc>
        <w:tc>
          <w:tcPr>
            <w:tcW w:w="4790" w:type="dxa"/>
            <w:tcBorders>
              <w:top w:val="nil"/>
              <w:bottom w:val="nil"/>
            </w:tcBorders>
            <w:shd w:val="clear" w:color="auto" w:fill="auto"/>
          </w:tcPr>
          <w:p w:rsidR="00D81B26" w:rsidRPr="00452D19" w:rsidRDefault="00D81B26" w:rsidP="00910FCC">
            <w:pPr>
              <w:spacing w:before="80" w:after="40"/>
              <w:jc w:val="both"/>
              <w:rPr>
                <w:rFonts w:ascii="Verdana" w:hAnsi="Verdana"/>
                <w:sz w:val="20"/>
                <w:szCs w:val="20"/>
              </w:rPr>
            </w:pPr>
          </w:p>
        </w:tc>
      </w:tr>
      <w:tr w:rsidR="00374FF4" w:rsidRPr="00452D19" w:rsidTr="007424CB">
        <w:trPr>
          <w:trHeight w:val="596"/>
          <w:jc w:val="center"/>
        </w:trPr>
        <w:tc>
          <w:tcPr>
            <w:tcW w:w="622" w:type="dxa"/>
            <w:vMerge/>
            <w:tcBorders>
              <w:bottom w:val="single" w:sz="4" w:space="0" w:color="auto"/>
            </w:tcBorders>
            <w:shd w:val="clear" w:color="auto" w:fill="auto"/>
          </w:tcPr>
          <w:p w:rsidR="00374FF4" w:rsidRPr="00452D19" w:rsidRDefault="00374FF4" w:rsidP="00374FF4">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374FF4" w:rsidRPr="00452D19" w:rsidRDefault="00374FF4" w:rsidP="00374FF4">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374FF4" w:rsidRPr="00452D19" w:rsidRDefault="00374FF4" w:rsidP="00910FCC">
            <w:pPr>
              <w:spacing w:before="80" w:after="40"/>
              <w:jc w:val="both"/>
              <w:rPr>
                <w:rFonts w:ascii="Verdana" w:hAnsi="Verdana"/>
                <w:sz w:val="20"/>
                <w:szCs w:val="20"/>
              </w:rPr>
            </w:pPr>
            <w:r w:rsidRPr="00452D19">
              <w:rPr>
                <w:rFonts w:ascii="Verdana" w:hAnsi="Verdana"/>
                <w:sz w:val="20"/>
                <w:szCs w:val="20"/>
              </w:rPr>
              <w:t>КОМЕНТАР НА БКМЖ:</w:t>
            </w:r>
          </w:p>
          <w:p w:rsidR="00374FF4" w:rsidRPr="00452D19" w:rsidRDefault="00374FF4" w:rsidP="00910FCC">
            <w:pPr>
              <w:spacing w:before="80" w:after="40"/>
              <w:jc w:val="both"/>
              <w:rPr>
                <w:rFonts w:ascii="Verdana" w:hAnsi="Verdana"/>
                <w:sz w:val="20"/>
                <w:szCs w:val="20"/>
              </w:rPr>
            </w:pPr>
            <w:r w:rsidRPr="00452D19">
              <w:rPr>
                <w:rFonts w:ascii="Verdana" w:hAnsi="Verdana"/>
                <w:sz w:val="20"/>
                <w:szCs w:val="20"/>
              </w:rPr>
              <w:t>Никъде не се описва разиграване на вариант, когато здрави животни се ваксинират профилактично, и при последвали кръвни изследвания те биха могли да дадат положителни проби – да се потвърди от ветиринар!</w:t>
            </w:r>
          </w:p>
        </w:tc>
        <w:tc>
          <w:tcPr>
            <w:tcW w:w="1786" w:type="dxa"/>
            <w:tcBorders>
              <w:top w:val="nil"/>
              <w:bottom w:val="nil"/>
            </w:tcBorders>
            <w:shd w:val="clear" w:color="auto" w:fill="auto"/>
          </w:tcPr>
          <w:p w:rsidR="00374FF4" w:rsidRPr="00910FCC" w:rsidRDefault="00374FF4" w:rsidP="007424CB">
            <w:pPr>
              <w:spacing w:before="80" w:after="40"/>
              <w:jc w:val="both"/>
              <w:rPr>
                <w:rFonts w:ascii="Verdana" w:hAnsi="Verdana"/>
                <w:color w:val="000000" w:themeColor="text1"/>
                <w:sz w:val="20"/>
                <w:szCs w:val="20"/>
              </w:rPr>
            </w:pPr>
            <w:r w:rsidRPr="00910FCC">
              <w:rPr>
                <w:rFonts w:ascii="Verdana" w:hAnsi="Verdana"/>
                <w:color w:val="000000" w:themeColor="text1"/>
                <w:sz w:val="20"/>
                <w:szCs w:val="20"/>
              </w:rPr>
              <w:t>Приема се</w:t>
            </w:r>
            <w:r w:rsidR="00B5462D" w:rsidRPr="00910FCC">
              <w:rPr>
                <w:rFonts w:ascii="Verdana" w:hAnsi="Verdana"/>
                <w:color w:val="000000" w:themeColor="text1"/>
                <w:sz w:val="20"/>
                <w:szCs w:val="20"/>
              </w:rPr>
              <w:t xml:space="preserve"> по принцип</w:t>
            </w:r>
          </w:p>
        </w:tc>
        <w:tc>
          <w:tcPr>
            <w:tcW w:w="4790" w:type="dxa"/>
            <w:tcBorders>
              <w:top w:val="nil"/>
              <w:bottom w:val="nil"/>
            </w:tcBorders>
            <w:shd w:val="clear" w:color="auto" w:fill="auto"/>
          </w:tcPr>
          <w:p w:rsidR="00B956FC" w:rsidRPr="00452D19" w:rsidRDefault="00B5462D" w:rsidP="00910FCC">
            <w:pPr>
              <w:spacing w:before="80" w:after="40"/>
              <w:jc w:val="both"/>
              <w:rPr>
                <w:rFonts w:ascii="Verdana" w:hAnsi="Verdana"/>
                <w:sz w:val="20"/>
                <w:szCs w:val="20"/>
              </w:rPr>
            </w:pPr>
            <w:r w:rsidRPr="00452D19">
              <w:rPr>
                <w:rFonts w:ascii="Verdana" w:hAnsi="Verdana"/>
                <w:sz w:val="20"/>
                <w:szCs w:val="20"/>
              </w:rPr>
              <w:t xml:space="preserve">В проекта на наредба, както и оперативните документи не са определени такива обстоятелства, тъй като кръвни проби от животни за лабораторно изследване </w:t>
            </w:r>
            <w:r w:rsidR="004A20BF">
              <w:rPr>
                <w:rFonts w:ascii="Verdana" w:hAnsi="Verdana"/>
                <w:sz w:val="20"/>
                <w:szCs w:val="20"/>
              </w:rPr>
              <w:t xml:space="preserve">за болестта </w:t>
            </w:r>
            <w:r w:rsidRPr="00452D19">
              <w:rPr>
                <w:rFonts w:ascii="Verdana" w:hAnsi="Verdana"/>
                <w:sz w:val="20"/>
                <w:szCs w:val="20"/>
              </w:rPr>
              <w:t xml:space="preserve">се осъществява само </w:t>
            </w:r>
            <w:r w:rsidR="00B956FC" w:rsidRPr="00452D19">
              <w:rPr>
                <w:rFonts w:ascii="Verdana" w:hAnsi="Verdana"/>
                <w:sz w:val="20"/>
                <w:szCs w:val="20"/>
              </w:rPr>
              <w:t xml:space="preserve">в случай на съмнение. Симптомите на </w:t>
            </w:r>
            <w:r w:rsidR="004A20BF">
              <w:rPr>
                <w:rFonts w:ascii="Verdana" w:hAnsi="Verdana"/>
                <w:sz w:val="20"/>
                <w:szCs w:val="20"/>
              </w:rPr>
              <w:t>заболяването</w:t>
            </w:r>
            <w:r w:rsidR="00B956FC" w:rsidRPr="00452D19">
              <w:rPr>
                <w:rFonts w:ascii="Verdana" w:hAnsi="Verdana"/>
                <w:sz w:val="20"/>
                <w:szCs w:val="20"/>
              </w:rPr>
              <w:t xml:space="preserve"> са познати от официални и регистрирани ветеринарни лекари и заради това не е разгледан предложеният вариант. </w:t>
            </w:r>
          </w:p>
        </w:tc>
      </w:tr>
      <w:tr w:rsidR="00374FF4" w:rsidRPr="00452D19" w:rsidTr="007424CB">
        <w:trPr>
          <w:trHeight w:val="596"/>
          <w:jc w:val="center"/>
        </w:trPr>
        <w:tc>
          <w:tcPr>
            <w:tcW w:w="622" w:type="dxa"/>
            <w:vMerge/>
            <w:tcBorders>
              <w:bottom w:val="single" w:sz="4" w:space="0" w:color="auto"/>
            </w:tcBorders>
            <w:shd w:val="clear" w:color="auto" w:fill="auto"/>
          </w:tcPr>
          <w:p w:rsidR="00374FF4" w:rsidRPr="00452D19" w:rsidRDefault="00374FF4" w:rsidP="00374FF4">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4" w:space="0" w:color="auto"/>
            </w:tcBorders>
            <w:shd w:val="clear" w:color="auto" w:fill="auto"/>
          </w:tcPr>
          <w:p w:rsidR="00374FF4" w:rsidRPr="00452D19" w:rsidRDefault="00374FF4" w:rsidP="00374FF4">
            <w:pPr>
              <w:spacing w:before="40" w:after="20"/>
              <w:rPr>
                <w:rFonts w:ascii="Verdana" w:hAnsi="Verdana"/>
                <w:b/>
                <w:bCs/>
                <w:color w:val="000000"/>
                <w:spacing w:val="-2"/>
                <w:sz w:val="20"/>
                <w:szCs w:val="20"/>
              </w:rPr>
            </w:pPr>
          </w:p>
        </w:tc>
        <w:tc>
          <w:tcPr>
            <w:tcW w:w="6042" w:type="dxa"/>
            <w:tcBorders>
              <w:top w:val="nil"/>
              <w:bottom w:val="nil"/>
            </w:tcBorders>
            <w:shd w:val="clear" w:color="auto" w:fill="auto"/>
          </w:tcPr>
          <w:p w:rsidR="00374FF4" w:rsidRPr="00452D19" w:rsidRDefault="00AC13C9" w:rsidP="00910FCC">
            <w:pPr>
              <w:spacing w:before="80" w:after="40"/>
              <w:jc w:val="both"/>
              <w:rPr>
                <w:rFonts w:ascii="Verdana" w:hAnsi="Verdana"/>
                <w:sz w:val="20"/>
                <w:szCs w:val="20"/>
              </w:rPr>
            </w:pPr>
            <w:r w:rsidRPr="00452D19">
              <w:rPr>
                <w:rFonts w:ascii="Verdana" w:hAnsi="Verdana"/>
                <w:sz w:val="20"/>
                <w:szCs w:val="20"/>
              </w:rPr>
              <w:t xml:space="preserve">Чл. 15. До идването на място в обекта на ОВЛ, обслужващият обекта </w:t>
            </w:r>
            <w:r w:rsidR="00374FF4" w:rsidRPr="00452D19">
              <w:rPr>
                <w:rFonts w:ascii="Verdana" w:hAnsi="Verdana"/>
                <w:sz w:val="20"/>
                <w:szCs w:val="20"/>
              </w:rPr>
              <w:t xml:space="preserve">регистриран ветеринарен лекар предприема следните мерки: </w:t>
            </w:r>
          </w:p>
        </w:tc>
        <w:tc>
          <w:tcPr>
            <w:tcW w:w="1786" w:type="dxa"/>
            <w:tcBorders>
              <w:top w:val="nil"/>
              <w:bottom w:val="nil"/>
            </w:tcBorders>
            <w:shd w:val="clear" w:color="auto" w:fill="auto"/>
          </w:tcPr>
          <w:p w:rsidR="00374FF4" w:rsidRPr="00910FCC" w:rsidRDefault="00374FF4" w:rsidP="00910FCC">
            <w:pPr>
              <w:spacing w:before="80" w:after="40"/>
              <w:rPr>
                <w:rFonts w:ascii="Verdana" w:hAnsi="Verdana"/>
                <w:color w:val="000000" w:themeColor="text1"/>
                <w:sz w:val="20"/>
                <w:szCs w:val="20"/>
              </w:rPr>
            </w:pPr>
          </w:p>
        </w:tc>
        <w:tc>
          <w:tcPr>
            <w:tcW w:w="4790" w:type="dxa"/>
            <w:tcBorders>
              <w:top w:val="nil"/>
              <w:bottom w:val="nil"/>
            </w:tcBorders>
            <w:shd w:val="clear" w:color="auto" w:fill="auto"/>
          </w:tcPr>
          <w:p w:rsidR="00374FF4" w:rsidRPr="00452D19" w:rsidRDefault="00374FF4" w:rsidP="00910FCC">
            <w:pPr>
              <w:spacing w:before="80" w:after="40"/>
              <w:jc w:val="both"/>
              <w:rPr>
                <w:rFonts w:ascii="Verdana" w:hAnsi="Verdana"/>
                <w:sz w:val="20"/>
                <w:szCs w:val="20"/>
              </w:rPr>
            </w:pPr>
          </w:p>
        </w:tc>
      </w:tr>
      <w:tr w:rsidR="00374FF4" w:rsidRPr="00452D19" w:rsidTr="007424CB">
        <w:trPr>
          <w:trHeight w:val="596"/>
          <w:jc w:val="center"/>
        </w:trPr>
        <w:tc>
          <w:tcPr>
            <w:tcW w:w="622" w:type="dxa"/>
            <w:vMerge/>
            <w:tcBorders>
              <w:bottom w:val="single" w:sz="12" w:space="0" w:color="2E74B5"/>
            </w:tcBorders>
            <w:shd w:val="clear" w:color="auto" w:fill="auto"/>
          </w:tcPr>
          <w:p w:rsidR="00374FF4" w:rsidRPr="00452D19" w:rsidRDefault="00374FF4" w:rsidP="00374FF4">
            <w:pPr>
              <w:pStyle w:val="ListParagraph"/>
              <w:numPr>
                <w:ilvl w:val="0"/>
                <w:numId w:val="10"/>
              </w:numPr>
              <w:tabs>
                <w:tab w:val="left" w:pos="192"/>
              </w:tabs>
              <w:spacing w:before="40" w:after="2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374FF4" w:rsidRPr="00452D19" w:rsidRDefault="00374FF4" w:rsidP="00374FF4">
            <w:pPr>
              <w:spacing w:before="40" w:after="20"/>
              <w:rPr>
                <w:rFonts w:ascii="Verdana" w:hAnsi="Verdana"/>
                <w:b/>
                <w:bCs/>
                <w:color w:val="000000"/>
                <w:spacing w:val="-2"/>
                <w:sz w:val="20"/>
                <w:szCs w:val="20"/>
              </w:rPr>
            </w:pPr>
          </w:p>
        </w:tc>
        <w:tc>
          <w:tcPr>
            <w:tcW w:w="6042" w:type="dxa"/>
            <w:tcBorders>
              <w:top w:val="nil"/>
              <w:bottom w:val="single" w:sz="12" w:space="0" w:color="2E74B5"/>
            </w:tcBorders>
            <w:shd w:val="clear" w:color="auto" w:fill="auto"/>
          </w:tcPr>
          <w:p w:rsidR="00374FF4" w:rsidRPr="00452D19" w:rsidRDefault="00374FF4" w:rsidP="00910FCC">
            <w:pPr>
              <w:spacing w:before="80" w:after="40"/>
              <w:jc w:val="both"/>
              <w:rPr>
                <w:rFonts w:ascii="Verdana" w:hAnsi="Verdana"/>
                <w:spacing w:val="-2"/>
                <w:sz w:val="20"/>
                <w:szCs w:val="20"/>
              </w:rPr>
            </w:pPr>
            <w:r w:rsidRPr="00452D19">
              <w:rPr>
                <w:rFonts w:ascii="Verdana" w:hAnsi="Verdana"/>
                <w:spacing w:val="-2"/>
                <w:sz w:val="20"/>
                <w:szCs w:val="20"/>
              </w:rPr>
              <w:t>КОМЕНТАР НА БКМЖ:</w:t>
            </w:r>
          </w:p>
          <w:p w:rsidR="00374FF4" w:rsidRPr="00452D19" w:rsidRDefault="00374FF4" w:rsidP="00910FCC">
            <w:pPr>
              <w:spacing w:before="80" w:after="40"/>
              <w:jc w:val="both"/>
              <w:rPr>
                <w:rFonts w:ascii="Verdana" w:hAnsi="Verdana"/>
                <w:spacing w:val="-2"/>
                <w:sz w:val="20"/>
                <w:szCs w:val="20"/>
              </w:rPr>
            </w:pPr>
            <w:r w:rsidRPr="00452D19">
              <w:rPr>
                <w:rFonts w:ascii="Verdana" w:hAnsi="Verdana"/>
                <w:spacing w:val="-2"/>
                <w:sz w:val="20"/>
                <w:szCs w:val="20"/>
              </w:rPr>
              <w:t>Да бъдат разписани специални процедури според типа регистрация на обект. При</w:t>
            </w:r>
            <w:r w:rsidR="00B32F5E">
              <w:rPr>
                <w:rFonts w:ascii="Verdana" w:hAnsi="Verdana"/>
                <w:spacing w:val="-2"/>
                <w:sz w:val="20"/>
                <w:szCs w:val="20"/>
              </w:rPr>
              <w:t>мер /пасищно отглеждани животни</w:t>
            </w:r>
            <w:r w:rsidRPr="00452D19">
              <w:rPr>
                <w:rFonts w:ascii="Verdana" w:hAnsi="Verdana"/>
                <w:spacing w:val="-2"/>
                <w:sz w:val="20"/>
                <w:szCs w:val="20"/>
              </w:rPr>
              <w:t>/.</w:t>
            </w:r>
          </w:p>
        </w:tc>
        <w:tc>
          <w:tcPr>
            <w:tcW w:w="1786" w:type="dxa"/>
            <w:tcBorders>
              <w:top w:val="nil"/>
              <w:bottom w:val="single" w:sz="12" w:space="0" w:color="2E74B5"/>
            </w:tcBorders>
            <w:shd w:val="clear" w:color="auto" w:fill="auto"/>
          </w:tcPr>
          <w:p w:rsidR="00374FF4" w:rsidRPr="00910FCC" w:rsidRDefault="00374FF4" w:rsidP="007424CB">
            <w:pPr>
              <w:spacing w:before="80" w:after="40"/>
              <w:jc w:val="both"/>
              <w:rPr>
                <w:rFonts w:ascii="Verdana" w:hAnsi="Verdana"/>
                <w:color w:val="000000" w:themeColor="text1"/>
                <w:sz w:val="20"/>
                <w:szCs w:val="20"/>
              </w:rPr>
            </w:pPr>
            <w:r w:rsidRPr="00910FCC">
              <w:rPr>
                <w:rFonts w:ascii="Verdana" w:hAnsi="Verdana"/>
                <w:color w:val="000000" w:themeColor="text1"/>
                <w:sz w:val="20"/>
                <w:szCs w:val="20"/>
              </w:rPr>
              <w:t>Приема се</w:t>
            </w:r>
            <w:r w:rsidR="00B956FC" w:rsidRPr="00910FCC">
              <w:rPr>
                <w:rFonts w:ascii="Verdana" w:hAnsi="Verdana"/>
                <w:color w:val="000000" w:themeColor="text1"/>
                <w:sz w:val="20"/>
                <w:szCs w:val="20"/>
              </w:rPr>
              <w:t xml:space="preserve"> </w:t>
            </w:r>
            <w:r w:rsidR="00C74DCA" w:rsidRPr="00910FCC">
              <w:rPr>
                <w:rFonts w:ascii="Verdana" w:hAnsi="Verdana"/>
                <w:color w:val="000000" w:themeColor="text1"/>
                <w:sz w:val="20"/>
                <w:szCs w:val="20"/>
              </w:rPr>
              <w:t>по принцип</w:t>
            </w:r>
          </w:p>
        </w:tc>
        <w:tc>
          <w:tcPr>
            <w:tcW w:w="4790" w:type="dxa"/>
            <w:tcBorders>
              <w:top w:val="nil"/>
              <w:bottom w:val="single" w:sz="12" w:space="0" w:color="2E74B5"/>
            </w:tcBorders>
            <w:shd w:val="clear" w:color="auto" w:fill="auto"/>
          </w:tcPr>
          <w:p w:rsidR="00374FF4" w:rsidRDefault="00B956FC" w:rsidP="00910FCC">
            <w:pPr>
              <w:spacing w:before="80" w:after="40"/>
              <w:jc w:val="both"/>
              <w:rPr>
                <w:rFonts w:ascii="Verdana" w:hAnsi="Verdana"/>
                <w:sz w:val="20"/>
                <w:szCs w:val="20"/>
              </w:rPr>
            </w:pPr>
            <w:r w:rsidRPr="00452D19">
              <w:rPr>
                <w:rFonts w:ascii="Verdana" w:hAnsi="Verdana"/>
                <w:sz w:val="20"/>
                <w:szCs w:val="20"/>
              </w:rPr>
              <w:t xml:space="preserve">Освен общите законови разпоредби по отношение на контрола и профилактиката </w:t>
            </w:r>
            <w:r w:rsidR="00E85011" w:rsidRPr="00452D19">
              <w:rPr>
                <w:rFonts w:ascii="Verdana" w:hAnsi="Verdana"/>
                <w:sz w:val="20"/>
                <w:szCs w:val="20"/>
              </w:rPr>
              <w:t>на болестите по животните и зоонози са одобрени оперативни документи на БАБХ, в които са регламентирани извършването на официалният контрол. Той се изпълнява съгласно различни критерии и честота, основана на база оценка на риска.</w:t>
            </w:r>
          </w:p>
          <w:p w:rsidR="00C74DCA" w:rsidRPr="00452D19" w:rsidRDefault="00C74DCA" w:rsidP="00910FCC">
            <w:pPr>
              <w:spacing w:before="80" w:after="40"/>
              <w:jc w:val="both"/>
              <w:rPr>
                <w:rFonts w:ascii="Verdana" w:hAnsi="Verdana"/>
                <w:sz w:val="20"/>
                <w:szCs w:val="20"/>
              </w:rPr>
            </w:pPr>
            <w:r>
              <w:rPr>
                <w:rFonts w:ascii="Verdana" w:hAnsi="Verdana"/>
                <w:sz w:val="20"/>
                <w:szCs w:val="20"/>
              </w:rPr>
              <w:t>Мерките, които се предприемат от регистрирани ветеринарни лекари при съмнение за възникване на заболяването са еднакви без значение от типа обект.</w:t>
            </w:r>
          </w:p>
        </w:tc>
      </w:tr>
    </w:tbl>
    <w:p w:rsidR="00C72BBA" w:rsidRPr="00452D19" w:rsidRDefault="00C72BBA" w:rsidP="002B32EB">
      <w:pPr>
        <w:rPr>
          <w:rFonts w:ascii="Verdana" w:hAnsi="Verdana"/>
          <w:b/>
          <w:bCs/>
          <w:caps/>
          <w:sz w:val="20"/>
          <w:szCs w:val="20"/>
        </w:rPr>
      </w:pPr>
      <w:bookmarkStart w:id="0" w:name="_GoBack"/>
      <w:bookmarkEnd w:id="0"/>
    </w:p>
    <w:sectPr w:rsidR="00C72BBA" w:rsidRPr="00452D19" w:rsidSect="002B32EB">
      <w:footerReference w:type="even" r:id="rId8"/>
      <w:footerReference w:type="default" r:id="rId9"/>
      <w:pgSz w:w="16838" w:h="11906" w:orient="landscape" w:code="9"/>
      <w:pgMar w:top="1304" w:right="964" w:bottom="56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B11" w:rsidRDefault="00402B11">
      <w:r>
        <w:separator/>
      </w:r>
    </w:p>
  </w:endnote>
  <w:endnote w:type="continuationSeparator" w:id="0">
    <w:p w:rsidR="00402B11" w:rsidRDefault="0040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FE" w:rsidRDefault="007106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8"/>
        <w:szCs w:val="18"/>
      </w:rPr>
    </w:sdtEndPr>
    <w:sdtContent>
      <w:p w:rsidR="007106FE" w:rsidRPr="007329D4" w:rsidRDefault="007106FE" w:rsidP="00AF12B7">
        <w:pPr>
          <w:pStyle w:val="Footer"/>
          <w:jc w:val="right"/>
          <w:rPr>
            <w:rFonts w:ascii="Verdana" w:hAnsi="Verdana"/>
            <w:sz w:val="18"/>
            <w:szCs w:val="18"/>
          </w:rPr>
        </w:pPr>
        <w:r w:rsidRPr="007329D4">
          <w:rPr>
            <w:rFonts w:ascii="Verdana" w:hAnsi="Verdana"/>
            <w:sz w:val="18"/>
            <w:szCs w:val="18"/>
          </w:rPr>
          <w:fldChar w:fldCharType="begin"/>
        </w:r>
        <w:r w:rsidRPr="007329D4">
          <w:rPr>
            <w:rFonts w:ascii="Verdana" w:hAnsi="Verdana"/>
            <w:sz w:val="18"/>
            <w:szCs w:val="18"/>
          </w:rPr>
          <w:instrText xml:space="preserve"> PAGE   \* MERGEFORMAT </w:instrText>
        </w:r>
        <w:r w:rsidRPr="007329D4">
          <w:rPr>
            <w:rFonts w:ascii="Verdana" w:hAnsi="Verdana"/>
            <w:sz w:val="18"/>
            <w:szCs w:val="18"/>
          </w:rPr>
          <w:fldChar w:fldCharType="separate"/>
        </w:r>
        <w:r w:rsidR="002B32EB">
          <w:rPr>
            <w:rFonts w:ascii="Verdana" w:hAnsi="Verdana"/>
            <w:noProof/>
            <w:sz w:val="18"/>
            <w:szCs w:val="18"/>
          </w:rPr>
          <w:t>2</w:t>
        </w:r>
        <w:r w:rsidRPr="007329D4">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B11" w:rsidRDefault="00402B11">
      <w:r>
        <w:separator/>
      </w:r>
    </w:p>
  </w:footnote>
  <w:footnote w:type="continuationSeparator" w:id="0">
    <w:p w:rsidR="00402B11" w:rsidRDefault="00402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686"/>
    <w:multiLevelType w:val="multilevel"/>
    <w:tmpl w:val="EF9E41B2"/>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66EDC"/>
    <w:multiLevelType w:val="hybridMultilevel"/>
    <w:tmpl w:val="7510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6"/>
  </w:num>
  <w:num w:numId="6">
    <w:abstractNumId w:val="3"/>
  </w:num>
  <w:num w:numId="7">
    <w:abstractNumId w:val="7"/>
  </w:num>
  <w:num w:numId="8">
    <w:abstractNumId w:val="9"/>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A98"/>
    <w:rsid w:val="000042F6"/>
    <w:rsid w:val="0000470F"/>
    <w:rsid w:val="00004862"/>
    <w:rsid w:val="00005688"/>
    <w:rsid w:val="000101A6"/>
    <w:rsid w:val="000115D5"/>
    <w:rsid w:val="00012CAB"/>
    <w:rsid w:val="00015F4F"/>
    <w:rsid w:val="00016086"/>
    <w:rsid w:val="0001666D"/>
    <w:rsid w:val="000200AF"/>
    <w:rsid w:val="00022060"/>
    <w:rsid w:val="00024421"/>
    <w:rsid w:val="0002513E"/>
    <w:rsid w:val="000252C0"/>
    <w:rsid w:val="0002544E"/>
    <w:rsid w:val="000257AA"/>
    <w:rsid w:val="00025A23"/>
    <w:rsid w:val="00025DD3"/>
    <w:rsid w:val="000279C9"/>
    <w:rsid w:val="00027FC7"/>
    <w:rsid w:val="00033183"/>
    <w:rsid w:val="00033543"/>
    <w:rsid w:val="00033713"/>
    <w:rsid w:val="000357B4"/>
    <w:rsid w:val="00036515"/>
    <w:rsid w:val="00040AE0"/>
    <w:rsid w:val="000414B6"/>
    <w:rsid w:val="00043D50"/>
    <w:rsid w:val="00044E65"/>
    <w:rsid w:val="0004610E"/>
    <w:rsid w:val="00046AB8"/>
    <w:rsid w:val="00046C3E"/>
    <w:rsid w:val="00051CC2"/>
    <w:rsid w:val="00052350"/>
    <w:rsid w:val="0005435E"/>
    <w:rsid w:val="0005470C"/>
    <w:rsid w:val="00055D5F"/>
    <w:rsid w:val="000572CA"/>
    <w:rsid w:val="00057519"/>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5A97"/>
    <w:rsid w:val="00075FA3"/>
    <w:rsid w:val="000769B1"/>
    <w:rsid w:val="0008079F"/>
    <w:rsid w:val="00081D6F"/>
    <w:rsid w:val="00082171"/>
    <w:rsid w:val="00084700"/>
    <w:rsid w:val="000860A9"/>
    <w:rsid w:val="00086434"/>
    <w:rsid w:val="000902D1"/>
    <w:rsid w:val="00090401"/>
    <w:rsid w:val="000937D4"/>
    <w:rsid w:val="00094AB2"/>
    <w:rsid w:val="000953A8"/>
    <w:rsid w:val="00097783"/>
    <w:rsid w:val="000A1017"/>
    <w:rsid w:val="000A228F"/>
    <w:rsid w:val="000A3E16"/>
    <w:rsid w:val="000A7862"/>
    <w:rsid w:val="000B279A"/>
    <w:rsid w:val="000B298E"/>
    <w:rsid w:val="000B2EB1"/>
    <w:rsid w:val="000B3D5F"/>
    <w:rsid w:val="000B6D57"/>
    <w:rsid w:val="000C036A"/>
    <w:rsid w:val="000C1697"/>
    <w:rsid w:val="000C46A7"/>
    <w:rsid w:val="000C5E61"/>
    <w:rsid w:val="000D0414"/>
    <w:rsid w:val="000D1E2E"/>
    <w:rsid w:val="000D3F6C"/>
    <w:rsid w:val="000D4198"/>
    <w:rsid w:val="000D5C1A"/>
    <w:rsid w:val="000E1E07"/>
    <w:rsid w:val="000E3570"/>
    <w:rsid w:val="000E38E0"/>
    <w:rsid w:val="000F02C5"/>
    <w:rsid w:val="000F31C8"/>
    <w:rsid w:val="000F3490"/>
    <w:rsid w:val="000F49D5"/>
    <w:rsid w:val="000F4E61"/>
    <w:rsid w:val="000F73D3"/>
    <w:rsid w:val="001012EC"/>
    <w:rsid w:val="001059BF"/>
    <w:rsid w:val="00105B7D"/>
    <w:rsid w:val="0010687D"/>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4034"/>
    <w:rsid w:val="001440FE"/>
    <w:rsid w:val="0014437A"/>
    <w:rsid w:val="00152D3A"/>
    <w:rsid w:val="001551C4"/>
    <w:rsid w:val="00155CAF"/>
    <w:rsid w:val="0016097E"/>
    <w:rsid w:val="001668E1"/>
    <w:rsid w:val="00167F77"/>
    <w:rsid w:val="00170505"/>
    <w:rsid w:val="00172CCB"/>
    <w:rsid w:val="00175004"/>
    <w:rsid w:val="00177AA6"/>
    <w:rsid w:val="00177CAC"/>
    <w:rsid w:val="00177D2B"/>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C20E2"/>
    <w:rsid w:val="001C46A7"/>
    <w:rsid w:val="001C6E95"/>
    <w:rsid w:val="001D2756"/>
    <w:rsid w:val="001D362A"/>
    <w:rsid w:val="001D6790"/>
    <w:rsid w:val="001E13F5"/>
    <w:rsid w:val="001E174B"/>
    <w:rsid w:val="001E24C8"/>
    <w:rsid w:val="001E4FE9"/>
    <w:rsid w:val="001E64F2"/>
    <w:rsid w:val="001F0567"/>
    <w:rsid w:val="001F1F60"/>
    <w:rsid w:val="001F314D"/>
    <w:rsid w:val="001F6BC2"/>
    <w:rsid w:val="001F718C"/>
    <w:rsid w:val="00200292"/>
    <w:rsid w:val="0020103A"/>
    <w:rsid w:val="00201455"/>
    <w:rsid w:val="0020153E"/>
    <w:rsid w:val="00206678"/>
    <w:rsid w:val="00210233"/>
    <w:rsid w:val="0021035B"/>
    <w:rsid w:val="00212D43"/>
    <w:rsid w:val="00214B75"/>
    <w:rsid w:val="00215178"/>
    <w:rsid w:val="00221143"/>
    <w:rsid w:val="002217C0"/>
    <w:rsid w:val="00221B68"/>
    <w:rsid w:val="00223331"/>
    <w:rsid w:val="0023062F"/>
    <w:rsid w:val="00230E0E"/>
    <w:rsid w:val="00231D0F"/>
    <w:rsid w:val="00231DF3"/>
    <w:rsid w:val="00233C04"/>
    <w:rsid w:val="002348DC"/>
    <w:rsid w:val="002369C8"/>
    <w:rsid w:val="002375B3"/>
    <w:rsid w:val="00237A17"/>
    <w:rsid w:val="00241F4C"/>
    <w:rsid w:val="00243442"/>
    <w:rsid w:val="002440AF"/>
    <w:rsid w:val="0024444A"/>
    <w:rsid w:val="00245FCD"/>
    <w:rsid w:val="002472CF"/>
    <w:rsid w:val="002526C8"/>
    <w:rsid w:val="002536A8"/>
    <w:rsid w:val="00253C2D"/>
    <w:rsid w:val="00257983"/>
    <w:rsid w:val="00260F55"/>
    <w:rsid w:val="002632C1"/>
    <w:rsid w:val="00263E76"/>
    <w:rsid w:val="002640E1"/>
    <w:rsid w:val="0027210E"/>
    <w:rsid w:val="00272EE3"/>
    <w:rsid w:val="00273219"/>
    <w:rsid w:val="00273678"/>
    <w:rsid w:val="00273CAC"/>
    <w:rsid w:val="002753B5"/>
    <w:rsid w:val="002804CF"/>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AE6"/>
    <w:rsid w:val="002A67D5"/>
    <w:rsid w:val="002B32EB"/>
    <w:rsid w:val="002C03AF"/>
    <w:rsid w:val="002C2EEA"/>
    <w:rsid w:val="002C5843"/>
    <w:rsid w:val="002C7F10"/>
    <w:rsid w:val="002D083C"/>
    <w:rsid w:val="002D2176"/>
    <w:rsid w:val="002E537C"/>
    <w:rsid w:val="002E57D4"/>
    <w:rsid w:val="002E594D"/>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1BD0"/>
    <w:rsid w:val="0032394D"/>
    <w:rsid w:val="00326B58"/>
    <w:rsid w:val="003302BD"/>
    <w:rsid w:val="003303CC"/>
    <w:rsid w:val="0033087A"/>
    <w:rsid w:val="003336CE"/>
    <w:rsid w:val="00333BD7"/>
    <w:rsid w:val="00335F05"/>
    <w:rsid w:val="00340212"/>
    <w:rsid w:val="00341EFC"/>
    <w:rsid w:val="00344138"/>
    <w:rsid w:val="00345B9F"/>
    <w:rsid w:val="00346856"/>
    <w:rsid w:val="00351063"/>
    <w:rsid w:val="00356131"/>
    <w:rsid w:val="003628A2"/>
    <w:rsid w:val="003640F0"/>
    <w:rsid w:val="00364798"/>
    <w:rsid w:val="00367DA5"/>
    <w:rsid w:val="0037191E"/>
    <w:rsid w:val="00371937"/>
    <w:rsid w:val="00372DCB"/>
    <w:rsid w:val="003737F2"/>
    <w:rsid w:val="00374FF4"/>
    <w:rsid w:val="00377A96"/>
    <w:rsid w:val="00377FE2"/>
    <w:rsid w:val="003832DF"/>
    <w:rsid w:val="003845F9"/>
    <w:rsid w:val="00384B8B"/>
    <w:rsid w:val="00385E4A"/>
    <w:rsid w:val="00387130"/>
    <w:rsid w:val="00387162"/>
    <w:rsid w:val="003903E2"/>
    <w:rsid w:val="00390D8E"/>
    <w:rsid w:val="00391A1C"/>
    <w:rsid w:val="00395655"/>
    <w:rsid w:val="003A060F"/>
    <w:rsid w:val="003A0FF4"/>
    <w:rsid w:val="003A48EE"/>
    <w:rsid w:val="003B4449"/>
    <w:rsid w:val="003B5492"/>
    <w:rsid w:val="003C1F1E"/>
    <w:rsid w:val="003C557F"/>
    <w:rsid w:val="003C563D"/>
    <w:rsid w:val="003C5C7B"/>
    <w:rsid w:val="003D2A50"/>
    <w:rsid w:val="003D49CF"/>
    <w:rsid w:val="003D6231"/>
    <w:rsid w:val="003E066A"/>
    <w:rsid w:val="003E361D"/>
    <w:rsid w:val="003F2026"/>
    <w:rsid w:val="003F29BC"/>
    <w:rsid w:val="003F3728"/>
    <w:rsid w:val="003F4E12"/>
    <w:rsid w:val="003F7612"/>
    <w:rsid w:val="003F7CD4"/>
    <w:rsid w:val="004027A6"/>
    <w:rsid w:val="00402B11"/>
    <w:rsid w:val="0040510D"/>
    <w:rsid w:val="00407815"/>
    <w:rsid w:val="00414F26"/>
    <w:rsid w:val="00415D7B"/>
    <w:rsid w:val="00417315"/>
    <w:rsid w:val="00420A7D"/>
    <w:rsid w:val="00420F8B"/>
    <w:rsid w:val="0042418B"/>
    <w:rsid w:val="0042440B"/>
    <w:rsid w:val="00427DC5"/>
    <w:rsid w:val="00427EF4"/>
    <w:rsid w:val="00430245"/>
    <w:rsid w:val="00430323"/>
    <w:rsid w:val="004361F2"/>
    <w:rsid w:val="00436919"/>
    <w:rsid w:val="004376C2"/>
    <w:rsid w:val="004424D7"/>
    <w:rsid w:val="004427B2"/>
    <w:rsid w:val="00442824"/>
    <w:rsid w:val="004444E8"/>
    <w:rsid w:val="004444F4"/>
    <w:rsid w:val="00446EC1"/>
    <w:rsid w:val="00450BCC"/>
    <w:rsid w:val="0045180F"/>
    <w:rsid w:val="00452217"/>
    <w:rsid w:val="00452D19"/>
    <w:rsid w:val="00453C28"/>
    <w:rsid w:val="00453E7F"/>
    <w:rsid w:val="00453E85"/>
    <w:rsid w:val="00454A8E"/>
    <w:rsid w:val="00455D0B"/>
    <w:rsid w:val="0046011A"/>
    <w:rsid w:val="0046759A"/>
    <w:rsid w:val="00467C52"/>
    <w:rsid w:val="004705AC"/>
    <w:rsid w:val="0047261C"/>
    <w:rsid w:val="004739BA"/>
    <w:rsid w:val="0047473E"/>
    <w:rsid w:val="00483378"/>
    <w:rsid w:val="00487E51"/>
    <w:rsid w:val="004942CA"/>
    <w:rsid w:val="00496618"/>
    <w:rsid w:val="004A0A82"/>
    <w:rsid w:val="004A1339"/>
    <w:rsid w:val="004A207E"/>
    <w:rsid w:val="004A20AD"/>
    <w:rsid w:val="004A20BF"/>
    <w:rsid w:val="004A27CC"/>
    <w:rsid w:val="004A285F"/>
    <w:rsid w:val="004A35FD"/>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4B94"/>
    <w:rsid w:val="004F70FF"/>
    <w:rsid w:val="004F7953"/>
    <w:rsid w:val="0050084D"/>
    <w:rsid w:val="00500C07"/>
    <w:rsid w:val="00501E0F"/>
    <w:rsid w:val="00501E65"/>
    <w:rsid w:val="00506006"/>
    <w:rsid w:val="005061A7"/>
    <w:rsid w:val="00506310"/>
    <w:rsid w:val="0050754B"/>
    <w:rsid w:val="00507B53"/>
    <w:rsid w:val="005121ED"/>
    <w:rsid w:val="005128EA"/>
    <w:rsid w:val="005130D6"/>
    <w:rsid w:val="00514AC6"/>
    <w:rsid w:val="0051624B"/>
    <w:rsid w:val="00517A62"/>
    <w:rsid w:val="00520109"/>
    <w:rsid w:val="00520792"/>
    <w:rsid w:val="00520903"/>
    <w:rsid w:val="005214BD"/>
    <w:rsid w:val="00521850"/>
    <w:rsid w:val="00522818"/>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47EEF"/>
    <w:rsid w:val="005525EA"/>
    <w:rsid w:val="005531AA"/>
    <w:rsid w:val="00554B28"/>
    <w:rsid w:val="00554CC1"/>
    <w:rsid w:val="0056044E"/>
    <w:rsid w:val="00563FA3"/>
    <w:rsid w:val="005644C8"/>
    <w:rsid w:val="00564E98"/>
    <w:rsid w:val="00573E06"/>
    <w:rsid w:val="005778C6"/>
    <w:rsid w:val="00577F15"/>
    <w:rsid w:val="00583A7E"/>
    <w:rsid w:val="00586CF4"/>
    <w:rsid w:val="005913D0"/>
    <w:rsid w:val="005953A7"/>
    <w:rsid w:val="00597BAA"/>
    <w:rsid w:val="00597D5D"/>
    <w:rsid w:val="005A1896"/>
    <w:rsid w:val="005A338B"/>
    <w:rsid w:val="005A407D"/>
    <w:rsid w:val="005A4A9A"/>
    <w:rsid w:val="005A5DAE"/>
    <w:rsid w:val="005A6C42"/>
    <w:rsid w:val="005C2DFD"/>
    <w:rsid w:val="005C43C6"/>
    <w:rsid w:val="005C75B3"/>
    <w:rsid w:val="005C7A87"/>
    <w:rsid w:val="005D001E"/>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421E"/>
    <w:rsid w:val="005F53D2"/>
    <w:rsid w:val="005F630F"/>
    <w:rsid w:val="005F79AF"/>
    <w:rsid w:val="0060094C"/>
    <w:rsid w:val="00600B63"/>
    <w:rsid w:val="00601137"/>
    <w:rsid w:val="006040E1"/>
    <w:rsid w:val="006047CE"/>
    <w:rsid w:val="00604A61"/>
    <w:rsid w:val="00610231"/>
    <w:rsid w:val="00615684"/>
    <w:rsid w:val="00616625"/>
    <w:rsid w:val="00617D55"/>
    <w:rsid w:val="00617F06"/>
    <w:rsid w:val="006240D8"/>
    <w:rsid w:val="00626132"/>
    <w:rsid w:val="0063318F"/>
    <w:rsid w:val="00633D08"/>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5E6E"/>
    <w:rsid w:val="00686496"/>
    <w:rsid w:val="00690FE6"/>
    <w:rsid w:val="00691BD4"/>
    <w:rsid w:val="006940E9"/>
    <w:rsid w:val="00694141"/>
    <w:rsid w:val="006941C8"/>
    <w:rsid w:val="00697863"/>
    <w:rsid w:val="006A0D8A"/>
    <w:rsid w:val="006A36D7"/>
    <w:rsid w:val="006A512F"/>
    <w:rsid w:val="006A70E2"/>
    <w:rsid w:val="006B4070"/>
    <w:rsid w:val="006B5E2B"/>
    <w:rsid w:val="006C1FAA"/>
    <w:rsid w:val="006C605F"/>
    <w:rsid w:val="006C71C0"/>
    <w:rsid w:val="006D1F20"/>
    <w:rsid w:val="006D2BDD"/>
    <w:rsid w:val="006D4254"/>
    <w:rsid w:val="006D5F6F"/>
    <w:rsid w:val="006D6C3E"/>
    <w:rsid w:val="006D745F"/>
    <w:rsid w:val="006D7881"/>
    <w:rsid w:val="006D7E56"/>
    <w:rsid w:val="006E23DE"/>
    <w:rsid w:val="006E2D88"/>
    <w:rsid w:val="006E32E7"/>
    <w:rsid w:val="006E3D3C"/>
    <w:rsid w:val="006E46A3"/>
    <w:rsid w:val="006E58C1"/>
    <w:rsid w:val="006E7B3B"/>
    <w:rsid w:val="006F282A"/>
    <w:rsid w:val="006F33DD"/>
    <w:rsid w:val="006F35F8"/>
    <w:rsid w:val="006F4781"/>
    <w:rsid w:val="006F6420"/>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B88"/>
    <w:rsid w:val="007329D4"/>
    <w:rsid w:val="00732DEB"/>
    <w:rsid w:val="007362EB"/>
    <w:rsid w:val="00736B76"/>
    <w:rsid w:val="00736C03"/>
    <w:rsid w:val="007377F2"/>
    <w:rsid w:val="00737BC4"/>
    <w:rsid w:val="00737D3E"/>
    <w:rsid w:val="007423F8"/>
    <w:rsid w:val="007424CB"/>
    <w:rsid w:val="00742F57"/>
    <w:rsid w:val="007431DE"/>
    <w:rsid w:val="00743EFE"/>
    <w:rsid w:val="00745349"/>
    <w:rsid w:val="0074534D"/>
    <w:rsid w:val="00745851"/>
    <w:rsid w:val="007511D5"/>
    <w:rsid w:val="007516D1"/>
    <w:rsid w:val="0075213E"/>
    <w:rsid w:val="00753049"/>
    <w:rsid w:val="00756242"/>
    <w:rsid w:val="00756290"/>
    <w:rsid w:val="00756A19"/>
    <w:rsid w:val="0076108C"/>
    <w:rsid w:val="00761B5E"/>
    <w:rsid w:val="00763674"/>
    <w:rsid w:val="0076408A"/>
    <w:rsid w:val="0076716E"/>
    <w:rsid w:val="00773DD9"/>
    <w:rsid w:val="00774BE7"/>
    <w:rsid w:val="00777754"/>
    <w:rsid w:val="00781306"/>
    <w:rsid w:val="00781635"/>
    <w:rsid w:val="007836C8"/>
    <w:rsid w:val="007863C8"/>
    <w:rsid w:val="007934F1"/>
    <w:rsid w:val="00794229"/>
    <w:rsid w:val="00795A1B"/>
    <w:rsid w:val="007970F0"/>
    <w:rsid w:val="007971F3"/>
    <w:rsid w:val="007A4157"/>
    <w:rsid w:val="007B1141"/>
    <w:rsid w:val="007B24F7"/>
    <w:rsid w:val="007B3D33"/>
    <w:rsid w:val="007B571A"/>
    <w:rsid w:val="007C393A"/>
    <w:rsid w:val="007C5DF2"/>
    <w:rsid w:val="007C6C8E"/>
    <w:rsid w:val="007D09DC"/>
    <w:rsid w:val="007D6B06"/>
    <w:rsid w:val="007D76D7"/>
    <w:rsid w:val="007E249E"/>
    <w:rsid w:val="007E5ED7"/>
    <w:rsid w:val="007E6242"/>
    <w:rsid w:val="007E633B"/>
    <w:rsid w:val="007E6AD6"/>
    <w:rsid w:val="007F135A"/>
    <w:rsid w:val="007F229C"/>
    <w:rsid w:val="007F5275"/>
    <w:rsid w:val="007F6783"/>
    <w:rsid w:val="007F7DFC"/>
    <w:rsid w:val="008004AE"/>
    <w:rsid w:val="0080232E"/>
    <w:rsid w:val="00803CA0"/>
    <w:rsid w:val="0080529C"/>
    <w:rsid w:val="00812789"/>
    <w:rsid w:val="00813EBF"/>
    <w:rsid w:val="00817D17"/>
    <w:rsid w:val="00824BA3"/>
    <w:rsid w:val="00826F86"/>
    <w:rsid w:val="00831124"/>
    <w:rsid w:val="00831D3C"/>
    <w:rsid w:val="00831E9A"/>
    <w:rsid w:val="00833124"/>
    <w:rsid w:val="00841854"/>
    <w:rsid w:val="00842C8D"/>
    <w:rsid w:val="0084455A"/>
    <w:rsid w:val="00844CC3"/>
    <w:rsid w:val="008457E2"/>
    <w:rsid w:val="00845BC3"/>
    <w:rsid w:val="00846469"/>
    <w:rsid w:val="008476BF"/>
    <w:rsid w:val="00847CFC"/>
    <w:rsid w:val="008508D5"/>
    <w:rsid w:val="0085319B"/>
    <w:rsid w:val="00853C0E"/>
    <w:rsid w:val="00854E7C"/>
    <w:rsid w:val="00855317"/>
    <w:rsid w:val="00855962"/>
    <w:rsid w:val="00856AC1"/>
    <w:rsid w:val="00856F8A"/>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95506"/>
    <w:rsid w:val="008A00BC"/>
    <w:rsid w:val="008A0B79"/>
    <w:rsid w:val="008A1687"/>
    <w:rsid w:val="008A2346"/>
    <w:rsid w:val="008A2DF5"/>
    <w:rsid w:val="008A3A73"/>
    <w:rsid w:val="008A52D8"/>
    <w:rsid w:val="008A5E27"/>
    <w:rsid w:val="008A721D"/>
    <w:rsid w:val="008B48E6"/>
    <w:rsid w:val="008B4BDA"/>
    <w:rsid w:val="008C01F4"/>
    <w:rsid w:val="008C0503"/>
    <w:rsid w:val="008C4A55"/>
    <w:rsid w:val="008C5E5E"/>
    <w:rsid w:val="008D022E"/>
    <w:rsid w:val="008D08F5"/>
    <w:rsid w:val="008D0DDB"/>
    <w:rsid w:val="008D2350"/>
    <w:rsid w:val="008D2B13"/>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2191"/>
    <w:rsid w:val="008F35DB"/>
    <w:rsid w:val="008F39D3"/>
    <w:rsid w:val="008F4969"/>
    <w:rsid w:val="008F5129"/>
    <w:rsid w:val="008F6393"/>
    <w:rsid w:val="00902FF9"/>
    <w:rsid w:val="00905EB8"/>
    <w:rsid w:val="00905F3A"/>
    <w:rsid w:val="0090679B"/>
    <w:rsid w:val="0090782D"/>
    <w:rsid w:val="00910FCC"/>
    <w:rsid w:val="00912765"/>
    <w:rsid w:val="0091523F"/>
    <w:rsid w:val="0091558A"/>
    <w:rsid w:val="00915B80"/>
    <w:rsid w:val="00917058"/>
    <w:rsid w:val="00923C45"/>
    <w:rsid w:val="00924F20"/>
    <w:rsid w:val="00924F7D"/>
    <w:rsid w:val="00931024"/>
    <w:rsid w:val="009312BE"/>
    <w:rsid w:val="009318BC"/>
    <w:rsid w:val="00932D4A"/>
    <w:rsid w:val="00933F4C"/>
    <w:rsid w:val="00934865"/>
    <w:rsid w:val="00935587"/>
    <w:rsid w:val="00936B7F"/>
    <w:rsid w:val="009379D0"/>
    <w:rsid w:val="00940D15"/>
    <w:rsid w:val="009415CD"/>
    <w:rsid w:val="0094334A"/>
    <w:rsid w:val="00943E2F"/>
    <w:rsid w:val="00944454"/>
    <w:rsid w:val="00952D0A"/>
    <w:rsid w:val="00953FD7"/>
    <w:rsid w:val="00954732"/>
    <w:rsid w:val="009551F9"/>
    <w:rsid w:val="00956BD2"/>
    <w:rsid w:val="0096092A"/>
    <w:rsid w:val="00963058"/>
    <w:rsid w:val="00963AE2"/>
    <w:rsid w:val="00963E96"/>
    <w:rsid w:val="00972F4C"/>
    <w:rsid w:val="009754E9"/>
    <w:rsid w:val="00975F5E"/>
    <w:rsid w:val="00977612"/>
    <w:rsid w:val="009827FE"/>
    <w:rsid w:val="00983B09"/>
    <w:rsid w:val="00990860"/>
    <w:rsid w:val="00990FC4"/>
    <w:rsid w:val="00992009"/>
    <w:rsid w:val="0099513B"/>
    <w:rsid w:val="00996B48"/>
    <w:rsid w:val="009A19C4"/>
    <w:rsid w:val="009A453C"/>
    <w:rsid w:val="009A7C4E"/>
    <w:rsid w:val="009B0239"/>
    <w:rsid w:val="009B1744"/>
    <w:rsid w:val="009B1EE9"/>
    <w:rsid w:val="009B2B15"/>
    <w:rsid w:val="009B3DAC"/>
    <w:rsid w:val="009B568A"/>
    <w:rsid w:val="009C08B5"/>
    <w:rsid w:val="009C4545"/>
    <w:rsid w:val="009C4DFC"/>
    <w:rsid w:val="009D0944"/>
    <w:rsid w:val="009D5384"/>
    <w:rsid w:val="009D580E"/>
    <w:rsid w:val="009D6D2E"/>
    <w:rsid w:val="009D753B"/>
    <w:rsid w:val="009E0CEB"/>
    <w:rsid w:val="009E44C6"/>
    <w:rsid w:val="009E6C5E"/>
    <w:rsid w:val="009E7717"/>
    <w:rsid w:val="009E7FF1"/>
    <w:rsid w:val="009F0800"/>
    <w:rsid w:val="009F23CB"/>
    <w:rsid w:val="009F5722"/>
    <w:rsid w:val="009F7176"/>
    <w:rsid w:val="00A02072"/>
    <w:rsid w:val="00A0334B"/>
    <w:rsid w:val="00A03BC9"/>
    <w:rsid w:val="00A04A98"/>
    <w:rsid w:val="00A0510A"/>
    <w:rsid w:val="00A11521"/>
    <w:rsid w:val="00A11D46"/>
    <w:rsid w:val="00A11FC5"/>
    <w:rsid w:val="00A12B33"/>
    <w:rsid w:val="00A163D9"/>
    <w:rsid w:val="00A20444"/>
    <w:rsid w:val="00A21BAC"/>
    <w:rsid w:val="00A23041"/>
    <w:rsid w:val="00A23452"/>
    <w:rsid w:val="00A26499"/>
    <w:rsid w:val="00A27017"/>
    <w:rsid w:val="00A27F81"/>
    <w:rsid w:val="00A30636"/>
    <w:rsid w:val="00A30F0D"/>
    <w:rsid w:val="00A31338"/>
    <w:rsid w:val="00A32258"/>
    <w:rsid w:val="00A3356F"/>
    <w:rsid w:val="00A342A5"/>
    <w:rsid w:val="00A3568B"/>
    <w:rsid w:val="00A377AE"/>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43D6"/>
    <w:rsid w:val="00A64DC1"/>
    <w:rsid w:val="00A6623B"/>
    <w:rsid w:val="00A66CE7"/>
    <w:rsid w:val="00A7058C"/>
    <w:rsid w:val="00A70B39"/>
    <w:rsid w:val="00A72224"/>
    <w:rsid w:val="00A73EB4"/>
    <w:rsid w:val="00A85016"/>
    <w:rsid w:val="00A85598"/>
    <w:rsid w:val="00A856B0"/>
    <w:rsid w:val="00A8607A"/>
    <w:rsid w:val="00A86D8D"/>
    <w:rsid w:val="00A90530"/>
    <w:rsid w:val="00A917A9"/>
    <w:rsid w:val="00A919EA"/>
    <w:rsid w:val="00A91A2A"/>
    <w:rsid w:val="00A94B87"/>
    <w:rsid w:val="00A9750F"/>
    <w:rsid w:val="00AA599A"/>
    <w:rsid w:val="00AA5E2F"/>
    <w:rsid w:val="00AB0851"/>
    <w:rsid w:val="00AB56B3"/>
    <w:rsid w:val="00AB5812"/>
    <w:rsid w:val="00AB5BFC"/>
    <w:rsid w:val="00AB7845"/>
    <w:rsid w:val="00AC135D"/>
    <w:rsid w:val="00AC13C9"/>
    <w:rsid w:val="00AC2072"/>
    <w:rsid w:val="00AC40DC"/>
    <w:rsid w:val="00AC4ECB"/>
    <w:rsid w:val="00AD21C9"/>
    <w:rsid w:val="00AD3F9D"/>
    <w:rsid w:val="00AD4746"/>
    <w:rsid w:val="00AD5010"/>
    <w:rsid w:val="00AE20C4"/>
    <w:rsid w:val="00AE2731"/>
    <w:rsid w:val="00AE3244"/>
    <w:rsid w:val="00AE4C05"/>
    <w:rsid w:val="00AE564E"/>
    <w:rsid w:val="00AE60FC"/>
    <w:rsid w:val="00AE6725"/>
    <w:rsid w:val="00AE6BE8"/>
    <w:rsid w:val="00AE6FA9"/>
    <w:rsid w:val="00AE7DF6"/>
    <w:rsid w:val="00AF12B7"/>
    <w:rsid w:val="00AF2498"/>
    <w:rsid w:val="00AF4D26"/>
    <w:rsid w:val="00AF7291"/>
    <w:rsid w:val="00AF73A4"/>
    <w:rsid w:val="00B00BAD"/>
    <w:rsid w:val="00B00DA4"/>
    <w:rsid w:val="00B03860"/>
    <w:rsid w:val="00B045C7"/>
    <w:rsid w:val="00B05A10"/>
    <w:rsid w:val="00B0691A"/>
    <w:rsid w:val="00B11252"/>
    <w:rsid w:val="00B1358E"/>
    <w:rsid w:val="00B145B3"/>
    <w:rsid w:val="00B152AE"/>
    <w:rsid w:val="00B17C41"/>
    <w:rsid w:val="00B17FDB"/>
    <w:rsid w:val="00B24B51"/>
    <w:rsid w:val="00B31B92"/>
    <w:rsid w:val="00B320D9"/>
    <w:rsid w:val="00B321D4"/>
    <w:rsid w:val="00B32F5E"/>
    <w:rsid w:val="00B330B9"/>
    <w:rsid w:val="00B3495F"/>
    <w:rsid w:val="00B34AF6"/>
    <w:rsid w:val="00B34CBF"/>
    <w:rsid w:val="00B37C7C"/>
    <w:rsid w:val="00B40DAD"/>
    <w:rsid w:val="00B42361"/>
    <w:rsid w:val="00B42491"/>
    <w:rsid w:val="00B429D4"/>
    <w:rsid w:val="00B433E4"/>
    <w:rsid w:val="00B458D2"/>
    <w:rsid w:val="00B4660F"/>
    <w:rsid w:val="00B5191C"/>
    <w:rsid w:val="00B5462D"/>
    <w:rsid w:val="00B5758A"/>
    <w:rsid w:val="00B6355E"/>
    <w:rsid w:val="00B64471"/>
    <w:rsid w:val="00B65B84"/>
    <w:rsid w:val="00B71C25"/>
    <w:rsid w:val="00B7272A"/>
    <w:rsid w:val="00B73133"/>
    <w:rsid w:val="00B74629"/>
    <w:rsid w:val="00B75F90"/>
    <w:rsid w:val="00B8036D"/>
    <w:rsid w:val="00B82C78"/>
    <w:rsid w:val="00B84A5C"/>
    <w:rsid w:val="00B87124"/>
    <w:rsid w:val="00B876ED"/>
    <w:rsid w:val="00B93313"/>
    <w:rsid w:val="00B93841"/>
    <w:rsid w:val="00B948D2"/>
    <w:rsid w:val="00B95598"/>
    <w:rsid w:val="00B956FC"/>
    <w:rsid w:val="00B97D40"/>
    <w:rsid w:val="00BA1B31"/>
    <w:rsid w:val="00BA478A"/>
    <w:rsid w:val="00BA66F5"/>
    <w:rsid w:val="00BA726F"/>
    <w:rsid w:val="00BC47FF"/>
    <w:rsid w:val="00BD0327"/>
    <w:rsid w:val="00BD0FA0"/>
    <w:rsid w:val="00BD0FD6"/>
    <w:rsid w:val="00BD2B98"/>
    <w:rsid w:val="00BD7382"/>
    <w:rsid w:val="00BD7BD3"/>
    <w:rsid w:val="00BD7C56"/>
    <w:rsid w:val="00BE0D0E"/>
    <w:rsid w:val="00BE1037"/>
    <w:rsid w:val="00BE395D"/>
    <w:rsid w:val="00BE3DBB"/>
    <w:rsid w:val="00BE482D"/>
    <w:rsid w:val="00BE5DB7"/>
    <w:rsid w:val="00BE6BFB"/>
    <w:rsid w:val="00BF0159"/>
    <w:rsid w:val="00BF3060"/>
    <w:rsid w:val="00BF5B8B"/>
    <w:rsid w:val="00C03495"/>
    <w:rsid w:val="00C03A36"/>
    <w:rsid w:val="00C10FB3"/>
    <w:rsid w:val="00C11946"/>
    <w:rsid w:val="00C129C4"/>
    <w:rsid w:val="00C1385A"/>
    <w:rsid w:val="00C15115"/>
    <w:rsid w:val="00C20178"/>
    <w:rsid w:val="00C20CDA"/>
    <w:rsid w:val="00C20DC3"/>
    <w:rsid w:val="00C216FA"/>
    <w:rsid w:val="00C2421A"/>
    <w:rsid w:val="00C24511"/>
    <w:rsid w:val="00C266A4"/>
    <w:rsid w:val="00C269CE"/>
    <w:rsid w:val="00C27D33"/>
    <w:rsid w:val="00C31286"/>
    <w:rsid w:val="00C31A5B"/>
    <w:rsid w:val="00C32478"/>
    <w:rsid w:val="00C34C0E"/>
    <w:rsid w:val="00C35EF2"/>
    <w:rsid w:val="00C403B4"/>
    <w:rsid w:val="00C406DE"/>
    <w:rsid w:val="00C411FE"/>
    <w:rsid w:val="00C41B61"/>
    <w:rsid w:val="00C43296"/>
    <w:rsid w:val="00C434F9"/>
    <w:rsid w:val="00C44883"/>
    <w:rsid w:val="00C45CC3"/>
    <w:rsid w:val="00C45CCE"/>
    <w:rsid w:val="00C46170"/>
    <w:rsid w:val="00C467CA"/>
    <w:rsid w:val="00C467D4"/>
    <w:rsid w:val="00C46941"/>
    <w:rsid w:val="00C47381"/>
    <w:rsid w:val="00C5278E"/>
    <w:rsid w:val="00C528AD"/>
    <w:rsid w:val="00C538D8"/>
    <w:rsid w:val="00C550EA"/>
    <w:rsid w:val="00C63AA7"/>
    <w:rsid w:val="00C666AF"/>
    <w:rsid w:val="00C718DA"/>
    <w:rsid w:val="00C71D8C"/>
    <w:rsid w:val="00C7273A"/>
    <w:rsid w:val="00C72BBA"/>
    <w:rsid w:val="00C73873"/>
    <w:rsid w:val="00C74DCA"/>
    <w:rsid w:val="00C75FCC"/>
    <w:rsid w:val="00C86431"/>
    <w:rsid w:val="00C91224"/>
    <w:rsid w:val="00C9316D"/>
    <w:rsid w:val="00C9387E"/>
    <w:rsid w:val="00C948FD"/>
    <w:rsid w:val="00C975B4"/>
    <w:rsid w:val="00C97FB9"/>
    <w:rsid w:val="00CA155E"/>
    <w:rsid w:val="00CA2E10"/>
    <w:rsid w:val="00CA3D9D"/>
    <w:rsid w:val="00CA6A60"/>
    <w:rsid w:val="00CA7999"/>
    <w:rsid w:val="00CB4E0C"/>
    <w:rsid w:val="00CB6814"/>
    <w:rsid w:val="00CC0DD8"/>
    <w:rsid w:val="00CC7B28"/>
    <w:rsid w:val="00CD056E"/>
    <w:rsid w:val="00CD1405"/>
    <w:rsid w:val="00CD518F"/>
    <w:rsid w:val="00CD6F72"/>
    <w:rsid w:val="00CD7C04"/>
    <w:rsid w:val="00CE1A25"/>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1601D"/>
    <w:rsid w:val="00D22435"/>
    <w:rsid w:val="00D23711"/>
    <w:rsid w:val="00D23ED7"/>
    <w:rsid w:val="00D25823"/>
    <w:rsid w:val="00D2649F"/>
    <w:rsid w:val="00D2742F"/>
    <w:rsid w:val="00D34D79"/>
    <w:rsid w:val="00D36CA4"/>
    <w:rsid w:val="00D3758E"/>
    <w:rsid w:val="00D37896"/>
    <w:rsid w:val="00D41A30"/>
    <w:rsid w:val="00D469E3"/>
    <w:rsid w:val="00D5313C"/>
    <w:rsid w:val="00D532DC"/>
    <w:rsid w:val="00D53C62"/>
    <w:rsid w:val="00D62F5A"/>
    <w:rsid w:val="00D63557"/>
    <w:rsid w:val="00D63E9B"/>
    <w:rsid w:val="00D71C75"/>
    <w:rsid w:val="00D76AAD"/>
    <w:rsid w:val="00D76DCC"/>
    <w:rsid w:val="00D81B26"/>
    <w:rsid w:val="00D824B2"/>
    <w:rsid w:val="00D82A70"/>
    <w:rsid w:val="00D82B55"/>
    <w:rsid w:val="00D83702"/>
    <w:rsid w:val="00D838C4"/>
    <w:rsid w:val="00D96DF5"/>
    <w:rsid w:val="00DA0F8B"/>
    <w:rsid w:val="00DA4C8E"/>
    <w:rsid w:val="00DB5EFB"/>
    <w:rsid w:val="00DB75E1"/>
    <w:rsid w:val="00DC60E2"/>
    <w:rsid w:val="00DC61A2"/>
    <w:rsid w:val="00DC69CD"/>
    <w:rsid w:val="00DD139E"/>
    <w:rsid w:val="00DD2C2B"/>
    <w:rsid w:val="00DD4DA6"/>
    <w:rsid w:val="00DD502C"/>
    <w:rsid w:val="00DD7AA4"/>
    <w:rsid w:val="00DE1C7B"/>
    <w:rsid w:val="00DE33B8"/>
    <w:rsid w:val="00DE370C"/>
    <w:rsid w:val="00DE48BE"/>
    <w:rsid w:val="00DE5489"/>
    <w:rsid w:val="00DE73BB"/>
    <w:rsid w:val="00DF25A4"/>
    <w:rsid w:val="00DF4AC7"/>
    <w:rsid w:val="00DF52EE"/>
    <w:rsid w:val="00DF568A"/>
    <w:rsid w:val="00DF5EF4"/>
    <w:rsid w:val="00E00230"/>
    <w:rsid w:val="00E00442"/>
    <w:rsid w:val="00E015B8"/>
    <w:rsid w:val="00E02445"/>
    <w:rsid w:val="00E043C4"/>
    <w:rsid w:val="00E047E9"/>
    <w:rsid w:val="00E0521D"/>
    <w:rsid w:val="00E074E3"/>
    <w:rsid w:val="00E123B0"/>
    <w:rsid w:val="00E135B7"/>
    <w:rsid w:val="00E13B7B"/>
    <w:rsid w:val="00E142EC"/>
    <w:rsid w:val="00E158DF"/>
    <w:rsid w:val="00E2203D"/>
    <w:rsid w:val="00E220AD"/>
    <w:rsid w:val="00E222BB"/>
    <w:rsid w:val="00E26258"/>
    <w:rsid w:val="00E27FFC"/>
    <w:rsid w:val="00E3274A"/>
    <w:rsid w:val="00E33457"/>
    <w:rsid w:val="00E33AED"/>
    <w:rsid w:val="00E3454D"/>
    <w:rsid w:val="00E352D8"/>
    <w:rsid w:val="00E36D56"/>
    <w:rsid w:val="00E377AA"/>
    <w:rsid w:val="00E41613"/>
    <w:rsid w:val="00E4166F"/>
    <w:rsid w:val="00E41BB3"/>
    <w:rsid w:val="00E42966"/>
    <w:rsid w:val="00E44A1B"/>
    <w:rsid w:val="00E47E16"/>
    <w:rsid w:val="00E52B88"/>
    <w:rsid w:val="00E53B43"/>
    <w:rsid w:val="00E54558"/>
    <w:rsid w:val="00E55296"/>
    <w:rsid w:val="00E56265"/>
    <w:rsid w:val="00E61C1E"/>
    <w:rsid w:val="00E61E3D"/>
    <w:rsid w:val="00E61F16"/>
    <w:rsid w:val="00E64889"/>
    <w:rsid w:val="00E65C58"/>
    <w:rsid w:val="00E67755"/>
    <w:rsid w:val="00E67830"/>
    <w:rsid w:val="00E72CDA"/>
    <w:rsid w:val="00E76BD1"/>
    <w:rsid w:val="00E77098"/>
    <w:rsid w:val="00E7735D"/>
    <w:rsid w:val="00E7793E"/>
    <w:rsid w:val="00E7794B"/>
    <w:rsid w:val="00E804F0"/>
    <w:rsid w:val="00E83913"/>
    <w:rsid w:val="00E8474D"/>
    <w:rsid w:val="00E85011"/>
    <w:rsid w:val="00E87046"/>
    <w:rsid w:val="00E87AAD"/>
    <w:rsid w:val="00E9076C"/>
    <w:rsid w:val="00E91DF8"/>
    <w:rsid w:val="00E932E8"/>
    <w:rsid w:val="00E9569E"/>
    <w:rsid w:val="00E959BD"/>
    <w:rsid w:val="00E96851"/>
    <w:rsid w:val="00EA0351"/>
    <w:rsid w:val="00EA151B"/>
    <w:rsid w:val="00EA28DD"/>
    <w:rsid w:val="00EA2ADC"/>
    <w:rsid w:val="00EA3777"/>
    <w:rsid w:val="00EA6B4F"/>
    <w:rsid w:val="00EA759A"/>
    <w:rsid w:val="00EA7FE4"/>
    <w:rsid w:val="00EB06DD"/>
    <w:rsid w:val="00EB11E2"/>
    <w:rsid w:val="00EB59D0"/>
    <w:rsid w:val="00EB648A"/>
    <w:rsid w:val="00EB6C95"/>
    <w:rsid w:val="00EB6E90"/>
    <w:rsid w:val="00EB71B3"/>
    <w:rsid w:val="00EC103F"/>
    <w:rsid w:val="00EC18A9"/>
    <w:rsid w:val="00EC2608"/>
    <w:rsid w:val="00EC2DD4"/>
    <w:rsid w:val="00EC388A"/>
    <w:rsid w:val="00EC5DBC"/>
    <w:rsid w:val="00ED14E1"/>
    <w:rsid w:val="00ED343A"/>
    <w:rsid w:val="00ED364A"/>
    <w:rsid w:val="00ED4074"/>
    <w:rsid w:val="00ED7690"/>
    <w:rsid w:val="00EE137A"/>
    <w:rsid w:val="00EE22E1"/>
    <w:rsid w:val="00EE3199"/>
    <w:rsid w:val="00EE34D1"/>
    <w:rsid w:val="00EE6EA0"/>
    <w:rsid w:val="00EF17B5"/>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15BAF"/>
    <w:rsid w:val="00F23427"/>
    <w:rsid w:val="00F30D37"/>
    <w:rsid w:val="00F37E2C"/>
    <w:rsid w:val="00F426EE"/>
    <w:rsid w:val="00F43176"/>
    <w:rsid w:val="00F4439D"/>
    <w:rsid w:val="00F44CFD"/>
    <w:rsid w:val="00F456C2"/>
    <w:rsid w:val="00F4570D"/>
    <w:rsid w:val="00F5180C"/>
    <w:rsid w:val="00F51B36"/>
    <w:rsid w:val="00F521F4"/>
    <w:rsid w:val="00F54121"/>
    <w:rsid w:val="00F54AC6"/>
    <w:rsid w:val="00F5675C"/>
    <w:rsid w:val="00F61E91"/>
    <w:rsid w:val="00F73987"/>
    <w:rsid w:val="00F7694A"/>
    <w:rsid w:val="00F80CD3"/>
    <w:rsid w:val="00F80FDF"/>
    <w:rsid w:val="00F8787B"/>
    <w:rsid w:val="00F87E94"/>
    <w:rsid w:val="00F92145"/>
    <w:rsid w:val="00F93CB3"/>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992"/>
    <w:rsid w:val="00FB4BB4"/>
    <w:rsid w:val="00FB55BD"/>
    <w:rsid w:val="00FB72EC"/>
    <w:rsid w:val="00FC3975"/>
    <w:rsid w:val="00FC53F3"/>
    <w:rsid w:val="00FC6675"/>
    <w:rsid w:val="00FC66C2"/>
    <w:rsid w:val="00FC6F59"/>
    <w:rsid w:val="00FD0BA9"/>
    <w:rsid w:val="00FD0C75"/>
    <w:rsid w:val="00FD0C89"/>
    <w:rsid w:val="00FD125F"/>
    <w:rsid w:val="00FD2E83"/>
    <w:rsid w:val="00FD49E9"/>
    <w:rsid w:val="00FD6185"/>
    <w:rsid w:val="00FD7E89"/>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1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54498464">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BFCC-103C-4D5B-88C8-C342F2B9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7903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2020-09-16T14:01:00Z</dcterms:created>
  <dcterms:modified xsi:type="dcterms:W3CDTF">2020-10-02T11:23:00Z</dcterms:modified>
</cp:coreProperties>
</file>