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D54D8" w14:textId="7EC3B0F1" w:rsidR="0027751A" w:rsidRPr="00B24D69" w:rsidRDefault="0027751A">
      <w:pPr>
        <w:rPr>
          <w:rFonts w:ascii="Verdana" w:hAnsi="Verdana"/>
          <w:sz w:val="20"/>
          <w:szCs w:val="2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B24D69" w:rsidRPr="00B24D69" w14:paraId="667A25CB" w14:textId="77777777" w:rsidTr="00291E9B">
        <w:trPr>
          <w:trHeight w:val="958"/>
          <w:jc w:val="center"/>
        </w:trPr>
        <w:tc>
          <w:tcPr>
            <w:tcW w:w="15650" w:type="dxa"/>
            <w:tcBorders>
              <w:bottom w:val="single" w:sz="36" w:space="0" w:color="2E74B5"/>
            </w:tcBorders>
            <w:shd w:val="clear" w:color="auto" w:fill="BDD6EE"/>
          </w:tcPr>
          <w:p w14:paraId="646FD7FE" w14:textId="77777777" w:rsidR="00C975B4" w:rsidRPr="000E02AC" w:rsidRDefault="00C975B4" w:rsidP="000E02AC">
            <w:pPr>
              <w:tabs>
                <w:tab w:val="left" w:pos="2190"/>
              </w:tabs>
              <w:spacing w:before="120" w:line="360" w:lineRule="auto"/>
              <w:ind w:left="340" w:right="340"/>
              <w:jc w:val="center"/>
              <w:rPr>
                <w:rFonts w:ascii="Verdana" w:hAnsi="Verdana"/>
                <w:b/>
                <w:spacing w:val="70"/>
              </w:rPr>
            </w:pPr>
            <w:r w:rsidRPr="000E02AC">
              <w:rPr>
                <w:rFonts w:ascii="Verdana" w:hAnsi="Verdana"/>
                <w:b/>
                <w:spacing w:val="70"/>
              </w:rPr>
              <w:t>СПРАВКА</w:t>
            </w:r>
          </w:p>
          <w:p w14:paraId="31BE240F" w14:textId="37FF4820" w:rsidR="00E220AD" w:rsidRPr="00B24D69" w:rsidRDefault="00873354" w:rsidP="000E02AC">
            <w:pPr>
              <w:tabs>
                <w:tab w:val="left" w:pos="2190"/>
              </w:tabs>
              <w:spacing w:after="120" w:line="360" w:lineRule="auto"/>
              <w:ind w:left="340" w:right="340"/>
              <w:jc w:val="center"/>
              <w:rPr>
                <w:rFonts w:ascii="Verdana" w:hAnsi="Verdana"/>
                <w:b/>
                <w:sz w:val="20"/>
                <w:szCs w:val="20"/>
              </w:rPr>
            </w:pPr>
            <w:r w:rsidRPr="000E02AC">
              <w:rPr>
                <w:rFonts w:ascii="Verdana" w:hAnsi="Verdana"/>
                <w:b/>
                <w:sz w:val="20"/>
                <w:szCs w:val="20"/>
              </w:rPr>
              <w:t>ЗА ОТРАЗЯВАНЕ НА ПОЛУЧЕНИТЕ</w:t>
            </w:r>
            <w:r w:rsidR="00C975B4" w:rsidRPr="000E02AC">
              <w:rPr>
                <w:rFonts w:ascii="Verdana" w:hAnsi="Verdana"/>
                <w:b/>
                <w:sz w:val="20"/>
                <w:szCs w:val="20"/>
              </w:rPr>
              <w:t xml:space="preserve"> ПРЕДЛОЖЕНИЯ</w:t>
            </w:r>
            <w:r w:rsidR="00572F83" w:rsidRPr="000E02AC">
              <w:rPr>
                <w:rFonts w:ascii="Verdana" w:hAnsi="Verdana"/>
                <w:b/>
                <w:sz w:val="20"/>
                <w:szCs w:val="20"/>
                <w:lang w:val="en-US"/>
              </w:rPr>
              <w:t xml:space="preserve"> </w:t>
            </w:r>
            <w:r w:rsidR="00572F83" w:rsidRPr="000E02AC">
              <w:rPr>
                <w:rFonts w:ascii="Verdana" w:hAnsi="Verdana"/>
                <w:b/>
                <w:sz w:val="20"/>
                <w:szCs w:val="20"/>
              </w:rPr>
              <w:t>И СТАНОВИЩА</w:t>
            </w:r>
            <w:r w:rsidR="00C975B4" w:rsidRPr="000E02AC">
              <w:rPr>
                <w:rFonts w:ascii="Verdana" w:hAnsi="Verdana"/>
                <w:b/>
                <w:sz w:val="20"/>
                <w:szCs w:val="20"/>
              </w:rPr>
              <w:t xml:space="preserve"> ОТ</w:t>
            </w:r>
            <w:r w:rsidR="00572F83" w:rsidRPr="000E02AC">
              <w:rPr>
                <w:rFonts w:ascii="Verdana" w:hAnsi="Verdana"/>
                <w:b/>
                <w:sz w:val="20"/>
                <w:szCs w:val="20"/>
              </w:rPr>
              <w:t xml:space="preserve"> ПРОВЕДЕНИТЕ ОБЩЕСТВЕНИ</w:t>
            </w:r>
            <w:r w:rsidR="00C975B4" w:rsidRPr="000E02AC">
              <w:rPr>
                <w:rFonts w:ascii="Verdana" w:hAnsi="Verdana"/>
                <w:b/>
                <w:sz w:val="20"/>
                <w:szCs w:val="20"/>
              </w:rPr>
              <w:t xml:space="preserve"> КОНСУЛТАЦИИ НА</w:t>
            </w:r>
            <w:r w:rsidR="000632EC" w:rsidRPr="000E02AC">
              <w:rPr>
                <w:rFonts w:ascii="Verdana" w:hAnsi="Verdana"/>
                <w:b/>
                <w:sz w:val="20"/>
                <w:szCs w:val="20"/>
              </w:rPr>
              <w:t xml:space="preserve"> ПРОЕКТ</w:t>
            </w:r>
            <w:r w:rsidR="00572F83" w:rsidRPr="000E02AC">
              <w:rPr>
                <w:rFonts w:ascii="Verdana" w:hAnsi="Verdana"/>
                <w:b/>
                <w:sz w:val="20"/>
                <w:szCs w:val="20"/>
              </w:rPr>
              <w:t>А</w:t>
            </w:r>
            <w:r w:rsidR="000632EC" w:rsidRPr="000E02AC">
              <w:rPr>
                <w:rFonts w:ascii="Verdana" w:hAnsi="Verdana"/>
                <w:b/>
                <w:sz w:val="20"/>
                <w:szCs w:val="20"/>
              </w:rPr>
              <w:t xml:space="preserve"> НА </w:t>
            </w:r>
            <w:r w:rsidR="008A6FF9" w:rsidRPr="000E02AC">
              <w:rPr>
                <w:rFonts w:ascii="Verdana" w:hAnsi="Verdana"/>
                <w:b/>
                <w:sz w:val="20"/>
                <w:szCs w:val="20"/>
              </w:rPr>
              <w:t>НАРЕДБА ЗА ИЗМЕН</w:t>
            </w:r>
            <w:r w:rsidR="00A54A4A" w:rsidRPr="000E02AC">
              <w:rPr>
                <w:rFonts w:ascii="Verdana" w:hAnsi="Verdana"/>
                <w:b/>
                <w:sz w:val="20"/>
                <w:szCs w:val="20"/>
              </w:rPr>
              <w:t>ЕНИЕ НА НАРЕДБА № 6 ОТ 2018</w:t>
            </w:r>
            <w:r w:rsidR="008A6FF9" w:rsidRPr="000E02AC">
              <w:rPr>
                <w:rFonts w:ascii="Verdana" w:hAnsi="Verdana"/>
                <w:b/>
                <w:sz w:val="20"/>
                <w:szCs w:val="20"/>
              </w:rPr>
              <w:t xml:space="preserve"> Г. ЗА </w:t>
            </w:r>
            <w:r w:rsidR="00A54A4A" w:rsidRPr="000E02AC">
              <w:rPr>
                <w:rFonts w:ascii="Verdana" w:hAnsi="Verdana"/>
                <w:b/>
                <w:sz w:val="20"/>
                <w:szCs w:val="20"/>
              </w:rPr>
              <w:t>УСЛОВИЯТА И РЕДА ЗА ПРЕДОСТАВЯНЕ НА ФИНАНСОВА ПОМОЩ ПО НАЦИОНАЛНА ПРОГРАМА ЗА ПОДПОМАГАНЕ НА ЛОЗАРО-ВИНАРСКИЯ СЕКТОР ЗА ПЕРИОДА 2019 – 2023 Г.</w:t>
            </w:r>
          </w:p>
        </w:tc>
      </w:tr>
    </w:tbl>
    <w:p w14:paraId="7708CE7C" w14:textId="77777777" w:rsidR="00230821" w:rsidRPr="00B24D69" w:rsidRDefault="00230821">
      <w:pPr>
        <w:rPr>
          <w:rFonts w:ascii="Verdana" w:hAnsi="Verdana"/>
          <w:sz w:val="10"/>
          <w:szCs w:val="10"/>
        </w:rPr>
      </w:pPr>
    </w:p>
    <w:tbl>
      <w:tblPr>
        <w:tblW w:w="15650" w:type="dxa"/>
        <w:jc w:val="center"/>
        <w:tblBorders>
          <w:top w:val="single" w:sz="36" w:space="0" w:color="2E74B5"/>
          <w:left w:val="single" w:sz="36" w:space="0" w:color="2E74B5"/>
          <w:bottom w:val="single" w:sz="24" w:space="0" w:color="548DD4" w:themeColor="text2" w:themeTint="99"/>
          <w:right w:val="single" w:sz="36" w:space="0" w:color="2E74B5"/>
          <w:insideV w:val="single" w:sz="18" w:space="0" w:color="2E74B5"/>
        </w:tblBorders>
        <w:tblLayout w:type="fixed"/>
        <w:tblLook w:val="0000" w:firstRow="0" w:lastRow="0" w:firstColumn="0" w:lastColumn="0" w:noHBand="0" w:noVBand="0"/>
      </w:tblPr>
      <w:tblGrid>
        <w:gridCol w:w="620"/>
        <w:gridCol w:w="2261"/>
        <w:gridCol w:w="6618"/>
        <w:gridCol w:w="1629"/>
        <w:gridCol w:w="4522"/>
      </w:tblGrid>
      <w:tr w:rsidR="00B24D69" w:rsidRPr="00B24D69" w14:paraId="1F91426D" w14:textId="77777777" w:rsidTr="001C5C20">
        <w:trPr>
          <w:tblHeader/>
          <w:jc w:val="center"/>
        </w:trPr>
        <w:tc>
          <w:tcPr>
            <w:tcW w:w="620" w:type="dxa"/>
            <w:tcBorders>
              <w:top w:val="single" w:sz="36" w:space="0" w:color="2E74B5"/>
              <w:bottom w:val="single" w:sz="18" w:space="0" w:color="2E74B5"/>
            </w:tcBorders>
            <w:shd w:val="clear" w:color="auto" w:fill="DEEAF6"/>
            <w:vAlign w:val="center"/>
          </w:tcPr>
          <w:p w14:paraId="27E660E9" w14:textId="77777777" w:rsidR="00E220AD" w:rsidRPr="00B24D69" w:rsidRDefault="00E220AD" w:rsidP="00E220AD">
            <w:pPr>
              <w:tabs>
                <w:tab w:val="left" w:pos="192"/>
              </w:tabs>
              <w:jc w:val="center"/>
              <w:rPr>
                <w:rFonts w:ascii="Verdana" w:hAnsi="Verdana"/>
                <w:b/>
                <w:sz w:val="20"/>
                <w:szCs w:val="20"/>
              </w:rPr>
            </w:pPr>
            <w:r w:rsidRPr="00B24D69">
              <w:rPr>
                <w:rFonts w:ascii="Verdana" w:hAnsi="Verdana"/>
                <w:b/>
                <w:sz w:val="20"/>
                <w:szCs w:val="20"/>
              </w:rPr>
              <w:t>№</w:t>
            </w:r>
          </w:p>
        </w:tc>
        <w:tc>
          <w:tcPr>
            <w:tcW w:w="2261" w:type="dxa"/>
            <w:tcBorders>
              <w:top w:val="single" w:sz="36" w:space="0" w:color="2E74B5"/>
              <w:bottom w:val="single" w:sz="18" w:space="0" w:color="2E74B5"/>
            </w:tcBorders>
            <w:shd w:val="clear" w:color="auto" w:fill="DEEAF6"/>
            <w:vAlign w:val="center"/>
          </w:tcPr>
          <w:p w14:paraId="4C2099D8" w14:textId="77777777" w:rsidR="00E220AD" w:rsidRPr="00B24D69" w:rsidRDefault="00E220AD" w:rsidP="000E02AC">
            <w:pPr>
              <w:spacing w:before="120"/>
              <w:jc w:val="center"/>
              <w:rPr>
                <w:rFonts w:ascii="Verdana" w:hAnsi="Verdana"/>
                <w:b/>
                <w:sz w:val="20"/>
                <w:szCs w:val="20"/>
              </w:rPr>
            </w:pPr>
            <w:r w:rsidRPr="00B24D69">
              <w:rPr>
                <w:rFonts w:ascii="Verdana" w:hAnsi="Verdana"/>
                <w:b/>
                <w:sz w:val="20"/>
                <w:szCs w:val="20"/>
              </w:rPr>
              <w:t>Организация/</w:t>
            </w:r>
            <w:r w:rsidR="00230821" w:rsidRPr="00B24D69">
              <w:rPr>
                <w:rFonts w:ascii="Verdana" w:hAnsi="Verdana"/>
                <w:b/>
                <w:sz w:val="20"/>
                <w:szCs w:val="20"/>
              </w:rPr>
              <w:br/>
            </w:r>
            <w:r w:rsidRPr="00B24D69">
              <w:rPr>
                <w:rFonts w:ascii="Verdana" w:hAnsi="Verdana"/>
                <w:b/>
                <w:sz w:val="20"/>
                <w:szCs w:val="20"/>
              </w:rPr>
              <w:t>потребител</w:t>
            </w:r>
          </w:p>
          <w:p w14:paraId="19BACD16" w14:textId="77777777" w:rsidR="005424B9" w:rsidRPr="000E02AC" w:rsidRDefault="00291E9B" w:rsidP="000E02AC">
            <w:pPr>
              <w:spacing w:after="120"/>
              <w:jc w:val="center"/>
              <w:rPr>
                <w:rFonts w:ascii="Verdana" w:hAnsi="Verdana"/>
                <w:b/>
                <w:sz w:val="12"/>
                <w:szCs w:val="12"/>
              </w:rPr>
            </w:pPr>
            <w:r w:rsidRPr="000E02AC">
              <w:rPr>
                <w:rFonts w:ascii="Verdana" w:hAnsi="Verdana"/>
                <w:b/>
                <w:sz w:val="12"/>
                <w:szCs w:val="12"/>
              </w:rPr>
              <w:t>(</w:t>
            </w:r>
            <w:r w:rsidR="005424B9" w:rsidRPr="000E02AC">
              <w:rPr>
                <w:rFonts w:ascii="Verdana" w:hAnsi="Verdana"/>
                <w:b/>
                <w:sz w:val="12"/>
                <w:szCs w:val="12"/>
              </w:rPr>
              <w:t>вкл. начина на получаване на предложението</w:t>
            </w:r>
            <w:r w:rsidRPr="000E02AC">
              <w:rPr>
                <w:rFonts w:ascii="Verdana" w:hAnsi="Verdana"/>
                <w:b/>
                <w:sz w:val="12"/>
                <w:szCs w:val="12"/>
              </w:rPr>
              <w:t>)</w:t>
            </w:r>
          </w:p>
        </w:tc>
        <w:tc>
          <w:tcPr>
            <w:tcW w:w="6618" w:type="dxa"/>
            <w:tcBorders>
              <w:top w:val="single" w:sz="36" w:space="0" w:color="2E74B5"/>
              <w:bottom w:val="single" w:sz="18" w:space="0" w:color="2E74B5"/>
            </w:tcBorders>
            <w:shd w:val="clear" w:color="auto" w:fill="DEEAF6"/>
            <w:vAlign w:val="center"/>
          </w:tcPr>
          <w:p w14:paraId="2E5A81C3" w14:textId="77777777" w:rsidR="00E220AD" w:rsidRPr="00B24D69" w:rsidRDefault="00E220AD" w:rsidP="00E220AD">
            <w:pPr>
              <w:jc w:val="center"/>
              <w:rPr>
                <w:rFonts w:ascii="Verdana" w:hAnsi="Verdana"/>
                <w:b/>
                <w:sz w:val="20"/>
                <w:szCs w:val="20"/>
              </w:rPr>
            </w:pPr>
            <w:r w:rsidRPr="00B24D69">
              <w:rPr>
                <w:rFonts w:ascii="Verdana" w:hAnsi="Verdana"/>
                <w:b/>
                <w:sz w:val="20"/>
                <w:szCs w:val="20"/>
              </w:rPr>
              <w:t>Бележки и предложения</w:t>
            </w:r>
          </w:p>
        </w:tc>
        <w:tc>
          <w:tcPr>
            <w:tcW w:w="1629" w:type="dxa"/>
            <w:tcBorders>
              <w:top w:val="single" w:sz="36" w:space="0" w:color="2E74B5"/>
              <w:bottom w:val="single" w:sz="18" w:space="0" w:color="2E74B5"/>
            </w:tcBorders>
            <w:shd w:val="clear" w:color="auto" w:fill="DEEAF6"/>
            <w:vAlign w:val="center"/>
          </w:tcPr>
          <w:p w14:paraId="6130D53A" w14:textId="77777777" w:rsidR="00E220AD" w:rsidRPr="00B24D69" w:rsidRDefault="00E220AD" w:rsidP="00E220AD">
            <w:pPr>
              <w:jc w:val="center"/>
              <w:rPr>
                <w:rFonts w:ascii="Verdana" w:hAnsi="Verdana"/>
                <w:b/>
                <w:sz w:val="20"/>
                <w:szCs w:val="20"/>
              </w:rPr>
            </w:pPr>
            <w:r w:rsidRPr="00B24D69">
              <w:rPr>
                <w:rFonts w:ascii="Verdana" w:hAnsi="Verdana"/>
                <w:b/>
                <w:sz w:val="20"/>
                <w:szCs w:val="20"/>
              </w:rPr>
              <w:t>Приети/</w:t>
            </w:r>
          </w:p>
          <w:p w14:paraId="29710589" w14:textId="77777777" w:rsidR="00E220AD" w:rsidRPr="00B24D69" w:rsidRDefault="00E220AD" w:rsidP="00E220AD">
            <w:pPr>
              <w:jc w:val="center"/>
              <w:rPr>
                <w:rFonts w:ascii="Verdana" w:hAnsi="Verdana"/>
                <w:b/>
                <w:sz w:val="20"/>
                <w:szCs w:val="20"/>
              </w:rPr>
            </w:pPr>
            <w:r w:rsidRPr="00B24D69">
              <w:rPr>
                <w:rFonts w:ascii="Verdana" w:hAnsi="Verdana"/>
                <w:b/>
                <w:sz w:val="20"/>
                <w:szCs w:val="20"/>
              </w:rPr>
              <w:t>неприети</w:t>
            </w:r>
          </w:p>
        </w:tc>
        <w:tc>
          <w:tcPr>
            <w:tcW w:w="4522" w:type="dxa"/>
            <w:tcBorders>
              <w:top w:val="single" w:sz="36" w:space="0" w:color="2E74B5"/>
              <w:bottom w:val="single" w:sz="18" w:space="0" w:color="2E74B5"/>
            </w:tcBorders>
            <w:shd w:val="clear" w:color="auto" w:fill="DEEAF6"/>
            <w:vAlign w:val="center"/>
          </w:tcPr>
          <w:p w14:paraId="6FEE2F16" w14:textId="77777777" w:rsidR="00E220AD" w:rsidRPr="00B24D69" w:rsidRDefault="00E220AD" w:rsidP="00E220AD">
            <w:pPr>
              <w:jc w:val="center"/>
              <w:rPr>
                <w:rFonts w:ascii="Verdana" w:hAnsi="Verdana"/>
                <w:sz w:val="20"/>
                <w:szCs w:val="20"/>
              </w:rPr>
            </w:pPr>
            <w:r w:rsidRPr="00B24D69">
              <w:rPr>
                <w:rFonts w:ascii="Verdana" w:hAnsi="Verdana"/>
                <w:b/>
                <w:sz w:val="20"/>
                <w:szCs w:val="20"/>
              </w:rPr>
              <w:t>Мотиви</w:t>
            </w:r>
          </w:p>
        </w:tc>
      </w:tr>
      <w:tr w:rsidR="00B24D69" w:rsidRPr="00B24D69" w14:paraId="56E2CD6D" w14:textId="77777777" w:rsidTr="001C5C20">
        <w:trPr>
          <w:trHeight w:val="1528"/>
          <w:jc w:val="center"/>
        </w:trPr>
        <w:tc>
          <w:tcPr>
            <w:tcW w:w="620" w:type="dxa"/>
            <w:tcBorders>
              <w:top w:val="single" w:sz="18" w:space="0" w:color="2E74B5"/>
            </w:tcBorders>
            <w:shd w:val="clear" w:color="auto" w:fill="auto"/>
          </w:tcPr>
          <w:p w14:paraId="22AE0493" w14:textId="77777777" w:rsidR="00B24D69" w:rsidRPr="000E02AC" w:rsidRDefault="00B24D69" w:rsidP="000E02AC">
            <w:pPr>
              <w:pStyle w:val="ListParagraph"/>
              <w:numPr>
                <w:ilvl w:val="0"/>
                <w:numId w:val="26"/>
              </w:numPr>
              <w:tabs>
                <w:tab w:val="left" w:pos="192"/>
              </w:tabs>
              <w:spacing w:before="40" w:after="20"/>
              <w:jc w:val="center"/>
              <w:rPr>
                <w:rFonts w:ascii="Verdana" w:hAnsi="Verdana"/>
                <w:b/>
                <w:sz w:val="20"/>
                <w:szCs w:val="20"/>
              </w:rPr>
            </w:pPr>
          </w:p>
        </w:tc>
        <w:tc>
          <w:tcPr>
            <w:tcW w:w="2261" w:type="dxa"/>
            <w:tcBorders>
              <w:top w:val="single" w:sz="18" w:space="0" w:color="2E74B5"/>
            </w:tcBorders>
            <w:shd w:val="clear" w:color="auto" w:fill="auto"/>
          </w:tcPr>
          <w:p w14:paraId="70B08EBE" w14:textId="3331942C" w:rsidR="00B24D69" w:rsidRPr="00B24D69" w:rsidRDefault="00B24D69" w:rsidP="00671910">
            <w:pPr>
              <w:spacing w:before="40" w:after="20"/>
              <w:rPr>
                <w:rFonts w:ascii="Verdana" w:hAnsi="Verdana"/>
                <w:bCs/>
                <w:sz w:val="20"/>
                <w:szCs w:val="20"/>
              </w:rPr>
            </w:pPr>
            <w:r w:rsidRPr="00B24D69">
              <w:rPr>
                <w:rFonts w:ascii="Verdana" w:hAnsi="Verdana"/>
                <w:bCs/>
                <w:sz w:val="20"/>
                <w:szCs w:val="20"/>
                <w:lang w:val="en-US"/>
              </w:rPr>
              <w:t>t</w:t>
            </w:r>
            <w:r w:rsidRPr="00B24D69">
              <w:rPr>
                <w:rFonts w:ascii="Verdana" w:hAnsi="Verdana"/>
                <w:bCs/>
                <w:sz w:val="20"/>
                <w:szCs w:val="20"/>
              </w:rPr>
              <w:t>zviatkov</w:t>
            </w:r>
          </w:p>
          <w:p w14:paraId="5067439B" w14:textId="0A59EDF6" w:rsidR="00B24D69" w:rsidRPr="00B24D69" w:rsidRDefault="00B24D69" w:rsidP="00671910">
            <w:pPr>
              <w:spacing w:before="40" w:after="20"/>
              <w:rPr>
                <w:rFonts w:ascii="Verdana" w:hAnsi="Verdana"/>
                <w:bCs/>
                <w:sz w:val="20"/>
                <w:szCs w:val="20"/>
              </w:rPr>
            </w:pPr>
            <w:r w:rsidRPr="00B24D69">
              <w:rPr>
                <w:rFonts w:ascii="Verdana" w:hAnsi="Verdana"/>
                <w:bCs/>
                <w:sz w:val="20"/>
                <w:szCs w:val="20"/>
              </w:rPr>
              <w:t>Портал за обществени консултации, публикувано на 17 септември 20</w:t>
            </w:r>
            <w:r w:rsidRPr="00B24D69">
              <w:rPr>
                <w:rFonts w:ascii="Verdana" w:hAnsi="Verdana"/>
                <w:bCs/>
                <w:sz w:val="20"/>
                <w:szCs w:val="20"/>
                <w:lang w:val="en-US"/>
              </w:rPr>
              <w:t>20</w:t>
            </w:r>
            <w:r w:rsidRPr="00B24D69">
              <w:rPr>
                <w:rFonts w:ascii="Verdana" w:hAnsi="Verdana"/>
                <w:bCs/>
                <w:sz w:val="20"/>
                <w:szCs w:val="20"/>
              </w:rPr>
              <w:t xml:space="preserve"> г.</w:t>
            </w:r>
          </w:p>
        </w:tc>
        <w:tc>
          <w:tcPr>
            <w:tcW w:w="6618" w:type="dxa"/>
            <w:vMerge w:val="restart"/>
            <w:tcBorders>
              <w:top w:val="single" w:sz="18" w:space="0" w:color="2E74B5"/>
            </w:tcBorders>
            <w:shd w:val="clear" w:color="auto" w:fill="auto"/>
          </w:tcPr>
          <w:p w14:paraId="69C54309" w14:textId="77777777" w:rsidR="00B24D69" w:rsidRPr="00B24D69" w:rsidRDefault="00B24D69" w:rsidP="00F413E2">
            <w:pPr>
              <w:spacing w:before="40" w:after="20"/>
              <w:jc w:val="both"/>
              <w:outlineLvl w:val="3"/>
              <w:rPr>
                <w:rFonts w:ascii="Verdana" w:hAnsi="Verdana" w:cs="Tahoma"/>
                <w:bCs/>
                <w:sz w:val="20"/>
                <w:szCs w:val="20"/>
                <w:lang w:eastAsia="en-US"/>
              </w:rPr>
            </w:pPr>
            <w:r w:rsidRPr="00B24D69">
              <w:rPr>
                <w:rFonts w:ascii="Verdana" w:hAnsi="Verdana" w:cs="Tahoma"/>
                <w:bCs/>
                <w:sz w:val="20"/>
                <w:szCs w:val="20"/>
                <w:lang w:val="en-US" w:eastAsia="en-US"/>
              </w:rPr>
              <w:t>Предложения и бележки по проект</w:t>
            </w:r>
            <w:r w:rsidRPr="00B24D69">
              <w:rPr>
                <w:rFonts w:ascii="Verdana" w:hAnsi="Verdana" w:cs="Tahoma"/>
                <w:bCs/>
                <w:sz w:val="20"/>
                <w:szCs w:val="20"/>
                <w:lang w:eastAsia="en-US"/>
              </w:rPr>
              <w:t>а на доклад от заместник-министъра на замеделието и храните и горите д-р Лозана Василева:</w:t>
            </w:r>
          </w:p>
          <w:p w14:paraId="4FA992A6" w14:textId="77777777" w:rsidR="00B24D69" w:rsidRPr="00B24D69" w:rsidRDefault="00B24D69" w:rsidP="00F75DFC">
            <w:pPr>
              <w:pStyle w:val="NormalWeb"/>
              <w:spacing w:before="40" w:beforeAutospacing="0" w:after="20" w:afterAutospacing="0" w:line="210" w:lineRule="atLeast"/>
              <w:rPr>
                <w:rFonts w:ascii="Verdana" w:hAnsi="Verdana" w:cs="Tahoma"/>
                <w:bCs/>
                <w:sz w:val="20"/>
                <w:szCs w:val="20"/>
              </w:rPr>
            </w:pPr>
            <w:r w:rsidRPr="00B24D69">
              <w:rPr>
                <w:rStyle w:val="Strong"/>
                <w:rFonts w:ascii="Verdana" w:hAnsi="Verdana" w:cs="Tahoma"/>
                <w:b w:val="0"/>
                <w:sz w:val="20"/>
                <w:szCs w:val="20"/>
              </w:rPr>
              <w:t>I</w:t>
            </w:r>
            <w:r w:rsidRPr="00B24D69">
              <w:rPr>
                <w:rStyle w:val="Strong"/>
                <w:rFonts w:ascii="Verdana" w:hAnsi="Verdana" w:cs="Tahoma"/>
                <w:b w:val="0"/>
                <w:sz w:val="20"/>
                <w:szCs w:val="20"/>
                <w:lang w:val="bg-BG"/>
              </w:rPr>
              <w:t xml:space="preserve">. </w:t>
            </w:r>
            <w:r w:rsidRPr="00B24D69">
              <w:rPr>
                <w:rStyle w:val="Strong"/>
                <w:rFonts w:ascii="Verdana" w:hAnsi="Verdana" w:cs="Tahoma"/>
                <w:b w:val="0"/>
                <w:sz w:val="20"/>
                <w:szCs w:val="20"/>
              </w:rPr>
              <w:t>Причини, които налагат приемането на акта</w:t>
            </w:r>
          </w:p>
          <w:p w14:paraId="376BD71A" w14:textId="77777777" w:rsidR="00B24D69" w:rsidRPr="00B24D69" w:rsidRDefault="00B24D69" w:rsidP="00F75DFC">
            <w:pPr>
              <w:pStyle w:val="NormalWeb"/>
              <w:spacing w:before="40" w:beforeAutospacing="0" w:after="20" w:afterAutospacing="0" w:line="210" w:lineRule="atLeast"/>
              <w:rPr>
                <w:rStyle w:val="Strong"/>
                <w:rFonts w:ascii="Verdana" w:hAnsi="Verdana" w:cs="Tahoma"/>
                <w:b w:val="0"/>
                <w:sz w:val="20"/>
                <w:szCs w:val="20"/>
                <w:lang w:val="bg-BG"/>
              </w:rPr>
            </w:pPr>
            <w:r w:rsidRPr="00B24D69">
              <w:rPr>
                <w:rStyle w:val="Strong"/>
                <w:rFonts w:ascii="Verdana" w:hAnsi="Verdana" w:cs="Tahoma"/>
                <w:b w:val="0"/>
                <w:sz w:val="20"/>
                <w:szCs w:val="20"/>
              </w:rPr>
              <w:t>Предложение</w:t>
            </w:r>
            <w:r w:rsidRPr="00B24D69">
              <w:rPr>
                <w:rStyle w:val="Strong"/>
                <w:rFonts w:ascii="Verdana" w:hAnsi="Verdana" w:cs="Tahoma"/>
                <w:b w:val="0"/>
                <w:sz w:val="20"/>
                <w:szCs w:val="20"/>
                <w:lang w:val="bg-BG"/>
              </w:rPr>
              <w:t>:</w:t>
            </w:r>
          </w:p>
          <w:p w14:paraId="3F27D065" w14:textId="77777777" w:rsidR="00B24D69" w:rsidRPr="00B24D69" w:rsidRDefault="00B24D69" w:rsidP="00B04D19">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В НИД са включени шест параграфа.</w:t>
            </w:r>
          </w:p>
          <w:p w14:paraId="2C124997" w14:textId="75728542" w:rsidR="00B24D69" w:rsidRPr="00B24D69" w:rsidRDefault="00B24D69" w:rsidP="00B04D19">
            <w:pPr>
              <w:widowControl w:val="0"/>
              <w:tabs>
                <w:tab w:val="left" w:pos="1565"/>
              </w:tabs>
              <w:autoSpaceDE w:val="0"/>
              <w:autoSpaceDN w:val="0"/>
              <w:spacing w:before="40" w:after="20"/>
              <w:jc w:val="both"/>
              <w:rPr>
                <w:rFonts w:ascii="Verdana" w:hAnsi="Verdana" w:cs="Tahoma"/>
                <w:bCs/>
                <w:sz w:val="20"/>
                <w:szCs w:val="20"/>
                <w:lang w:eastAsia="en-US"/>
              </w:rPr>
            </w:pPr>
            <w:r w:rsidRPr="00B24D69">
              <w:rPr>
                <w:rFonts w:ascii="Verdana" w:hAnsi="Verdana"/>
                <w:sz w:val="20"/>
                <w:szCs w:val="20"/>
              </w:rPr>
              <w:t>Промените с параграфи от 3 до 6 са във връзка с Делегиран регламент (ЕС) 2020/1275 на Комисията от 6 юли 2020 година за изменение на Делегиран регламент (ЕС) 2020/592 относно временни извънредни мерки за дерогация от някои разпоредби на Регламент (ЕС) № 1308/2013 на Европейския парламент и на Съвета с цел преодоляване на смущенията на пазара в сектора на плодовете и зеленчуците и лозаро-винарския сектор, породени от пандемията от COVID-19 и свързаните с нея мерки (OB L 300, 14.9.2020 г.) и в „Причини, които налагат приемането на акта“ са описани основанията за тяхното предлагане.</w:t>
            </w:r>
          </w:p>
        </w:tc>
        <w:tc>
          <w:tcPr>
            <w:tcW w:w="1629" w:type="dxa"/>
            <w:vMerge w:val="restart"/>
            <w:tcBorders>
              <w:top w:val="single" w:sz="18" w:space="0" w:color="2E74B5"/>
            </w:tcBorders>
            <w:shd w:val="clear" w:color="auto" w:fill="auto"/>
          </w:tcPr>
          <w:p w14:paraId="549DFBB9" w14:textId="1D11D766" w:rsidR="00B24D69" w:rsidRPr="00B24D69" w:rsidRDefault="00B24D69" w:rsidP="00A2613D">
            <w:pPr>
              <w:spacing w:before="40" w:after="20"/>
              <w:rPr>
                <w:rFonts w:ascii="Verdana" w:hAnsi="Verdana"/>
                <w:sz w:val="20"/>
                <w:szCs w:val="20"/>
              </w:rPr>
            </w:pPr>
            <w:r w:rsidRPr="00B24D69">
              <w:rPr>
                <w:rFonts w:ascii="Verdana" w:hAnsi="Verdana"/>
                <w:sz w:val="20"/>
                <w:szCs w:val="20"/>
              </w:rPr>
              <w:t>Приема се по принцип</w:t>
            </w:r>
          </w:p>
        </w:tc>
        <w:tc>
          <w:tcPr>
            <w:tcW w:w="4522" w:type="dxa"/>
            <w:vMerge w:val="restart"/>
            <w:tcBorders>
              <w:top w:val="single" w:sz="18" w:space="0" w:color="2E74B5"/>
            </w:tcBorders>
            <w:shd w:val="clear" w:color="auto" w:fill="auto"/>
          </w:tcPr>
          <w:p w14:paraId="4BCEC831" w14:textId="79B6A452" w:rsidR="00B24D69" w:rsidRPr="00B24D69" w:rsidRDefault="00B24D69" w:rsidP="00392EC3">
            <w:pPr>
              <w:spacing w:before="40" w:after="20"/>
              <w:jc w:val="both"/>
              <w:rPr>
                <w:rFonts w:ascii="Verdana" w:hAnsi="Verdana"/>
                <w:sz w:val="20"/>
                <w:szCs w:val="20"/>
              </w:rPr>
            </w:pPr>
            <w:r w:rsidRPr="00B24D69">
              <w:rPr>
                <w:rFonts w:ascii="Verdana" w:hAnsi="Verdana"/>
                <w:sz w:val="20"/>
                <w:szCs w:val="20"/>
              </w:rPr>
              <w:t>В доклада към Наредбата за изменение е предвидена обосновка по отношение на предложените промени в наредбата. Текстовете от наредбата за изменение са съобразени с възприетия подход на отразяване.</w:t>
            </w:r>
            <w:bookmarkStart w:id="0" w:name="_GoBack"/>
            <w:bookmarkEnd w:id="0"/>
          </w:p>
        </w:tc>
      </w:tr>
      <w:tr w:rsidR="00B24D69" w:rsidRPr="00B24D69" w14:paraId="38179F7B" w14:textId="77777777" w:rsidTr="001C5C20">
        <w:trPr>
          <w:trHeight w:val="596"/>
          <w:jc w:val="center"/>
        </w:trPr>
        <w:tc>
          <w:tcPr>
            <w:tcW w:w="620" w:type="dxa"/>
            <w:shd w:val="clear" w:color="auto" w:fill="auto"/>
          </w:tcPr>
          <w:p w14:paraId="4EA5C4B2"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4877BD5A"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13396010" w14:textId="07CA37F8" w:rsidR="00B24D69" w:rsidRPr="00B24D69" w:rsidRDefault="00B24D69" w:rsidP="00B04D19">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1B27007C" w14:textId="68F8A98C" w:rsidR="00B24D69" w:rsidRPr="00B24D69" w:rsidRDefault="00B24D69" w:rsidP="00A2613D">
            <w:pPr>
              <w:spacing w:before="40" w:after="20"/>
              <w:rPr>
                <w:rFonts w:ascii="Verdana" w:hAnsi="Verdana"/>
                <w:sz w:val="20"/>
                <w:szCs w:val="20"/>
              </w:rPr>
            </w:pPr>
          </w:p>
        </w:tc>
        <w:tc>
          <w:tcPr>
            <w:tcW w:w="4522" w:type="dxa"/>
            <w:vMerge/>
            <w:shd w:val="clear" w:color="auto" w:fill="auto"/>
          </w:tcPr>
          <w:p w14:paraId="424A5124" w14:textId="621DE56B" w:rsidR="00B24D69" w:rsidRPr="00B24D69" w:rsidRDefault="00B24D69" w:rsidP="00392EC3">
            <w:pPr>
              <w:spacing w:before="40" w:after="20"/>
              <w:jc w:val="both"/>
              <w:rPr>
                <w:rFonts w:ascii="Verdana" w:hAnsi="Verdana"/>
                <w:sz w:val="20"/>
                <w:szCs w:val="20"/>
              </w:rPr>
            </w:pPr>
          </w:p>
        </w:tc>
      </w:tr>
      <w:tr w:rsidR="00B24D69" w:rsidRPr="00B24D69" w14:paraId="412AC71A" w14:textId="77777777" w:rsidTr="001C5C20">
        <w:trPr>
          <w:trHeight w:val="596"/>
          <w:jc w:val="center"/>
        </w:trPr>
        <w:tc>
          <w:tcPr>
            <w:tcW w:w="620" w:type="dxa"/>
            <w:shd w:val="clear" w:color="auto" w:fill="auto"/>
          </w:tcPr>
          <w:p w14:paraId="198DDA70"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7201B042"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val="restart"/>
            <w:shd w:val="clear" w:color="auto" w:fill="auto"/>
          </w:tcPr>
          <w:p w14:paraId="61F0984C"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В параграф 1 и 2 е предложено изменение на периода за заявяване на авансово плащане за финансова година 2019/2020, като срокът е удължен до 7 октомври 2020 г. В „Причини, които налагат приемането на акта“ не откривам текстове, които да обосноват причината за включване на двата параграфа в НИД на Наредба № 6.</w:t>
            </w:r>
          </w:p>
          <w:p w14:paraId="660F9298"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Предлагам да се опишат причините, които налагат проме</w:t>
            </w:r>
            <w:r w:rsidRPr="00B24D69">
              <w:rPr>
                <w:rFonts w:ascii="Verdana" w:hAnsi="Verdana"/>
                <w:sz w:val="20"/>
                <w:szCs w:val="20"/>
              </w:rPr>
              <w:lastRenderedPageBreak/>
              <w:t>ните в параграфи 1 и 2. В описанието предлагам да се включи:</w:t>
            </w:r>
          </w:p>
          <w:p w14:paraId="7E77BC23"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1) причини, поради които се налага 10 (десето) изменение на Наредба № 6, която е обнародвана в ДВ на 09.11.2018 г. и има само почти двугодишен период на прилагане до момента;</w:t>
            </w:r>
          </w:p>
          <w:p w14:paraId="527992A2"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2) по заповед № 03-РД/514/14.02.2020 г. колко са общо подадени проекти;</w:t>
            </w:r>
          </w:p>
          <w:p w14:paraId="1CFB3DE0"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3) по заповед № 03-РД/514/14.02.2020</w:t>
            </w:r>
            <w:r w:rsidRPr="00B24D69">
              <w:rPr>
                <w:rFonts w:ascii="Verdana" w:hAnsi="Verdana"/>
                <w:sz w:val="20"/>
                <w:szCs w:val="20"/>
                <w:lang w:val="en-US"/>
              </w:rPr>
              <w:t xml:space="preserve"> </w:t>
            </w:r>
            <w:r w:rsidRPr="00B24D69">
              <w:rPr>
                <w:rFonts w:ascii="Verdana" w:hAnsi="Verdana"/>
                <w:sz w:val="20"/>
                <w:szCs w:val="20"/>
              </w:rPr>
              <w:t>г. колко са проектите с включено авансово плащане;</w:t>
            </w:r>
          </w:p>
          <w:p w14:paraId="6D8178DD"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4) към датата на публикуване за обществено обсъждане на НИД (16.09.2020г.) колко проекта по заповед № 03-РД/514/14.02.2020г. с включено авансово плащане са договорени и с подписани договор;</w:t>
            </w:r>
          </w:p>
          <w:p w14:paraId="1B06A2DC"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5) до коя датата ще бъдат подписани всички договори по проекти по заповед № 03-РД/514/14.02.2020</w:t>
            </w:r>
            <w:r w:rsidRPr="00B24D69">
              <w:rPr>
                <w:rFonts w:ascii="Verdana" w:hAnsi="Verdana"/>
                <w:sz w:val="20"/>
                <w:szCs w:val="20"/>
                <w:lang w:val="en-US"/>
              </w:rPr>
              <w:t xml:space="preserve"> </w:t>
            </w:r>
            <w:r w:rsidRPr="00B24D69">
              <w:rPr>
                <w:rFonts w:ascii="Verdana" w:hAnsi="Verdana"/>
                <w:sz w:val="20"/>
                <w:szCs w:val="20"/>
              </w:rPr>
              <w:t>г. с включено авансово плащане;</w:t>
            </w:r>
          </w:p>
          <w:p w14:paraId="68A28D0A"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6) по заповед № 03-РД/1423/05.06.2020</w:t>
            </w:r>
            <w:r w:rsidRPr="00B24D69">
              <w:rPr>
                <w:rFonts w:ascii="Verdana" w:hAnsi="Verdana"/>
                <w:sz w:val="20"/>
                <w:szCs w:val="20"/>
                <w:lang w:val="en-US"/>
              </w:rPr>
              <w:t xml:space="preserve"> </w:t>
            </w:r>
            <w:r w:rsidRPr="00B24D69">
              <w:rPr>
                <w:rFonts w:ascii="Verdana" w:hAnsi="Verdana"/>
                <w:sz w:val="20"/>
                <w:szCs w:val="20"/>
              </w:rPr>
              <w:t>г. колко са общо подадени проекти;</w:t>
            </w:r>
          </w:p>
          <w:p w14:paraId="3F099E89"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7) по заповед № 03-РД/1423/05.06.2020</w:t>
            </w:r>
            <w:r w:rsidRPr="00B24D69">
              <w:rPr>
                <w:rFonts w:ascii="Verdana" w:hAnsi="Verdana"/>
                <w:sz w:val="20"/>
                <w:szCs w:val="20"/>
                <w:lang w:val="en-US"/>
              </w:rPr>
              <w:t xml:space="preserve"> </w:t>
            </w:r>
            <w:r w:rsidRPr="00B24D69">
              <w:rPr>
                <w:rFonts w:ascii="Verdana" w:hAnsi="Verdana"/>
                <w:sz w:val="20"/>
                <w:szCs w:val="20"/>
              </w:rPr>
              <w:t>г. колко са проектите с включено авансово плащане;</w:t>
            </w:r>
          </w:p>
          <w:p w14:paraId="6F13C8CE"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8) към датата на публикуване за обществено обсъждане на НИД (16.09.2020 г.) колко проекта по заповед № 03-РД/1423/05.06.2020</w:t>
            </w:r>
            <w:r w:rsidRPr="00B24D69">
              <w:rPr>
                <w:rFonts w:ascii="Verdana" w:hAnsi="Verdana"/>
                <w:sz w:val="20"/>
                <w:szCs w:val="20"/>
                <w:lang w:val="en-US"/>
              </w:rPr>
              <w:t xml:space="preserve"> </w:t>
            </w:r>
            <w:r w:rsidRPr="00B24D69">
              <w:rPr>
                <w:rFonts w:ascii="Verdana" w:hAnsi="Verdana"/>
                <w:sz w:val="20"/>
                <w:szCs w:val="20"/>
              </w:rPr>
              <w:t>г. с включено авансово плащане са договорени и с подписани договор;</w:t>
            </w:r>
          </w:p>
          <w:p w14:paraId="650B7B46"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9) до коя датата ще бъдат подписани всички договори по проекти по заповед № 03-РД/1423/05.06.2020</w:t>
            </w:r>
            <w:r w:rsidRPr="00B24D69">
              <w:rPr>
                <w:rFonts w:ascii="Verdana" w:hAnsi="Verdana"/>
                <w:sz w:val="20"/>
                <w:szCs w:val="20"/>
                <w:lang w:val="en-US"/>
              </w:rPr>
              <w:t xml:space="preserve"> </w:t>
            </w:r>
            <w:r w:rsidRPr="00B24D69">
              <w:rPr>
                <w:rFonts w:ascii="Verdana" w:hAnsi="Verdana"/>
                <w:sz w:val="20"/>
                <w:szCs w:val="20"/>
              </w:rPr>
              <w:t>г. с включено авансово плащане;</w:t>
            </w:r>
          </w:p>
          <w:p w14:paraId="048510C3"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10) на базата на каква информация (подробно описване) и от кого (посочване на източника на информация) е оценено от съставителя на доклада, че удължаване на срока до 07.10.2020</w:t>
            </w:r>
            <w:r w:rsidRPr="00B24D69">
              <w:rPr>
                <w:rFonts w:ascii="Verdana" w:hAnsi="Verdana"/>
                <w:sz w:val="20"/>
                <w:szCs w:val="20"/>
                <w:lang w:val="en-US"/>
              </w:rPr>
              <w:t xml:space="preserve"> </w:t>
            </w:r>
            <w:r w:rsidRPr="00B24D69">
              <w:rPr>
                <w:rFonts w:ascii="Verdana" w:hAnsi="Verdana"/>
                <w:sz w:val="20"/>
                <w:szCs w:val="20"/>
              </w:rPr>
              <w:t xml:space="preserve">г. ще бъде достатъчно за стартиране на дейностите по проекти с включено авансово плащане и набавяне </w:t>
            </w:r>
            <w:r w:rsidRPr="00B24D69">
              <w:rPr>
                <w:rFonts w:ascii="Verdana" w:hAnsi="Verdana"/>
                <w:sz w:val="20"/>
                <w:szCs w:val="20"/>
              </w:rPr>
              <w:lastRenderedPageBreak/>
              <w:t>на оригинал на банкова гаранция;</w:t>
            </w:r>
          </w:p>
          <w:p w14:paraId="7FE0C4A1"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11) на колко дни се оценява времето за стартиране на дейностите по проекта след подписване на договор с ДФЗ и при какви видове дейности е определено това време;</w:t>
            </w:r>
          </w:p>
          <w:p w14:paraId="6CE452BD" w14:textId="77777777" w:rsidR="00B24D69" w:rsidRPr="00B24D69" w:rsidRDefault="00B24D69" w:rsidP="00F75DFC">
            <w:pPr>
              <w:jc w:val="both"/>
              <w:rPr>
                <w:rFonts w:ascii="Verdana" w:hAnsi="Verdana"/>
                <w:sz w:val="20"/>
                <w:szCs w:val="20"/>
              </w:rPr>
            </w:pPr>
            <w:r w:rsidRPr="00B24D69">
              <w:rPr>
                <w:rFonts w:ascii="Verdana" w:hAnsi="Verdana"/>
                <w:sz w:val="20"/>
                <w:szCs w:val="20"/>
              </w:rPr>
              <w:t>12) на колко дни се оценява времето за получаване на оригинал на банкова гаранция след подписване на договор с ДФЗ и при какви задължителни стъпки на бенефициента спрямо изискванията на банка е определено това време;</w:t>
            </w:r>
          </w:p>
          <w:p w14:paraId="0E471F6A" w14:textId="777777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13) каква е причината да не се предложи удължаване на срока до 15.10.2020</w:t>
            </w:r>
            <w:r w:rsidRPr="00B24D69">
              <w:rPr>
                <w:rFonts w:ascii="Verdana" w:hAnsi="Verdana"/>
                <w:sz w:val="20"/>
                <w:szCs w:val="20"/>
                <w:lang w:val="en-US"/>
              </w:rPr>
              <w:t xml:space="preserve"> </w:t>
            </w:r>
            <w:r w:rsidRPr="00B24D69">
              <w:rPr>
                <w:rFonts w:ascii="Verdana" w:hAnsi="Verdana"/>
                <w:sz w:val="20"/>
                <w:szCs w:val="20"/>
              </w:rPr>
              <w:t>г., когато приключва финансовата година 2019/2020 г. или максимално близка до нея дата.</w:t>
            </w:r>
          </w:p>
          <w:p w14:paraId="45D3CF4F" w14:textId="598CD7A2"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14) оценката на МЗХГ за начина на обработка на заявление за участие по чл. 56 от Наредбата в срока от 70 работни дни по чл. 58, ал. 5 от Наредба № 6.</w:t>
            </w:r>
          </w:p>
        </w:tc>
        <w:tc>
          <w:tcPr>
            <w:tcW w:w="1629" w:type="dxa"/>
            <w:vMerge w:val="restart"/>
            <w:shd w:val="clear" w:color="auto" w:fill="auto"/>
          </w:tcPr>
          <w:p w14:paraId="69C4E2F0" w14:textId="4E697F84" w:rsidR="00B24D69" w:rsidRPr="00B24D69" w:rsidRDefault="00B24D69" w:rsidP="00A2613D">
            <w:pPr>
              <w:spacing w:before="40" w:after="20"/>
              <w:rPr>
                <w:rFonts w:ascii="Verdana" w:hAnsi="Verdana"/>
                <w:sz w:val="20"/>
                <w:szCs w:val="20"/>
              </w:rPr>
            </w:pPr>
            <w:r w:rsidRPr="00B24D69">
              <w:rPr>
                <w:rFonts w:ascii="Verdana" w:hAnsi="Verdana"/>
                <w:sz w:val="20"/>
                <w:szCs w:val="20"/>
              </w:rPr>
              <w:lastRenderedPageBreak/>
              <w:t>Не се приема</w:t>
            </w:r>
          </w:p>
        </w:tc>
        <w:tc>
          <w:tcPr>
            <w:tcW w:w="4522" w:type="dxa"/>
            <w:vMerge w:val="restart"/>
            <w:shd w:val="clear" w:color="auto" w:fill="auto"/>
          </w:tcPr>
          <w:p w14:paraId="2B63F849" w14:textId="7E8D5499" w:rsidR="00B24D69" w:rsidRPr="00B24D69" w:rsidRDefault="00B24D69" w:rsidP="00392EC3">
            <w:pPr>
              <w:spacing w:before="40" w:after="20"/>
              <w:jc w:val="both"/>
              <w:rPr>
                <w:rFonts w:ascii="Verdana" w:hAnsi="Verdana"/>
                <w:sz w:val="20"/>
                <w:szCs w:val="20"/>
              </w:rPr>
            </w:pPr>
            <w:r w:rsidRPr="00B24D69">
              <w:rPr>
                <w:rFonts w:ascii="Verdana" w:hAnsi="Verdana"/>
                <w:sz w:val="20"/>
                <w:szCs w:val="20"/>
              </w:rPr>
              <w:t>Изменението отразява промени в при</w:t>
            </w:r>
            <w:r w:rsidR="00505966">
              <w:rPr>
                <w:rFonts w:ascii="Verdana" w:hAnsi="Verdana"/>
                <w:sz w:val="20"/>
                <w:szCs w:val="20"/>
              </w:rPr>
              <w:t>ложи</w:t>
            </w:r>
            <w:r w:rsidRPr="00B24D69">
              <w:rPr>
                <w:rFonts w:ascii="Verdana" w:hAnsi="Verdana"/>
                <w:sz w:val="20"/>
                <w:szCs w:val="20"/>
              </w:rPr>
              <w:t>мата европейска правна рамка за преодоляване на последствията от Ковид пандемията.</w:t>
            </w:r>
          </w:p>
          <w:p w14:paraId="4142F7D7" w14:textId="442BA60B" w:rsidR="00B24D69" w:rsidRPr="00B24D69" w:rsidRDefault="00B24D69" w:rsidP="00392EC3">
            <w:pPr>
              <w:spacing w:before="40" w:after="20"/>
              <w:jc w:val="both"/>
              <w:rPr>
                <w:rFonts w:ascii="Verdana" w:hAnsi="Verdana"/>
                <w:sz w:val="20"/>
                <w:szCs w:val="20"/>
              </w:rPr>
            </w:pPr>
            <w:r w:rsidRPr="00B24D69">
              <w:rPr>
                <w:rFonts w:ascii="Verdana" w:hAnsi="Verdana"/>
                <w:sz w:val="20"/>
                <w:szCs w:val="20"/>
              </w:rPr>
              <w:t xml:space="preserve">Причината за увеличаване размера на помощта е отразена в доклада. Изменението не е обвързано с фактологията по </w:t>
            </w:r>
            <w:r w:rsidRPr="00B24D69">
              <w:rPr>
                <w:rFonts w:ascii="Verdana" w:hAnsi="Verdana"/>
                <w:sz w:val="20"/>
                <w:szCs w:val="20"/>
              </w:rPr>
              <w:t>проведения прием.</w:t>
            </w:r>
          </w:p>
        </w:tc>
      </w:tr>
      <w:tr w:rsidR="00B24D69" w:rsidRPr="00B24D69" w14:paraId="69D5747E" w14:textId="77777777" w:rsidTr="001C5C20">
        <w:trPr>
          <w:trHeight w:val="596"/>
          <w:jc w:val="center"/>
        </w:trPr>
        <w:tc>
          <w:tcPr>
            <w:tcW w:w="620" w:type="dxa"/>
            <w:shd w:val="clear" w:color="auto" w:fill="auto"/>
          </w:tcPr>
          <w:p w14:paraId="3E712349"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15637825"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2404E801" w14:textId="2ECBF7DD"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6B45298E" w14:textId="01330DC7" w:rsidR="00B24D69" w:rsidRPr="00B24D69" w:rsidRDefault="00B24D69" w:rsidP="00A2613D">
            <w:pPr>
              <w:spacing w:before="40" w:after="20"/>
              <w:rPr>
                <w:rFonts w:ascii="Verdana" w:hAnsi="Verdana"/>
                <w:sz w:val="20"/>
                <w:szCs w:val="20"/>
              </w:rPr>
            </w:pPr>
          </w:p>
        </w:tc>
        <w:tc>
          <w:tcPr>
            <w:tcW w:w="4522" w:type="dxa"/>
            <w:vMerge/>
            <w:shd w:val="clear" w:color="auto" w:fill="auto"/>
          </w:tcPr>
          <w:p w14:paraId="57581975" w14:textId="77777777" w:rsidR="00B24D69" w:rsidRPr="00B24D69" w:rsidRDefault="00B24D69" w:rsidP="00392EC3">
            <w:pPr>
              <w:spacing w:before="40" w:after="20"/>
              <w:jc w:val="both"/>
              <w:rPr>
                <w:rFonts w:ascii="Verdana" w:hAnsi="Verdana"/>
                <w:sz w:val="20"/>
                <w:szCs w:val="20"/>
              </w:rPr>
            </w:pPr>
          </w:p>
        </w:tc>
      </w:tr>
      <w:tr w:rsidR="00B24D69" w:rsidRPr="00B24D69" w14:paraId="224F06FA" w14:textId="77777777" w:rsidTr="001C5C20">
        <w:trPr>
          <w:trHeight w:val="596"/>
          <w:jc w:val="center"/>
        </w:trPr>
        <w:tc>
          <w:tcPr>
            <w:tcW w:w="620" w:type="dxa"/>
            <w:shd w:val="clear" w:color="auto" w:fill="auto"/>
          </w:tcPr>
          <w:p w14:paraId="28D98B60"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3CC4B259"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60FADD51" w14:textId="7B32B571"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1309563A" w14:textId="1EA446B7" w:rsidR="00B24D69" w:rsidRPr="00B24D69" w:rsidRDefault="00B24D69" w:rsidP="00A2613D">
            <w:pPr>
              <w:spacing w:before="40" w:after="20"/>
              <w:rPr>
                <w:rFonts w:ascii="Verdana" w:hAnsi="Verdana"/>
                <w:sz w:val="20"/>
                <w:szCs w:val="20"/>
              </w:rPr>
            </w:pPr>
          </w:p>
        </w:tc>
        <w:tc>
          <w:tcPr>
            <w:tcW w:w="4522" w:type="dxa"/>
            <w:vMerge/>
            <w:shd w:val="clear" w:color="auto" w:fill="auto"/>
          </w:tcPr>
          <w:p w14:paraId="683DB4D4" w14:textId="77777777" w:rsidR="00B24D69" w:rsidRPr="00B24D69" w:rsidRDefault="00B24D69" w:rsidP="00392EC3">
            <w:pPr>
              <w:spacing w:before="40" w:after="20"/>
              <w:jc w:val="both"/>
              <w:rPr>
                <w:rFonts w:ascii="Verdana" w:hAnsi="Verdana"/>
                <w:sz w:val="20"/>
                <w:szCs w:val="20"/>
              </w:rPr>
            </w:pPr>
          </w:p>
        </w:tc>
      </w:tr>
      <w:tr w:rsidR="00B24D69" w:rsidRPr="00B24D69" w14:paraId="56582AE4" w14:textId="77777777" w:rsidTr="001C5C20">
        <w:trPr>
          <w:trHeight w:val="596"/>
          <w:jc w:val="center"/>
        </w:trPr>
        <w:tc>
          <w:tcPr>
            <w:tcW w:w="620" w:type="dxa"/>
            <w:shd w:val="clear" w:color="auto" w:fill="auto"/>
          </w:tcPr>
          <w:p w14:paraId="0EB5AD7A"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6ACCEC19"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528A5F8F" w14:textId="32318CA1"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2180E11E" w14:textId="1F398F88" w:rsidR="00B24D69" w:rsidRPr="00B24D69" w:rsidRDefault="00B24D69" w:rsidP="00A2613D">
            <w:pPr>
              <w:spacing w:before="40" w:after="20"/>
              <w:rPr>
                <w:rFonts w:ascii="Verdana" w:hAnsi="Verdana"/>
                <w:sz w:val="20"/>
                <w:szCs w:val="20"/>
              </w:rPr>
            </w:pPr>
          </w:p>
        </w:tc>
        <w:tc>
          <w:tcPr>
            <w:tcW w:w="4522" w:type="dxa"/>
            <w:vMerge/>
            <w:shd w:val="clear" w:color="auto" w:fill="auto"/>
          </w:tcPr>
          <w:p w14:paraId="68491283" w14:textId="77777777" w:rsidR="00B24D69" w:rsidRPr="00B24D69" w:rsidRDefault="00B24D69" w:rsidP="00392EC3">
            <w:pPr>
              <w:spacing w:before="40" w:after="20"/>
              <w:jc w:val="both"/>
              <w:rPr>
                <w:rFonts w:ascii="Verdana" w:hAnsi="Verdana"/>
                <w:sz w:val="20"/>
                <w:szCs w:val="20"/>
              </w:rPr>
            </w:pPr>
          </w:p>
        </w:tc>
      </w:tr>
      <w:tr w:rsidR="00B24D69" w:rsidRPr="00B24D69" w14:paraId="2B72DBFB" w14:textId="77777777" w:rsidTr="001C5C20">
        <w:trPr>
          <w:trHeight w:val="596"/>
          <w:jc w:val="center"/>
        </w:trPr>
        <w:tc>
          <w:tcPr>
            <w:tcW w:w="620" w:type="dxa"/>
            <w:shd w:val="clear" w:color="auto" w:fill="auto"/>
          </w:tcPr>
          <w:p w14:paraId="00665A67"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71A6C7C7"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264B1D80" w14:textId="28A16034"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2AB77145" w14:textId="7E442A75" w:rsidR="00B24D69" w:rsidRPr="00B24D69" w:rsidRDefault="00B24D69" w:rsidP="00A2613D">
            <w:pPr>
              <w:spacing w:before="40" w:after="20"/>
              <w:rPr>
                <w:rFonts w:ascii="Verdana" w:hAnsi="Verdana"/>
                <w:sz w:val="20"/>
                <w:szCs w:val="20"/>
              </w:rPr>
            </w:pPr>
          </w:p>
        </w:tc>
        <w:tc>
          <w:tcPr>
            <w:tcW w:w="4522" w:type="dxa"/>
            <w:vMerge/>
            <w:shd w:val="clear" w:color="auto" w:fill="auto"/>
          </w:tcPr>
          <w:p w14:paraId="5A813FA1" w14:textId="77777777" w:rsidR="00B24D69" w:rsidRPr="00B24D69" w:rsidRDefault="00B24D69" w:rsidP="00392EC3">
            <w:pPr>
              <w:spacing w:before="40" w:after="20"/>
              <w:jc w:val="both"/>
              <w:rPr>
                <w:rFonts w:ascii="Verdana" w:hAnsi="Verdana"/>
                <w:sz w:val="20"/>
                <w:szCs w:val="20"/>
              </w:rPr>
            </w:pPr>
          </w:p>
        </w:tc>
      </w:tr>
      <w:tr w:rsidR="00B24D69" w:rsidRPr="00B24D69" w14:paraId="0590E158" w14:textId="77777777" w:rsidTr="001C5C20">
        <w:trPr>
          <w:trHeight w:val="596"/>
          <w:jc w:val="center"/>
        </w:trPr>
        <w:tc>
          <w:tcPr>
            <w:tcW w:w="620" w:type="dxa"/>
            <w:shd w:val="clear" w:color="auto" w:fill="auto"/>
          </w:tcPr>
          <w:p w14:paraId="56D80424"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3823B278"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4C8273D2" w14:textId="060CAC86"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43A20B0B" w14:textId="181DCF18" w:rsidR="00B24D69" w:rsidRPr="00B24D69" w:rsidRDefault="00B24D69" w:rsidP="00A2613D">
            <w:pPr>
              <w:spacing w:before="40" w:after="20"/>
              <w:rPr>
                <w:rFonts w:ascii="Verdana" w:hAnsi="Verdana"/>
                <w:sz w:val="20"/>
                <w:szCs w:val="20"/>
              </w:rPr>
            </w:pPr>
          </w:p>
        </w:tc>
        <w:tc>
          <w:tcPr>
            <w:tcW w:w="4522" w:type="dxa"/>
            <w:vMerge/>
            <w:shd w:val="clear" w:color="auto" w:fill="auto"/>
          </w:tcPr>
          <w:p w14:paraId="3A8E70F9" w14:textId="77777777" w:rsidR="00B24D69" w:rsidRPr="00B24D69" w:rsidRDefault="00B24D69" w:rsidP="00392EC3">
            <w:pPr>
              <w:spacing w:before="40" w:after="20"/>
              <w:jc w:val="both"/>
              <w:rPr>
                <w:rFonts w:ascii="Verdana" w:hAnsi="Verdana"/>
                <w:sz w:val="20"/>
                <w:szCs w:val="20"/>
              </w:rPr>
            </w:pPr>
          </w:p>
        </w:tc>
      </w:tr>
      <w:tr w:rsidR="00B24D69" w:rsidRPr="00B24D69" w14:paraId="0D88A822" w14:textId="77777777" w:rsidTr="001C5C20">
        <w:trPr>
          <w:trHeight w:val="596"/>
          <w:jc w:val="center"/>
        </w:trPr>
        <w:tc>
          <w:tcPr>
            <w:tcW w:w="620" w:type="dxa"/>
            <w:shd w:val="clear" w:color="auto" w:fill="auto"/>
          </w:tcPr>
          <w:p w14:paraId="7313172E"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3E6D41A3"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007BE2DC" w14:textId="455FF35E"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2BBAC0D4" w14:textId="4A9E7BE6" w:rsidR="00B24D69" w:rsidRPr="00B24D69" w:rsidRDefault="00B24D69" w:rsidP="00A2613D">
            <w:pPr>
              <w:spacing w:before="40" w:after="20"/>
              <w:rPr>
                <w:rFonts w:ascii="Verdana" w:hAnsi="Verdana"/>
                <w:sz w:val="20"/>
                <w:szCs w:val="20"/>
              </w:rPr>
            </w:pPr>
          </w:p>
        </w:tc>
        <w:tc>
          <w:tcPr>
            <w:tcW w:w="4522" w:type="dxa"/>
            <w:vMerge/>
            <w:shd w:val="clear" w:color="auto" w:fill="auto"/>
          </w:tcPr>
          <w:p w14:paraId="3684539E" w14:textId="77777777" w:rsidR="00B24D69" w:rsidRPr="00B24D69" w:rsidRDefault="00B24D69" w:rsidP="00392EC3">
            <w:pPr>
              <w:spacing w:before="40" w:after="20"/>
              <w:jc w:val="both"/>
              <w:rPr>
                <w:rFonts w:ascii="Verdana" w:hAnsi="Verdana"/>
                <w:sz w:val="20"/>
                <w:szCs w:val="20"/>
              </w:rPr>
            </w:pPr>
          </w:p>
        </w:tc>
      </w:tr>
      <w:tr w:rsidR="00B24D69" w:rsidRPr="00B24D69" w14:paraId="50069756" w14:textId="77777777" w:rsidTr="001C5C20">
        <w:trPr>
          <w:trHeight w:val="596"/>
          <w:jc w:val="center"/>
        </w:trPr>
        <w:tc>
          <w:tcPr>
            <w:tcW w:w="620" w:type="dxa"/>
            <w:shd w:val="clear" w:color="auto" w:fill="auto"/>
          </w:tcPr>
          <w:p w14:paraId="4A9B0E80"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3988296E"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37AA2E23" w14:textId="78F0C9E9"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16B8D201" w14:textId="3D03F887" w:rsidR="00B24D69" w:rsidRPr="00B24D69" w:rsidRDefault="00B24D69" w:rsidP="00A2613D">
            <w:pPr>
              <w:spacing w:before="40" w:after="20"/>
              <w:rPr>
                <w:rFonts w:ascii="Verdana" w:hAnsi="Verdana"/>
                <w:sz w:val="20"/>
                <w:szCs w:val="20"/>
              </w:rPr>
            </w:pPr>
          </w:p>
        </w:tc>
        <w:tc>
          <w:tcPr>
            <w:tcW w:w="4522" w:type="dxa"/>
            <w:vMerge/>
            <w:shd w:val="clear" w:color="auto" w:fill="auto"/>
          </w:tcPr>
          <w:p w14:paraId="4B5D294F" w14:textId="77777777" w:rsidR="00B24D69" w:rsidRPr="00B24D69" w:rsidRDefault="00B24D69" w:rsidP="00392EC3">
            <w:pPr>
              <w:spacing w:before="40" w:after="20"/>
              <w:jc w:val="both"/>
              <w:rPr>
                <w:rFonts w:ascii="Verdana" w:hAnsi="Verdana"/>
                <w:sz w:val="20"/>
                <w:szCs w:val="20"/>
              </w:rPr>
            </w:pPr>
          </w:p>
        </w:tc>
      </w:tr>
      <w:tr w:rsidR="00B24D69" w:rsidRPr="00B24D69" w14:paraId="6A538D94" w14:textId="77777777" w:rsidTr="001C5C20">
        <w:trPr>
          <w:trHeight w:val="596"/>
          <w:jc w:val="center"/>
        </w:trPr>
        <w:tc>
          <w:tcPr>
            <w:tcW w:w="620" w:type="dxa"/>
            <w:shd w:val="clear" w:color="auto" w:fill="auto"/>
          </w:tcPr>
          <w:p w14:paraId="54DCF70B"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3BFE3597"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225ABE78" w14:textId="518EB801"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0E49C88E" w14:textId="5C6221F1" w:rsidR="00B24D69" w:rsidRPr="00B24D69" w:rsidRDefault="00B24D69" w:rsidP="00A2613D">
            <w:pPr>
              <w:spacing w:before="40" w:after="20"/>
              <w:rPr>
                <w:rFonts w:ascii="Verdana" w:hAnsi="Verdana"/>
                <w:sz w:val="20"/>
                <w:szCs w:val="20"/>
              </w:rPr>
            </w:pPr>
          </w:p>
        </w:tc>
        <w:tc>
          <w:tcPr>
            <w:tcW w:w="4522" w:type="dxa"/>
            <w:vMerge/>
            <w:shd w:val="clear" w:color="auto" w:fill="auto"/>
          </w:tcPr>
          <w:p w14:paraId="3F9FA396" w14:textId="77777777" w:rsidR="00B24D69" w:rsidRPr="00B24D69" w:rsidRDefault="00B24D69" w:rsidP="00392EC3">
            <w:pPr>
              <w:spacing w:before="40" w:after="20"/>
              <w:jc w:val="both"/>
              <w:rPr>
                <w:rFonts w:ascii="Verdana" w:hAnsi="Verdana"/>
                <w:sz w:val="20"/>
                <w:szCs w:val="20"/>
              </w:rPr>
            </w:pPr>
          </w:p>
        </w:tc>
      </w:tr>
      <w:tr w:rsidR="00B24D69" w:rsidRPr="00B24D69" w14:paraId="53D8424A" w14:textId="77777777" w:rsidTr="001C5C20">
        <w:trPr>
          <w:trHeight w:val="596"/>
          <w:jc w:val="center"/>
        </w:trPr>
        <w:tc>
          <w:tcPr>
            <w:tcW w:w="620" w:type="dxa"/>
            <w:shd w:val="clear" w:color="auto" w:fill="auto"/>
          </w:tcPr>
          <w:p w14:paraId="21B368D9"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7ACA23AC"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37C76B55" w14:textId="79E74926"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786D5A71" w14:textId="3BBCFEA8" w:rsidR="00B24D69" w:rsidRPr="00B24D69" w:rsidRDefault="00B24D69" w:rsidP="00A2613D">
            <w:pPr>
              <w:spacing w:before="40" w:after="20"/>
              <w:rPr>
                <w:rFonts w:ascii="Verdana" w:hAnsi="Verdana"/>
                <w:sz w:val="20"/>
                <w:szCs w:val="20"/>
              </w:rPr>
            </w:pPr>
          </w:p>
        </w:tc>
        <w:tc>
          <w:tcPr>
            <w:tcW w:w="4522" w:type="dxa"/>
            <w:vMerge/>
            <w:shd w:val="clear" w:color="auto" w:fill="auto"/>
          </w:tcPr>
          <w:p w14:paraId="16339498" w14:textId="77777777" w:rsidR="00B24D69" w:rsidRPr="00B24D69" w:rsidRDefault="00B24D69" w:rsidP="00392EC3">
            <w:pPr>
              <w:spacing w:before="40" w:after="20"/>
              <w:jc w:val="both"/>
              <w:rPr>
                <w:rFonts w:ascii="Verdana" w:hAnsi="Verdana"/>
                <w:sz w:val="20"/>
                <w:szCs w:val="20"/>
              </w:rPr>
            </w:pPr>
          </w:p>
        </w:tc>
      </w:tr>
      <w:tr w:rsidR="00B24D69" w:rsidRPr="00B24D69" w14:paraId="4255C8BC" w14:textId="77777777" w:rsidTr="001C5C20">
        <w:trPr>
          <w:trHeight w:val="596"/>
          <w:jc w:val="center"/>
        </w:trPr>
        <w:tc>
          <w:tcPr>
            <w:tcW w:w="620" w:type="dxa"/>
            <w:shd w:val="clear" w:color="auto" w:fill="auto"/>
          </w:tcPr>
          <w:p w14:paraId="1825D994"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7F18B2B7"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718D2045" w14:textId="09F32B7F"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4E1BF8C4" w14:textId="5C824048" w:rsidR="00B24D69" w:rsidRPr="00B24D69" w:rsidRDefault="00B24D69" w:rsidP="00A2613D">
            <w:pPr>
              <w:spacing w:before="40" w:after="20"/>
              <w:rPr>
                <w:rFonts w:ascii="Verdana" w:hAnsi="Verdana"/>
                <w:sz w:val="20"/>
                <w:szCs w:val="20"/>
              </w:rPr>
            </w:pPr>
          </w:p>
        </w:tc>
        <w:tc>
          <w:tcPr>
            <w:tcW w:w="4522" w:type="dxa"/>
            <w:vMerge/>
            <w:shd w:val="clear" w:color="auto" w:fill="auto"/>
          </w:tcPr>
          <w:p w14:paraId="2223613B" w14:textId="77777777" w:rsidR="00B24D69" w:rsidRPr="00B24D69" w:rsidRDefault="00B24D69" w:rsidP="00392EC3">
            <w:pPr>
              <w:spacing w:before="40" w:after="20"/>
              <w:jc w:val="both"/>
              <w:rPr>
                <w:rFonts w:ascii="Verdana" w:hAnsi="Verdana"/>
                <w:sz w:val="20"/>
                <w:szCs w:val="20"/>
              </w:rPr>
            </w:pPr>
          </w:p>
        </w:tc>
      </w:tr>
      <w:tr w:rsidR="00B24D69" w:rsidRPr="00B24D69" w14:paraId="010424BA" w14:textId="77777777" w:rsidTr="001C5C20">
        <w:trPr>
          <w:trHeight w:val="596"/>
          <w:jc w:val="center"/>
        </w:trPr>
        <w:tc>
          <w:tcPr>
            <w:tcW w:w="620" w:type="dxa"/>
            <w:shd w:val="clear" w:color="auto" w:fill="auto"/>
          </w:tcPr>
          <w:p w14:paraId="07028989"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0762FA54"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7B2A2CC6" w14:textId="31F62C5A"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1C0493FB" w14:textId="0BE8EE6A" w:rsidR="00B24D69" w:rsidRPr="00B24D69" w:rsidRDefault="00B24D69" w:rsidP="00A2613D">
            <w:pPr>
              <w:spacing w:before="40" w:after="20"/>
              <w:rPr>
                <w:rFonts w:ascii="Verdana" w:hAnsi="Verdana"/>
                <w:sz w:val="20"/>
                <w:szCs w:val="20"/>
              </w:rPr>
            </w:pPr>
          </w:p>
        </w:tc>
        <w:tc>
          <w:tcPr>
            <w:tcW w:w="4522" w:type="dxa"/>
            <w:vMerge/>
            <w:shd w:val="clear" w:color="auto" w:fill="auto"/>
          </w:tcPr>
          <w:p w14:paraId="76ADB4F5" w14:textId="77777777" w:rsidR="00B24D69" w:rsidRPr="00B24D69" w:rsidRDefault="00B24D69" w:rsidP="00392EC3">
            <w:pPr>
              <w:spacing w:before="40" w:after="20"/>
              <w:jc w:val="both"/>
              <w:rPr>
                <w:rFonts w:ascii="Verdana" w:hAnsi="Verdana"/>
                <w:sz w:val="20"/>
                <w:szCs w:val="20"/>
              </w:rPr>
            </w:pPr>
          </w:p>
        </w:tc>
      </w:tr>
      <w:tr w:rsidR="00B24D69" w:rsidRPr="00B24D69" w14:paraId="2A6016DB" w14:textId="77777777" w:rsidTr="001C5C20">
        <w:trPr>
          <w:trHeight w:val="596"/>
          <w:jc w:val="center"/>
        </w:trPr>
        <w:tc>
          <w:tcPr>
            <w:tcW w:w="620" w:type="dxa"/>
            <w:shd w:val="clear" w:color="auto" w:fill="auto"/>
          </w:tcPr>
          <w:p w14:paraId="664CFAB0"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323A1D9C"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7A8EC42F" w14:textId="7ACB3377"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52092919" w14:textId="020F0D56" w:rsidR="00B24D69" w:rsidRPr="00B24D69" w:rsidRDefault="00B24D69" w:rsidP="00A2613D">
            <w:pPr>
              <w:spacing w:before="40" w:after="20"/>
              <w:rPr>
                <w:rFonts w:ascii="Verdana" w:hAnsi="Verdana"/>
                <w:sz w:val="20"/>
                <w:szCs w:val="20"/>
              </w:rPr>
            </w:pPr>
          </w:p>
        </w:tc>
        <w:tc>
          <w:tcPr>
            <w:tcW w:w="4522" w:type="dxa"/>
            <w:vMerge/>
            <w:shd w:val="clear" w:color="auto" w:fill="auto"/>
          </w:tcPr>
          <w:p w14:paraId="447A7ED2" w14:textId="77777777" w:rsidR="00B24D69" w:rsidRPr="00B24D69" w:rsidRDefault="00B24D69" w:rsidP="00392EC3">
            <w:pPr>
              <w:spacing w:before="40" w:after="20"/>
              <w:jc w:val="both"/>
              <w:rPr>
                <w:rFonts w:ascii="Verdana" w:hAnsi="Verdana"/>
                <w:sz w:val="20"/>
                <w:szCs w:val="20"/>
              </w:rPr>
            </w:pPr>
          </w:p>
        </w:tc>
      </w:tr>
      <w:tr w:rsidR="00B24D69" w:rsidRPr="00B24D69" w14:paraId="2494D93E" w14:textId="77777777" w:rsidTr="001C5C20">
        <w:trPr>
          <w:trHeight w:val="596"/>
          <w:jc w:val="center"/>
        </w:trPr>
        <w:tc>
          <w:tcPr>
            <w:tcW w:w="620" w:type="dxa"/>
            <w:shd w:val="clear" w:color="auto" w:fill="auto"/>
          </w:tcPr>
          <w:p w14:paraId="1D2FDB46"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4FFBD676"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0B5F3D88" w14:textId="70CD1194"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5FC83F4E" w14:textId="167F51E5" w:rsidR="00B24D69" w:rsidRPr="00B24D69" w:rsidRDefault="00B24D69" w:rsidP="00A2613D">
            <w:pPr>
              <w:spacing w:before="40" w:after="20"/>
              <w:rPr>
                <w:rFonts w:ascii="Verdana" w:hAnsi="Verdana"/>
                <w:sz w:val="20"/>
                <w:szCs w:val="20"/>
              </w:rPr>
            </w:pPr>
          </w:p>
        </w:tc>
        <w:tc>
          <w:tcPr>
            <w:tcW w:w="4522" w:type="dxa"/>
            <w:vMerge/>
            <w:shd w:val="clear" w:color="auto" w:fill="auto"/>
          </w:tcPr>
          <w:p w14:paraId="20317652" w14:textId="77777777" w:rsidR="00B24D69" w:rsidRPr="00B24D69" w:rsidRDefault="00B24D69" w:rsidP="00392EC3">
            <w:pPr>
              <w:spacing w:before="40" w:after="20"/>
              <w:jc w:val="both"/>
              <w:rPr>
                <w:rFonts w:ascii="Verdana" w:hAnsi="Verdana"/>
                <w:sz w:val="20"/>
                <w:szCs w:val="20"/>
              </w:rPr>
            </w:pPr>
          </w:p>
        </w:tc>
      </w:tr>
      <w:tr w:rsidR="00B24D69" w:rsidRPr="00B24D69" w14:paraId="3CC14CAD" w14:textId="77777777" w:rsidTr="001C5C20">
        <w:trPr>
          <w:trHeight w:val="596"/>
          <w:jc w:val="center"/>
        </w:trPr>
        <w:tc>
          <w:tcPr>
            <w:tcW w:w="620" w:type="dxa"/>
            <w:shd w:val="clear" w:color="auto" w:fill="auto"/>
          </w:tcPr>
          <w:p w14:paraId="7A12B514"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3AB9B5FB"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01871F73" w14:textId="14602F2E"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37CE3A45" w14:textId="2D7573C5" w:rsidR="00B24D69" w:rsidRPr="00B24D69" w:rsidRDefault="00B24D69" w:rsidP="00A2613D">
            <w:pPr>
              <w:spacing w:before="40" w:after="20"/>
              <w:rPr>
                <w:rFonts w:ascii="Verdana" w:hAnsi="Verdana"/>
                <w:sz w:val="20"/>
                <w:szCs w:val="20"/>
              </w:rPr>
            </w:pPr>
          </w:p>
        </w:tc>
        <w:tc>
          <w:tcPr>
            <w:tcW w:w="4522" w:type="dxa"/>
            <w:vMerge/>
            <w:shd w:val="clear" w:color="auto" w:fill="auto"/>
          </w:tcPr>
          <w:p w14:paraId="7D9E4B72" w14:textId="77777777" w:rsidR="00B24D69" w:rsidRPr="00B24D69" w:rsidRDefault="00B24D69" w:rsidP="00392EC3">
            <w:pPr>
              <w:spacing w:before="40" w:after="20"/>
              <w:jc w:val="both"/>
              <w:rPr>
                <w:rFonts w:ascii="Verdana" w:hAnsi="Verdana"/>
                <w:sz w:val="20"/>
                <w:szCs w:val="20"/>
              </w:rPr>
            </w:pPr>
          </w:p>
        </w:tc>
      </w:tr>
      <w:tr w:rsidR="00B24D69" w:rsidRPr="00B24D69" w14:paraId="2636BDBA" w14:textId="77777777" w:rsidTr="001C5C20">
        <w:trPr>
          <w:trHeight w:val="596"/>
          <w:jc w:val="center"/>
        </w:trPr>
        <w:tc>
          <w:tcPr>
            <w:tcW w:w="620" w:type="dxa"/>
            <w:shd w:val="clear" w:color="auto" w:fill="auto"/>
          </w:tcPr>
          <w:p w14:paraId="13BA22D0"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66D6428D"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44C415E1" w14:textId="7455C433" w:rsidR="00B24D69" w:rsidRPr="00B24D69" w:rsidRDefault="00B24D69" w:rsidP="00F413E2">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31883FD7" w14:textId="0DE7122E" w:rsidR="00B24D69" w:rsidRPr="00B24D69" w:rsidRDefault="00B24D69" w:rsidP="00A2613D">
            <w:pPr>
              <w:spacing w:before="40" w:after="20"/>
              <w:rPr>
                <w:rFonts w:ascii="Verdana" w:hAnsi="Verdana"/>
                <w:sz w:val="20"/>
                <w:szCs w:val="20"/>
              </w:rPr>
            </w:pPr>
          </w:p>
        </w:tc>
        <w:tc>
          <w:tcPr>
            <w:tcW w:w="4522" w:type="dxa"/>
            <w:vMerge/>
            <w:shd w:val="clear" w:color="auto" w:fill="auto"/>
          </w:tcPr>
          <w:p w14:paraId="5305F28C" w14:textId="77777777" w:rsidR="00B24D69" w:rsidRPr="00B24D69" w:rsidRDefault="00B24D69" w:rsidP="00392EC3">
            <w:pPr>
              <w:spacing w:before="40" w:after="20"/>
              <w:jc w:val="both"/>
              <w:rPr>
                <w:rFonts w:ascii="Verdana" w:hAnsi="Verdana"/>
                <w:sz w:val="20"/>
                <w:szCs w:val="20"/>
              </w:rPr>
            </w:pPr>
          </w:p>
        </w:tc>
      </w:tr>
      <w:tr w:rsidR="001C5C20" w:rsidRPr="00B24D69" w14:paraId="147419B3" w14:textId="77777777" w:rsidTr="001C5C20">
        <w:trPr>
          <w:jc w:val="center"/>
        </w:trPr>
        <w:tc>
          <w:tcPr>
            <w:tcW w:w="620" w:type="dxa"/>
            <w:shd w:val="clear" w:color="auto" w:fill="auto"/>
          </w:tcPr>
          <w:p w14:paraId="6EA17FC0" w14:textId="77777777" w:rsidR="001C5C20" w:rsidRPr="00B24D69" w:rsidRDefault="001C5C20" w:rsidP="00A2613D">
            <w:pPr>
              <w:tabs>
                <w:tab w:val="left" w:pos="192"/>
              </w:tabs>
              <w:spacing w:before="40" w:after="20"/>
              <w:rPr>
                <w:rFonts w:ascii="Verdana" w:hAnsi="Verdana"/>
                <w:b/>
                <w:sz w:val="20"/>
                <w:szCs w:val="20"/>
              </w:rPr>
            </w:pPr>
          </w:p>
        </w:tc>
        <w:tc>
          <w:tcPr>
            <w:tcW w:w="2261" w:type="dxa"/>
            <w:shd w:val="clear" w:color="auto" w:fill="auto"/>
          </w:tcPr>
          <w:p w14:paraId="44AEEBE0" w14:textId="77777777" w:rsidR="001C5C20" w:rsidRPr="00B24D69" w:rsidRDefault="001C5C20" w:rsidP="00A2613D">
            <w:pPr>
              <w:spacing w:before="40" w:after="20"/>
              <w:rPr>
                <w:rStyle w:val="Hyperlink"/>
                <w:rFonts w:ascii="Verdana" w:hAnsi="Verdana"/>
                <w:b/>
                <w:bCs/>
                <w:color w:val="auto"/>
                <w:sz w:val="20"/>
                <w:szCs w:val="20"/>
                <w:u w:val="none"/>
              </w:rPr>
            </w:pPr>
          </w:p>
        </w:tc>
        <w:tc>
          <w:tcPr>
            <w:tcW w:w="6618" w:type="dxa"/>
            <w:vMerge w:val="restart"/>
            <w:shd w:val="clear" w:color="auto" w:fill="auto"/>
          </w:tcPr>
          <w:p w14:paraId="4E713BDB" w14:textId="77777777" w:rsidR="001C5C20" w:rsidRPr="00B24D69" w:rsidRDefault="001C5C20" w:rsidP="0027751A">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lang w:val="en-US"/>
              </w:rPr>
              <w:t>II</w:t>
            </w:r>
            <w:r w:rsidRPr="00B24D69">
              <w:rPr>
                <w:rFonts w:ascii="Verdana" w:hAnsi="Verdana"/>
                <w:sz w:val="20"/>
                <w:szCs w:val="20"/>
              </w:rPr>
              <w:t>. Цели</w:t>
            </w:r>
          </w:p>
          <w:p w14:paraId="69122E7A" w14:textId="77777777" w:rsidR="001C5C20" w:rsidRPr="00B24D69" w:rsidRDefault="001C5C20" w:rsidP="0027751A">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Предложение:</w:t>
            </w:r>
          </w:p>
          <w:p w14:paraId="798DEA10" w14:textId="77777777" w:rsidR="001C5C20" w:rsidRPr="00B24D69" w:rsidRDefault="001C5C20" w:rsidP="0027751A">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През 2020 г. има проведени два приема по заповед № 03-РД/514/14.02.2020 г. и заповед № 03-РД/1423/05.06.2020 г.</w:t>
            </w:r>
          </w:p>
          <w:p w14:paraId="54596FA8" w14:textId="77777777" w:rsidR="001C5C20" w:rsidRPr="00B24D69" w:rsidRDefault="001C5C20" w:rsidP="0027751A">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Двата приема се проведоха в извънредна обстановка на COVID-19.</w:t>
            </w:r>
          </w:p>
          <w:p w14:paraId="061D6603" w14:textId="77777777" w:rsidR="001C5C20" w:rsidRPr="00B24D69" w:rsidRDefault="001C5C20" w:rsidP="0027751A">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Не приемам посочения текст „но предвид настъпилите извънредни обстоятелства в предходните месеци и необходимостта от предприемане на редица мерки и действия от страна на администрацията с цел осигуряване на кризисно подпомагане на лозаро-винарския сектор (вкл. отваряне на втори за 2020 г. прием по мярка „Инвестиции в предприятия“), е от съществено значение същият да бъде удължен до 7 октомври 2020 г.“, защото обстановката е била ясна при отваряне на приемите, както и че с допълнителни приеми се затруднява обработката на предходните приеми, което не говори за добри и успешни управленски практики в ДФЗ.</w:t>
            </w:r>
          </w:p>
          <w:p w14:paraId="30DF3CBC" w14:textId="77777777" w:rsidR="001C5C20" w:rsidRPr="00B24D69" w:rsidRDefault="001C5C20" w:rsidP="00CF3D00">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lastRenderedPageBreak/>
              <w:t>Предлагам да се посочат точни и ясни цели, които ще се постигнат с направеното предложение при адекватна оценка на нужното за това време от страна на бенефициентите.</w:t>
            </w:r>
          </w:p>
          <w:p w14:paraId="7F29C23F" w14:textId="77777777" w:rsidR="001C5C20" w:rsidRPr="00B24D69" w:rsidRDefault="001C5C20" w:rsidP="00CF3D00">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 xml:space="preserve">Не приемам текста „За да се постигнат описаните цели, изменението на наредбата следва да бъде извършено своевременно, предвид наближаващия край на финансовата 2020 г., в рамките на която трябва да бъдат сключени договорите по мерките, съгласно Делегиран регламент (ЕС) 2020/1275.“, защото удължаване на срока трябва да даде възможност да се предостави авансово плащане до този момент договор с ДФЗ по мярката. </w:t>
            </w:r>
          </w:p>
          <w:p w14:paraId="059BC56C" w14:textId="000DF5CF" w:rsidR="001C5C20" w:rsidRPr="00B24D69" w:rsidRDefault="001C5C20" w:rsidP="00CF3D00">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В тази връзка предлагам да се опише как ще се постигне тази цел.</w:t>
            </w:r>
          </w:p>
        </w:tc>
        <w:tc>
          <w:tcPr>
            <w:tcW w:w="1629" w:type="dxa"/>
            <w:vMerge w:val="restart"/>
            <w:shd w:val="clear" w:color="auto" w:fill="auto"/>
          </w:tcPr>
          <w:p w14:paraId="43F179EE" w14:textId="26AED1A6" w:rsidR="001C5C20" w:rsidRPr="00B24D69" w:rsidRDefault="001C5C20" w:rsidP="00A2613D">
            <w:pPr>
              <w:spacing w:before="40" w:after="20"/>
              <w:rPr>
                <w:rFonts w:ascii="Verdana" w:hAnsi="Verdana"/>
                <w:sz w:val="20"/>
                <w:szCs w:val="20"/>
              </w:rPr>
            </w:pPr>
            <w:r w:rsidRPr="00B24D69">
              <w:rPr>
                <w:rFonts w:ascii="Verdana" w:hAnsi="Verdana"/>
                <w:sz w:val="20"/>
                <w:szCs w:val="20"/>
              </w:rPr>
              <w:lastRenderedPageBreak/>
              <w:t>Не се приема</w:t>
            </w:r>
          </w:p>
        </w:tc>
        <w:tc>
          <w:tcPr>
            <w:tcW w:w="4522" w:type="dxa"/>
            <w:vMerge w:val="restart"/>
            <w:shd w:val="clear" w:color="auto" w:fill="auto"/>
          </w:tcPr>
          <w:p w14:paraId="21DF740F" w14:textId="10A91FF3" w:rsidR="001C5C20" w:rsidRPr="00B24D69" w:rsidRDefault="001C5C20" w:rsidP="00392EC3">
            <w:pPr>
              <w:spacing w:before="40" w:after="20"/>
              <w:jc w:val="both"/>
              <w:rPr>
                <w:rFonts w:ascii="Verdana" w:hAnsi="Verdana"/>
                <w:sz w:val="20"/>
                <w:szCs w:val="20"/>
              </w:rPr>
            </w:pPr>
            <w:r w:rsidRPr="00B24D69">
              <w:rPr>
                <w:rFonts w:ascii="Verdana" w:hAnsi="Verdana"/>
                <w:sz w:val="20"/>
                <w:szCs w:val="20"/>
              </w:rPr>
              <w:t>Действията на администрацията и предприетите изменения на наредбата са съобразени с динамичната обстановка и приложимото европейско законодателство.</w:t>
            </w:r>
          </w:p>
        </w:tc>
      </w:tr>
      <w:tr w:rsidR="001C5C20" w:rsidRPr="00B24D69" w14:paraId="32216D76" w14:textId="77777777" w:rsidTr="001C5C20">
        <w:trPr>
          <w:jc w:val="center"/>
        </w:trPr>
        <w:tc>
          <w:tcPr>
            <w:tcW w:w="620" w:type="dxa"/>
            <w:shd w:val="clear" w:color="auto" w:fill="auto"/>
          </w:tcPr>
          <w:p w14:paraId="5F8D7787" w14:textId="77777777" w:rsidR="001C5C20" w:rsidRPr="00B24D69" w:rsidRDefault="001C5C20" w:rsidP="00A2613D">
            <w:pPr>
              <w:tabs>
                <w:tab w:val="left" w:pos="192"/>
              </w:tabs>
              <w:spacing w:before="40" w:after="20"/>
              <w:rPr>
                <w:rFonts w:ascii="Verdana" w:hAnsi="Verdana"/>
                <w:b/>
                <w:sz w:val="20"/>
                <w:szCs w:val="20"/>
              </w:rPr>
            </w:pPr>
          </w:p>
        </w:tc>
        <w:tc>
          <w:tcPr>
            <w:tcW w:w="2261" w:type="dxa"/>
            <w:shd w:val="clear" w:color="auto" w:fill="auto"/>
          </w:tcPr>
          <w:p w14:paraId="512F6A55" w14:textId="77777777" w:rsidR="001C5C20" w:rsidRPr="00B24D69" w:rsidRDefault="001C5C20"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230F1520" w14:textId="11F711C4" w:rsidR="001C5C20" w:rsidRPr="00B24D69" w:rsidRDefault="001C5C20" w:rsidP="00CF3D00">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14AA22BA" w14:textId="134DB1E8" w:rsidR="001C5C20" w:rsidRPr="00B24D69" w:rsidRDefault="001C5C20" w:rsidP="00A2613D">
            <w:pPr>
              <w:spacing w:before="40" w:after="20"/>
              <w:rPr>
                <w:rFonts w:ascii="Verdana" w:hAnsi="Verdana"/>
                <w:sz w:val="20"/>
                <w:szCs w:val="20"/>
              </w:rPr>
            </w:pPr>
          </w:p>
        </w:tc>
        <w:tc>
          <w:tcPr>
            <w:tcW w:w="4522" w:type="dxa"/>
            <w:vMerge/>
            <w:shd w:val="clear" w:color="auto" w:fill="auto"/>
          </w:tcPr>
          <w:p w14:paraId="5E02F297" w14:textId="22D2EBB4" w:rsidR="001C5C20" w:rsidRPr="00B24D69" w:rsidRDefault="001C5C20" w:rsidP="00392EC3">
            <w:pPr>
              <w:spacing w:before="40" w:after="20"/>
              <w:jc w:val="both"/>
              <w:rPr>
                <w:rFonts w:ascii="Verdana" w:hAnsi="Verdana"/>
                <w:sz w:val="20"/>
                <w:szCs w:val="20"/>
              </w:rPr>
            </w:pPr>
          </w:p>
        </w:tc>
      </w:tr>
      <w:tr w:rsidR="001C5C20" w:rsidRPr="00B24D69" w14:paraId="757DCC78" w14:textId="77777777" w:rsidTr="001C5C20">
        <w:trPr>
          <w:jc w:val="center"/>
        </w:trPr>
        <w:tc>
          <w:tcPr>
            <w:tcW w:w="620" w:type="dxa"/>
            <w:shd w:val="clear" w:color="auto" w:fill="auto"/>
          </w:tcPr>
          <w:p w14:paraId="43E739F0" w14:textId="77777777" w:rsidR="001C5C20" w:rsidRPr="00B24D69" w:rsidRDefault="001C5C20" w:rsidP="00A2613D">
            <w:pPr>
              <w:tabs>
                <w:tab w:val="left" w:pos="192"/>
              </w:tabs>
              <w:spacing w:before="40" w:after="20"/>
              <w:rPr>
                <w:rFonts w:ascii="Verdana" w:hAnsi="Verdana"/>
                <w:b/>
                <w:sz w:val="20"/>
                <w:szCs w:val="20"/>
              </w:rPr>
            </w:pPr>
          </w:p>
        </w:tc>
        <w:tc>
          <w:tcPr>
            <w:tcW w:w="2261" w:type="dxa"/>
            <w:shd w:val="clear" w:color="auto" w:fill="auto"/>
          </w:tcPr>
          <w:p w14:paraId="18A686DA" w14:textId="77777777" w:rsidR="001C5C20" w:rsidRPr="00B24D69" w:rsidRDefault="001C5C20"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47902ACB" w14:textId="19FED129" w:rsidR="001C5C20" w:rsidRPr="00B24D69" w:rsidRDefault="001C5C20" w:rsidP="00CF3D00">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00C6802C" w14:textId="6CF7BB22" w:rsidR="001C5C20" w:rsidRPr="00B24D69" w:rsidRDefault="001C5C20" w:rsidP="00A2613D">
            <w:pPr>
              <w:spacing w:before="40" w:after="20"/>
              <w:rPr>
                <w:rFonts w:ascii="Verdana" w:hAnsi="Verdana"/>
                <w:sz w:val="20"/>
                <w:szCs w:val="20"/>
              </w:rPr>
            </w:pPr>
          </w:p>
        </w:tc>
        <w:tc>
          <w:tcPr>
            <w:tcW w:w="4522" w:type="dxa"/>
            <w:vMerge/>
            <w:shd w:val="clear" w:color="auto" w:fill="auto"/>
          </w:tcPr>
          <w:p w14:paraId="5A2FC3F7" w14:textId="56865E18" w:rsidR="001C5C20" w:rsidRPr="00B24D69" w:rsidRDefault="001C5C20" w:rsidP="00392EC3">
            <w:pPr>
              <w:spacing w:before="40" w:after="20"/>
              <w:jc w:val="both"/>
              <w:rPr>
                <w:rFonts w:ascii="Verdana" w:hAnsi="Verdana"/>
                <w:sz w:val="20"/>
                <w:szCs w:val="20"/>
              </w:rPr>
            </w:pPr>
          </w:p>
        </w:tc>
      </w:tr>
      <w:tr w:rsidR="001C5C20" w:rsidRPr="00B24D69" w14:paraId="64C9342F" w14:textId="77777777" w:rsidTr="001C5C20">
        <w:trPr>
          <w:jc w:val="center"/>
        </w:trPr>
        <w:tc>
          <w:tcPr>
            <w:tcW w:w="620" w:type="dxa"/>
            <w:shd w:val="clear" w:color="auto" w:fill="auto"/>
          </w:tcPr>
          <w:p w14:paraId="723E5998" w14:textId="77777777" w:rsidR="001C5C20" w:rsidRPr="00B24D69" w:rsidRDefault="001C5C20" w:rsidP="00A2613D">
            <w:pPr>
              <w:tabs>
                <w:tab w:val="left" w:pos="192"/>
              </w:tabs>
              <w:spacing w:before="40" w:after="20"/>
              <w:rPr>
                <w:rFonts w:ascii="Verdana" w:hAnsi="Verdana"/>
                <w:b/>
                <w:sz w:val="20"/>
                <w:szCs w:val="20"/>
              </w:rPr>
            </w:pPr>
          </w:p>
        </w:tc>
        <w:tc>
          <w:tcPr>
            <w:tcW w:w="2261" w:type="dxa"/>
            <w:shd w:val="clear" w:color="auto" w:fill="auto"/>
          </w:tcPr>
          <w:p w14:paraId="5D002363" w14:textId="77777777" w:rsidR="001C5C20" w:rsidRPr="00B24D69" w:rsidRDefault="001C5C20"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695A80E0" w14:textId="0228AAFA" w:rsidR="001C5C20" w:rsidRPr="00B24D69" w:rsidRDefault="001C5C20" w:rsidP="00CF3D00">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500F1180" w14:textId="60FA6FF8" w:rsidR="001C5C20" w:rsidRPr="00B24D69" w:rsidRDefault="001C5C20" w:rsidP="00A2613D">
            <w:pPr>
              <w:spacing w:before="40" w:after="20"/>
              <w:rPr>
                <w:rFonts w:ascii="Verdana" w:hAnsi="Verdana"/>
                <w:sz w:val="20"/>
                <w:szCs w:val="20"/>
              </w:rPr>
            </w:pPr>
          </w:p>
        </w:tc>
        <w:tc>
          <w:tcPr>
            <w:tcW w:w="4522" w:type="dxa"/>
            <w:vMerge/>
            <w:shd w:val="clear" w:color="auto" w:fill="auto"/>
          </w:tcPr>
          <w:p w14:paraId="6D1F4C90" w14:textId="77777777" w:rsidR="001C5C20" w:rsidRPr="00B24D69" w:rsidRDefault="001C5C20" w:rsidP="00392EC3">
            <w:pPr>
              <w:spacing w:before="40" w:after="20"/>
              <w:jc w:val="both"/>
              <w:rPr>
                <w:rFonts w:ascii="Verdana" w:hAnsi="Verdana"/>
                <w:sz w:val="20"/>
                <w:szCs w:val="20"/>
              </w:rPr>
            </w:pPr>
          </w:p>
        </w:tc>
      </w:tr>
      <w:tr w:rsidR="00B24D69" w:rsidRPr="00B24D69" w14:paraId="6195EC2F" w14:textId="77777777" w:rsidTr="001C5C20">
        <w:trPr>
          <w:jc w:val="center"/>
        </w:trPr>
        <w:tc>
          <w:tcPr>
            <w:tcW w:w="620" w:type="dxa"/>
            <w:shd w:val="clear" w:color="auto" w:fill="auto"/>
          </w:tcPr>
          <w:p w14:paraId="3DC0A018"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21CA848C"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714BC1CD" w14:textId="3BAD6ABB" w:rsidR="00B24D69" w:rsidRPr="00B24D69" w:rsidRDefault="00B24D69" w:rsidP="00CF3D00">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0256D89A" w14:textId="7E231FD6" w:rsidR="00B24D69" w:rsidRPr="00B24D69" w:rsidRDefault="00B24D69" w:rsidP="00A2613D">
            <w:pPr>
              <w:spacing w:before="40" w:after="20"/>
              <w:rPr>
                <w:rFonts w:ascii="Verdana" w:hAnsi="Verdana"/>
                <w:sz w:val="20"/>
                <w:szCs w:val="20"/>
              </w:rPr>
            </w:pPr>
          </w:p>
        </w:tc>
        <w:tc>
          <w:tcPr>
            <w:tcW w:w="4522" w:type="dxa"/>
            <w:shd w:val="clear" w:color="auto" w:fill="auto"/>
          </w:tcPr>
          <w:p w14:paraId="58C03AA0" w14:textId="77777777" w:rsidR="00B24D69" w:rsidRPr="00B24D69" w:rsidRDefault="00B24D69" w:rsidP="00392EC3">
            <w:pPr>
              <w:spacing w:before="40" w:after="20"/>
              <w:jc w:val="both"/>
              <w:rPr>
                <w:rFonts w:ascii="Verdana" w:hAnsi="Verdana"/>
                <w:sz w:val="20"/>
                <w:szCs w:val="20"/>
              </w:rPr>
            </w:pPr>
          </w:p>
        </w:tc>
      </w:tr>
      <w:tr w:rsidR="00B24D69" w:rsidRPr="00B24D69" w14:paraId="07197860" w14:textId="77777777" w:rsidTr="001C5C20">
        <w:trPr>
          <w:jc w:val="center"/>
        </w:trPr>
        <w:tc>
          <w:tcPr>
            <w:tcW w:w="620" w:type="dxa"/>
            <w:shd w:val="clear" w:color="auto" w:fill="auto"/>
          </w:tcPr>
          <w:p w14:paraId="0FDA145C"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3C4BB416"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3F487F57" w14:textId="0559AC7E" w:rsidR="00B24D69" w:rsidRPr="00B24D69" w:rsidRDefault="00B24D69" w:rsidP="00CF3D00">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5B4A1428" w14:textId="7496AEF0" w:rsidR="00B24D69" w:rsidRPr="00B24D69" w:rsidRDefault="00B24D69" w:rsidP="00A2613D">
            <w:pPr>
              <w:spacing w:before="40" w:after="20"/>
              <w:rPr>
                <w:rFonts w:ascii="Verdana" w:hAnsi="Verdana"/>
                <w:sz w:val="20"/>
                <w:szCs w:val="20"/>
              </w:rPr>
            </w:pPr>
          </w:p>
        </w:tc>
        <w:tc>
          <w:tcPr>
            <w:tcW w:w="4522" w:type="dxa"/>
            <w:shd w:val="clear" w:color="auto" w:fill="auto"/>
          </w:tcPr>
          <w:p w14:paraId="43F41D6B" w14:textId="77777777" w:rsidR="00B24D69" w:rsidRPr="00B24D69" w:rsidRDefault="00B24D69" w:rsidP="00392EC3">
            <w:pPr>
              <w:spacing w:before="40" w:after="20"/>
              <w:jc w:val="both"/>
              <w:rPr>
                <w:rFonts w:ascii="Verdana" w:hAnsi="Verdana"/>
                <w:sz w:val="20"/>
                <w:szCs w:val="20"/>
              </w:rPr>
            </w:pPr>
          </w:p>
        </w:tc>
      </w:tr>
      <w:tr w:rsidR="00B24D69" w:rsidRPr="00B24D69" w14:paraId="5B6249BD" w14:textId="77777777" w:rsidTr="001C5C20">
        <w:trPr>
          <w:trHeight w:val="596"/>
          <w:jc w:val="center"/>
        </w:trPr>
        <w:tc>
          <w:tcPr>
            <w:tcW w:w="620" w:type="dxa"/>
            <w:shd w:val="clear" w:color="auto" w:fill="auto"/>
          </w:tcPr>
          <w:p w14:paraId="1C9F8111"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2E271ED3"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2DD66097" w14:textId="40C4889F" w:rsidR="00B24D69" w:rsidRPr="00B24D69" w:rsidRDefault="00B24D69" w:rsidP="00CF3D00">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144455D4" w14:textId="7B64C4C2" w:rsidR="00B24D69" w:rsidRPr="00B24D69" w:rsidRDefault="00B24D69" w:rsidP="00A2613D">
            <w:pPr>
              <w:spacing w:before="40" w:after="20"/>
              <w:rPr>
                <w:rFonts w:ascii="Verdana" w:hAnsi="Verdana"/>
                <w:sz w:val="20"/>
                <w:szCs w:val="20"/>
              </w:rPr>
            </w:pPr>
          </w:p>
        </w:tc>
        <w:tc>
          <w:tcPr>
            <w:tcW w:w="4522" w:type="dxa"/>
            <w:shd w:val="clear" w:color="auto" w:fill="auto"/>
          </w:tcPr>
          <w:p w14:paraId="1C9D58BF" w14:textId="77777777" w:rsidR="00B24D69" w:rsidRPr="00B24D69" w:rsidRDefault="00B24D69" w:rsidP="00392EC3">
            <w:pPr>
              <w:spacing w:before="40" w:after="20"/>
              <w:jc w:val="both"/>
              <w:rPr>
                <w:rFonts w:ascii="Verdana" w:hAnsi="Verdana"/>
                <w:sz w:val="20"/>
                <w:szCs w:val="20"/>
              </w:rPr>
            </w:pPr>
          </w:p>
        </w:tc>
      </w:tr>
      <w:tr w:rsidR="00B24D69" w:rsidRPr="00B24D69" w14:paraId="23618A4B" w14:textId="77777777" w:rsidTr="001C5C20">
        <w:trPr>
          <w:jc w:val="center"/>
        </w:trPr>
        <w:tc>
          <w:tcPr>
            <w:tcW w:w="620" w:type="dxa"/>
            <w:shd w:val="clear" w:color="auto" w:fill="auto"/>
          </w:tcPr>
          <w:p w14:paraId="52DCD17F"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7C5DDEB5"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val="restart"/>
            <w:shd w:val="clear" w:color="auto" w:fill="auto"/>
          </w:tcPr>
          <w:p w14:paraId="1F55551D" w14:textId="77777777" w:rsidR="00B24D69" w:rsidRPr="00B24D69" w:rsidRDefault="00B24D69" w:rsidP="009E60E1">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lang w:val="en-US"/>
              </w:rPr>
              <w:t>III</w:t>
            </w:r>
            <w:r w:rsidRPr="00B24D69">
              <w:rPr>
                <w:rFonts w:ascii="Verdana" w:hAnsi="Verdana"/>
                <w:sz w:val="20"/>
                <w:szCs w:val="20"/>
              </w:rPr>
              <w:t>. Финансови и други средства, необходими за прилагането на новата уредба</w:t>
            </w:r>
          </w:p>
          <w:p w14:paraId="27AEF495" w14:textId="77777777" w:rsidR="00B24D69" w:rsidRPr="00B24D69" w:rsidRDefault="00B24D69" w:rsidP="00CF3D00">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Предложение:</w:t>
            </w:r>
          </w:p>
          <w:p w14:paraId="7DE9B0B2" w14:textId="77777777" w:rsidR="00B24D69" w:rsidRPr="00B24D69" w:rsidRDefault="00B24D69" w:rsidP="009E60E1">
            <w:pPr>
              <w:pStyle w:val="NormalWeb"/>
              <w:spacing w:before="40" w:beforeAutospacing="0" w:after="20" w:afterAutospacing="0" w:line="210" w:lineRule="atLeast"/>
              <w:jc w:val="both"/>
              <w:rPr>
                <w:rFonts w:ascii="Verdana" w:hAnsi="Verdana" w:cs="Tahoma"/>
                <w:sz w:val="20"/>
                <w:szCs w:val="20"/>
              </w:rPr>
            </w:pPr>
            <w:r w:rsidRPr="00B24D69">
              <w:rPr>
                <w:rFonts w:ascii="Verdana" w:hAnsi="Verdana" w:cs="Tahoma"/>
                <w:sz w:val="20"/>
                <w:szCs w:val="20"/>
              </w:rPr>
              <w:t>Предлагам да се обоснове защо „Не се предвиждат допълнителни разходи и за нейните адресати“!</w:t>
            </w:r>
          </w:p>
          <w:p w14:paraId="3835C356" w14:textId="092CA231" w:rsidR="00B24D69" w:rsidRPr="00B24D69" w:rsidRDefault="00B24D69" w:rsidP="009E60E1">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Адресатите ще бъдат поставени в ситуация на да изискат получаване на оригинали на банкови гаранции в изключително кратки срокове след подписване на договор с ДФЗ, което ги поставя в ситуация да ползват услугите в режими на „бързи поръчки“ или „с незабавно изпълнение“, което в стойност се различава с пъти за същите при „нормална поръчка“.</w:t>
            </w:r>
          </w:p>
        </w:tc>
        <w:tc>
          <w:tcPr>
            <w:tcW w:w="1629" w:type="dxa"/>
            <w:vMerge w:val="restart"/>
            <w:shd w:val="clear" w:color="auto" w:fill="auto"/>
          </w:tcPr>
          <w:p w14:paraId="01937E35" w14:textId="5AD0448F" w:rsidR="00B24D69" w:rsidRPr="00B24D69" w:rsidRDefault="00B24D69" w:rsidP="00A2613D">
            <w:pPr>
              <w:spacing w:before="40" w:after="20"/>
              <w:rPr>
                <w:rFonts w:ascii="Verdana" w:hAnsi="Verdana"/>
                <w:sz w:val="20"/>
                <w:szCs w:val="20"/>
              </w:rPr>
            </w:pPr>
            <w:r w:rsidRPr="00B24D69">
              <w:rPr>
                <w:rFonts w:ascii="Verdana" w:hAnsi="Verdana"/>
                <w:sz w:val="20"/>
                <w:szCs w:val="20"/>
              </w:rPr>
              <w:t>Не се приема</w:t>
            </w:r>
          </w:p>
        </w:tc>
        <w:tc>
          <w:tcPr>
            <w:tcW w:w="4522" w:type="dxa"/>
            <w:vMerge w:val="restart"/>
            <w:shd w:val="clear" w:color="auto" w:fill="auto"/>
          </w:tcPr>
          <w:p w14:paraId="125D6111" w14:textId="212C4E60" w:rsidR="00B24D69" w:rsidRPr="00B24D69" w:rsidRDefault="00B24D69" w:rsidP="00392EC3">
            <w:pPr>
              <w:spacing w:before="40" w:after="20"/>
              <w:jc w:val="both"/>
              <w:rPr>
                <w:rFonts w:ascii="Verdana" w:hAnsi="Verdana"/>
                <w:sz w:val="20"/>
                <w:szCs w:val="20"/>
              </w:rPr>
            </w:pPr>
            <w:r w:rsidRPr="00B24D69">
              <w:rPr>
                <w:rFonts w:ascii="Verdana" w:hAnsi="Verdana"/>
                <w:sz w:val="20"/>
                <w:szCs w:val="20"/>
              </w:rPr>
              <w:t>Изменението на наредбата удължава срока за банковите ганарнции и се извършва с цел улесняване. Ако същото не бъде извършено, тежестта върху бенефициентите ще бъде по-голяма.</w:t>
            </w:r>
          </w:p>
        </w:tc>
      </w:tr>
      <w:tr w:rsidR="00B24D69" w:rsidRPr="00B24D69" w14:paraId="5EC28BB0" w14:textId="77777777" w:rsidTr="001C5C20">
        <w:trPr>
          <w:jc w:val="center"/>
        </w:trPr>
        <w:tc>
          <w:tcPr>
            <w:tcW w:w="620" w:type="dxa"/>
            <w:shd w:val="clear" w:color="auto" w:fill="auto"/>
          </w:tcPr>
          <w:p w14:paraId="6D25AA1C"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58FBE5D6"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52AD31B6" w14:textId="3AD52E13" w:rsidR="00B24D69" w:rsidRPr="00B24D69" w:rsidRDefault="00B24D69" w:rsidP="009E60E1">
            <w:pPr>
              <w:widowControl w:val="0"/>
              <w:tabs>
                <w:tab w:val="left" w:pos="1565"/>
              </w:tabs>
              <w:autoSpaceDE w:val="0"/>
              <w:autoSpaceDN w:val="0"/>
              <w:spacing w:before="40" w:after="20"/>
              <w:jc w:val="both"/>
              <w:rPr>
                <w:rFonts w:ascii="Verdana" w:hAnsi="Verdana"/>
                <w:sz w:val="20"/>
                <w:szCs w:val="20"/>
              </w:rPr>
            </w:pPr>
          </w:p>
        </w:tc>
        <w:tc>
          <w:tcPr>
            <w:tcW w:w="1629" w:type="dxa"/>
            <w:vMerge/>
            <w:shd w:val="clear" w:color="auto" w:fill="auto"/>
          </w:tcPr>
          <w:p w14:paraId="5958ED54" w14:textId="665B6220" w:rsidR="00B24D69" w:rsidRPr="00B24D69" w:rsidRDefault="00B24D69" w:rsidP="00A2613D">
            <w:pPr>
              <w:spacing w:before="40" w:after="20"/>
              <w:rPr>
                <w:rFonts w:ascii="Verdana" w:hAnsi="Verdana"/>
                <w:sz w:val="20"/>
                <w:szCs w:val="20"/>
              </w:rPr>
            </w:pPr>
          </w:p>
        </w:tc>
        <w:tc>
          <w:tcPr>
            <w:tcW w:w="4522" w:type="dxa"/>
            <w:vMerge/>
            <w:shd w:val="clear" w:color="auto" w:fill="auto"/>
          </w:tcPr>
          <w:p w14:paraId="4395A407" w14:textId="4D03ADB8" w:rsidR="00B24D69" w:rsidRPr="00B24D69" w:rsidRDefault="00B24D69" w:rsidP="00392EC3">
            <w:pPr>
              <w:spacing w:before="40" w:after="20"/>
              <w:jc w:val="both"/>
              <w:rPr>
                <w:rFonts w:ascii="Verdana" w:hAnsi="Verdana"/>
                <w:sz w:val="20"/>
                <w:szCs w:val="20"/>
              </w:rPr>
            </w:pPr>
          </w:p>
        </w:tc>
      </w:tr>
      <w:tr w:rsidR="00B24D69" w:rsidRPr="00B24D69" w14:paraId="46E0A728" w14:textId="77777777" w:rsidTr="001C5C20">
        <w:trPr>
          <w:jc w:val="center"/>
        </w:trPr>
        <w:tc>
          <w:tcPr>
            <w:tcW w:w="620" w:type="dxa"/>
            <w:shd w:val="clear" w:color="auto" w:fill="auto"/>
          </w:tcPr>
          <w:p w14:paraId="7BEF99B1" w14:textId="77777777" w:rsidR="00B24D69" w:rsidRPr="00B24D69" w:rsidRDefault="00B24D69" w:rsidP="00A2613D">
            <w:pPr>
              <w:tabs>
                <w:tab w:val="left" w:pos="192"/>
              </w:tabs>
              <w:spacing w:before="40" w:after="20"/>
              <w:rPr>
                <w:rFonts w:ascii="Verdana" w:hAnsi="Verdana"/>
                <w:b/>
                <w:sz w:val="20"/>
                <w:szCs w:val="20"/>
              </w:rPr>
            </w:pPr>
          </w:p>
        </w:tc>
        <w:tc>
          <w:tcPr>
            <w:tcW w:w="2261" w:type="dxa"/>
            <w:shd w:val="clear" w:color="auto" w:fill="auto"/>
          </w:tcPr>
          <w:p w14:paraId="31E80DA4" w14:textId="77777777" w:rsidR="00B24D69" w:rsidRPr="00B24D69" w:rsidRDefault="00B24D69"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2E602D9D" w14:textId="458ADA87" w:rsidR="00B24D69" w:rsidRPr="00B24D69" w:rsidRDefault="00B24D69" w:rsidP="009E60E1">
            <w:pPr>
              <w:widowControl w:val="0"/>
              <w:tabs>
                <w:tab w:val="left" w:pos="1565"/>
              </w:tabs>
              <w:autoSpaceDE w:val="0"/>
              <w:autoSpaceDN w:val="0"/>
              <w:spacing w:before="40" w:after="20"/>
              <w:jc w:val="both"/>
              <w:rPr>
                <w:rFonts w:ascii="Verdana" w:hAnsi="Verdana" w:cs="Tahoma"/>
                <w:sz w:val="20"/>
                <w:szCs w:val="20"/>
              </w:rPr>
            </w:pPr>
          </w:p>
        </w:tc>
        <w:tc>
          <w:tcPr>
            <w:tcW w:w="1629" w:type="dxa"/>
            <w:vMerge/>
            <w:shd w:val="clear" w:color="auto" w:fill="auto"/>
          </w:tcPr>
          <w:p w14:paraId="3AC29C21" w14:textId="771CE5E3" w:rsidR="00B24D69" w:rsidRPr="00B24D69" w:rsidRDefault="00B24D69" w:rsidP="00A2613D">
            <w:pPr>
              <w:spacing w:before="40" w:after="20"/>
              <w:rPr>
                <w:rFonts w:ascii="Verdana" w:hAnsi="Verdana"/>
                <w:sz w:val="20"/>
                <w:szCs w:val="20"/>
              </w:rPr>
            </w:pPr>
          </w:p>
        </w:tc>
        <w:tc>
          <w:tcPr>
            <w:tcW w:w="4522" w:type="dxa"/>
            <w:vMerge/>
            <w:shd w:val="clear" w:color="auto" w:fill="auto"/>
          </w:tcPr>
          <w:p w14:paraId="56EC6B63" w14:textId="3FC93830" w:rsidR="00B24D69" w:rsidRPr="00B24D69" w:rsidRDefault="00B24D69" w:rsidP="00392EC3">
            <w:pPr>
              <w:spacing w:before="40" w:after="20"/>
              <w:jc w:val="both"/>
              <w:rPr>
                <w:rFonts w:ascii="Verdana" w:hAnsi="Verdana"/>
                <w:sz w:val="20"/>
                <w:szCs w:val="20"/>
              </w:rPr>
            </w:pPr>
          </w:p>
        </w:tc>
      </w:tr>
      <w:tr w:rsidR="00B24D69" w:rsidRPr="00B24D69" w14:paraId="255C6D6D" w14:textId="77777777" w:rsidTr="001C5C20">
        <w:trPr>
          <w:jc w:val="center"/>
        </w:trPr>
        <w:tc>
          <w:tcPr>
            <w:tcW w:w="620" w:type="dxa"/>
            <w:shd w:val="clear" w:color="auto" w:fill="auto"/>
          </w:tcPr>
          <w:p w14:paraId="1321D64C" w14:textId="77777777" w:rsidR="003C6E60" w:rsidRPr="00B24D69" w:rsidRDefault="003C6E60" w:rsidP="00A2613D">
            <w:pPr>
              <w:tabs>
                <w:tab w:val="left" w:pos="192"/>
              </w:tabs>
              <w:spacing w:before="40" w:after="20"/>
              <w:rPr>
                <w:rFonts w:ascii="Verdana" w:hAnsi="Verdana"/>
                <w:b/>
                <w:sz w:val="20"/>
                <w:szCs w:val="20"/>
              </w:rPr>
            </w:pPr>
          </w:p>
        </w:tc>
        <w:tc>
          <w:tcPr>
            <w:tcW w:w="2261" w:type="dxa"/>
            <w:shd w:val="clear" w:color="auto" w:fill="auto"/>
          </w:tcPr>
          <w:p w14:paraId="1426DFCE" w14:textId="77777777" w:rsidR="003C6E60" w:rsidRPr="00B24D69" w:rsidRDefault="003C6E60" w:rsidP="00A2613D">
            <w:pPr>
              <w:spacing w:before="40" w:after="20"/>
              <w:rPr>
                <w:rStyle w:val="Hyperlink"/>
                <w:rFonts w:ascii="Verdana" w:hAnsi="Verdana"/>
                <w:b/>
                <w:bCs/>
                <w:color w:val="auto"/>
                <w:sz w:val="20"/>
                <w:szCs w:val="20"/>
                <w:u w:val="none"/>
              </w:rPr>
            </w:pPr>
          </w:p>
        </w:tc>
        <w:tc>
          <w:tcPr>
            <w:tcW w:w="6618" w:type="dxa"/>
            <w:vMerge/>
            <w:shd w:val="clear" w:color="auto" w:fill="auto"/>
          </w:tcPr>
          <w:p w14:paraId="32648C2C" w14:textId="6ABCC50B" w:rsidR="003C6E60" w:rsidRPr="00B24D69" w:rsidRDefault="003C6E60" w:rsidP="009E60E1">
            <w:pPr>
              <w:widowControl w:val="0"/>
              <w:tabs>
                <w:tab w:val="left" w:pos="1565"/>
              </w:tabs>
              <w:autoSpaceDE w:val="0"/>
              <w:autoSpaceDN w:val="0"/>
              <w:spacing w:before="40" w:after="20"/>
              <w:jc w:val="both"/>
              <w:rPr>
                <w:rFonts w:ascii="Verdana" w:hAnsi="Verdana"/>
                <w:sz w:val="20"/>
                <w:szCs w:val="20"/>
              </w:rPr>
            </w:pPr>
          </w:p>
        </w:tc>
        <w:tc>
          <w:tcPr>
            <w:tcW w:w="1629" w:type="dxa"/>
            <w:shd w:val="clear" w:color="auto" w:fill="auto"/>
          </w:tcPr>
          <w:p w14:paraId="56623F83" w14:textId="154C4CC9" w:rsidR="003C6E60" w:rsidRPr="00B24D69" w:rsidRDefault="003C6E60" w:rsidP="00A2613D">
            <w:pPr>
              <w:spacing w:before="40" w:after="20"/>
              <w:rPr>
                <w:rFonts w:ascii="Verdana" w:hAnsi="Verdana"/>
                <w:sz w:val="20"/>
                <w:szCs w:val="20"/>
              </w:rPr>
            </w:pPr>
          </w:p>
        </w:tc>
        <w:tc>
          <w:tcPr>
            <w:tcW w:w="4522" w:type="dxa"/>
            <w:shd w:val="clear" w:color="auto" w:fill="auto"/>
          </w:tcPr>
          <w:p w14:paraId="122B6207" w14:textId="77777777" w:rsidR="003C6E60" w:rsidRPr="00B24D69" w:rsidRDefault="003C6E60" w:rsidP="00392EC3">
            <w:pPr>
              <w:spacing w:before="40" w:after="20"/>
              <w:jc w:val="both"/>
              <w:rPr>
                <w:rFonts w:ascii="Verdana" w:hAnsi="Verdana"/>
                <w:sz w:val="20"/>
                <w:szCs w:val="20"/>
              </w:rPr>
            </w:pPr>
          </w:p>
        </w:tc>
      </w:tr>
      <w:tr w:rsidR="00B24D69" w:rsidRPr="00B24D69" w14:paraId="6DF92992" w14:textId="77777777" w:rsidTr="001C5C20">
        <w:trPr>
          <w:jc w:val="center"/>
        </w:trPr>
        <w:tc>
          <w:tcPr>
            <w:tcW w:w="620" w:type="dxa"/>
            <w:shd w:val="clear" w:color="auto" w:fill="auto"/>
          </w:tcPr>
          <w:p w14:paraId="76C0618A" w14:textId="77777777" w:rsidR="009E60E1" w:rsidRPr="00B24D69" w:rsidRDefault="009E60E1" w:rsidP="00A2613D">
            <w:pPr>
              <w:tabs>
                <w:tab w:val="left" w:pos="192"/>
              </w:tabs>
              <w:spacing w:before="40" w:after="20"/>
              <w:rPr>
                <w:rFonts w:ascii="Verdana" w:hAnsi="Verdana"/>
                <w:b/>
                <w:sz w:val="20"/>
                <w:szCs w:val="20"/>
              </w:rPr>
            </w:pPr>
          </w:p>
        </w:tc>
        <w:tc>
          <w:tcPr>
            <w:tcW w:w="2261" w:type="dxa"/>
            <w:shd w:val="clear" w:color="auto" w:fill="auto"/>
          </w:tcPr>
          <w:p w14:paraId="4D6ADB3A" w14:textId="77777777" w:rsidR="009E60E1" w:rsidRPr="00B24D69" w:rsidRDefault="009E60E1" w:rsidP="00A2613D">
            <w:pPr>
              <w:spacing w:before="40" w:after="20"/>
              <w:rPr>
                <w:rStyle w:val="Hyperlink"/>
                <w:rFonts w:ascii="Verdana" w:hAnsi="Verdana"/>
                <w:b/>
                <w:bCs/>
                <w:color w:val="auto"/>
                <w:sz w:val="20"/>
                <w:szCs w:val="20"/>
                <w:u w:val="none"/>
              </w:rPr>
            </w:pPr>
          </w:p>
        </w:tc>
        <w:tc>
          <w:tcPr>
            <w:tcW w:w="6618" w:type="dxa"/>
            <w:shd w:val="clear" w:color="auto" w:fill="auto"/>
          </w:tcPr>
          <w:p w14:paraId="17690FB9" w14:textId="6D803317" w:rsidR="009E60E1" w:rsidRPr="00B24D69" w:rsidRDefault="009E60E1" w:rsidP="009E60E1">
            <w:pPr>
              <w:jc w:val="both"/>
              <w:rPr>
                <w:rFonts w:ascii="Verdana" w:hAnsi="Verdana"/>
                <w:sz w:val="20"/>
                <w:szCs w:val="20"/>
              </w:rPr>
            </w:pPr>
            <w:r w:rsidRPr="00B24D69">
              <w:rPr>
                <w:rFonts w:ascii="Verdana" w:hAnsi="Verdana"/>
                <w:sz w:val="20"/>
                <w:szCs w:val="20"/>
              </w:rPr>
              <w:t>Предложения и бележки по проекта на Наредба за изменение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p>
        </w:tc>
        <w:tc>
          <w:tcPr>
            <w:tcW w:w="1629" w:type="dxa"/>
            <w:shd w:val="clear" w:color="auto" w:fill="auto"/>
          </w:tcPr>
          <w:p w14:paraId="348CE2E8" w14:textId="77777777" w:rsidR="009E60E1" w:rsidRPr="00B24D69" w:rsidRDefault="009E60E1" w:rsidP="00A2613D">
            <w:pPr>
              <w:spacing w:before="40" w:after="20"/>
              <w:rPr>
                <w:rFonts w:ascii="Verdana" w:hAnsi="Verdana"/>
                <w:sz w:val="20"/>
                <w:szCs w:val="20"/>
              </w:rPr>
            </w:pPr>
          </w:p>
        </w:tc>
        <w:tc>
          <w:tcPr>
            <w:tcW w:w="4522" w:type="dxa"/>
            <w:shd w:val="clear" w:color="auto" w:fill="auto"/>
          </w:tcPr>
          <w:p w14:paraId="1BE9A8B0" w14:textId="77777777" w:rsidR="009E60E1" w:rsidRPr="00B24D69" w:rsidRDefault="009E60E1" w:rsidP="00392EC3">
            <w:pPr>
              <w:spacing w:before="40" w:after="20"/>
              <w:jc w:val="both"/>
              <w:rPr>
                <w:rFonts w:ascii="Verdana" w:hAnsi="Verdana"/>
                <w:sz w:val="20"/>
                <w:szCs w:val="20"/>
              </w:rPr>
            </w:pPr>
          </w:p>
        </w:tc>
      </w:tr>
      <w:tr w:rsidR="00A900F6" w:rsidRPr="00B24D69" w14:paraId="2B5FB66E" w14:textId="77777777" w:rsidTr="001C5C20">
        <w:trPr>
          <w:jc w:val="center"/>
        </w:trPr>
        <w:tc>
          <w:tcPr>
            <w:tcW w:w="620" w:type="dxa"/>
            <w:shd w:val="clear" w:color="auto" w:fill="auto"/>
          </w:tcPr>
          <w:p w14:paraId="2C5D487A" w14:textId="77777777" w:rsidR="00A900F6" w:rsidRPr="00B24D69" w:rsidRDefault="00A900F6" w:rsidP="00A2613D">
            <w:pPr>
              <w:tabs>
                <w:tab w:val="left" w:pos="192"/>
              </w:tabs>
              <w:spacing w:before="40" w:after="20"/>
              <w:rPr>
                <w:rFonts w:ascii="Verdana" w:hAnsi="Verdana"/>
                <w:b/>
                <w:sz w:val="20"/>
                <w:szCs w:val="20"/>
              </w:rPr>
            </w:pPr>
          </w:p>
        </w:tc>
        <w:tc>
          <w:tcPr>
            <w:tcW w:w="2261" w:type="dxa"/>
            <w:shd w:val="clear" w:color="auto" w:fill="auto"/>
          </w:tcPr>
          <w:p w14:paraId="11B23F13" w14:textId="77777777" w:rsidR="00A900F6" w:rsidRPr="00B24D69" w:rsidRDefault="00A900F6" w:rsidP="00A2613D">
            <w:pPr>
              <w:spacing w:before="40" w:after="20"/>
              <w:rPr>
                <w:rStyle w:val="Hyperlink"/>
                <w:rFonts w:ascii="Verdana" w:hAnsi="Verdana"/>
                <w:b/>
                <w:bCs/>
                <w:color w:val="auto"/>
                <w:sz w:val="20"/>
                <w:szCs w:val="20"/>
                <w:u w:val="none"/>
              </w:rPr>
            </w:pPr>
          </w:p>
        </w:tc>
        <w:tc>
          <w:tcPr>
            <w:tcW w:w="6618" w:type="dxa"/>
            <w:shd w:val="clear" w:color="auto" w:fill="auto"/>
          </w:tcPr>
          <w:p w14:paraId="7E2A6BB4" w14:textId="199CF89A" w:rsidR="00A900F6" w:rsidRPr="00B24D69" w:rsidRDefault="00A900F6" w:rsidP="00CF3D00">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 2. Срокът по чл. 61, ал. 3 за финансовата 2020 г. е 7 октомври 2020 г.</w:t>
            </w:r>
          </w:p>
        </w:tc>
        <w:tc>
          <w:tcPr>
            <w:tcW w:w="1629" w:type="dxa"/>
            <w:shd w:val="clear" w:color="auto" w:fill="auto"/>
          </w:tcPr>
          <w:p w14:paraId="3C72D43F" w14:textId="77777777" w:rsidR="00A900F6" w:rsidRPr="00B24D69" w:rsidRDefault="00A900F6" w:rsidP="00A2613D">
            <w:pPr>
              <w:spacing w:before="40" w:after="20"/>
              <w:rPr>
                <w:rFonts w:ascii="Verdana" w:hAnsi="Verdana"/>
                <w:sz w:val="20"/>
                <w:szCs w:val="20"/>
              </w:rPr>
            </w:pPr>
          </w:p>
        </w:tc>
        <w:tc>
          <w:tcPr>
            <w:tcW w:w="4522" w:type="dxa"/>
            <w:shd w:val="clear" w:color="auto" w:fill="auto"/>
          </w:tcPr>
          <w:p w14:paraId="1C455878" w14:textId="77777777" w:rsidR="00A900F6" w:rsidRPr="00B24D69" w:rsidRDefault="00A900F6" w:rsidP="00392EC3">
            <w:pPr>
              <w:spacing w:before="40" w:after="20"/>
              <w:jc w:val="both"/>
              <w:rPr>
                <w:rFonts w:ascii="Verdana" w:hAnsi="Verdana"/>
                <w:sz w:val="20"/>
                <w:szCs w:val="20"/>
              </w:rPr>
            </w:pPr>
          </w:p>
        </w:tc>
      </w:tr>
      <w:tr w:rsidR="00A900F6" w:rsidRPr="00B24D69" w14:paraId="04AD4DEC" w14:textId="77777777" w:rsidTr="001C5C20">
        <w:trPr>
          <w:jc w:val="center"/>
        </w:trPr>
        <w:tc>
          <w:tcPr>
            <w:tcW w:w="620" w:type="dxa"/>
            <w:shd w:val="clear" w:color="auto" w:fill="auto"/>
          </w:tcPr>
          <w:p w14:paraId="7B3EBDFC" w14:textId="77777777" w:rsidR="00A900F6" w:rsidRPr="00B24D69" w:rsidRDefault="00A900F6" w:rsidP="00A2613D">
            <w:pPr>
              <w:tabs>
                <w:tab w:val="left" w:pos="192"/>
              </w:tabs>
              <w:spacing w:before="40" w:after="20"/>
              <w:rPr>
                <w:rFonts w:ascii="Verdana" w:hAnsi="Verdana"/>
                <w:b/>
                <w:sz w:val="20"/>
                <w:szCs w:val="20"/>
              </w:rPr>
            </w:pPr>
          </w:p>
        </w:tc>
        <w:tc>
          <w:tcPr>
            <w:tcW w:w="2261" w:type="dxa"/>
            <w:shd w:val="clear" w:color="auto" w:fill="auto"/>
          </w:tcPr>
          <w:p w14:paraId="310B664E" w14:textId="77777777" w:rsidR="00A900F6" w:rsidRPr="00B24D69" w:rsidRDefault="00A900F6" w:rsidP="00A2613D">
            <w:pPr>
              <w:spacing w:before="40" w:after="20"/>
              <w:rPr>
                <w:rStyle w:val="Hyperlink"/>
                <w:rFonts w:ascii="Verdana" w:hAnsi="Verdana"/>
                <w:b/>
                <w:bCs/>
                <w:color w:val="auto"/>
                <w:sz w:val="20"/>
                <w:szCs w:val="20"/>
                <w:u w:val="none"/>
              </w:rPr>
            </w:pPr>
          </w:p>
        </w:tc>
        <w:tc>
          <w:tcPr>
            <w:tcW w:w="6618" w:type="dxa"/>
            <w:shd w:val="clear" w:color="auto" w:fill="auto"/>
          </w:tcPr>
          <w:p w14:paraId="1D609E9F" w14:textId="12869191" w:rsidR="00A900F6" w:rsidRPr="00B24D69" w:rsidRDefault="00A900F6" w:rsidP="00CF3D00">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Предложение:</w:t>
            </w:r>
          </w:p>
        </w:tc>
        <w:tc>
          <w:tcPr>
            <w:tcW w:w="1629" w:type="dxa"/>
            <w:shd w:val="clear" w:color="auto" w:fill="auto"/>
          </w:tcPr>
          <w:p w14:paraId="1EB1FCE6" w14:textId="77777777" w:rsidR="00A900F6" w:rsidRPr="00B24D69" w:rsidRDefault="00A900F6" w:rsidP="00A2613D">
            <w:pPr>
              <w:spacing w:before="40" w:after="20"/>
              <w:rPr>
                <w:rFonts w:ascii="Verdana" w:hAnsi="Verdana"/>
                <w:sz w:val="20"/>
                <w:szCs w:val="20"/>
              </w:rPr>
            </w:pPr>
          </w:p>
        </w:tc>
        <w:tc>
          <w:tcPr>
            <w:tcW w:w="4522" w:type="dxa"/>
            <w:shd w:val="clear" w:color="auto" w:fill="auto"/>
          </w:tcPr>
          <w:p w14:paraId="2D3FD3CE" w14:textId="77777777" w:rsidR="00A900F6" w:rsidRPr="00B24D69" w:rsidRDefault="00A900F6" w:rsidP="00392EC3">
            <w:pPr>
              <w:spacing w:before="40" w:after="20"/>
              <w:jc w:val="both"/>
              <w:rPr>
                <w:rFonts w:ascii="Verdana" w:hAnsi="Verdana"/>
                <w:sz w:val="20"/>
                <w:szCs w:val="20"/>
              </w:rPr>
            </w:pPr>
          </w:p>
        </w:tc>
      </w:tr>
      <w:tr w:rsidR="00B24D69" w:rsidRPr="00B24D69" w14:paraId="2A0BDCCE" w14:textId="77777777" w:rsidTr="001C5C20">
        <w:trPr>
          <w:jc w:val="center"/>
        </w:trPr>
        <w:tc>
          <w:tcPr>
            <w:tcW w:w="620" w:type="dxa"/>
            <w:shd w:val="clear" w:color="auto" w:fill="auto"/>
          </w:tcPr>
          <w:p w14:paraId="41D61D2C" w14:textId="77777777" w:rsidR="009E60E1" w:rsidRPr="00B24D69" w:rsidRDefault="009E60E1" w:rsidP="00A2613D">
            <w:pPr>
              <w:tabs>
                <w:tab w:val="left" w:pos="192"/>
              </w:tabs>
              <w:spacing w:before="40" w:after="20"/>
              <w:rPr>
                <w:rFonts w:ascii="Verdana" w:hAnsi="Verdana"/>
                <w:b/>
                <w:sz w:val="20"/>
                <w:szCs w:val="20"/>
              </w:rPr>
            </w:pPr>
          </w:p>
        </w:tc>
        <w:tc>
          <w:tcPr>
            <w:tcW w:w="2261" w:type="dxa"/>
            <w:shd w:val="clear" w:color="auto" w:fill="auto"/>
          </w:tcPr>
          <w:p w14:paraId="4E29ED30" w14:textId="77777777" w:rsidR="009E60E1" w:rsidRPr="00B24D69" w:rsidRDefault="009E60E1" w:rsidP="00A2613D">
            <w:pPr>
              <w:spacing w:before="40" w:after="20"/>
              <w:rPr>
                <w:rStyle w:val="Hyperlink"/>
                <w:rFonts w:ascii="Verdana" w:hAnsi="Verdana"/>
                <w:b/>
                <w:bCs/>
                <w:color w:val="auto"/>
                <w:sz w:val="20"/>
                <w:szCs w:val="20"/>
                <w:u w:val="none"/>
              </w:rPr>
            </w:pPr>
          </w:p>
        </w:tc>
        <w:tc>
          <w:tcPr>
            <w:tcW w:w="6618" w:type="dxa"/>
            <w:shd w:val="clear" w:color="auto" w:fill="auto"/>
          </w:tcPr>
          <w:p w14:paraId="0B8CE72D" w14:textId="77777777" w:rsidR="00A900F6" w:rsidRPr="00B24D69" w:rsidRDefault="00A900F6" w:rsidP="00A900F6">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Предлагам срокът да се удължи до 15.10.2020 г., включително.</w:t>
            </w:r>
          </w:p>
          <w:p w14:paraId="378D637E" w14:textId="77777777" w:rsidR="00A900F6" w:rsidRPr="00B24D69" w:rsidRDefault="00A900F6" w:rsidP="00A900F6">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Предложението не ограничава ДФЗ да последващи проверки за достоверност на представени декларации и документи към Заявление за авансово плащане по чл. 62, ал. 1 от Наредба № 6.</w:t>
            </w:r>
          </w:p>
          <w:p w14:paraId="6BE8F8A7" w14:textId="77777777" w:rsidR="009E60E1" w:rsidRDefault="00A900F6" w:rsidP="00A900F6">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Предложението дава възможност на бенефициентите да стартират дейности по проекта след подписване на договор с ДФЗ и да осигурят оригинал на банкова гаранция в срок с по-ниски разходи за това.</w:t>
            </w:r>
          </w:p>
          <w:p w14:paraId="397D19DD" w14:textId="28BCBE9B" w:rsidR="001C5C20" w:rsidRPr="00B24D69" w:rsidRDefault="001C5C20" w:rsidP="00A900F6">
            <w:pPr>
              <w:widowControl w:val="0"/>
              <w:tabs>
                <w:tab w:val="left" w:pos="1565"/>
              </w:tabs>
              <w:autoSpaceDE w:val="0"/>
              <w:autoSpaceDN w:val="0"/>
              <w:spacing w:before="40" w:after="20"/>
              <w:jc w:val="both"/>
              <w:rPr>
                <w:rFonts w:ascii="Verdana" w:hAnsi="Verdana"/>
                <w:sz w:val="20"/>
                <w:szCs w:val="20"/>
              </w:rPr>
            </w:pPr>
          </w:p>
        </w:tc>
        <w:tc>
          <w:tcPr>
            <w:tcW w:w="1629" w:type="dxa"/>
            <w:shd w:val="clear" w:color="auto" w:fill="auto"/>
          </w:tcPr>
          <w:p w14:paraId="0F55FB72" w14:textId="087C14C1" w:rsidR="009E60E1" w:rsidRPr="00B24D69" w:rsidRDefault="00A900F6" w:rsidP="00A2613D">
            <w:pPr>
              <w:spacing w:before="40" w:after="20"/>
              <w:rPr>
                <w:rFonts w:ascii="Verdana" w:hAnsi="Verdana"/>
                <w:sz w:val="20"/>
                <w:szCs w:val="20"/>
              </w:rPr>
            </w:pPr>
            <w:r w:rsidRPr="00B24D69">
              <w:rPr>
                <w:rFonts w:ascii="Verdana" w:hAnsi="Verdana"/>
                <w:sz w:val="20"/>
                <w:szCs w:val="20"/>
              </w:rPr>
              <w:t>Не се приема</w:t>
            </w:r>
          </w:p>
        </w:tc>
        <w:tc>
          <w:tcPr>
            <w:tcW w:w="4522" w:type="dxa"/>
            <w:shd w:val="clear" w:color="auto" w:fill="auto"/>
          </w:tcPr>
          <w:p w14:paraId="709BF4D1" w14:textId="36A42512" w:rsidR="009E60E1" w:rsidRPr="00B24D69" w:rsidRDefault="00A900F6" w:rsidP="00392EC3">
            <w:pPr>
              <w:spacing w:before="40" w:after="20"/>
              <w:jc w:val="both"/>
              <w:rPr>
                <w:rFonts w:ascii="Verdana" w:hAnsi="Verdana"/>
                <w:sz w:val="20"/>
                <w:szCs w:val="20"/>
              </w:rPr>
            </w:pPr>
            <w:r w:rsidRPr="00B24D69">
              <w:rPr>
                <w:rFonts w:ascii="Verdana" w:hAnsi="Verdana"/>
                <w:sz w:val="20"/>
                <w:szCs w:val="20"/>
              </w:rPr>
              <w:t>Не е възможно срокът за подаване на заявления за авансови плащания да бъде удължен до 15 октомври. Това е края на финансовата година и всички авансови плащания следва да бъдат изплатени до 15 октомври. Измененията на наредбата са съобразени както с нуждите на бенефициентите, така и с крайните срокове за обработка и изплащане на авонсово подпомагане.</w:t>
            </w:r>
          </w:p>
        </w:tc>
      </w:tr>
      <w:tr w:rsidR="00A900F6" w:rsidRPr="00B24D69" w14:paraId="48D52A66" w14:textId="77777777" w:rsidTr="001C5C20">
        <w:trPr>
          <w:jc w:val="center"/>
        </w:trPr>
        <w:tc>
          <w:tcPr>
            <w:tcW w:w="620" w:type="dxa"/>
            <w:shd w:val="clear" w:color="auto" w:fill="auto"/>
          </w:tcPr>
          <w:p w14:paraId="3F5D576D" w14:textId="77777777" w:rsidR="00A900F6" w:rsidRPr="00B24D69" w:rsidRDefault="00A900F6" w:rsidP="0027751A">
            <w:pPr>
              <w:pStyle w:val="ListParagraph"/>
              <w:numPr>
                <w:ilvl w:val="0"/>
                <w:numId w:val="26"/>
              </w:numPr>
              <w:tabs>
                <w:tab w:val="left" w:pos="192"/>
              </w:tabs>
              <w:spacing w:before="40" w:after="20"/>
              <w:jc w:val="center"/>
              <w:rPr>
                <w:rFonts w:ascii="Verdana" w:hAnsi="Verdana"/>
                <w:b/>
                <w:sz w:val="20"/>
                <w:szCs w:val="20"/>
                <w:lang w:val="en-US"/>
              </w:rPr>
            </w:pPr>
          </w:p>
        </w:tc>
        <w:tc>
          <w:tcPr>
            <w:tcW w:w="2261" w:type="dxa"/>
            <w:shd w:val="clear" w:color="auto" w:fill="auto"/>
          </w:tcPr>
          <w:p w14:paraId="3F3EED01" w14:textId="77777777" w:rsidR="0027751A" w:rsidRPr="00B24D69" w:rsidRDefault="0027751A" w:rsidP="0027751A">
            <w:pPr>
              <w:spacing w:before="40" w:after="20"/>
            </w:pPr>
            <w:r w:rsidRPr="00B24D69">
              <w:rPr>
                <w:rFonts w:ascii="Verdana" w:hAnsi="Verdana"/>
                <w:bCs/>
                <w:sz w:val="20"/>
                <w:szCs w:val="20"/>
              </w:rPr>
              <w:t>nikolovd</w:t>
            </w:r>
          </w:p>
          <w:p w14:paraId="7AEFC470" w14:textId="6C170C89" w:rsidR="00A900F6" w:rsidRPr="00B24D69" w:rsidRDefault="0027751A" w:rsidP="0027751A">
            <w:pPr>
              <w:spacing w:before="40" w:after="20"/>
              <w:rPr>
                <w:rStyle w:val="Hyperlink"/>
                <w:rFonts w:ascii="Verdana" w:hAnsi="Verdana"/>
                <w:b/>
                <w:bCs/>
                <w:color w:val="auto"/>
                <w:sz w:val="20"/>
                <w:szCs w:val="20"/>
                <w:u w:val="none"/>
              </w:rPr>
            </w:pPr>
            <w:r w:rsidRPr="00B24D69">
              <w:rPr>
                <w:rFonts w:ascii="Verdana" w:hAnsi="Verdana"/>
                <w:bCs/>
                <w:sz w:val="20"/>
                <w:szCs w:val="20"/>
              </w:rPr>
              <w:t>Портал за обществени консултации, публикувано на 22 септември 20</w:t>
            </w:r>
            <w:r w:rsidRPr="00B24D69">
              <w:rPr>
                <w:rFonts w:ascii="Verdana" w:hAnsi="Verdana"/>
                <w:bCs/>
                <w:sz w:val="20"/>
                <w:szCs w:val="20"/>
                <w:lang w:val="en-US"/>
              </w:rPr>
              <w:t>20</w:t>
            </w:r>
            <w:r w:rsidRPr="00B24D69">
              <w:rPr>
                <w:rFonts w:ascii="Verdana" w:hAnsi="Verdana"/>
                <w:bCs/>
                <w:sz w:val="20"/>
                <w:szCs w:val="20"/>
              </w:rPr>
              <w:t xml:space="preserve"> г.</w:t>
            </w:r>
          </w:p>
        </w:tc>
        <w:tc>
          <w:tcPr>
            <w:tcW w:w="6618" w:type="dxa"/>
            <w:shd w:val="clear" w:color="auto" w:fill="auto"/>
          </w:tcPr>
          <w:p w14:paraId="42655CB6" w14:textId="77777777" w:rsidR="0027751A" w:rsidRPr="00B24D69" w:rsidRDefault="0027751A" w:rsidP="0027751A">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Предложения и бележки по проекта на Наредба за изменение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p>
          <w:p w14:paraId="45A27853" w14:textId="77777777" w:rsidR="0027751A" w:rsidRPr="00B24D69" w:rsidRDefault="0027751A" w:rsidP="0027751A">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 2. Срокът по чл. 61, ал. 3 за финансовата 2020 г. е 7 октомври 2020 г.“</w:t>
            </w:r>
          </w:p>
          <w:p w14:paraId="04EEE990" w14:textId="77777777" w:rsidR="0027751A" w:rsidRPr="00B24D69" w:rsidRDefault="0027751A" w:rsidP="0027751A">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Към 22.09.2020 г.:</w:t>
            </w:r>
          </w:p>
          <w:p w14:paraId="5C82F1E2" w14:textId="77777777" w:rsidR="0027751A" w:rsidRPr="00B24D69" w:rsidRDefault="0027751A" w:rsidP="0027751A">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 по заповед № 03-РД/514/14.02.2020 г. за прием на заявления за финансова помощ по мярка „Инвестиции в предприятия“ са одобрени за подпомагане 13 проекта;</w:t>
            </w:r>
          </w:p>
          <w:p w14:paraId="26864A43" w14:textId="77777777" w:rsidR="0027751A" w:rsidRPr="00B24D69" w:rsidRDefault="0027751A" w:rsidP="0027751A">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 по заповед № 03-РД/1423/05.06.2020 г. са одобрени 0 (нула) проекта.</w:t>
            </w:r>
          </w:p>
          <w:p w14:paraId="5B5006B4" w14:textId="58D5C0A4" w:rsidR="00A900F6" w:rsidRPr="00B24D69" w:rsidRDefault="0027751A" w:rsidP="0027751A">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Съгласно чл. 59, ал. 1, договорът за финансова помощ следва да бъде подписан от кандидатите в срок от 10 работни дни;</w:t>
            </w:r>
          </w:p>
        </w:tc>
        <w:tc>
          <w:tcPr>
            <w:tcW w:w="1629" w:type="dxa"/>
            <w:shd w:val="clear" w:color="auto" w:fill="auto"/>
          </w:tcPr>
          <w:p w14:paraId="281E17B6" w14:textId="77BB62AC" w:rsidR="00A900F6" w:rsidRPr="00B24D69" w:rsidRDefault="0027751A" w:rsidP="00A2613D">
            <w:pPr>
              <w:spacing w:before="40" w:after="20"/>
              <w:rPr>
                <w:rFonts w:ascii="Verdana" w:hAnsi="Verdana"/>
                <w:sz w:val="20"/>
                <w:szCs w:val="20"/>
              </w:rPr>
            </w:pPr>
            <w:r w:rsidRPr="00B24D69">
              <w:rPr>
                <w:rFonts w:ascii="Verdana" w:hAnsi="Verdana"/>
                <w:sz w:val="20"/>
                <w:szCs w:val="20"/>
              </w:rPr>
              <w:t>Не се приема</w:t>
            </w:r>
          </w:p>
        </w:tc>
        <w:tc>
          <w:tcPr>
            <w:tcW w:w="4522" w:type="dxa"/>
            <w:shd w:val="clear" w:color="auto" w:fill="auto"/>
          </w:tcPr>
          <w:p w14:paraId="79ADDD16" w14:textId="77777777" w:rsidR="0027751A" w:rsidRPr="00B24D69" w:rsidRDefault="0027751A" w:rsidP="00392EC3">
            <w:pPr>
              <w:spacing w:before="40" w:after="20"/>
              <w:jc w:val="both"/>
              <w:rPr>
                <w:rFonts w:ascii="Verdana" w:hAnsi="Verdana"/>
                <w:sz w:val="20"/>
                <w:szCs w:val="20"/>
              </w:rPr>
            </w:pPr>
            <w:r w:rsidRPr="00B24D69">
              <w:rPr>
                <w:rFonts w:ascii="Verdana" w:hAnsi="Verdana"/>
                <w:sz w:val="20"/>
                <w:szCs w:val="20"/>
              </w:rPr>
              <w:t>Предложеният срок за удължаване е максимален. Необходимо е технологично време за обработка на подадените заявления за авансово плащане, срокът за разплащане по които е най-късно до 15 октомври 2020 г.</w:t>
            </w:r>
          </w:p>
          <w:p w14:paraId="25805F4F" w14:textId="5D32E669" w:rsidR="00A900F6" w:rsidRPr="00B24D69" w:rsidRDefault="0027751A" w:rsidP="00392EC3">
            <w:pPr>
              <w:spacing w:before="40" w:after="20"/>
              <w:jc w:val="both"/>
              <w:rPr>
                <w:rFonts w:ascii="Verdana" w:hAnsi="Verdana"/>
                <w:sz w:val="20"/>
                <w:szCs w:val="20"/>
              </w:rPr>
            </w:pPr>
            <w:r w:rsidRPr="00B24D69">
              <w:rPr>
                <w:rFonts w:ascii="Verdana" w:hAnsi="Verdana"/>
                <w:sz w:val="20"/>
                <w:szCs w:val="20"/>
              </w:rPr>
              <w:t>Не е възможно дерогиране на чл.62, ал.9. поради необходимостта от плани</w:t>
            </w:r>
            <w:r w:rsidR="004A4735">
              <w:rPr>
                <w:rFonts w:ascii="Verdana" w:hAnsi="Verdana"/>
                <w:sz w:val="20"/>
                <w:szCs w:val="20"/>
              </w:rPr>
              <w:t>рано бю</w:t>
            </w:r>
            <w:r w:rsidRPr="00B24D69">
              <w:rPr>
                <w:rFonts w:ascii="Verdana" w:hAnsi="Verdana"/>
                <w:sz w:val="20"/>
                <w:szCs w:val="20"/>
              </w:rPr>
              <w:t>джетиране по програмата.</w:t>
            </w:r>
          </w:p>
        </w:tc>
      </w:tr>
      <w:tr w:rsidR="00A900F6" w:rsidRPr="00B24D69" w14:paraId="1868D58F" w14:textId="77777777" w:rsidTr="001C5C20">
        <w:trPr>
          <w:jc w:val="center"/>
        </w:trPr>
        <w:tc>
          <w:tcPr>
            <w:tcW w:w="620" w:type="dxa"/>
            <w:shd w:val="clear" w:color="auto" w:fill="auto"/>
          </w:tcPr>
          <w:p w14:paraId="1EB5791F" w14:textId="77777777" w:rsidR="00A900F6" w:rsidRPr="00B24D69" w:rsidRDefault="00A900F6" w:rsidP="002D18C3">
            <w:pPr>
              <w:tabs>
                <w:tab w:val="left" w:pos="192"/>
              </w:tabs>
              <w:spacing w:before="40" w:after="20"/>
              <w:rPr>
                <w:rFonts w:ascii="Verdana" w:hAnsi="Verdana"/>
                <w:b/>
                <w:sz w:val="20"/>
                <w:szCs w:val="20"/>
                <w:lang w:val="en-US"/>
              </w:rPr>
            </w:pPr>
          </w:p>
        </w:tc>
        <w:tc>
          <w:tcPr>
            <w:tcW w:w="2261" w:type="dxa"/>
            <w:shd w:val="clear" w:color="auto" w:fill="auto"/>
          </w:tcPr>
          <w:p w14:paraId="32F455C2" w14:textId="77777777" w:rsidR="00A900F6" w:rsidRPr="00B24D69" w:rsidRDefault="00A900F6" w:rsidP="00A2613D">
            <w:pPr>
              <w:spacing w:before="40" w:after="20"/>
              <w:rPr>
                <w:rStyle w:val="Hyperlink"/>
                <w:rFonts w:ascii="Verdana" w:hAnsi="Verdana"/>
                <w:b/>
                <w:bCs/>
                <w:color w:val="auto"/>
                <w:sz w:val="20"/>
                <w:szCs w:val="20"/>
                <w:u w:val="none"/>
              </w:rPr>
            </w:pPr>
          </w:p>
        </w:tc>
        <w:tc>
          <w:tcPr>
            <w:tcW w:w="6618" w:type="dxa"/>
            <w:shd w:val="clear" w:color="auto" w:fill="auto"/>
          </w:tcPr>
          <w:p w14:paraId="660D4F21" w14:textId="77777777" w:rsidR="00A900F6" w:rsidRPr="00B24D69" w:rsidRDefault="00A900F6" w:rsidP="00A900F6">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Съгласно чл. 62, ал. 1, при подаване на заявление за авансово плащане, бенефициерите следва да представят:</w:t>
            </w:r>
          </w:p>
          <w:p w14:paraId="27A19888" w14:textId="77777777" w:rsidR="00A900F6" w:rsidRPr="00B24D69" w:rsidRDefault="00A900F6" w:rsidP="00A900F6">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т. 1 – разходооправдателни документи, доказващи, че извършването на инвестицията е започнало;</w:t>
            </w:r>
          </w:p>
          <w:p w14:paraId="7D655053" w14:textId="77777777" w:rsidR="00A900F6" w:rsidRPr="00B24D69" w:rsidRDefault="00A900F6" w:rsidP="00A900F6">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и</w:t>
            </w:r>
          </w:p>
          <w:p w14:paraId="628AAF7E" w14:textId="338A3F07" w:rsidR="00A900F6" w:rsidRPr="00B24D69" w:rsidRDefault="00A900F6" w:rsidP="00A900F6">
            <w:pPr>
              <w:widowControl w:val="0"/>
              <w:tabs>
                <w:tab w:val="left" w:pos="1565"/>
              </w:tabs>
              <w:autoSpaceDE w:val="0"/>
              <w:autoSpaceDN w:val="0"/>
              <w:spacing w:before="40" w:after="20"/>
              <w:jc w:val="both"/>
              <w:rPr>
                <w:rFonts w:ascii="Verdana" w:hAnsi="Verdana"/>
                <w:spacing w:val="-2"/>
                <w:sz w:val="20"/>
                <w:szCs w:val="20"/>
              </w:rPr>
            </w:pPr>
            <w:r w:rsidRPr="00B24D69">
              <w:rPr>
                <w:rFonts w:ascii="Verdana" w:hAnsi="Verdana"/>
                <w:sz w:val="20"/>
                <w:szCs w:val="20"/>
              </w:rPr>
              <w:t>т. 2 – оригинал на банкова гаранция.</w:t>
            </w:r>
          </w:p>
        </w:tc>
        <w:tc>
          <w:tcPr>
            <w:tcW w:w="1629" w:type="dxa"/>
            <w:shd w:val="clear" w:color="auto" w:fill="auto"/>
          </w:tcPr>
          <w:p w14:paraId="7D7B6191" w14:textId="77777777" w:rsidR="00A900F6" w:rsidRPr="00B24D69" w:rsidRDefault="00A900F6" w:rsidP="00A2613D">
            <w:pPr>
              <w:spacing w:before="40" w:after="20"/>
              <w:rPr>
                <w:rFonts w:ascii="Verdana" w:hAnsi="Verdana"/>
                <w:sz w:val="20"/>
                <w:szCs w:val="20"/>
              </w:rPr>
            </w:pPr>
          </w:p>
        </w:tc>
        <w:tc>
          <w:tcPr>
            <w:tcW w:w="4522" w:type="dxa"/>
            <w:shd w:val="clear" w:color="auto" w:fill="auto"/>
          </w:tcPr>
          <w:p w14:paraId="015AEDFE" w14:textId="77777777" w:rsidR="00A900F6" w:rsidRPr="00B24D69" w:rsidRDefault="00A900F6" w:rsidP="00392EC3">
            <w:pPr>
              <w:spacing w:before="40" w:after="20"/>
              <w:jc w:val="both"/>
              <w:rPr>
                <w:rFonts w:ascii="Verdana" w:hAnsi="Verdana"/>
                <w:sz w:val="20"/>
                <w:szCs w:val="20"/>
              </w:rPr>
            </w:pPr>
          </w:p>
        </w:tc>
      </w:tr>
      <w:tr w:rsidR="00A900F6" w:rsidRPr="00B24D69" w14:paraId="5653DBE5" w14:textId="77777777" w:rsidTr="001C5C20">
        <w:trPr>
          <w:jc w:val="center"/>
        </w:trPr>
        <w:tc>
          <w:tcPr>
            <w:tcW w:w="620" w:type="dxa"/>
            <w:shd w:val="clear" w:color="auto" w:fill="auto"/>
          </w:tcPr>
          <w:p w14:paraId="1262202C" w14:textId="77777777" w:rsidR="00A900F6" w:rsidRPr="00B24D69" w:rsidRDefault="00A900F6" w:rsidP="002D18C3">
            <w:pPr>
              <w:tabs>
                <w:tab w:val="left" w:pos="192"/>
              </w:tabs>
              <w:spacing w:before="40" w:after="20"/>
              <w:rPr>
                <w:rFonts w:ascii="Verdana" w:hAnsi="Verdana"/>
                <w:b/>
                <w:sz w:val="20"/>
                <w:szCs w:val="20"/>
                <w:lang w:val="en-US"/>
              </w:rPr>
            </w:pPr>
          </w:p>
        </w:tc>
        <w:tc>
          <w:tcPr>
            <w:tcW w:w="2261" w:type="dxa"/>
            <w:shd w:val="clear" w:color="auto" w:fill="auto"/>
          </w:tcPr>
          <w:p w14:paraId="5978F4FA" w14:textId="77777777" w:rsidR="00A900F6" w:rsidRPr="00B24D69" w:rsidRDefault="00A900F6" w:rsidP="00A2613D">
            <w:pPr>
              <w:spacing w:before="40" w:after="20"/>
              <w:rPr>
                <w:rStyle w:val="Hyperlink"/>
                <w:rFonts w:ascii="Verdana" w:hAnsi="Verdana"/>
                <w:b/>
                <w:bCs/>
                <w:color w:val="auto"/>
                <w:sz w:val="20"/>
                <w:szCs w:val="20"/>
                <w:u w:val="none"/>
              </w:rPr>
            </w:pPr>
          </w:p>
        </w:tc>
        <w:tc>
          <w:tcPr>
            <w:tcW w:w="6618" w:type="dxa"/>
            <w:shd w:val="clear" w:color="auto" w:fill="auto"/>
          </w:tcPr>
          <w:p w14:paraId="175C3A67" w14:textId="77777777" w:rsidR="00A900F6" w:rsidRPr="00B24D69" w:rsidRDefault="00A900F6" w:rsidP="00A900F6">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За извършване на банкови разплащания и представяне на изискуемите заверено с печат на банката платежно нареждане и банково извлечение, потвърждаващо извършеното плащане, е необходим минимум 1 работен ден;</w:t>
            </w:r>
          </w:p>
          <w:p w14:paraId="105AEF1E" w14:textId="04D80BF7" w:rsidR="00A900F6" w:rsidRPr="00B24D69" w:rsidRDefault="00A900F6" w:rsidP="00A900F6">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Издаването на банкова гаранция се извършва след представяне в банката на подписан с ДФЗ договор за финансова помощ, като издаването на банковата гаранция се извършва след решение на кредитен съвет (комитет) на съответната банка, който провежда заседания максимално веднъж седмично, извършване на съответните вписвания на обезпеченията по гаранцията в Агенция по вписванията и/или в Регистъра на особените залози. След извършване на описаните по-горе процедури, които не претендират за пълнота, банката предоставя на клиента екземпляр от самата гаранция.</w:t>
            </w:r>
          </w:p>
        </w:tc>
        <w:tc>
          <w:tcPr>
            <w:tcW w:w="1629" w:type="dxa"/>
            <w:shd w:val="clear" w:color="auto" w:fill="auto"/>
          </w:tcPr>
          <w:p w14:paraId="0B9412A4" w14:textId="77777777" w:rsidR="00A900F6" w:rsidRPr="00B24D69" w:rsidRDefault="00A900F6" w:rsidP="00A2613D">
            <w:pPr>
              <w:spacing w:before="40" w:after="20"/>
              <w:rPr>
                <w:rFonts w:ascii="Verdana" w:hAnsi="Verdana"/>
                <w:sz w:val="20"/>
                <w:szCs w:val="20"/>
              </w:rPr>
            </w:pPr>
          </w:p>
        </w:tc>
        <w:tc>
          <w:tcPr>
            <w:tcW w:w="4522" w:type="dxa"/>
            <w:shd w:val="clear" w:color="auto" w:fill="auto"/>
          </w:tcPr>
          <w:p w14:paraId="4A9BCEA8" w14:textId="77777777" w:rsidR="00A900F6" w:rsidRPr="00B24D69" w:rsidRDefault="00A900F6" w:rsidP="00392EC3">
            <w:pPr>
              <w:spacing w:before="40" w:after="20"/>
              <w:jc w:val="both"/>
              <w:rPr>
                <w:rFonts w:ascii="Verdana" w:hAnsi="Verdana"/>
                <w:sz w:val="20"/>
                <w:szCs w:val="20"/>
              </w:rPr>
            </w:pPr>
          </w:p>
        </w:tc>
      </w:tr>
      <w:tr w:rsidR="00A900F6" w:rsidRPr="00B24D69" w14:paraId="7380EB57" w14:textId="77777777" w:rsidTr="001C5C20">
        <w:trPr>
          <w:jc w:val="center"/>
        </w:trPr>
        <w:tc>
          <w:tcPr>
            <w:tcW w:w="620" w:type="dxa"/>
            <w:shd w:val="clear" w:color="auto" w:fill="auto"/>
          </w:tcPr>
          <w:p w14:paraId="3F254821" w14:textId="77777777" w:rsidR="00A900F6" w:rsidRPr="00B24D69" w:rsidRDefault="00A900F6" w:rsidP="002D18C3">
            <w:pPr>
              <w:tabs>
                <w:tab w:val="left" w:pos="192"/>
              </w:tabs>
              <w:spacing w:before="40" w:after="20"/>
              <w:rPr>
                <w:rFonts w:ascii="Verdana" w:hAnsi="Verdana"/>
                <w:b/>
                <w:sz w:val="20"/>
                <w:szCs w:val="20"/>
                <w:lang w:val="en-US"/>
              </w:rPr>
            </w:pPr>
          </w:p>
        </w:tc>
        <w:tc>
          <w:tcPr>
            <w:tcW w:w="2261" w:type="dxa"/>
            <w:shd w:val="clear" w:color="auto" w:fill="auto"/>
          </w:tcPr>
          <w:p w14:paraId="144CEB37" w14:textId="77777777" w:rsidR="00A900F6" w:rsidRPr="00B24D69" w:rsidRDefault="00A900F6" w:rsidP="00A2613D">
            <w:pPr>
              <w:spacing w:before="40" w:after="20"/>
              <w:rPr>
                <w:rStyle w:val="Hyperlink"/>
                <w:rFonts w:ascii="Verdana" w:hAnsi="Verdana"/>
                <w:b/>
                <w:bCs/>
                <w:color w:val="auto"/>
                <w:sz w:val="20"/>
                <w:szCs w:val="20"/>
                <w:u w:val="none"/>
              </w:rPr>
            </w:pPr>
          </w:p>
        </w:tc>
        <w:tc>
          <w:tcPr>
            <w:tcW w:w="6618" w:type="dxa"/>
            <w:shd w:val="clear" w:color="auto" w:fill="auto"/>
          </w:tcPr>
          <w:p w14:paraId="29840533" w14:textId="77777777" w:rsidR="00A900F6" w:rsidRPr="00B24D69" w:rsidRDefault="00A900F6" w:rsidP="00A900F6">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За описаните по-горе дейности е необходимо технологично време, вариращо между 3 и 20 работни дни.</w:t>
            </w:r>
          </w:p>
          <w:p w14:paraId="65E84C8F" w14:textId="12C2A4FF" w:rsidR="00A900F6" w:rsidRPr="00B24D69" w:rsidRDefault="00A900F6" w:rsidP="00A900F6">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Видно от горното, поставеният срок 7.10.2020 г. за подаване на заявления за авансово плащане, съответно – предоставяне на банкови гаранции, ще бъде неизпълним за голяма част от бенефициерите и ще доведе, както до сериозни финансови загуби и пропуснати ползи за самите тях, така и до загуба на съществена част от бюджета по мярка „Инвестиции в предприятия“.</w:t>
            </w:r>
          </w:p>
        </w:tc>
        <w:tc>
          <w:tcPr>
            <w:tcW w:w="1629" w:type="dxa"/>
            <w:shd w:val="clear" w:color="auto" w:fill="auto"/>
          </w:tcPr>
          <w:p w14:paraId="1BCDF0E7" w14:textId="77777777" w:rsidR="00A900F6" w:rsidRPr="00B24D69" w:rsidRDefault="00A900F6" w:rsidP="00A2613D">
            <w:pPr>
              <w:spacing w:before="40" w:after="20"/>
              <w:rPr>
                <w:rFonts w:ascii="Verdana" w:hAnsi="Verdana"/>
                <w:sz w:val="20"/>
                <w:szCs w:val="20"/>
              </w:rPr>
            </w:pPr>
          </w:p>
        </w:tc>
        <w:tc>
          <w:tcPr>
            <w:tcW w:w="4522" w:type="dxa"/>
            <w:shd w:val="clear" w:color="auto" w:fill="auto"/>
          </w:tcPr>
          <w:p w14:paraId="469F976C" w14:textId="77777777" w:rsidR="00A900F6" w:rsidRPr="00B24D69" w:rsidRDefault="00A900F6" w:rsidP="00392EC3">
            <w:pPr>
              <w:spacing w:before="40" w:after="20"/>
              <w:jc w:val="both"/>
              <w:rPr>
                <w:rFonts w:ascii="Verdana" w:hAnsi="Verdana"/>
                <w:sz w:val="20"/>
                <w:szCs w:val="20"/>
              </w:rPr>
            </w:pPr>
          </w:p>
        </w:tc>
      </w:tr>
      <w:tr w:rsidR="00A900F6" w:rsidRPr="00B24D69" w14:paraId="7C106AE7" w14:textId="77777777" w:rsidTr="001C5C20">
        <w:trPr>
          <w:jc w:val="center"/>
        </w:trPr>
        <w:tc>
          <w:tcPr>
            <w:tcW w:w="620" w:type="dxa"/>
            <w:shd w:val="clear" w:color="auto" w:fill="auto"/>
          </w:tcPr>
          <w:p w14:paraId="316F09FE" w14:textId="77777777" w:rsidR="00A900F6" w:rsidRPr="00B24D69" w:rsidRDefault="00A900F6" w:rsidP="002D18C3">
            <w:pPr>
              <w:tabs>
                <w:tab w:val="left" w:pos="192"/>
              </w:tabs>
              <w:spacing w:before="40" w:after="20"/>
              <w:rPr>
                <w:rFonts w:ascii="Verdana" w:hAnsi="Verdana"/>
                <w:b/>
                <w:sz w:val="20"/>
                <w:szCs w:val="20"/>
                <w:lang w:val="en-US"/>
              </w:rPr>
            </w:pPr>
          </w:p>
        </w:tc>
        <w:tc>
          <w:tcPr>
            <w:tcW w:w="2261" w:type="dxa"/>
            <w:shd w:val="clear" w:color="auto" w:fill="auto"/>
          </w:tcPr>
          <w:p w14:paraId="0BDF1437" w14:textId="77777777" w:rsidR="00A900F6" w:rsidRPr="00B24D69" w:rsidRDefault="00A900F6" w:rsidP="00A2613D">
            <w:pPr>
              <w:spacing w:before="40" w:after="20"/>
              <w:rPr>
                <w:rStyle w:val="Hyperlink"/>
                <w:rFonts w:ascii="Verdana" w:hAnsi="Verdana"/>
                <w:b/>
                <w:bCs/>
                <w:color w:val="auto"/>
                <w:sz w:val="20"/>
                <w:szCs w:val="20"/>
                <w:u w:val="none"/>
              </w:rPr>
            </w:pPr>
          </w:p>
        </w:tc>
        <w:tc>
          <w:tcPr>
            <w:tcW w:w="6618" w:type="dxa"/>
            <w:shd w:val="clear" w:color="auto" w:fill="auto"/>
          </w:tcPr>
          <w:p w14:paraId="5B5E1C86" w14:textId="77777777" w:rsidR="00A900F6" w:rsidRDefault="00A900F6" w:rsidP="00A900F6">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Предложение:</w:t>
            </w:r>
          </w:p>
          <w:p w14:paraId="447937E4" w14:textId="77777777" w:rsidR="00A77381" w:rsidRPr="00B24D69" w:rsidRDefault="00A77381" w:rsidP="00A77381">
            <w:pPr>
              <w:widowControl w:val="0"/>
              <w:tabs>
                <w:tab w:val="left" w:pos="1565"/>
              </w:tabs>
              <w:autoSpaceDE w:val="0"/>
              <w:autoSpaceDN w:val="0"/>
              <w:spacing w:before="40" w:after="20"/>
              <w:jc w:val="both"/>
              <w:rPr>
                <w:rFonts w:ascii="Verdana" w:hAnsi="Verdana"/>
                <w:sz w:val="20"/>
                <w:szCs w:val="20"/>
              </w:rPr>
            </w:pPr>
            <w:r w:rsidRPr="00B24D69">
              <w:rPr>
                <w:rFonts w:ascii="Verdana" w:hAnsi="Verdana"/>
                <w:sz w:val="20"/>
                <w:szCs w:val="20"/>
              </w:rPr>
              <w:t>Вариант 1: Срокът по чл. 61, ал. 3 за финансовата 2020 г. да бъде удължен до 15.12.2020 г.;</w:t>
            </w:r>
          </w:p>
          <w:p w14:paraId="08174BA4" w14:textId="7961FF4A" w:rsidR="00A77381" w:rsidRPr="00B24D69" w:rsidRDefault="00A77381" w:rsidP="00A77381">
            <w:pPr>
              <w:widowControl w:val="0"/>
              <w:tabs>
                <w:tab w:val="left" w:pos="1565"/>
              </w:tabs>
              <w:autoSpaceDE w:val="0"/>
              <w:autoSpaceDN w:val="0"/>
              <w:spacing w:before="40" w:after="20"/>
              <w:jc w:val="both"/>
              <w:rPr>
                <w:rFonts w:ascii="Verdana" w:hAnsi="Verdana"/>
                <w:sz w:val="20"/>
                <w:szCs w:val="20"/>
              </w:rPr>
            </w:pPr>
            <w:r w:rsidRPr="00B24D69">
              <w:rPr>
                <w:rFonts w:ascii="Verdana" w:hAnsi="Verdana"/>
                <w:spacing w:val="-2"/>
                <w:sz w:val="20"/>
                <w:szCs w:val="20"/>
              </w:rPr>
              <w:t>Вариант 2: Условието на чл. 62, ал. 9 да не бъде прилагано за договори по проекти по заповед № 03-РД/514/14.02.2020 г. и по заповед № 03-РД/1423/05.06.2020 г.</w:t>
            </w:r>
          </w:p>
        </w:tc>
        <w:tc>
          <w:tcPr>
            <w:tcW w:w="1629" w:type="dxa"/>
            <w:shd w:val="clear" w:color="auto" w:fill="auto"/>
          </w:tcPr>
          <w:p w14:paraId="00BD74E6" w14:textId="77777777" w:rsidR="00A900F6" w:rsidRPr="00B24D69" w:rsidRDefault="00A900F6" w:rsidP="00A2613D">
            <w:pPr>
              <w:spacing w:before="40" w:after="20"/>
              <w:rPr>
                <w:rFonts w:ascii="Verdana" w:hAnsi="Verdana"/>
                <w:sz w:val="20"/>
                <w:szCs w:val="20"/>
              </w:rPr>
            </w:pPr>
          </w:p>
        </w:tc>
        <w:tc>
          <w:tcPr>
            <w:tcW w:w="4522" w:type="dxa"/>
            <w:shd w:val="clear" w:color="auto" w:fill="auto"/>
          </w:tcPr>
          <w:p w14:paraId="7F3A565F" w14:textId="77777777" w:rsidR="00A900F6" w:rsidRPr="00B24D69" w:rsidRDefault="00A900F6" w:rsidP="00A2613D">
            <w:pPr>
              <w:spacing w:before="40" w:after="20"/>
              <w:rPr>
                <w:rFonts w:ascii="Verdana" w:hAnsi="Verdana"/>
                <w:sz w:val="20"/>
                <w:szCs w:val="20"/>
              </w:rPr>
            </w:pPr>
          </w:p>
        </w:tc>
      </w:tr>
    </w:tbl>
    <w:p w14:paraId="1EAA8D1B" w14:textId="77777777" w:rsidR="00781635" w:rsidRPr="00B24D69" w:rsidRDefault="00781635" w:rsidP="00AF12B7">
      <w:pPr>
        <w:rPr>
          <w:b/>
          <w:bCs/>
          <w:caps/>
          <w:sz w:val="20"/>
          <w:szCs w:val="20"/>
        </w:rPr>
      </w:pPr>
    </w:p>
    <w:p w14:paraId="17C521F6" w14:textId="6216059E" w:rsidR="00196671" w:rsidRDefault="00196671" w:rsidP="00AF12B7">
      <w:pPr>
        <w:rPr>
          <w:b/>
          <w:bCs/>
          <w:caps/>
          <w:sz w:val="20"/>
          <w:szCs w:val="20"/>
        </w:rPr>
      </w:pPr>
    </w:p>
    <w:p w14:paraId="01E27C35" w14:textId="5D7FE2BB" w:rsidR="0027751A" w:rsidRDefault="0027751A" w:rsidP="00AF12B7">
      <w:pPr>
        <w:rPr>
          <w:b/>
          <w:bCs/>
          <w:caps/>
          <w:sz w:val="20"/>
          <w:szCs w:val="20"/>
        </w:rPr>
      </w:pPr>
    </w:p>
    <w:p w14:paraId="798CCF57" w14:textId="5DCB4D7B" w:rsidR="0027751A" w:rsidRPr="00B24D69" w:rsidRDefault="0027751A" w:rsidP="00AF12B7">
      <w:pPr>
        <w:rPr>
          <w:b/>
          <w:bCs/>
          <w:caps/>
          <w:sz w:val="20"/>
          <w:szCs w:val="20"/>
        </w:rPr>
      </w:pPr>
    </w:p>
    <w:sectPr w:rsidR="0027751A" w:rsidRPr="00B24D69" w:rsidSect="00843565">
      <w:footerReference w:type="even" r:id="rId8"/>
      <w:footerReference w:type="default" r:id="rId9"/>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7F0B" w14:textId="77777777" w:rsidR="00F873A9" w:rsidRDefault="00F873A9">
      <w:r>
        <w:separator/>
      </w:r>
    </w:p>
  </w:endnote>
  <w:endnote w:type="continuationSeparator" w:id="0">
    <w:p w14:paraId="24A44E7D" w14:textId="77777777" w:rsidR="00F873A9" w:rsidRDefault="00F8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C47FAD" w:rsidRDefault="00C47FA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C47FAD" w:rsidRDefault="00C47FA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rFonts w:ascii="Verdana" w:hAnsi="Verdana"/>
        <w:noProof/>
        <w:sz w:val="16"/>
        <w:szCs w:val="16"/>
      </w:rPr>
    </w:sdtEndPr>
    <w:sdtContent>
      <w:p w14:paraId="03CA8827" w14:textId="1535902D" w:rsidR="00C47FAD" w:rsidRPr="0027751A" w:rsidRDefault="00C47FAD" w:rsidP="00AF12B7">
        <w:pPr>
          <w:pStyle w:val="Footer"/>
          <w:jc w:val="right"/>
          <w:rPr>
            <w:rFonts w:ascii="Verdana" w:hAnsi="Verdana"/>
            <w:sz w:val="16"/>
            <w:szCs w:val="16"/>
          </w:rPr>
        </w:pPr>
        <w:r w:rsidRPr="0027751A">
          <w:rPr>
            <w:rFonts w:ascii="Verdana" w:hAnsi="Verdana"/>
            <w:sz w:val="16"/>
            <w:szCs w:val="16"/>
          </w:rPr>
          <w:fldChar w:fldCharType="begin"/>
        </w:r>
        <w:r w:rsidRPr="0027751A">
          <w:rPr>
            <w:rFonts w:ascii="Verdana" w:hAnsi="Verdana"/>
            <w:sz w:val="16"/>
            <w:szCs w:val="16"/>
          </w:rPr>
          <w:instrText xml:space="preserve"> PAGE   \* MERGEFORMAT </w:instrText>
        </w:r>
        <w:r w:rsidRPr="0027751A">
          <w:rPr>
            <w:rFonts w:ascii="Verdana" w:hAnsi="Verdana"/>
            <w:sz w:val="16"/>
            <w:szCs w:val="16"/>
          </w:rPr>
          <w:fldChar w:fldCharType="separate"/>
        </w:r>
        <w:r w:rsidR="00392EC3">
          <w:rPr>
            <w:rFonts w:ascii="Verdana" w:hAnsi="Verdana"/>
            <w:noProof/>
            <w:sz w:val="16"/>
            <w:szCs w:val="16"/>
          </w:rPr>
          <w:t>5</w:t>
        </w:r>
        <w:r w:rsidRPr="0027751A">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1F0BF" w14:textId="77777777" w:rsidR="00F873A9" w:rsidRDefault="00F873A9">
      <w:r>
        <w:separator/>
      </w:r>
    </w:p>
  </w:footnote>
  <w:footnote w:type="continuationSeparator" w:id="0">
    <w:p w14:paraId="47A2CFF2" w14:textId="77777777" w:rsidR="00F873A9" w:rsidRDefault="00F8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9"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0" w15:restartNumberingAfterBreak="0">
    <w:nsid w:val="393E2C3A"/>
    <w:multiLevelType w:val="singleLevel"/>
    <w:tmpl w:val="CF882D90"/>
    <w:lvl w:ilvl="0">
      <w:start w:val="1"/>
      <w:numFmt w:val="russianLower"/>
      <w:lvlText w:val="%1)"/>
      <w:lvlJc w:val="left"/>
    </w:lvl>
  </w:abstractNum>
  <w:abstractNum w:abstractNumId="11" w15:restartNumberingAfterBreak="0">
    <w:nsid w:val="3BC37A8C"/>
    <w:multiLevelType w:val="singleLevel"/>
    <w:tmpl w:val="596280AA"/>
    <w:lvl w:ilvl="0">
      <w:start w:val="3"/>
      <w:numFmt w:val="russianLower"/>
      <w:lvlText w:val="%1)"/>
      <w:lvlJc w:val="left"/>
    </w:lvl>
  </w:abstractNum>
  <w:abstractNum w:abstractNumId="12"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43A0C1B"/>
    <w:multiLevelType w:val="multilevel"/>
    <w:tmpl w:val="EF02CAD0"/>
    <w:lvl w:ilvl="0">
      <w:start w:val="1"/>
      <w:numFmt w:val="decimal"/>
      <w:suff w:val="space"/>
      <w:lvlText w:val="%1."/>
      <w:lvlJc w:val="right"/>
      <w:pPr>
        <w:ind w:left="0" w:firstLine="39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7"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18"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0"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1" w15:restartNumberingAfterBreak="0">
    <w:nsid w:val="6F4E62B0"/>
    <w:multiLevelType w:val="multilevel"/>
    <w:tmpl w:val="EF02CAD0"/>
    <w:lvl w:ilvl="0">
      <w:start w:val="1"/>
      <w:numFmt w:val="decimal"/>
      <w:suff w:val="space"/>
      <w:lvlText w:val="%1."/>
      <w:lvlJc w:val="right"/>
      <w:pPr>
        <w:ind w:left="0" w:firstLine="39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5"/>
  </w:num>
  <w:num w:numId="3">
    <w:abstractNumId w:val="23"/>
  </w:num>
  <w:num w:numId="4">
    <w:abstractNumId w:val="25"/>
  </w:num>
  <w:num w:numId="5">
    <w:abstractNumId w:val="16"/>
  </w:num>
  <w:num w:numId="6">
    <w:abstractNumId w:val="7"/>
  </w:num>
  <w:num w:numId="7">
    <w:abstractNumId w:val="18"/>
  </w:num>
  <w:num w:numId="8">
    <w:abstractNumId w:val="24"/>
  </w:num>
  <w:num w:numId="9">
    <w:abstractNumId w:val="4"/>
  </w:num>
  <w:num w:numId="10">
    <w:abstractNumId w:val="10"/>
  </w:num>
  <w:num w:numId="11">
    <w:abstractNumId w:val="11"/>
  </w:num>
  <w:num w:numId="12">
    <w:abstractNumId w:val="6"/>
  </w:num>
  <w:num w:numId="13">
    <w:abstractNumId w:val="3"/>
  </w:num>
  <w:num w:numId="14">
    <w:abstractNumId w:val="12"/>
  </w:num>
  <w:num w:numId="15">
    <w:abstractNumId w:val="13"/>
  </w:num>
  <w:num w:numId="16">
    <w:abstractNumId w:val="22"/>
  </w:num>
  <w:num w:numId="17">
    <w:abstractNumId w:val="1"/>
  </w:num>
  <w:num w:numId="18">
    <w:abstractNumId w:val="8"/>
  </w:num>
  <w:num w:numId="19">
    <w:abstractNumId w:val="19"/>
  </w:num>
  <w:num w:numId="20">
    <w:abstractNumId w:val="14"/>
  </w:num>
  <w:num w:numId="21">
    <w:abstractNumId w:val="2"/>
  </w:num>
  <w:num w:numId="22">
    <w:abstractNumId w:val="20"/>
  </w:num>
  <w:num w:numId="23">
    <w:abstractNumId w:val="0"/>
  </w:num>
  <w:num w:numId="24">
    <w:abstractNumId w:val="9"/>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4AE6"/>
    <w:rsid w:val="00005688"/>
    <w:rsid w:val="00005B26"/>
    <w:rsid w:val="000101A6"/>
    <w:rsid w:val="00010282"/>
    <w:rsid w:val="000115D5"/>
    <w:rsid w:val="00012CAB"/>
    <w:rsid w:val="00016086"/>
    <w:rsid w:val="000200AF"/>
    <w:rsid w:val="00022060"/>
    <w:rsid w:val="00024421"/>
    <w:rsid w:val="0002513E"/>
    <w:rsid w:val="000252C0"/>
    <w:rsid w:val="0002544E"/>
    <w:rsid w:val="000257AA"/>
    <w:rsid w:val="00025A23"/>
    <w:rsid w:val="00025DD3"/>
    <w:rsid w:val="00027271"/>
    <w:rsid w:val="000279C9"/>
    <w:rsid w:val="00033183"/>
    <w:rsid w:val="00033713"/>
    <w:rsid w:val="000357B4"/>
    <w:rsid w:val="00040AE0"/>
    <w:rsid w:val="000414B6"/>
    <w:rsid w:val="00043D50"/>
    <w:rsid w:val="000446AF"/>
    <w:rsid w:val="00044E65"/>
    <w:rsid w:val="0004610E"/>
    <w:rsid w:val="00046AB8"/>
    <w:rsid w:val="00046C3E"/>
    <w:rsid w:val="00051CC2"/>
    <w:rsid w:val="00052350"/>
    <w:rsid w:val="0005435E"/>
    <w:rsid w:val="0005470C"/>
    <w:rsid w:val="00055D5F"/>
    <w:rsid w:val="000572CA"/>
    <w:rsid w:val="0006038C"/>
    <w:rsid w:val="0006091E"/>
    <w:rsid w:val="000622EF"/>
    <w:rsid w:val="00062907"/>
    <w:rsid w:val="00062A4B"/>
    <w:rsid w:val="00062ADE"/>
    <w:rsid w:val="00062F02"/>
    <w:rsid w:val="000632EC"/>
    <w:rsid w:val="00063709"/>
    <w:rsid w:val="00063E4B"/>
    <w:rsid w:val="000673CE"/>
    <w:rsid w:val="00067C92"/>
    <w:rsid w:val="00070496"/>
    <w:rsid w:val="000708B1"/>
    <w:rsid w:val="000718C7"/>
    <w:rsid w:val="000737E5"/>
    <w:rsid w:val="000741C8"/>
    <w:rsid w:val="00075594"/>
    <w:rsid w:val="000757FC"/>
    <w:rsid w:val="000769B1"/>
    <w:rsid w:val="0008079F"/>
    <w:rsid w:val="00081D6F"/>
    <w:rsid w:val="00082171"/>
    <w:rsid w:val="00084700"/>
    <w:rsid w:val="00086434"/>
    <w:rsid w:val="000902D1"/>
    <w:rsid w:val="00090401"/>
    <w:rsid w:val="000937D4"/>
    <w:rsid w:val="00093F30"/>
    <w:rsid w:val="00094AB2"/>
    <w:rsid w:val="000953A8"/>
    <w:rsid w:val="00096C33"/>
    <w:rsid w:val="00097783"/>
    <w:rsid w:val="000A084C"/>
    <w:rsid w:val="000A1017"/>
    <w:rsid w:val="000A228F"/>
    <w:rsid w:val="000A3E16"/>
    <w:rsid w:val="000B279A"/>
    <w:rsid w:val="000B298E"/>
    <w:rsid w:val="000B2EB1"/>
    <w:rsid w:val="000B354E"/>
    <w:rsid w:val="000B3D5F"/>
    <w:rsid w:val="000B6D57"/>
    <w:rsid w:val="000C036A"/>
    <w:rsid w:val="000C1697"/>
    <w:rsid w:val="000C46A7"/>
    <w:rsid w:val="000C5E61"/>
    <w:rsid w:val="000D0414"/>
    <w:rsid w:val="000D1E2E"/>
    <w:rsid w:val="000D2F9F"/>
    <w:rsid w:val="000D31EF"/>
    <w:rsid w:val="000D3F6C"/>
    <w:rsid w:val="000D4198"/>
    <w:rsid w:val="000E02AC"/>
    <w:rsid w:val="000E145B"/>
    <w:rsid w:val="000E3570"/>
    <w:rsid w:val="000E38E0"/>
    <w:rsid w:val="000F02C5"/>
    <w:rsid w:val="000F31C8"/>
    <w:rsid w:val="000F3490"/>
    <w:rsid w:val="000F4E61"/>
    <w:rsid w:val="000F5EC8"/>
    <w:rsid w:val="000F73D3"/>
    <w:rsid w:val="000F7A3E"/>
    <w:rsid w:val="001012EC"/>
    <w:rsid w:val="0010687D"/>
    <w:rsid w:val="00110FB3"/>
    <w:rsid w:val="001143E4"/>
    <w:rsid w:val="001146B4"/>
    <w:rsid w:val="0011484F"/>
    <w:rsid w:val="00115EDD"/>
    <w:rsid w:val="00116995"/>
    <w:rsid w:val="00116FC6"/>
    <w:rsid w:val="001171CC"/>
    <w:rsid w:val="00120ABA"/>
    <w:rsid w:val="001251BE"/>
    <w:rsid w:val="00125F9E"/>
    <w:rsid w:val="001311AD"/>
    <w:rsid w:val="00131D33"/>
    <w:rsid w:val="00131DA5"/>
    <w:rsid w:val="00133A14"/>
    <w:rsid w:val="00134E1D"/>
    <w:rsid w:val="001353E6"/>
    <w:rsid w:val="0013629D"/>
    <w:rsid w:val="00140C69"/>
    <w:rsid w:val="00141BFB"/>
    <w:rsid w:val="00144034"/>
    <w:rsid w:val="001440FE"/>
    <w:rsid w:val="0014437A"/>
    <w:rsid w:val="00152D3A"/>
    <w:rsid w:val="001551C4"/>
    <w:rsid w:val="00155CAF"/>
    <w:rsid w:val="0016097E"/>
    <w:rsid w:val="00162248"/>
    <w:rsid w:val="001668E1"/>
    <w:rsid w:val="00167D39"/>
    <w:rsid w:val="00167F77"/>
    <w:rsid w:val="00170505"/>
    <w:rsid w:val="00172CCB"/>
    <w:rsid w:val="00175004"/>
    <w:rsid w:val="00177AA6"/>
    <w:rsid w:val="00177CAC"/>
    <w:rsid w:val="00177D2B"/>
    <w:rsid w:val="001808B4"/>
    <w:rsid w:val="0018509E"/>
    <w:rsid w:val="00192D6A"/>
    <w:rsid w:val="001948B0"/>
    <w:rsid w:val="00195AD0"/>
    <w:rsid w:val="00195DA3"/>
    <w:rsid w:val="00196671"/>
    <w:rsid w:val="001A02C9"/>
    <w:rsid w:val="001A0680"/>
    <w:rsid w:val="001A3975"/>
    <w:rsid w:val="001A3D29"/>
    <w:rsid w:val="001B4CD8"/>
    <w:rsid w:val="001C23BF"/>
    <w:rsid w:val="001C5BF3"/>
    <w:rsid w:val="001C5C20"/>
    <w:rsid w:val="001C6E95"/>
    <w:rsid w:val="001D0377"/>
    <w:rsid w:val="001D23F0"/>
    <w:rsid w:val="001D2756"/>
    <w:rsid w:val="001D362A"/>
    <w:rsid w:val="001D60F3"/>
    <w:rsid w:val="001E13F5"/>
    <w:rsid w:val="001E174B"/>
    <w:rsid w:val="001E317C"/>
    <w:rsid w:val="001E4FE9"/>
    <w:rsid w:val="001E4FEC"/>
    <w:rsid w:val="001E64F2"/>
    <w:rsid w:val="001F0567"/>
    <w:rsid w:val="001F1BB7"/>
    <w:rsid w:val="001F1F60"/>
    <w:rsid w:val="001F22A3"/>
    <w:rsid w:val="001F314D"/>
    <w:rsid w:val="001F4710"/>
    <w:rsid w:val="001F6BC2"/>
    <w:rsid w:val="001F718C"/>
    <w:rsid w:val="00200292"/>
    <w:rsid w:val="0020103A"/>
    <w:rsid w:val="00201455"/>
    <w:rsid w:val="00201739"/>
    <w:rsid w:val="00206678"/>
    <w:rsid w:val="00210233"/>
    <w:rsid w:val="0021035B"/>
    <w:rsid w:val="00212D43"/>
    <w:rsid w:val="0021436C"/>
    <w:rsid w:val="00214B75"/>
    <w:rsid w:val="00215178"/>
    <w:rsid w:val="00220442"/>
    <w:rsid w:val="00221143"/>
    <w:rsid w:val="002217C0"/>
    <w:rsid w:val="00221B68"/>
    <w:rsid w:val="00223F2E"/>
    <w:rsid w:val="00227D14"/>
    <w:rsid w:val="0023062F"/>
    <w:rsid w:val="00230821"/>
    <w:rsid w:val="00230E0E"/>
    <w:rsid w:val="00231D0F"/>
    <w:rsid w:val="00233C04"/>
    <w:rsid w:val="002348DC"/>
    <w:rsid w:val="002366C8"/>
    <w:rsid w:val="002369C8"/>
    <w:rsid w:val="002375B3"/>
    <w:rsid w:val="00237A17"/>
    <w:rsid w:val="00241F4C"/>
    <w:rsid w:val="00243442"/>
    <w:rsid w:val="002440AF"/>
    <w:rsid w:val="0024444A"/>
    <w:rsid w:val="00245FCD"/>
    <w:rsid w:val="002472CF"/>
    <w:rsid w:val="002500BD"/>
    <w:rsid w:val="002536A8"/>
    <w:rsid w:val="00254CE4"/>
    <w:rsid w:val="00257983"/>
    <w:rsid w:val="00260F55"/>
    <w:rsid w:val="002632C1"/>
    <w:rsid w:val="00263E76"/>
    <w:rsid w:val="002640E1"/>
    <w:rsid w:val="00264B95"/>
    <w:rsid w:val="0027210E"/>
    <w:rsid w:val="00272EE3"/>
    <w:rsid w:val="00273219"/>
    <w:rsid w:val="00273678"/>
    <w:rsid w:val="00273CAC"/>
    <w:rsid w:val="0027620A"/>
    <w:rsid w:val="0027751A"/>
    <w:rsid w:val="002804CF"/>
    <w:rsid w:val="002820C6"/>
    <w:rsid w:val="00282A08"/>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59D9"/>
    <w:rsid w:val="002A5A11"/>
    <w:rsid w:val="002A67D5"/>
    <w:rsid w:val="002C03AF"/>
    <w:rsid w:val="002C2EEA"/>
    <w:rsid w:val="002C5843"/>
    <w:rsid w:val="002C7F10"/>
    <w:rsid w:val="002D083C"/>
    <w:rsid w:val="002D18C3"/>
    <w:rsid w:val="002D2176"/>
    <w:rsid w:val="002E03DD"/>
    <w:rsid w:val="002E4664"/>
    <w:rsid w:val="002E537C"/>
    <w:rsid w:val="002E57D4"/>
    <w:rsid w:val="002E5E3F"/>
    <w:rsid w:val="002E6ADF"/>
    <w:rsid w:val="002E73FF"/>
    <w:rsid w:val="002F0752"/>
    <w:rsid w:val="002F4AF6"/>
    <w:rsid w:val="002F7B2A"/>
    <w:rsid w:val="00300B99"/>
    <w:rsid w:val="00300D63"/>
    <w:rsid w:val="003034CD"/>
    <w:rsid w:val="003039A5"/>
    <w:rsid w:val="00306298"/>
    <w:rsid w:val="00312FB3"/>
    <w:rsid w:val="00314B98"/>
    <w:rsid w:val="00314F63"/>
    <w:rsid w:val="003154C2"/>
    <w:rsid w:val="00316618"/>
    <w:rsid w:val="00321BD0"/>
    <w:rsid w:val="00322547"/>
    <w:rsid w:val="0032394D"/>
    <w:rsid w:val="003246BD"/>
    <w:rsid w:val="00326B58"/>
    <w:rsid w:val="003302BD"/>
    <w:rsid w:val="00330936"/>
    <w:rsid w:val="003336CE"/>
    <w:rsid w:val="00333BD7"/>
    <w:rsid w:val="00340212"/>
    <w:rsid w:val="00344138"/>
    <w:rsid w:val="00345060"/>
    <w:rsid w:val="00345B9F"/>
    <w:rsid w:val="00346856"/>
    <w:rsid w:val="00351063"/>
    <w:rsid w:val="00352461"/>
    <w:rsid w:val="003555CD"/>
    <w:rsid w:val="00356131"/>
    <w:rsid w:val="003628A2"/>
    <w:rsid w:val="003640F0"/>
    <w:rsid w:val="003645F1"/>
    <w:rsid w:val="00366E40"/>
    <w:rsid w:val="00367DA5"/>
    <w:rsid w:val="0037191E"/>
    <w:rsid w:val="00371937"/>
    <w:rsid w:val="003737F2"/>
    <w:rsid w:val="00377A96"/>
    <w:rsid w:val="00377FE2"/>
    <w:rsid w:val="00382966"/>
    <w:rsid w:val="00384B8B"/>
    <w:rsid w:val="00387130"/>
    <w:rsid w:val="00387162"/>
    <w:rsid w:val="003903E2"/>
    <w:rsid w:val="00390D8E"/>
    <w:rsid w:val="00392EC3"/>
    <w:rsid w:val="00395655"/>
    <w:rsid w:val="003A060F"/>
    <w:rsid w:val="003A48EE"/>
    <w:rsid w:val="003B4449"/>
    <w:rsid w:val="003B629A"/>
    <w:rsid w:val="003C1F1E"/>
    <w:rsid w:val="003C2DC3"/>
    <w:rsid w:val="003C557F"/>
    <w:rsid w:val="003C563D"/>
    <w:rsid w:val="003C5C7B"/>
    <w:rsid w:val="003C6E60"/>
    <w:rsid w:val="003C7D91"/>
    <w:rsid w:val="003D0C7F"/>
    <w:rsid w:val="003D138A"/>
    <w:rsid w:val="003D49CF"/>
    <w:rsid w:val="003D6231"/>
    <w:rsid w:val="003D70E0"/>
    <w:rsid w:val="003E111B"/>
    <w:rsid w:val="003E140F"/>
    <w:rsid w:val="003E361D"/>
    <w:rsid w:val="003F2026"/>
    <w:rsid w:val="003F29BC"/>
    <w:rsid w:val="003F3728"/>
    <w:rsid w:val="003F6D22"/>
    <w:rsid w:val="003F7612"/>
    <w:rsid w:val="003F7CD4"/>
    <w:rsid w:val="004027A6"/>
    <w:rsid w:val="0040510D"/>
    <w:rsid w:val="00407815"/>
    <w:rsid w:val="00414F26"/>
    <w:rsid w:val="00415D7B"/>
    <w:rsid w:val="00417315"/>
    <w:rsid w:val="00420A7D"/>
    <w:rsid w:val="00420F8B"/>
    <w:rsid w:val="0042418B"/>
    <w:rsid w:val="0042440B"/>
    <w:rsid w:val="00426AC8"/>
    <w:rsid w:val="00427EF4"/>
    <w:rsid w:val="00430245"/>
    <w:rsid w:val="00430323"/>
    <w:rsid w:val="00430FB2"/>
    <w:rsid w:val="00435BAC"/>
    <w:rsid w:val="004361F2"/>
    <w:rsid w:val="004376C2"/>
    <w:rsid w:val="004427B2"/>
    <w:rsid w:val="00442824"/>
    <w:rsid w:val="004444E8"/>
    <w:rsid w:val="004444F4"/>
    <w:rsid w:val="00446865"/>
    <w:rsid w:val="00446EC1"/>
    <w:rsid w:val="00450BCC"/>
    <w:rsid w:val="0045180F"/>
    <w:rsid w:val="00452217"/>
    <w:rsid w:val="00453C28"/>
    <w:rsid w:val="00453E7F"/>
    <w:rsid w:val="00453E85"/>
    <w:rsid w:val="004546B0"/>
    <w:rsid w:val="00455D0B"/>
    <w:rsid w:val="004604F1"/>
    <w:rsid w:val="004646DE"/>
    <w:rsid w:val="0046759A"/>
    <w:rsid w:val="00467C52"/>
    <w:rsid w:val="00470D89"/>
    <w:rsid w:val="0047261C"/>
    <w:rsid w:val="004739BA"/>
    <w:rsid w:val="004739E7"/>
    <w:rsid w:val="004741D2"/>
    <w:rsid w:val="00483378"/>
    <w:rsid w:val="00487E51"/>
    <w:rsid w:val="00490845"/>
    <w:rsid w:val="00493B7A"/>
    <w:rsid w:val="004942CA"/>
    <w:rsid w:val="0049486D"/>
    <w:rsid w:val="00496618"/>
    <w:rsid w:val="004A0A82"/>
    <w:rsid w:val="004A207E"/>
    <w:rsid w:val="004A27CC"/>
    <w:rsid w:val="004A285F"/>
    <w:rsid w:val="004A4735"/>
    <w:rsid w:val="004A55AC"/>
    <w:rsid w:val="004A5E2A"/>
    <w:rsid w:val="004A6AE4"/>
    <w:rsid w:val="004A70C4"/>
    <w:rsid w:val="004B290C"/>
    <w:rsid w:val="004B2E13"/>
    <w:rsid w:val="004B34CC"/>
    <w:rsid w:val="004B4FC8"/>
    <w:rsid w:val="004B5B51"/>
    <w:rsid w:val="004B735F"/>
    <w:rsid w:val="004C0598"/>
    <w:rsid w:val="004C0606"/>
    <w:rsid w:val="004C0F07"/>
    <w:rsid w:val="004C1080"/>
    <w:rsid w:val="004C2F1C"/>
    <w:rsid w:val="004C420B"/>
    <w:rsid w:val="004C6279"/>
    <w:rsid w:val="004C7869"/>
    <w:rsid w:val="004D24E9"/>
    <w:rsid w:val="004D3191"/>
    <w:rsid w:val="004D5FF9"/>
    <w:rsid w:val="004E0260"/>
    <w:rsid w:val="004E16EE"/>
    <w:rsid w:val="004E3F53"/>
    <w:rsid w:val="004E4897"/>
    <w:rsid w:val="004E6D10"/>
    <w:rsid w:val="004F11C4"/>
    <w:rsid w:val="004F17EA"/>
    <w:rsid w:val="004F275F"/>
    <w:rsid w:val="004F2B1B"/>
    <w:rsid w:val="004F4B94"/>
    <w:rsid w:val="004F70FF"/>
    <w:rsid w:val="004F77AB"/>
    <w:rsid w:val="004F7953"/>
    <w:rsid w:val="0050084D"/>
    <w:rsid w:val="00501E0F"/>
    <w:rsid w:val="00501E65"/>
    <w:rsid w:val="00505966"/>
    <w:rsid w:val="00506006"/>
    <w:rsid w:val="005061E4"/>
    <w:rsid w:val="0050754B"/>
    <w:rsid w:val="00507B53"/>
    <w:rsid w:val="005121ED"/>
    <w:rsid w:val="005128EA"/>
    <w:rsid w:val="005130D6"/>
    <w:rsid w:val="00514AC6"/>
    <w:rsid w:val="0051624B"/>
    <w:rsid w:val="00517A62"/>
    <w:rsid w:val="00520109"/>
    <w:rsid w:val="00520903"/>
    <w:rsid w:val="00521850"/>
    <w:rsid w:val="00522F73"/>
    <w:rsid w:val="00524038"/>
    <w:rsid w:val="0052467D"/>
    <w:rsid w:val="00524AA8"/>
    <w:rsid w:val="005260B9"/>
    <w:rsid w:val="00527393"/>
    <w:rsid w:val="0053103C"/>
    <w:rsid w:val="00532E4B"/>
    <w:rsid w:val="00534E66"/>
    <w:rsid w:val="00540693"/>
    <w:rsid w:val="005408A3"/>
    <w:rsid w:val="00540C53"/>
    <w:rsid w:val="00540EEE"/>
    <w:rsid w:val="00541692"/>
    <w:rsid w:val="005424B9"/>
    <w:rsid w:val="00543E05"/>
    <w:rsid w:val="005462B1"/>
    <w:rsid w:val="005525EA"/>
    <w:rsid w:val="005531AA"/>
    <w:rsid w:val="00554B28"/>
    <w:rsid w:val="00554CC1"/>
    <w:rsid w:val="00560A43"/>
    <w:rsid w:val="00563FA3"/>
    <w:rsid w:val="005644C8"/>
    <w:rsid w:val="00564E98"/>
    <w:rsid w:val="00565E93"/>
    <w:rsid w:val="00566018"/>
    <w:rsid w:val="00572F83"/>
    <w:rsid w:val="00573E06"/>
    <w:rsid w:val="005778C6"/>
    <w:rsid w:val="00583A7E"/>
    <w:rsid w:val="00584609"/>
    <w:rsid w:val="00586A0B"/>
    <w:rsid w:val="00586CF4"/>
    <w:rsid w:val="005913D0"/>
    <w:rsid w:val="00597BAA"/>
    <w:rsid w:val="00597D5D"/>
    <w:rsid w:val="005A1896"/>
    <w:rsid w:val="005A338B"/>
    <w:rsid w:val="005A3AC5"/>
    <w:rsid w:val="005A3BFE"/>
    <w:rsid w:val="005A407D"/>
    <w:rsid w:val="005A4A9A"/>
    <w:rsid w:val="005A5DAE"/>
    <w:rsid w:val="005A6A09"/>
    <w:rsid w:val="005A6C42"/>
    <w:rsid w:val="005B6646"/>
    <w:rsid w:val="005C2DFD"/>
    <w:rsid w:val="005C43C6"/>
    <w:rsid w:val="005C4BE7"/>
    <w:rsid w:val="005C61F4"/>
    <w:rsid w:val="005C7A87"/>
    <w:rsid w:val="005D0610"/>
    <w:rsid w:val="005D06F0"/>
    <w:rsid w:val="005D094A"/>
    <w:rsid w:val="005D276C"/>
    <w:rsid w:val="005D3B47"/>
    <w:rsid w:val="005D5B4B"/>
    <w:rsid w:val="005D72C5"/>
    <w:rsid w:val="005D733F"/>
    <w:rsid w:val="005E08BD"/>
    <w:rsid w:val="005E0F94"/>
    <w:rsid w:val="005E36D5"/>
    <w:rsid w:val="005E3A50"/>
    <w:rsid w:val="005E4874"/>
    <w:rsid w:val="005E4C23"/>
    <w:rsid w:val="005E4CF0"/>
    <w:rsid w:val="005E507D"/>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7D55"/>
    <w:rsid w:val="00617F06"/>
    <w:rsid w:val="006222B2"/>
    <w:rsid w:val="006240D8"/>
    <w:rsid w:val="00626132"/>
    <w:rsid w:val="006310A1"/>
    <w:rsid w:val="006317AC"/>
    <w:rsid w:val="0063318F"/>
    <w:rsid w:val="00633884"/>
    <w:rsid w:val="00634DDD"/>
    <w:rsid w:val="006361E3"/>
    <w:rsid w:val="00636320"/>
    <w:rsid w:val="0063730A"/>
    <w:rsid w:val="00641EF4"/>
    <w:rsid w:val="00642470"/>
    <w:rsid w:val="00642D90"/>
    <w:rsid w:val="00645DFC"/>
    <w:rsid w:val="0065019C"/>
    <w:rsid w:val="00656642"/>
    <w:rsid w:val="0066109E"/>
    <w:rsid w:val="00661A0C"/>
    <w:rsid w:val="00662188"/>
    <w:rsid w:val="00662BFF"/>
    <w:rsid w:val="006712A6"/>
    <w:rsid w:val="00671910"/>
    <w:rsid w:val="00671E4E"/>
    <w:rsid w:val="00673257"/>
    <w:rsid w:val="0067456E"/>
    <w:rsid w:val="00675133"/>
    <w:rsid w:val="00676037"/>
    <w:rsid w:val="006773A2"/>
    <w:rsid w:val="00677D9A"/>
    <w:rsid w:val="006802C1"/>
    <w:rsid w:val="00682E63"/>
    <w:rsid w:val="00685E6E"/>
    <w:rsid w:val="00686496"/>
    <w:rsid w:val="00690FE6"/>
    <w:rsid w:val="00691BD4"/>
    <w:rsid w:val="006940E7"/>
    <w:rsid w:val="00694141"/>
    <w:rsid w:val="006941C8"/>
    <w:rsid w:val="00697863"/>
    <w:rsid w:val="006A0D8A"/>
    <w:rsid w:val="006A36D7"/>
    <w:rsid w:val="006A3AD5"/>
    <w:rsid w:val="006A512F"/>
    <w:rsid w:val="006A70E2"/>
    <w:rsid w:val="006B4070"/>
    <w:rsid w:val="006B5E2B"/>
    <w:rsid w:val="006C1FAA"/>
    <w:rsid w:val="006C5DD9"/>
    <w:rsid w:val="006C605F"/>
    <w:rsid w:val="006C6A82"/>
    <w:rsid w:val="006D1F20"/>
    <w:rsid w:val="006D2BDD"/>
    <w:rsid w:val="006D4254"/>
    <w:rsid w:val="006D5F6F"/>
    <w:rsid w:val="006D6C3E"/>
    <w:rsid w:val="006D6CEA"/>
    <w:rsid w:val="006D70A7"/>
    <w:rsid w:val="006D745F"/>
    <w:rsid w:val="006D7881"/>
    <w:rsid w:val="006D7E56"/>
    <w:rsid w:val="006E01F0"/>
    <w:rsid w:val="006E23DE"/>
    <w:rsid w:val="006E32E7"/>
    <w:rsid w:val="006E3D3C"/>
    <w:rsid w:val="006E46A3"/>
    <w:rsid w:val="006E4DC3"/>
    <w:rsid w:val="006E58C1"/>
    <w:rsid w:val="006E7B3B"/>
    <w:rsid w:val="006F282A"/>
    <w:rsid w:val="006F33DD"/>
    <w:rsid w:val="006F35F8"/>
    <w:rsid w:val="006F443A"/>
    <w:rsid w:val="006F5502"/>
    <w:rsid w:val="006F5CE3"/>
    <w:rsid w:val="006F6420"/>
    <w:rsid w:val="007030A8"/>
    <w:rsid w:val="00704988"/>
    <w:rsid w:val="00705659"/>
    <w:rsid w:val="00707A8E"/>
    <w:rsid w:val="007106FE"/>
    <w:rsid w:val="00712F24"/>
    <w:rsid w:val="0071354E"/>
    <w:rsid w:val="00715FC7"/>
    <w:rsid w:val="007160B3"/>
    <w:rsid w:val="00716B72"/>
    <w:rsid w:val="00717394"/>
    <w:rsid w:val="007201DC"/>
    <w:rsid w:val="00720625"/>
    <w:rsid w:val="0072098B"/>
    <w:rsid w:val="00723D89"/>
    <w:rsid w:val="00724DC0"/>
    <w:rsid w:val="007261CF"/>
    <w:rsid w:val="00731B88"/>
    <w:rsid w:val="00732DEB"/>
    <w:rsid w:val="007362EB"/>
    <w:rsid w:val="00736B76"/>
    <w:rsid w:val="00736C03"/>
    <w:rsid w:val="007377F2"/>
    <w:rsid w:val="00737BC4"/>
    <w:rsid w:val="00737D3E"/>
    <w:rsid w:val="0074014A"/>
    <w:rsid w:val="007423F8"/>
    <w:rsid w:val="007431DE"/>
    <w:rsid w:val="00743EFE"/>
    <w:rsid w:val="00745349"/>
    <w:rsid w:val="0074534D"/>
    <w:rsid w:val="007511D5"/>
    <w:rsid w:val="007516D1"/>
    <w:rsid w:val="00751E85"/>
    <w:rsid w:val="0075213E"/>
    <w:rsid w:val="00753049"/>
    <w:rsid w:val="00756242"/>
    <w:rsid w:val="00756290"/>
    <w:rsid w:val="00756A19"/>
    <w:rsid w:val="0076108C"/>
    <w:rsid w:val="00761B5E"/>
    <w:rsid w:val="0076408A"/>
    <w:rsid w:val="00773DD9"/>
    <w:rsid w:val="00774BE7"/>
    <w:rsid w:val="00775304"/>
    <w:rsid w:val="00776A84"/>
    <w:rsid w:val="00777754"/>
    <w:rsid w:val="00781306"/>
    <w:rsid w:val="00781635"/>
    <w:rsid w:val="007836C8"/>
    <w:rsid w:val="007934F1"/>
    <w:rsid w:val="00794229"/>
    <w:rsid w:val="00795A1B"/>
    <w:rsid w:val="007970F0"/>
    <w:rsid w:val="007971F3"/>
    <w:rsid w:val="007A1BCA"/>
    <w:rsid w:val="007A30DD"/>
    <w:rsid w:val="007A4157"/>
    <w:rsid w:val="007B1141"/>
    <w:rsid w:val="007B24F7"/>
    <w:rsid w:val="007B3D33"/>
    <w:rsid w:val="007B4CFC"/>
    <w:rsid w:val="007B5C10"/>
    <w:rsid w:val="007B6FFE"/>
    <w:rsid w:val="007C393A"/>
    <w:rsid w:val="007C6C8E"/>
    <w:rsid w:val="007D09DC"/>
    <w:rsid w:val="007D6B06"/>
    <w:rsid w:val="007D76D7"/>
    <w:rsid w:val="007E11C0"/>
    <w:rsid w:val="007E249E"/>
    <w:rsid w:val="007E5ED7"/>
    <w:rsid w:val="007E6242"/>
    <w:rsid w:val="007E633B"/>
    <w:rsid w:val="007E6AD6"/>
    <w:rsid w:val="007F135A"/>
    <w:rsid w:val="007F5275"/>
    <w:rsid w:val="00800079"/>
    <w:rsid w:val="0080232E"/>
    <w:rsid w:val="00803CA0"/>
    <w:rsid w:val="008053FB"/>
    <w:rsid w:val="008059AC"/>
    <w:rsid w:val="00812789"/>
    <w:rsid w:val="00813EBF"/>
    <w:rsid w:val="00817D17"/>
    <w:rsid w:val="00824BA3"/>
    <w:rsid w:val="00825F4B"/>
    <w:rsid w:val="00826F86"/>
    <w:rsid w:val="00827624"/>
    <w:rsid w:val="00827C86"/>
    <w:rsid w:val="00831124"/>
    <w:rsid w:val="00831D3C"/>
    <w:rsid w:val="00831E9A"/>
    <w:rsid w:val="00833124"/>
    <w:rsid w:val="008360E0"/>
    <w:rsid w:val="0083623B"/>
    <w:rsid w:val="00841854"/>
    <w:rsid w:val="00842C8D"/>
    <w:rsid w:val="008434D2"/>
    <w:rsid w:val="00843565"/>
    <w:rsid w:val="00844CC3"/>
    <w:rsid w:val="00845BC3"/>
    <w:rsid w:val="00846E8D"/>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3354"/>
    <w:rsid w:val="00874481"/>
    <w:rsid w:val="00875D88"/>
    <w:rsid w:val="00881967"/>
    <w:rsid w:val="008835B5"/>
    <w:rsid w:val="0088605D"/>
    <w:rsid w:val="00887913"/>
    <w:rsid w:val="00890675"/>
    <w:rsid w:val="0089123B"/>
    <w:rsid w:val="00891BE7"/>
    <w:rsid w:val="00894526"/>
    <w:rsid w:val="00894946"/>
    <w:rsid w:val="0089506D"/>
    <w:rsid w:val="008968DF"/>
    <w:rsid w:val="00897F84"/>
    <w:rsid w:val="008A00BC"/>
    <w:rsid w:val="008A0B79"/>
    <w:rsid w:val="008A1687"/>
    <w:rsid w:val="008A2346"/>
    <w:rsid w:val="008A2DF5"/>
    <w:rsid w:val="008A3A73"/>
    <w:rsid w:val="008A43AD"/>
    <w:rsid w:val="008A4DBD"/>
    <w:rsid w:val="008A52D8"/>
    <w:rsid w:val="008A5E27"/>
    <w:rsid w:val="008A6FF9"/>
    <w:rsid w:val="008A721D"/>
    <w:rsid w:val="008B48E6"/>
    <w:rsid w:val="008B6A6F"/>
    <w:rsid w:val="008C01F4"/>
    <w:rsid w:val="008C0503"/>
    <w:rsid w:val="008C4A55"/>
    <w:rsid w:val="008C4E10"/>
    <w:rsid w:val="008C5E5E"/>
    <w:rsid w:val="008D08F5"/>
    <w:rsid w:val="008D0DDB"/>
    <w:rsid w:val="008D2350"/>
    <w:rsid w:val="008D56D6"/>
    <w:rsid w:val="008D579B"/>
    <w:rsid w:val="008D583E"/>
    <w:rsid w:val="008D7657"/>
    <w:rsid w:val="008E1CC8"/>
    <w:rsid w:val="008E24D8"/>
    <w:rsid w:val="008E2B39"/>
    <w:rsid w:val="008E3970"/>
    <w:rsid w:val="008E3AC0"/>
    <w:rsid w:val="008E6946"/>
    <w:rsid w:val="008E6E39"/>
    <w:rsid w:val="008E7705"/>
    <w:rsid w:val="008E77F4"/>
    <w:rsid w:val="008E7AF3"/>
    <w:rsid w:val="008E7E4D"/>
    <w:rsid w:val="008F1D1A"/>
    <w:rsid w:val="008F3218"/>
    <w:rsid w:val="008F35DB"/>
    <w:rsid w:val="008F39D3"/>
    <w:rsid w:val="008F4969"/>
    <w:rsid w:val="008F5129"/>
    <w:rsid w:val="008F540F"/>
    <w:rsid w:val="008F6393"/>
    <w:rsid w:val="00901E19"/>
    <w:rsid w:val="00901F49"/>
    <w:rsid w:val="00902FF9"/>
    <w:rsid w:val="00905EB8"/>
    <w:rsid w:val="00905F3A"/>
    <w:rsid w:val="009066B0"/>
    <w:rsid w:val="0090679B"/>
    <w:rsid w:val="0090782D"/>
    <w:rsid w:val="00912765"/>
    <w:rsid w:val="0091523F"/>
    <w:rsid w:val="0091558A"/>
    <w:rsid w:val="009167F2"/>
    <w:rsid w:val="00917058"/>
    <w:rsid w:val="00923C45"/>
    <w:rsid w:val="00924F7D"/>
    <w:rsid w:val="0092693D"/>
    <w:rsid w:val="00931102"/>
    <w:rsid w:val="009312BE"/>
    <w:rsid w:val="00932D4A"/>
    <w:rsid w:val="00936B7F"/>
    <w:rsid w:val="009415CD"/>
    <w:rsid w:val="0094334A"/>
    <w:rsid w:val="00943E2F"/>
    <w:rsid w:val="00944EC7"/>
    <w:rsid w:val="00952D0A"/>
    <w:rsid w:val="00953FD7"/>
    <w:rsid w:val="00954732"/>
    <w:rsid w:val="009551F9"/>
    <w:rsid w:val="00956BD2"/>
    <w:rsid w:val="0096092A"/>
    <w:rsid w:val="00962715"/>
    <w:rsid w:val="00963058"/>
    <w:rsid w:val="00963AE2"/>
    <w:rsid w:val="00963E96"/>
    <w:rsid w:val="00966C16"/>
    <w:rsid w:val="00966D12"/>
    <w:rsid w:val="00972F4C"/>
    <w:rsid w:val="00975F5E"/>
    <w:rsid w:val="00977612"/>
    <w:rsid w:val="009827FE"/>
    <w:rsid w:val="00983B09"/>
    <w:rsid w:val="0098541A"/>
    <w:rsid w:val="00990860"/>
    <w:rsid w:val="00990FC4"/>
    <w:rsid w:val="00991360"/>
    <w:rsid w:val="00991FDD"/>
    <w:rsid w:val="00992009"/>
    <w:rsid w:val="0099513B"/>
    <w:rsid w:val="009965B4"/>
    <w:rsid w:val="00996B48"/>
    <w:rsid w:val="009A1269"/>
    <w:rsid w:val="009A19C4"/>
    <w:rsid w:val="009A453C"/>
    <w:rsid w:val="009B1744"/>
    <w:rsid w:val="009B1EE9"/>
    <w:rsid w:val="009B3DAC"/>
    <w:rsid w:val="009B568A"/>
    <w:rsid w:val="009C08B5"/>
    <w:rsid w:val="009C4545"/>
    <w:rsid w:val="009C4DFC"/>
    <w:rsid w:val="009D0944"/>
    <w:rsid w:val="009D281A"/>
    <w:rsid w:val="009D6D2E"/>
    <w:rsid w:val="009D753B"/>
    <w:rsid w:val="009E0CEB"/>
    <w:rsid w:val="009E206F"/>
    <w:rsid w:val="009E60E1"/>
    <w:rsid w:val="009E6C5E"/>
    <w:rsid w:val="009E7717"/>
    <w:rsid w:val="009E7FF1"/>
    <w:rsid w:val="009F142B"/>
    <w:rsid w:val="009F23CB"/>
    <w:rsid w:val="009F399F"/>
    <w:rsid w:val="009F5722"/>
    <w:rsid w:val="009F7176"/>
    <w:rsid w:val="00A02072"/>
    <w:rsid w:val="00A0334B"/>
    <w:rsid w:val="00A04A98"/>
    <w:rsid w:val="00A11D46"/>
    <w:rsid w:val="00A163D9"/>
    <w:rsid w:val="00A23452"/>
    <w:rsid w:val="00A24AF0"/>
    <w:rsid w:val="00A2613D"/>
    <w:rsid w:val="00A26499"/>
    <w:rsid w:val="00A27F81"/>
    <w:rsid w:val="00A30636"/>
    <w:rsid w:val="00A30F0D"/>
    <w:rsid w:val="00A31338"/>
    <w:rsid w:val="00A32258"/>
    <w:rsid w:val="00A3356F"/>
    <w:rsid w:val="00A34220"/>
    <w:rsid w:val="00A34264"/>
    <w:rsid w:val="00A342A5"/>
    <w:rsid w:val="00A3568B"/>
    <w:rsid w:val="00A377AE"/>
    <w:rsid w:val="00A426CE"/>
    <w:rsid w:val="00A428B2"/>
    <w:rsid w:val="00A42D10"/>
    <w:rsid w:val="00A4509D"/>
    <w:rsid w:val="00A46303"/>
    <w:rsid w:val="00A50CD4"/>
    <w:rsid w:val="00A52FAE"/>
    <w:rsid w:val="00A53909"/>
    <w:rsid w:val="00A54A4A"/>
    <w:rsid w:val="00A5623C"/>
    <w:rsid w:val="00A57A10"/>
    <w:rsid w:val="00A57F06"/>
    <w:rsid w:val="00A600FC"/>
    <w:rsid w:val="00A606F7"/>
    <w:rsid w:val="00A60884"/>
    <w:rsid w:val="00A610CB"/>
    <w:rsid w:val="00A63BA3"/>
    <w:rsid w:val="00A643D6"/>
    <w:rsid w:val="00A64DC1"/>
    <w:rsid w:val="00A6623B"/>
    <w:rsid w:val="00A669EE"/>
    <w:rsid w:val="00A7058C"/>
    <w:rsid w:val="00A70B39"/>
    <w:rsid w:val="00A72224"/>
    <w:rsid w:val="00A76B61"/>
    <w:rsid w:val="00A77381"/>
    <w:rsid w:val="00A85598"/>
    <w:rsid w:val="00A856B0"/>
    <w:rsid w:val="00A8607A"/>
    <w:rsid w:val="00A86D8D"/>
    <w:rsid w:val="00A900F6"/>
    <w:rsid w:val="00A90530"/>
    <w:rsid w:val="00A917A9"/>
    <w:rsid w:val="00A919EA"/>
    <w:rsid w:val="00A91A2A"/>
    <w:rsid w:val="00A94B87"/>
    <w:rsid w:val="00A9750F"/>
    <w:rsid w:val="00AA599A"/>
    <w:rsid w:val="00AA5E2F"/>
    <w:rsid w:val="00AB5812"/>
    <w:rsid w:val="00AB5BFC"/>
    <w:rsid w:val="00AB7845"/>
    <w:rsid w:val="00AC135D"/>
    <w:rsid w:val="00AC2072"/>
    <w:rsid w:val="00AC40DC"/>
    <w:rsid w:val="00AC4ECB"/>
    <w:rsid w:val="00AD3F9D"/>
    <w:rsid w:val="00AD4746"/>
    <w:rsid w:val="00AD5010"/>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860"/>
    <w:rsid w:val="00B04D19"/>
    <w:rsid w:val="00B05A10"/>
    <w:rsid w:val="00B0677C"/>
    <w:rsid w:val="00B0691A"/>
    <w:rsid w:val="00B07C49"/>
    <w:rsid w:val="00B10FCB"/>
    <w:rsid w:val="00B11252"/>
    <w:rsid w:val="00B1153E"/>
    <w:rsid w:val="00B1358E"/>
    <w:rsid w:val="00B145B3"/>
    <w:rsid w:val="00B152AE"/>
    <w:rsid w:val="00B16649"/>
    <w:rsid w:val="00B17C41"/>
    <w:rsid w:val="00B17FDB"/>
    <w:rsid w:val="00B24B51"/>
    <w:rsid w:val="00B24D69"/>
    <w:rsid w:val="00B31B92"/>
    <w:rsid w:val="00B320D9"/>
    <w:rsid w:val="00B32135"/>
    <w:rsid w:val="00B321D4"/>
    <w:rsid w:val="00B32676"/>
    <w:rsid w:val="00B330B9"/>
    <w:rsid w:val="00B33559"/>
    <w:rsid w:val="00B341A3"/>
    <w:rsid w:val="00B3495F"/>
    <w:rsid w:val="00B34AF6"/>
    <w:rsid w:val="00B34CBF"/>
    <w:rsid w:val="00B37C7C"/>
    <w:rsid w:val="00B40DAD"/>
    <w:rsid w:val="00B42361"/>
    <w:rsid w:val="00B429D4"/>
    <w:rsid w:val="00B433E4"/>
    <w:rsid w:val="00B458D2"/>
    <w:rsid w:val="00B46541"/>
    <w:rsid w:val="00B4660F"/>
    <w:rsid w:val="00B5191C"/>
    <w:rsid w:val="00B556DA"/>
    <w:rsid w:val="00B5758A"/>
    <w:rsid w:val="00B6338C"/>
    <w:rsid w:val="00B6355E"/>
    <w:rsid w:val="00B64471"/>
    <w:rsid w:val="00B65B84"/>
    <w:rsid w:val="00B7272A"/>
    <w:rsid w:val="00B73133"/>
    <w:rsid w:val="00B74629"/>
    <w:rsid w:val="00B75F90"/>
    <w:rsid w:val="00B8036D"/>
    <w:rsid w:val="00B803D5"/>
    <w:rsid w:val="00B82C78"/>
    <w:rsid w:val="00B84A5C"/>
    <w:rsid w:val="00B87124"/>
    <w:rsid w:val="00B92D10"/>
    <w:rsid w:val="00B93671"/>
    <w:rsid w:val="00B93841"/>
    <w:rsid w:val="00B948D2"/>
    <w:rsid w:val="00B95598"/>
    <w:rsid w:val="00BA478A"/>
    <w:rsid w:val="00BA66F5"/>
    <w:rsid w:val="00BA726F"/>
    <w:rsid w:val="00BC2111"/>
    <w:rsid w:val="00BC6272"/>
    <w:rsid w:val="00BD0FA0"/>
    <w:rsid w:val="00BD0FD6"/>
    <w:rsid w:val="00BD284B"/>
    <w:rsid w:val="00BD2B98"/>
    <w:rsid w:val="00BD2F6E"/>
    <w:rsid w:val="00BD7382"/>
    <w:rsid w:val="00BD7BD3"/>
    <w:rsid w:val="00BE0D0E"/>
    <w:rsid w:val="00BE1037"/>
    <w:rsid w:val="00BE379A"/>
    <w:rsid w:val="00BE395D"/>
    <w:rsid w:val="00BE482D"/>
    <w:rsid w:val="00BE5DB7"/>
    <w:rsid w:val="00BE6BFB"/>
    <w:rsid w:val="00BF0159"/>
    <w:rsid w:val="00BF3308"/>
    <w:rsid w:val="00BF5B8B"/>
    <w:rsid w:val="00C00CF3"/>
    <w:rsid w:val="00C01B41"/>
    <w:rsid w:val="00C03495"/>
    <w:rsid w:val="00C104FE"/>
    <w:rsid w:val="00C118F2"/>
    <w:rsid w:val="00C11946"/>
    <w:rsid w:val="00C1385A"/>
    <w:rsid w:val="00C20CDA"/>
    <w:rsid w:val="00C20DC3"/>
    <w:rsid w:val="00C216FA"/>
    <w:rsid w:val="00C221F5"/>
    <w:rsid w:val="00C2421A"/>
    <w:rsid w:val="00C27D33"/>
    <w:rsid w:val="00C31286"/>
    <w:rsid w:val="00C31A5B"/>
    <w:rsid w:val="00C32478"/>
    <w:rsid w:val="00C34C0E"/>
    <w:rsid w:val="00C35EF2"/>
    <w:rsid w:val="00C403B4"/>
    <w:rsid w:val="00C406DE"/>
    <w:rsid w:val="00C411FE"/>
    <w:rsid w:val="00C41B61"/>
    <w:rsid w:val="00C434F9"/>
    <w:rsid w:val="00C447AD"/>
    <w:rsid w:val="00C45CC3"/>
    <w:rsid w:val="00C45CCE"/>
    <w:rsid w:val="00C46170"/>
    <w:rsid w:val="00C4634D"/>
    <w:rsid w:val="00C467CA"/>
    <w:rsid w:val="00C467D4"/>
    <w:rsid w:val="00C46941"/>
    <w:rsid w:val="00C47381"/>
    <w:rsid w:val="00C47FAD"/>
    <w:rsid w:val="00C5278E"/>
    <w:rsid w:val="00C538D8"/>
    <w:rsid w:val="00C550EA"/>
    <w:rsid w:val="00C57F0D"/>
    <w:rsid w:val="00C63AA7"/>
    <w:rsid w:val="00C666AF"/>
    <w:rsid w:val="00C711DA"/>
    <w:rsid w:val="00C718DA"/>
    <w:rsid w:val="00C72BBA"/>
    <w:rsid w:val="00C73873"/>
    <w:rsid w:val="00C75FCC"/>
    <w:rsid w:val="00C80322"/>
    <w:rsid w:val="00C8433A"/>
    <w:rsid w:val="00C86431"/>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28AF"/>
    <w:rsid w:val="00CB4E0C"/>
    <w:rsid w:val="00CB6814"/>
    <w:rsid w:val="00CB7943"/>
    <w:rsid w:val="00CC0DD8"/>
    <w:rsid w:val="00CD056E"/>
    <w:rsid w:val="00CD0B50"/>
    <w:rsid w:val="00CD1405"/>
    <w:rsid w:val="00CD518F"/>
    <w:rsid w:val="00CE192F"/>
    <w:rsid w:val="00CE2A7F"/>
    <w:rsid w:val="00CE3610"/>
    <w:rsid w:val="00CE5CE6"/>
    <w:rsid w:val="00CF00CF"/>
    <w:rsid w:val="00CF24CD"/>
    <w:rsid w:val="00CF2922"/>
    <w:rsid w:val="00CF3D00"/>
    <w:rsid w:val="00CF5221"/>
    <w:rsid w:val="00CF5822"/>
    <w:rsid w:val="00CF5841"/>
    <w:rsid w:val="00CF5A9B"/>
    <w:rsid w:val="00CF61A2"/>
    <w:rsid w:val="00CF6672"/>
    <w:rsid w:val="00D03A5F"/>
    <w:rsid w:val="00D04F6A"/>
    <w:rsid w:val="00D07E6A"/>
    <w:rsid w:val="00D11E74"/>
    <w:rsid w:val="00D11FEB"/>
    <w:rsid w:val="00D144A4"/>
    <w:rsid w:val="00D20423"/>
    <w:rsid w:val="00D20698"/>
    <w:rsid w:val="00D22435"/>
    <w:rsid w:val="00D23711"/>
    <w:rsid w:val="00D25823"/>
    <w:rsid w:val="00D2649F"/>
    <w:rsid w:val="00D2742F"/>
    <w:rsid w:val="00D309E0"/>
    <w:rsid w:val="00D34D79"/>
    <w:rsid w:val="00D36CA4"/>
    <w:rsid w:val="00D37896"/>
    <w:rsid w:val="00D4181C"/>
    <w:rsid w:val="00D41A30"/>
    <w:rsid w:val="00D469E3"/>
    <w:rsid w:val="00D52ABB"/>
    <w:rsid w:val="00D5313C"/>
    <w:rsid w:val="00D532DC"/>
    <w:rsid w:val="00D53C62"/>
    <w:rsid w:val="00D62F5A"/>
    <w:rsid w:val="00D63557"/>
    <w:rsid w:val="00D63E9B"/>
    <w:rsid w:val="00D71C75"/>
    <w:rsid w:val="00D76AAD"/>
    <w:rsid w:val="00D76DCC"/>
    <w:rsid w:val="00D82A70"/>
    <w:rsid w:val="00D82B55"/>
    <w:rsid w:val="00D83702"/>
    <w:rsid w:val="00D838C4"/>
    <w:rsid w:val="00D85B99"/>
    <w:rsid w:val="00D863D3"/>
    <w:rsid w:val="00D96BC4"/>
    <w:rsid w:val="00D96DF5"/>
    <w:rsid w:val="00DA01F4"/>
    <w:rsid w:val="00DA0F8B"/>
    <w:rsid w:val="00DA4C8E"/>
    <w:rsid w:val="00DA704B"/>
    <w:rsid w:val="00DB4FE0"/>
    <w:rsid w:val="00DB5EFB"/>
    <w:rsid w:val="00DB75E1"/>
    <w:rsid w:val="00DC60E2"/>
    <w:rsid w:val="00DC61A2"/>
    <w:rsid w:val="00DD0B73"/>
    <w:rsid w:val="00DD139E"/>
    <w:rsid w:val="00DD4DA6"/>
    <w:rsid w:val="00DD7AA4"/>
    <w:rsid w:val="00DE1C7B"/>
    <w:rsid w:val="00DE33B8"/>
    <w:rsid w:val="00DE370C"/>
    <w:rsid w:val="00DE48BE"/>
    <w:rsid w:val="00DE4ACD"/>
    <w:rsid w:val="00DE5489"/>
    <w:rsid w:val="00DF25A4"/>
    <w:rsid w:val="00DF4AC7"/>
    <w:rsid w:val="00DF568A"/>
    <w:rsid w:val="00DF5E31"/>
    <w:rsid w:val="00DF5EF4"/>
    <w:rsid w:val="00DF72F3"/>
    <w:rsid w:val="00E00230"/>
    <w:rsid w:val="00E00442"/>
    <w:rsid w:val="00E015B8"/>
    <w:rsid w:val="00E02445"/>
    <w:rsid w:val="00E02F88"/>
    <w:rsid w:val="00E043C4"/>
    <w:rsid w:val="00E047E9"/>
    <w:rsid w:val="00E0521D"/>
    <w:rsid w:val="00E074E3"/>
    <w:rsid w:val="00E12CA3"/>
    <w:rsid w:val="00E13B7B"/>
    <w:rsid w:val="00E142EC"/>
    <w:rsid w:val="00E158DF"/>
    <w:rsid w:val="00E2203D"/>
    <w:rsid w:val="00E220AD"/>
    <w:rsid w:val="00E222BB"/>
    <w:rsid w:val="00E26258"/>
    <w:rsid w:val="00E27FFC"/>
    <w:rsid w:val="00E335F8"/>
    <w:rsid w:val="00E3454D"/>
    <w:rsid w:val="00E352D8"/>
    <w:rsid w:val="00E36D56"/>
    <w:rsid w:val="00E377AA"/>
    <w:rsid w:val="00E41613"/>
    <w:rsid w:val="00E4166F"/>
    <w:rsid w:val="00E41BB3"/>
    <w:rsid w:val="00E42966"/>
    <w:rsid w:val="00E47E16"/>
    <w:rsid w:val="00E52B88"/>
    <w:rsid w:val="00E53B43"/>
    <w:rsid w:val="00E53BC4"/>
    <w:rsid w:val="00E54558"/>
    <w:rsid w:val="00E55296"/>
    <w:rsid w:val="00E603BE"/>
    <w:rsid w:val="00E61C1E"/>
    <w:rsid w:val="00E61E3D"/>
    <w:rsid w:val="00E61F16"/>
    <w:rsid w:val="00E65C58"/>
    <w:rsid w:val="00E67755"/>
    <w:rsid w:val="00E67830"/>
    <w:rsid w:val="00E67A45"/>
    <w:rsid w:val="00E72CDA"/>
    <w:rsid w:val="00E76BD1"/>
    <w:rsid w:val="00E77098"/>
    <w:rsid w:val="00E7793E"/>
    <w:rsid w:val="00E7794B"/>
    <w:rsid w:val="00E77A8F"/>
    <w:rsid w:val="00E804F0"/>
    <w:rsid w:val="00E8474D"/>
    <w:rsid w:val="00E87046"/>
    <w:rsid w:val="00E87FB2"/>
    <w:rsid w:val="00E932E8"/>
    <w:rsid w:val="00E9569E"/>
    <w:rsid w:val="00E959BD"/>
    <w:rsid w:val="00E96851"/>
    <w:rsid w:val="00EA0351"/>
    <w:rsid w:val="00EA151B"/>
    <w:rsid w:val="00EA1694"/>
    <w:rsid w:val="00EA28DD"/>
    <w:rsid w:val="00EA2ADC"/>
    <w:rsid w:val="00EA3777"/>
    <w:rsid w:val="00EA3B04"/>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5DBC"/>
    <w:rsid w:val="00ED343A"/>
    <w:rsid w:val="00ED364A"/>
    <w:rsid w:val="00ED6823"/>
    <w:rsid w:val="00ED7690"/>
    <w:rsid w:val="00EE137A"/>
    <w:rsid w:val="00EE1A08"/>
    <w:rsid w:val="00EE22E1"/>
    <w:rsid w:val="00EE3199"/>
    <w:rsid w:val="00EE34D1"/>
    <w:rsid w:val="00EF142F"/>
    <w:rsid w:val="00EF21BC"/>
    <w:rsid w:val="00EF22DA"/>
    <w:rsid w:val="00EF3B04"/>
    <w:rsid w:val="00EF431B"/>
    <w:rsid w:val="00EF4920"/>
    <w:rsid w:val="00EF72B0"/>
    <w:rsid w:val="00EF7E8F"/>
    <w:rsid w:val="00F00C40"/>
    <w:rsid w:val="00F00CD5"/>
    <w:rsid w:val="00F01245"/>
    <w:rsid w:val="00F03EE5"/>
    <w:rsid w:val="00F04A79"/>
    <w:rsid w:val="00F05DE8"/>
    <w:rsid w:val="00F06310"/>
    <w:rsid w:val="00F12F9E"/>
    <w:rsid w:val="00F15297"/>
    <w:rsid w:val="00F21CF6"/>
    <w:rsid w:val="00F228CA"/>
    <w:rsid w:val="00F23427"/>
    <w:rsid w:val="00F26EAA"/>
    <w:rsid w:val="00F30D37"/>
    <w:rsid w:val="00F378B0"/>
    <w:rsid w:val="00F37E2C"/>
    <w:rsid w:val="00F413E2"/>
    <w:rsid w:val="00F426EE"/>
    <w:rsid w:val="00F43176"/>
    <w:rsid w:val="00F4439D"/>
    <w:rsid w:val="00F44CFD"/>
    <w:rsid w:val="00F456C2"/>
    <w:rsid w:val="00F4570D"/>
    <w:rsid w:val="00F5180C"/>
    <w:rsid w:val="00F51B36"/>
    <w:rsid w:val="00F521F4"/>
    <w:rsid w:val="00F54121"/>
    <w:rsid w:val="00F548F8"/>
    <w:rsid w:val="00F54AC6"/>
    <w:rsid w:val="00F57008"/>
    <w:rsid w:val="00F61E91"/>
    <w:rsid w:val="00F73987"/>
    <w:rsid w:val="00F75DFC"/>
    <w:rsid w:val="00F7694A"/>
    <w:rsid w:val="00F80CD3"/>
    <w:rsid w:val="00F80FDF"/>
    <w:rsid w:val="00F86B8A"/>
    <w:rsid w:val="00F86FC4"/>
    <w:rsid w:val="00F873A9"/>
    <w:rsid w:val="00F8787B"/>
    <w:rsid w:val="00F87E94"/>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6E4F"/>
    <w:rsid w:val="00FA70A7"/>
    <w:rsid w:val="00FB0D80"/>
    <w:rsid w:val="00FB1992"/>
    <w:rsid w:val="00FB1F67"/>
    <w:rsid w:val="00FB4BB4"/>
    <w:rsid w:val="00FB55BD"/>
    <w:rsid w:val="00FC3975"/>
    <w:rsid w:val="00FC53F3"/>
    <w:rsid w:val="00FC6F59"/>
    <w:rsid w:val="00FD0C75"/>
    <w:rsid w:val="00FD0C89"/>
    <w:rsid w:val="00FD125F"/>
    <w:rsid w:val="00FD188C"/>
    <w:rsid w:val="00FD2E83"/>
    <w:rsid w:val="00FD3305"/>
    <w:rsid w:val="00FD49E9"/>
    <w:rsid w:val="00FD6185"/>
    <w:rsid w:val="00FE05A8"/>
    <w:rsid w:val="00FE09D2"/>
    <w:rsid w:val="00FE49AA"/>
    <w:rsid w:val="00FF26F3"/>
    <w:rsid w:val="00FF2D34"/>
    <w:rsid w:val="00FF4113"/>
    <w:rsid w:val="00FF4458"/>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character" w:styleId="CommentReference">
    <w:name w:val="annotation reference"/>
    <w:basedOn w:val="DefaultParagraphFont"/>
    <w:semiHidden/>
    <w:unhideWhenUsed/>
    <w:rsid w:val="000E02AC"/>
    <w:rPr>
      <w:sz w:val="16"/>
      <w:szCs w:val="16"/>
    </w:rPr>
  </w:style>
  <w:style w:type="paragraph" w:styleId="CommentText">
    <w:name w:val="annotation text"/>
    <w:basedOn w:val="Normal"/>
    <w:link w:val="CommentTextChar"/>
    <w:semiHidden/>
    <w:unhideWhenUsed/>
    <w:rsid w:val="000E02AC"/>
    <w:rPr>
      <w:sz w:val="20"/>
      <w:szCs w:val="20"/>
    </w:rPr>
  </w:style>
  <w:style w:type="character" w:customStyle="1" w:styleId="CommentTextChar">
    <w:name w:val="Comment Text Char"/>
    <w:basedOn w:val="DefaultParagraphFont"/>
    <w:link w:val="CommentText"/>
    <w:semiHidden/>
    <w:rsid w:val="000E02AC"/>
    <w:rPr>
      <w:lang w:eastAsia="bg-BG"/>
    </w:rPr>
  </w:style>
  <w:style w:type="paragraph" w:styleId="CommentSubject">
    <w:name w:val="annotation subject"/>
    <w:basedOn w:val="CommentText"/>
    <w:next w:val="CommentText"/>
    <w:link w:val="CommentSubjectChar"/>
    <w:semiHidden/>
    <w:unhideWhenUsed/>
    <w:rsid w:val="000E02AC"/>
    <w:rPr>
      <w:b/>
      <w:bCs/>
    </w:rPr>
  </w:style>
  <w:style w:type="character" w:customStyle="1" w:styleId="CommentSubjectChar">
    <w:name w:val="Comment Subject Char"/>
    <w:basedOn w:val="CommentTextChar"/>
    <w:link w:val="CommentSubject"/>
    <w:semiHidden/>
    <w:rsid w:val="000E02AC"/>
    <w:rPr>
      <w:b/>
      <w:bCs/>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C9A5-6B60-472B-AC42-7F124D67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10746</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2020-09-29T07:11:00Z</dcterms:created>
  <dcterms:modified xsi:type="dcterms:W3CDTF">2020-10-01T05:17:00Z</dcterms:modified>
</cp:coreProperties>
</file>