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E9C11" w14:textId="77777777" w:rsidR="00733228" w:rsidRDefault="00733228" w:rsidP="007B0E3A">
      <w:pPr>
        <w:keepNext/>
        <w:keepLines/>
        <w:jc w:val="both"/>
        <w:rPr>
          <w:rFonts w:eastAsia="Calibri"/>
          <w:b/>
          <w:bCs/>
          <w:color w:val="2E74B5"/>
        </w:rPr>
      </w:pPr>
    </w:p>
    <w:p w14:paraId="49C5E595" w14:textId="77777777" w:rsidR="00CD649E" w:rsidRDefault="00CD649E" w:rsidP="007B0E3A">
      <w:pPr>
        <w:keepNext/>
        <w:keepLines/>
        <w:jc w:val="both"/>
        <w:rPr>
          <w:rFonts w:eastAsia="Calibri"/>
          <w:b/>
          <w:bCs/>
          <w:color w:val="2E74B5"/>
        </w:rPr>
      </w:pPr>
    </w:p>
    <w:p w14:paraId="480561D1" w14:textId="77777777" w:rsidR="00CD649E" w:rsidRDefault="00104EAE" w:rsidP="00CD649E">
      <w:pPr>
        <w:keepNext/>
        <w:keepLines/>
        <w:jc w:val="right"/>
        <w:rPr>
          <w:rFonts w:eastAsia="Calibri"/>
          <w:b/>
          <w:bCs/>
          <w:color w:val="2E74B5"/>
        </w:rPr>
      </w:pPr>
      <w:r>
        <w:rPr>
          <w:rFonts w:eastAsia="Calibri"/>
          <w:b/>
          <w:bCs/>
          <w:color w:val="2E74B5"/>
        </w:rPr>
        <w:t xml:space="preserve">Приложение </w:t>
      </w:r>
      <w:r w:rsidR="00CD649E">
        <w:rPr>
          <w:rFonts w:eastAsia="Calibri"/>
          <w:b/>
          <w:bCs/>
          <w:color w:val="2E74B5"/>
        </w:rPr>
        <w:t>2</w:t>
      </w:r>
    </w:p>
    <w:p w14:paraId="11865CDB" w14:textId="77777777" w:rsidR="00CD649E" w:rsidRPr="00917F81" w:rsidRDefault="00CD649E" w:rsidP="00F04ED2">
      <w:pPr>
        <w:jc w:val="right"/>
        <w:rPr>
          <w:rFonts w:eastAsia="Calibri"/>
          <w:b/>
          <w:bCs/>
          <w:color w:val="2E74B5"/>
        </w:rPr>
      </w:pPr>
      <w:r w:rsidRPr="00917F81">
        <w:rPr>
          <w:rFonts w:eastAsia="Calibri"/>
          <w:b/>
          <w:bCs/>
          <w:color w:val="2E74B5"/>
        </w:rPr>
        <w:t xml:space="preserve">към Заповед </w:t>
      </w:r>
      <w:r w:rsidRPr="00F04ED2">
        <w:rPr>
          <w:rFonts w:eastAsia="Calibri"/>
          <w:b/>
          <w:bCs/>
          <w:color w:val="2E74B5"/>
        </w:rPr>
        <w:t>№МДР-ПП-</w:t>
      </w:r>
      <w:r w:rsidR="00F04ED2" w:rsidRPr="00F04ED2">
        <w:rPr>
          <w:rFonts w:eastAsia="Calibri"/>
          <w:b/>
          <w:bCs/>
          <w:color w:val="2E74B5"/>
        </w:rPr>
        <w:t>………..</w:t>
      </w:r>
    </w:p>
    <w:p w14:paraId="6AA4ED6F" w14:textId="77777777" w:rsidR="00CD649E" w:rsidRDefault="00CD649E" w:rsidP="007B0E3A">
      <w:pPr>
        <w:keepNext/>
        <w:keepLines/>
        <w:jc w:val="both"/>
        <w:rPr>
          <w:rFonts w:eastAsia="Calibri"/>
          <w:b/>
          <w:bCs/>
          <w:color w:val="2E74B5"/>
        </w:rPr>
      </w:pPr>
    </w:p>
    <w:p w14:paraId="5435BE26" w14:textId="77777777" w:rsidR="00CD649E" w:rsidRDefault="00CD649E" w:rsidP="007B0E3A">
      <w:pPr>
        <w:keepNext/>
        <w:keepLines/>
        <w:jc w:val="both"/>
        <w:rPr>
          <w:rFonts w:eastAsia="Calibri"/>
          <w:b/>
          <w:bCs/>
          <w:color w:val="2E74B5"/>
        </w:rPr>
      </w:pPr>
    </w:p>
    <w:p w14:paraId="2CCC9731" w14:textId="77777777" w:rsidR="00CD649E" w:rsidRDefault="00CD649E" w:rsidP="007B0E3A">
      <w:pPr>
        <w:keepNext/>
        <w:keepLines/>
        <w:jc w:val="both"/>
        <w:rPr>
          <w:rFonts w:eastAsia="Calibri"/>
          <w:b/>
          <w:bCs/>
          <w:color w:val="2E74B5"/>
        </w:rPr>
      </w:pPr>
    </w:p>
    <w:p w14:paraId="3FD0EF0B" w14:textId="77777777" w:rsidR="00CD649E" w:rsidRPr="00741B6C" w:rsidRDefault="00CD649E" w:rsidP="007B0E3A">
      <w:pPr>
        <w:keepNext/>
        <w:keepLines/>
        <w:jc w:val="both"/>
        <w:rPr>
          <w:rFonts w:eastAsia="Calibri"/>
          <w:b/>
          <w:bCs/>
          <w:color w:val="2E74B5"/>
        </w:rPr>
      </w:pPr>
    </w:p>
    <w:p w14:paraId="4D6F5455" w14:textId="77777777" w:rsidR="002B2A1C" w:rsidRPr="002B2A1C" w:rsidRDefault="002B2A1C" w:rsidP="002B2A1C">
      <w:pPr>
        <w:keepNext/>
        <w:keepLines/>
        <w:jc w:val="center"/>
        <w:rPr>
          <w:rFonts w:eastAsia="Calibri"/>
          <w:b/>
          <w:bCs/>
          <w:color w:val="2E74B5"/>
        </w:rPr>
      </w:pPr>
      <w:r w:rsidRPr="002B2A1C">
        <w:rPr>
          <w:rFonts w:eastAsia="Calibri"/>
          <w:b/>
          <w:bCs/>
          <w:color w:val="2E74B5"/>
        </w:rPr>
        <w:t>МЕСТНА ИНИЦИАТИВНА РИБАРСКА ГРУПА БУРГАС-КАМЕНО</w:t>
      </w:r>
    </w:p>
    <w:p w14:paraId="43032AD4" w14:textId="77777777" w:rsidR="002B2A1C" w:rsidRPr="002B2A1C" w:rsidRDefault="002B2A1C" w:rsidP="002B2A1C">
      <w:pPr>
        <w:keepNext/>
        <w:keepLines/>
        <w:jc w:val="center"/>
        <w:rPr>
          <w:rFonts w:eastAsia="Calibri"/>
          <w:b/>
          <w:bCs/>
          <w:color w:val="2E74B5"/>
        </w:rPr>
      </w:pPr>
    </w:p>
    <w:p w14:paraId="6B8EDAB5" w14:textId="77777777" w:rsidR="002B2A1C" w:rsidRPr="002B2A1C" w:rsidRDefault="002B2A1C" w:rsidP="002B2A1C">
      <w:pPr>
        <w:keepNext/>
        <w:keepLines/>
        <w:jc w:val="center"/>
        <w:rPr>
          <w:rFonts w:eastAsia="Calibri"/>
          <w:b/>
          <w:bCs/>
          <w:color w:val="2E74B5"/>
        </w:rPr>
      </w:pPr>
      <w:r w:rsidRPr="002B2A1C">
        <w:rPr>
          <w:rFonts w:eastAsia="Calibri"/>
          <w:b/>
          <w:bCs/>
          <w:color w:val="2E74B5"/>
        </w:rPr>
        <w:t>УСЛОВИЯ ЗА ИЗПЪЛНЕНИЕ</w:t>
      </w:r>
    </w:p>
    <w:p w14:paraId="62694DD5" w14:textId="77777777" w:rsidR="002B2A1C" w:rsidRPr="002B2A1C" w:rsidRDefault="002B2A1C" w:rsidP="002B2A1C">
      <w:pPr>
        <w:keepNext/>
        <w:keepLines/>
        <w:jc w:val="center"/>
        <w:rPr>
          <w:rFonts w:eastAsia="Calibri"/>
          <w:b/>
          <w:bCs/>
          <w:color w:val="2E74B5"/>
        </w:rPr>
      </w:pPr>
      <w:r w:rsidRPr="002B2A1C">
        <w:rPr>
          <w:rFonts w:eastAsia="Calibri"/>
          <w:b/>
          <w:bCs/>
          <w:color w:val="2E74B5"/>
        </w:rPr>
        <w:t xml:space="preserve">на проекти по </w:t>
      </w:r>
    </w:p>
    <w:p w14:paraId="7CDBDCC9" w14:textId="77777777" w:rsidR="002B2A1C" w:rsidRPr="002B2A1C" w:rsidRDefault="002B2A1C" w:rsidP="002B2A1C">
      <w:pPr>
        <w:keepNext/>
        <w:keepLines/>
        <w:jc w:val="center"/>
        <w:rPr>
          <w:rFonts w:eastAsia="Calibri"/>
          <w:b/>
          <w:bCs/>
          <w:color w:val="2E74B5"/>
        </w:rPr>
      </w:pPr>
      <w:r w:rsidRPr="002B2A1C">
        <w:rPr>
          <w:rFonts w:eastAsia="Calibri"/>
          <w:b/>
          <w:bCs/>
          <w:color w:val="2E74B5"/>
        </w:rPr>
        <w:t>СВОМР НА МИРГ БУРГАС-КАМЕНО</w:t>
      </w:r>
    </w:p>
    <w:p w14:paraId="19B20741" w14:textId="77777777" w:rsidR="002B2A1C" w:rsidRPr="002B2A1C" w:rsidRDefault="002B2A1C" w:rsidP="002B2A1C">
      <w:pPr>
        <w:keepNext/>
        <w:keepLines/>
        <w:jc w:val="center"/>
        <w:rPr>
          <w:rFonts w:eastAsia="Calibri"/>
          <w:b/>
          <w:bCs/>
          <w:color w:val="2E74B5"/>
        </w:rPr>
      </w:pPr>
      <w:r w:rsidRPr="002B2A1C">
        <w:rPr>
          <w:rFonts w:eastAsia="Calibri"/>
          <w:b/>
          <w:bCs/>
          <w:color w:val="2E74B5"/>
        </w:rPr>
        <w:t>мярка 1.8 „Рибарски пристанища, кейове за разтоварване, рибни борси и покрити лодкостоянки“</w:t>
      </w:r>
    </w:p>
    <w:p w14:paraId="5DCD0262" w14:textId="77777777" w:rsidR="002B2A1C" w:rsidRPr="002B2A1C" w:rsidRDefault="002B2A1C" w:rsidP="002B2A1C">
      <w:pPr>
        <w:keepNext/>
        <w:keepLines/>
        <w:jc w:val="center"/>
        <w:rPr>
          <w:rFonts w:eastAsia="Calibri"/>
          <w:b/>
          <w:bCs/>
          <w:color w:val="2E74B5"/>
        </w:rPr>
      </w:pPr>
    </w:p>
    <w:p w14:paraId="1CE1452B" w14:textId="77777777" w:rsidR="002B2A1C" w:rsidRPr="002B2A1C" w:rsidRDefault="002B2A1C" w:rsidP="002B2A1C">
      <w:pPr>
        <w:keepNext/>
        <w:keepLines/>
        <w:jc w:val="center"/>
        <w:rPr>
          <w:rFonts w:eastAsia="Calibri"/>
          <w:b/>
          <w:bCs/>
          <w:color w:val="2E74B5"/>
        </w:rPr>
      </w:pPr>
      <w:r w:rsidRPr="002B2A1C">
        <w:rPr>
          <w:rFonts w:eastAsia="Calibri"/>
          <w:b/>
          <w:bCs/>
          <w:color w:val="2E74B5"/>
        </w:rPr>
        <w:t xml:space="preserve">Процедура за подбор на проекти </w:t>
      </w:r>
    </w:p>
    <w:p w14:paraId="092734C0" w14:textId="77777777" w:rsidR="002B2A1C" w:rsidRPr="00706DAB" w:rsidRDefault="002B2A1C" w:rsidP="002B2A1C">
      <w:pPr>
        <w:keepNext/>
        <w:keepLines/>
        <w:jc w:val="center"/>
        <w:rPr>
          <w:rFonts w:eastAsia="Calibri"/>
          <w:b/>
          <w:bCs/>
          <w:color w:val="2E74B5"/>
          <w:lang w:val="en-US"/>
        </w:rPr>
      </w:pPr>
      <w:r w:rsidRPr="002B2A1C">
        <w:rPr>
          <w:rFonts w:eastAsia="Calibri"/>
          <w:b/>
          <w:bCs/>
          <w:color w:val="2E74B5"/>
        </w:rPr>
        <w:t>BG14MFOP001-4.</w:t>
      </w:r>
      <w:r w:rsidR="00706DAB" w:rsidRPr="002B2A1C">
        <w:rPr>
          <w:rFonts w:eastAsia="Calibri"/>
          <w:b/>
          <w:bCs/>
          <w:color w:val="2E74B5"/>
        </w:rPr>
        <w:t>0</w:t>
      </w:r>
      <w:r w:rsidR="00706DAB">
        <w:rPr>
          <w:rFonts w:eastAsia="Calibri"/>
          <w:b/>
          <w:bCs/>
          <w:color w:val="2E74B5"/>
          <w:lang w:val="en-US"/>
        </w:rPr>
        <w:t>62</w:t>
      </w:r>
    </w:p>
    <w:p w14:paraId="401F7115" w14:textId="77777777" w:rsidR="00733228" w:rsidRPr="00733228" w:rsidRDefault="00733228" w:rsidP="007B0E3A">
      <w:pPr>
        <w:jc w:val="both"/>
        <w:rPr>
          <w:rFonts w:ascii="Calibri" w:eastAsia="Calibri" w:hAnsi="Calibri" w:cs="Calibri"/>
          <w:sz w:val="22"/>
          <w:szCs w:val="22"/>
        </w:rPr>
      </w:pPr>
    </w:p>
    <w:p w14:paraId="11420979" w14:textId="77777777" w:rsidR="00733228" w:rsidRDefault="00733228" w:rsidP="007B0E3A">
      <w:pPr>
        <w:jc w:val="both"/>
        <w:rPr>
          <w:rFonts w:ascii="Calibri" w:eastAsia="Calibri" w:hAnsi="Calibri" w:cs="Calibri"/>
          <w:sz w:val="22"/>
          <w:szCs w:val="22"/>
        </w:rPr>
      </w:pPr>
    </w:p>
    <w:p w14:paraId="2D722E71" w14:textId="77777777" w:rsidR="007B0E3A" w:rsidRDefault="007B0E3A" w:rsidP="007B0E3A">
      <w:pPr>
        <w:jc w:val="both"/>
        <w:rPr>
          <w:rFonts w:ascii="Calibri" w:eastAsia="Calibri" w:hAnsi="Calibri" w:cs="Calibri"/>
          <w:sz w:val="22"/>
          <w:szCs w:val="22"/>
        </w:rPr>
      </w:pPr>
    </w:p>
    <w:p w14:paraId="106C6378" w14:textId="77777777" w:rsidR="007B0E3A" w:rsidRDefault="007B0E3A" w:rsidP="007B0E3A">
      <w:pPr>
        <w:jc w:val="both"/>
        <w:rPr>
          <w:rFonts w:ascii="Calibri" w:eastAsia="Calibri" w:hAnsi="Calibri" w:cs="Calibri"/>
          <w:sz w:val="22"/>
          <w:szCs w:val="22"/>
        </w:rPr>
      </w:pPr>
    </w:p>
    <w:p w14:paraId="2930B1D6" w14:textId="77777777" w:rsidR="007B0E3A" w:rsidRDefault="007B0E3A" w:rsidP="007B0E3A">
      <w:pPr>
        <w:jc w:val="both"/>
        <w:rPr>
          <w:rFonts w:ascii="Calibri" w:eastAsia="Calibri" w:hAnsi="Calibri" w:cs="Calibri"/>
          <w:sz w:val="22"/>
          <w:szCs w:val="22"/>
        </w:rPr>
      </w:pPr>
    </w:p>
    <w:p w14:paraId="4C231DE8" w14:textId="77777777" w:rsidR="007B0E3A" w:rsidRDefault="007B0E3A" w:rsidP="007B0E3A">
      <w:pPr>
        <w:jc w:val="both"/>
        <w:rPr>
          <w:rFonts w:ascii="Calibri" w:eastAsia="Calibri" w:hAnsi="Calibri" w:cs="Calibri"/>
          <w:sz w:val="22"/>
          <w:szCs w:val="22"/>
        </w:rPr>
      </w:pPr>
    </w:p>
    <w:p w14:paraId="7A3F2BD6" w14:textId="77777777" w:rsidR="007B0E3A" w:rsidRDefault="007B0E3A" w:rsidP="007B0E3A">
      <w:pPr>
        <w:jc w:val="both"/>
        <w:rPr>
          <w:rFonts w:ascii="Calibri" w:eastAsia="Calibri" w:hAnsi="Calibri" w:cs="Calibri"/>
          <w:sz w:val="22"/>
          <w:szCs w:val="22"/>
        </w:rPr>
      </w:pPr>
    </w:p>
    <w:p w14:paraId="6481B9C9" w14:textId="77777777" w:rsidR="007B0E3A" w:rsidRDefault="007B0E3A" w:rsidP="007B0E3A">
      <w:pPr>
        <w:jc w:val="both"/>
        <w:rPr>
          <w:rFonts w:ascii="Calibri" w:eastAsia="Calibri" w:hAnsi="Calibri" w:cs="Calibri"/>
          <w:sz w:val="22"/>
          <w:szCs w:val="22"/>
        </w:rPr>
      </w:pPr>
    </w:p>
    <w:p w14:paraId="5FC13666" w14:textId="77777777" w:rsidR="007B0E3A" w:rsidRDefault="007B0E3A" w:rsidP="007B0E3A">
      <w:pPr>
        <w:jc w:val="both"/>
        <w:rPr>
          <w:rFonts w:ascii="Calibri" w:eastAsia="Calibri" w:hAnsi="Calibri" w:cs="Calibri"/>
          <w:sz w:val="22"/>
          <w:szCs w:val="22"/>
        </w:rPr>
      </w:pPr>
    </w:p>
    <w:p w14:paraId="1250D3DB" w14:textId="77777777" w:rsidR="007B0E3A" w:rsidRDefault="007B0E3A" w:rsidP="007B0E3A">
      <w:pPr>
        <w:jc w:val="both"/>
        <w:rPr>
          <w:rFonts w:ascii="Calibri" w:eastAsia="Calibri" w:hAnsi="Calibri" w:cs="Calibri"/>
          <w:sz w:val="22"/>
          <w:szCs w:val="22"/>
        </w:rPr>
      </w:pPr>
    </w:p>
    <w:p w14:paraId="41DC2225" w14:textId="77777777" w:rsidR="007B0E3A" w:rsidRDefault="007B0E3A" w:rsidP="007B0E3A">
      <w:pPr>
        <w:jc w:val="both"/>
        <w:rPr>
          <w:rFonts w:ascii="Calibri" w:eastAsia="Calibri" w:hAnsi="Calibri" w:cs="Calibri"/>
          <w:sz w:val="22"/>
          <w:szCs w:val="22"/>
        </w:rPr>
      </w:pPr>
    </w:p>
    <w:p w14:paraId="3516B803" w14:textId="77777777" w:rsidR="007B0E3A" w:rsidRDefault="007B0E3A" w:rsidP="007B0E3A">
      <w:pPr>
        <w:jc w:val="both"/>
        <w:rPr>
          <w:rFonts w:ascii="Calibri" w:eastAsia="Calibri" w:hAnsi="Calibri" w:cs="Calibri"/>
          <w:sz w:val="22"/>
          <w:szCs w:val="22"/>
        </w:rPr>
      </w:pPr>
    </w:p>
    <w:p w14:paraId="439E2B5F" w14:textId="77777777" w:rsidR="007B0E3A" w:rsidRDefault="007B0E3A" w:rsidP="007B0E3A">
      <w:pPr>
        <w:jc w:val="both"/>
        <w:rPr>
          <w:rFonts w:ascii="Calibri" w:eastAsia="Calibri" w:hAnsi="Calibri" w:cs="Calibri"/>
          <w:sz w:val="22"/>
          <w:szCs w:val="22"/>
        </w:rPr>
      </w:pPr>
    </w:p>
    <w:p w14:paraId="25F2C503" w14:textId="77777777" w:rsidR="007B0E3A" w:rsidRDefault="007B0E3A" w:rsidP="007B0E3A">
      <w:pPr>
        <w:jc w:val="both"/>
        <w:rPr>
          <w:rFonts w:ascii="Calibri" w:eastAsia="Calibri" w:hAnsi="Calibri" w:cs="Calibri"/>
          <w:sz w:val="22"/>
          <w:szCs w:val="22"/>
        </w:rPr>
      </w:pPr>
    </w:p>
    <w:p w14:paraId="6D7CD456" w14:textId="77777777" w:rsidR="007B0E3A" w:rsidRDefault="007B0E3A" w:rsidP="007B0E3A">
      <w:pPr>
        <w:jc w:val="both"/>
        <w:rPr>
          <w:rFonts w:ascii="Calibri" w:eastAsia="Calibri" w:hAnsi="Calibri" w:cs="Calibri"/>
          <w:sz w:val="22"/>
          <w:szCs w:val="22"/>
        </w:rPr>
      </w:pPr>
    </w:p>
    <w:p w14:paraId="68EAD5AF" w14:textId="77777777" w:rsidR="007B0E3A" w:rsidRDefault="007B0E3A" w:rsidP="007B0E3A">
      <w:pPr>
        <w:jc w:val="both"/>
        <w:rPr>
          <w:rFonts w:ascii="Calibri" w:eastAsia="Calibri" w:hAnsi="Calibri" w:cs="Calibri"/>
          <w:sz w:val="22"/>
          <w:szCs w:val="22"/>
        </w:rPr>
      </w:pPr>
    </w:p>
    <w:p w14:paraId="141490E4" w14:textId="77777777" w:rsidR="007B0E3A" w:rsidRDefault="007B0E3A" w:rsidP="007B0E3A">
      <w:pPr>
        <w:jc w:val="both"/>
        <w:rPr>
          <w:rFonts w:ascii="Calibri" w:eastAsia="Calibri" w:hAnsi="Calibri" w:cs="Calibri"/>
          <w:sz w:val="22"/>
          <w:szCs w:val="22"/>
        </w:rPr>
      </w:pPr>
    </w:p>
    <w:p w14:paraId="74072708" w14:textId="77777777" w:rsidR="007B0E3A" w:rsidRDefault="007B0E3A" w:rsidP="007B0E3A">
      <w:pPr>
        <w:jc w:val="both"/>
        <w:rPr>
          <w:rFonts w:ascii="Calibri" w:eastAsia="Calibri" w:hAnsi="Calibri" w:cs="Calibri"/>
          <w:sz w:val="22"/>
          <w:szCs w:val="22"/>
        </w:rPr>
      </w:pPr>
    </w:p>
    <w:p w14:paraId="5171648D" w14:textId="77777777" w:rsidR="007B0E3A" w:rsidRDefault="007B0E3A" w:rsidP="007B0E3A">
      <w:pPr>
        <w:jc w:val="both"/>
        <w:rPr>
          <w:rFonts w:ascii="Calibri" w:eastAsia="Calibri" w:hAnsi="Calibri" w:cs="Calibri"/>
          <w:sz w:val="22"/>
          <w:szCs w:val="22"/>
        </w:rPr>
      </w:pPr>
    </w:p>
    <w:p w14:paraId="062B5ECD" w14:textId="77777777" w:rsidR="007B0E3A" w:rsidRDefault="007B0E3A" w:rsidP="007B0E3A">
      <w:pPr>
        <w:jc w:val="both"/>
        <w:rPr>
          <w:rFonts w:ascii="Calibri" w:eastAsia="Calibri" w:hAnsi="Calibri" w:cs="Calibri"/>
          <w:sz w:val="22"/>
          <w:szCs w:val="22"/>
        </w:rPr>
      </w:pPr>
    </w:p>
    <w:p w14:paraId="48E08F53" w14:textId="77777777" w:rsidR="007B0E3A" w:rsidRDefault="007B0E3A" w:rsidP="007B0E3A">
      <w:pPr>
        <w:jc w:val="both"/>
        <w:rPr>
          <w:rFonts w:ascii="Calibri" w:eastAsia="Calibri" w:hAnsi="Calibri" w:cs="Calibri"/>
          <w:sz w:val="22"/>
          <w:szCs w:val="22"/>
        </w:rPr>
      </w:pPr>
    </w:p>
    <w:p w14:paraId="69E74D79" w14:textId="77777777" w:rsidR="007B0E3A" w:rsidRDefault="007B0E3A" w:rsidP="007B0E3A">
      <w:pPr>
        <w:jc w:val="both"/>
        <w:rPr>
          <w:rFonts w:ascii="Calibri" w:eastAsia="Calibri" w:hAnsi="Calibri" w:cs="Calibri"/>
          <w:sz w:val="22"/>
          <w:szCs w:val="22"/>
        </w:rPr>
      </w:pPr>
    </w:p>
    <w:p w14:paraId="6994117E" w14:textId="77777777" w:rsidR="007B0E3A" w:rsidRDefault="007B0E3A" w:rsidP="007B0E3A">
      <w:pPr>
        <w:jc w:val="both"/>
        <w:rPr>
          <w:rFonts w:ascii="Calibri" w:eastAsia="Calibri" w:hAnsi="Calibri" w:cs="Calibri"/>
          <w:sz w:val="22"/>
          <w:szCs w:val="22"/>
        </w:rPr>
      </w:pPr>
    </w:p>
    <w:p w14:paraId="706FF63F" w14:textId="77777777" w:rsidR="007B0E3A" w:rsidRDefault="007B0E3A" w:rsidP="007B0E3A">
      <w:pPr>
        <w:jc w:val="both"/>
        <w:rPr>
          <w:rFonts w:ascii="Calibri" w:eastAsia="Calibri" w:hAnsi="Calibri" w:cs="Calibri"/>
          <w:sz w:val="22"/>
          <w:szCs w:val="22"/>
        </w:rPr>
      </w:pPr>
    </w:p>
    <w:p w14:paraId="1246C92C" w14:textId="77777777" w:rsidR="007B0E3A" w:rsidRDefault="007B0E3A" w:rsidP="007B0E3A">
      <w:pPr>
        <w:jc w:val="both"/>
        <w:rPr>
          <w:rFonts w:ascii="Calibri" w:eastAsia="Calibri" w:hAnsi="Calibri" w:cs="Calibri"/>
          <w:sz w:val="22"/>
          <w:szCs w:val="22"/>
        </w:rPr>
      </w:pPr>
    </w:p>
    <w:p w14:paraId="40A0613F" w14:textId="77777777" w:rsidR="007B0E3A" w:rsidRDefault="007B0E3A" w:rsidP="007B0E3A">
      <w:pPr>
        <w:jc w:val="both"/>
        <w:rPr>
          <w:rFonts w:ascii="Calibri" w:eastAsia="Calibri" w:hAnsi="Calibri" w:cs="Calibri"/>
          <w:sz w:val="22"/>
          <w:szCs w:val="22"/>
        </w:rPr>
      </w:pPr>
    </w:p>
    <w:p w14:paraId="63BF7391" w14:textId="77777777" w:rsidR="007B0E3A" w:rsidRDefault="007B0E3A" w:rsidP="007B0E3A">
      <w:pPr>
        <w:jc w:val="both"/>
        <w:rPr>
          <w:rFonts w:ascii="Calibri" w:eastAsia="Calibri" w:hAnsi="Calibri" w:cs="Calibri"/>
          <w:sz w:val="22"/>
          <w:szCs w:val="22"/>
        </w:rPr>
      </w:pPr>
    </w:p>
    <w:p w14:paraId="42C17F08" w14:textId="77777777" w:rsidR="007B0E3A" w:rsidRDefault="007B0E3A" w:rsidP="007B0E3A">
      <w:pPr>
        <w:jc w:val="both"/>
        <w:rPr>
          <w:rFonts w:ascii="Calibri" w:eastAsia="Calibri" w:hAnsi="Calibri" w:cs="Calibri"/>
          <w:sz w:val="22"/>
          <w:szCs w:val="22"/>
        </w:rPr>
      </w:pPr>
    </w:p>
    <w:p w14:paraId="14332B54" w14:textId="77777777" w:rsidR="007B0E3A" w:rsidRDefault="007B0E3A" w:rsidP="007B0E3A">
      <w:pPr>
        <w:jc w:val="both"/>
        <w:rPr>
          <w:rFonts w:ascii="Calibri" w:eastAsia="Calibri" w:hAnsi="Calibri" w:cs="Calibri"/>
          <w:sz w:val="22"/>
          <w:szCs w:val="22"/>
        </w:rPr>
      </w:pPr>
    </w:p>
    <w:p w14:paraId="0A11EBB1" w14:textId="77777777" w:rsidR="007B0E3A" w:rsidRDefault="007B0E3A" w:rsidP="007B0E3A">
      <w:pPr>
        <w:jc w:val="both"/>
        <w:rPr>
          <w:rFonts w:ascii="Calibri" w:eastAsia="Calibri" w:hAnsi="Calibri" w:cs="Calibri"/>
          <w:sz w:val="22"/>
          <w:szCs w:val="22"/>
        </w:rPr>
      </w:pPr>
    </w:p>
    <w:p w14:paraId="6C8BA54A" w14:textId="77777777" w:rsidR="007B0E3A" w:rsidRDefault="007B0E3A" w:rsidP="007B0E3A">
      <w:pPr>
        <w:jc w:val="both"/>
        <w:rPr>
          <w:rFonts w:ascii="Calibri" w:eastAsia="Calibri" w:hAnsi="Calibri" w:cs="Calibri"/>
          <w:sz w:val="22"/>
          <w:szCs w:val="22"/>
        </w:rPr>
      </w:pPr>
    </w:p>
    <w:p w14:paraId="4450E65E" w14:textId="77777777" w:rsidR="007B0E3A" w:rsidRDefault="007B0E3A" w:rsidP="007B0E3A">
      <w:pPr>
        <w:jc w:val="both"/>
        <w:rPr>
          <w:rFonts w:ascii="Calibri" w:eastAsia="Calibri" w:hAnsi="Calibri" w:cs="Calibri"/>
          <w:sz w:val="22"/>
          <w:szCs w:val="22"/>
        </w:rPr>
      </w:pPr>
    </w:p>
    <w:p w14:paraId="6EA27FEF" w14:textId="77777777" w:rsidR="007B0E3A" w:rsidRDefault="007B0E3A" w:rsidP="007B0E3A">
      <w:pPr>
        <w:jc w:val="both"/>
        <w:rPr>
          <w:rFonts w:ascii="Calibri" w:eastAsia="Calibri" w:hAnsi="Calibri" w:cs="Calibri"/>
          <w:sz w:val="22"/>
          <w:szCs w:val="22"/>
        </w:rPr>
      </w:pPr>
    </w:p>
    <w:p w14:paraId="6B12E138" w14:textId="77777777" w:rsidR="007B0E3A" w:rsidRDefault="007B0E3A" w:rsidP="007B0E3A">
      <w:pPr>
        <w:jc w:val="both"/>
        <w:rPr>
          <w:rFonts w:ascii="Calibri" w:eastAsia="Calibri" w:hAnsi="Calibri" w:cs="Calibri"/>
          <w:sz w:val="22"/>
          <w:szCs w:val="22"/>
        </w:rPr>
      </w:pPr>
    </w:p>
    <w:p w14:paraId="4E5702AD" w14:textId="77777777" w:rsidR="007B0E3A" w:rsidRDefault="007B0E3A" w:rsidP="007B0E3A">
      <w:pPr>
        <w:jc w:val="both"/>
        <w:rPr>
          <w:rFonts w:ascii="Calibri" w:eastAsia="Calibri" w:hAnsi="Calibri" w:cs="Calibri"/>
          <w:sz w:val="22"/>
          <w:szCs w:val="22"/>
        </w:rPr>
      </w:pPr>
    </w:p>
    <w:p w14:paraId="7B0E7EE3" w14:textId="77777777" w:rsidR="007B0E3A" w:rsidRDefault="007B0E3A" w:rsidP="007B0E3A">
      <w:pPr>
        <w:jc w:val="both"/>
        <w:rPr>
          <w:rFonts w:ascii="Calibri" w:eastAsia="Calibri" w:hAnsi="Calibri" w:cs="Calibri"/>
          <w:sz w:val="22"/>
          <w:szCs w:val="22"/>
        </w:rPr>
      </w:pPr>
    </w:p>
    <w:p w14:paraId="7626B4B6" w14:textId="77777777" w:rsidR="007B0E3A" w:rsidRDefault="007B0E3A" w:rsidP="007B0E3A">
      <w:pPr>
        <w:jc w:val="both"/>
        <w:rPr>
          <w:rFonts w:ascii="Calibri" w:eastAsia="Calibri" w:hAnsi="Calibri" w:cs="Calibri"/>
          <w:sz w:val="22"/>
          <w:szCs w:val="22"/>
        </w:rPr>
      </w:pPr>
    </w:p>
    <w:p w14:paraId="45EF99D6" w14:textId="77777777" w:rsidR="007B0E3A" w:rsidRDefault="007B0E3A" w:rsidP="007B0E3A">
      <w:pPr>
        <w:jc w:val="both"/>
        <w:rPr>
          <w:rFonts w:ascii="Calibri" w:eastAsia="Calibri" w:hAnsi="Calibri" w:cs="Calibri"/>
          <w:sz w:val="22"/>
          <w:szCs w:val="22"/>
        </w:rPr>
      </w:pPr>
    </w:p>
    <w:p w14:paraId="13ED79FE" w14:textId="77777777" w:rsidR="007B0E3A" w:rsidRPr="00733228" w:rsidRDefault="007B0E3A" w:rsidP="007B0E3A">
      <w:pPr>
        <w:jc w:val="both"/>
        <w:rPr>
          <w:rFonts w:ascii="Calibri" w:eastAsia="Calibri" w:hAnsi="Calibri" w:cs="Calibri"/>
          <w:sz w:val="22"/>
          <w:szCs w:val="22"/>
        </w:rPr>
      </w:pPr>
    </w:p>
    <w:p w14:paraId="186DB12F" w14:textId="77777777" w:rsidR="007B0E3A" w:rsidRPr="00733228" w:rsidRDefault="007B0E3A" w:rsidP="007B0E3A">
      <w:pPr>
        <w:keepNext/>
        <w:keepLines/>
        <w:jc w:val="both"/>
        <w:rPr>
          <w:rFonts w:eastAsia="Calibri"/>
          <w:b/>
          <w:bCs/>
          <w:color w:val="2E74B5"/>
        </w:rPr>
      </w:pPr>
    </w:p>
    <w:p w14:paraId="43331C7C" w14:textId="77777777" w:rsidR="00733228" w:rsidRPr="00733228" w:rsidRDefault="00733228" w:rsidP="007B0E3A">
      <w:pPr>
        <w:keepNext/>
        <w:keepLines/>
        <w:jc w:val="both"/>
        <w:rPr>
          <w:rFonts w:eastAsia="Calibri"/>
          <w:b/>
          <w:bCs/>
          <w:color w:val="2E74B5"/>
          <w:lang w:val="en-US"/>
        </w:rPr>
      </w:pPr>
      <w:r w:rsidRPr="00733228">
        <w:rPr>
          <w:rFonts w:eastAsia="Calibri"/>
          <w:b/>
          <w:bCs/>
          <w:color w:val="2E74B5"/>
          <w:lang w:val="x-none"/>
        </w:rPr>
        <w:t>Съдържание</w:t>
      </w:r>
    </w:p>
    <w:p w14:paraId="1AD894AB" w14:textId="77777777" w:rsidR="00733228" w:rsidRPr="00733228" w:rsidRDefault="00733228" w:rsidP="007B0E3A">
      <w:pPr>
        <w:jc w:val="both"/>
        <w:rPr>
          <w:rFonts w:eastAsia="Calibri"/>
          <w:lang w:val="en-US"/>
        </w:rPr>
      </w:pPr>
    </w:p>
    <w:p w14:paraId="01CC32E0" w14:textId="77777777" w:rsidR="00733228" w:rsidRPr="00733228" w:rsidRDefault="00733228" w:rsidP="007B0E3A">
      <w:pPr>
        <w:tabs>
          <w:tab w:val="right" w:leader="dot" w:pos="9346"/>
        </w:tabs>
        <w:jc w:val="both"/>
        <w:rPr>
          <w:rFonts w:ascii="Calibri" w:eastAsia="Calibri" w:hAnsi="Calibri" w:cs="Calibri"/>
          <w:noProof/>
          <w:sz w:val="22"/>
          <w:szCs w:val="22"/>
        </w:rPr>
      </w:pPr>
      <w:r w:rsidRPr="00733228">
        <w:rPr>
          <w:rFonts w:ascii="Calibri" w:eastAsia="Calibri" w:hAnsi="Calibri" w:cs="Calibri"/>
          <w:noProof/>
          <w:sz w:val="22"/>
          <w:szCs w:val="22"/>
          <w:lang w:eastAsia="en-US"/>
        </w:rPr>
        <w:fldChar w:fldCharType="begin"/>
      </w:r>
      <w:r w:rsidRPr="00733228">
        <w:rPr>
          <w:rFonts w:ascii="Calibri" w:eastAsia="Calibri" w:hAnsi="Calibri" w:cs="Calibri"/>
          <w:noProof/>
          <w:sz w:val="22"/>
          <w:szCs w:val="22"/>
          <w:lang w:eastAsia="en-US"/>
        </w:rPr>
        <w:instrText xml:space="preserve"> TOC \o "1-3" \h \z \u </w:instrText>
      </w:r>
      <w:r w:rsidRPr="00733228">
        <w:rPr>
          <w:rFonts w:ascii="Calibri" w:eastAsia="Calibri" w:hAnsi="Calibri" w:cs="Calibri"/>
          <w:noProof/>
          <w:sz w:val="22"/>
          <w:szCs w:val="22"/>
          <w:lang w:eastAsia="en-US"/>
        </w:rPr>
        <w:fldChar w:fldCharType="separate"/>
      </w:r>
      <w:hyperlink w:anchor="_Toc442348057" w:history="1">
        <w:r w:rsidRPr="00733228">
          <w:rPr>
            <w:rFonts w:eastAsia="Calibri"/>
            <w:noProof/>
            <w:color w:val="0563C1"/>
            <w:u w:val="single"/>
            <w:lang w:eastAsia="en-US"/>
          </w:rPr>
          <w:t>1. Техническо изпълнение на проектите</w:t>
        </w:r>
        <w:r w:rsidRPr="00733228">
          <w:rPr>
            <w:rFonts w:ascii="Calibri" w:eastAsia="Calibri" w:hAnsi="Calibri" w:cs="Calibri"/>
            <w:noProof/>
            <w:webHidden/>
            <w:sz w:val="22"/>
            <w:szCs w:val="22"/>
            <w:lang w:eastAsia="en-US"/>
          </w:rPr>
          <w:tab/>
        </w:r>
      </w:hyperlink>
      <w:r w:rsidR="007B0E3A">
        <w:rPr>
          <w:rFonts w:ascii="Calibri" w:eastAsia="Calibri" w:hAnsi="Calibri" w:cs="Calibri"/>
          <w:noProof/>
          <w:sz w:val="22"/>
          <w:szCs w:val="22"/>
          <w:lang w:eastAsia="en-US"/>
        </w:rPr>
        <w:t>3</w:t>
      </w:r>
    </w:p>
    <w:p w14:paraId="11C86B2F" w14:textId="77777777" w:rsidR="00733228" w:rsidRPr="00733228" w:rsidRDefault="008A661E" w:rsidP="007B0E3A">
      <w:pPr>
        <w:tabs>
          <w:tab w:val="right" w:leader="dot" w:pos="9346"/>
        </w:tabs>
        <w:jc w:val="both"/>
        <w:rPr>
          <w:rFonts w:eastAsia="Calibri"/>
          <w:noProof/>
          <w:lang w:eastAsia="en-US"/>
        </w:rPr>
      </w:pPr>
      <w:hyperlink w:anchor="_Toc442348058" w:history="1">
        <w:r w:rsidR="00733228" w:rsidRPr="00733228">
          <w:rPr>
            <w:rFonts w:eastAsia="Calibri"/>
            <w:noProof/>
            <w:color w:val="0563C1"/>
            <w:u w:val="single"/>
            <w:lang w:eastAsia="en-US"/>
          </w:rPr>
          <w:t>2</w:t>
        </w:r>
        <w:r w:rsidR="00733228" w:rsidRPr="00733228">
          <w:rPr>
            <w:rFonts w:eastAsia="Calibri"/>
            <w:noProof/>
            <w:color w:val="0563C1"/>
            <w:u w:val="single"/>
            <w:lang w:val="en-US" w:eastAsia="en-US"/>
          </w:rPr>
          <w:t xml:space="preserve">. </w:t>
        </w:r>
        <w:r w:rsidR="00733228" w:rsidRPr="00733228">
          <w:rPr>
            <w:rFonts w:eastAsia="Calibri"/>
            <w:noProof/>
            <w:color w:val="0563C1"/>
            <w:u w:val="single"/>
            <w:lang w:eastAsia="en-US"/>
          </w:rPr>
          <w:t>Финансово изпълнение на проектите и плащане</w:t>
        </w:r>
        <w:r w:rsidR="00733228" w:rsidRPr="00733228">
          <w:rPr>
            <w:rFonts w:eastAsia="Calibri"/>
            <w:noProof/>
            <w:webHidden/>
            <w:lang w:eastAsia="en-US"/>
          </w:rPr>
          <w:tab/>
        </w:r>
      </w:hyperlink>
      <w:r w:rsidR="00FF1B61">
        <w:rPr>
          <w:rFonts w:eastAsia="Calibri"/>
          <w:noProof/>
          <w:lang w:eastAsia="en-US"/>
        </w:rPr>
        <w:t>9</w:t>
      </w:r>
    </w:p>
    <w:p w14:paraId="50C49935" w14:textId="77777777" w:rsidR="00733228" w:rsidRPr="00733228" w:rsidRDefault="008A661E" w:rsidP="007B0E3A">
      <w:pPr>
        <w:tabs>
          <w:tab w:val="right" w:leader="dot" w:pos="9346"/>
        </w:tabs>
        <w:jc w:val="both"/>
        <w:rPr>
          <w:rFonts w:eastAsia="Calibri"/>
          <w:noProof/>
        </w:rPr>
      </w:pPr>
      <w:hyperlink w:anchor="_Toc442348059" w:history="1">
        <w:r w:rsidR="00733228" w:rsidRPr="00733228">
          <w:rPr>
            <w:rFonts w:eastAsia="Calibri"/>
            <w:noProof/>
            <w:color w:val="0563C1"/>
            <w:u w:val="single"/>
            <w:lang w:val="en-US" w:eastAsia="en-US"/>
          </w:rPr>
          <w:t>3</w:t>
        </w:r>
        <w:r w:rsidR="00733228" w:rsidRPr="00733228">
          <w:rPr>
            <w:rFonts w:eastAsia="Calibri"/>
            <w:noProof/>
            <w:color w:val="0563C1"/>
            <w:u w:val="single"/>
            <w:lang w:eastAsia="en-US"/>
          </w:rPr>
          <w:t>. Мерки за информиране и публичност</w:t>
        </w:r>
        <w:r w:rsidR="00733228" w:rsidRPr="00733228">
          <w:rPr>
            <w:rFonts w:eastAsia="Calibri"/>
            <w:noProof/>
            <w:webHidden/>
            <w:lang w:eastAsia="en-US"/>
          </w:rPr>
          <w:tab/>
        </w:r>
        <w:r w:rsidR="007B0E3A">
          <w:rPr>
            <w:rFonts w:eastAsia="Calibri"/>
            <w:noProof/>
            <w:webHidden/>
            <w:lang w:eastAsia="en-US"/>
          </w:rPr>
          <w:t>9</w:t>
        </w:r>
      </w:hyperlink>
    </w:p>
    <w:p w14:paraId="21365A67" w14:textId="77777777" w:rsidR="00733228" w:rsidRPr="00733228" w:rsidRDefault="008A661E" w:rsidP="007B0E3A">
      <w:pPr>
        <w:tabs>
          <w:tab w:val="right" w:leader="dot" w:pos="9346"/>
        </w:tabs>
        <w:jc w:val="both"/>
        <w:rPr>
          <w:rFonts w:ascii="Calibri" w:eastAsia="Calibri" w:hAnsi="Calibri" w:cs="Calibri"/>
          <w:noProof/>
          <w:sz w:val="22"/>
          <w:szCs w:val="22"/>
        </w:rPr>
      </w:pPr>
      <w:hyperlink w:anchor="_Toc442348060" w:history="1">
        <w:r w:rsidR="00FF1B61" w:rsidRPr="00733228">
          <w:rPr>
            <w:rFonts w:eastAsia="Calibri"/>
            <w:noProof/>
            <w:color w:val="0563C1"/>
            <w:u w:val="single"/>
            <w:lang w:eastAsia="en-US"/>
          </w:rPr>
          <w:t>4. Приложения към Условията за изпълнение</w:t>
        </w:r>
        <w:r w:rsidR="00FF1B61" w:rsidRPr="00733228">
          <w:rPr>
            <w:rFonts w:ascii="Calibri" w:eastAsia="Calibri" w:hAnsi="Calibri" w:cs="Calibri"/>
            <w:noProof/>
            <w:webHidden/>
            <w:sz w:val="22"/>
            <w:szCs w:val="22"/>
            <w:lang w:eastAsia="en-US"/>
          </w:rPr>
          <w:tab/>
        </w:r>
        <w:r w:rsidR="00FF1B61">
          <w:rPr>
            <w:rFonts w:ascii="Calibri" w:eastAsia="Calibri" w:hAnsi="Calibri" w:cs="Calibri"/>
            <w:noProof/>
            <w:webHidden/>
            <w:sz w:val="22"/>
            <w:szCs w:val="22"/>
            <w:lang w:eastAsia="en-US"/>
          </w:rPr>
          <w:t>11</w:t>
        </w:r>
      </w:hyperlink>
    </w:p>
    <w:p w14:paraId="3D36D438" w14:textId="77777777" w:rsidR="00733228" w:rsidRPr="00733228" w:rsidRDefault="00733228" w:rsidP="007B0E3A">
      <w:pPr>
        <w:jc w:val="both"/>
        <w:rPr>
          <w:rFonts w:eastAsia="Calibri"/>
          <w:lang w:eastAsia="en-US"/>
        </w:rPr>
      </w:pPr>
      <w:r w:rsidRPr="00733228">
        <w:rPr>
          <w:rFonts w:eastAsia="Calibri"/>
          <w:lang w:eastAsia="en-US"/>
        </w:rPr>
        <w:fldChar w:fldCharType="end"/>
      </w:r>
    </w:p>
    <w:p w14:paraId="7B784806" w14:textId="77777777" w:rsidR="00733228" w:rsidRPr="00733228" w:rsidRDefault="00733228" w:rsidP="007B0E3A">
      <w:pPr>
        <w:jc w:val="both"/>
        <w:rPr>
          <w:rFonts w:eastAsia="Calibri"/>
          <w:lang w:val="en-US" w:eastAsia="en-US"/>
        </w:rPr>
      </w:pPr>
    </w:p>
    <w:p w14:paraId="50700CA8" w14:textId="77777777" w:rsidR="00733228" w:rsidRDefault="00733228" w:rsidP="007B0E3A">
      <w:pPr>
        <w:jc w:val="both"/>
        <w:rPr>
          <w:rFonts w:eastAsia="Calibri"/>
          <w:lang w:val="en-US" w:eastAsia="en-US"/>
        </w:rPr>
      </w:pPr>
    </w:p>
    <w:p w14:paraId="75A27A3F" w14:textId="77777777" w:rsidR="007B0E3A" w:rsidRDefault="007B0E3A" w:rsidP="007B0E3A">
      <w:pPr>
        <w:jc w:val="both"/>
        <w:rPr>
          <w:rFonts w:eastAsia="Calibri"/>
          <w:lang w:val="en-US" w:eastAsia="en-US"/>
        </w:rPr>
      </w:pPr>
    </w:p>
    <w:p w14:paraId="7538AE55" w14:textId="77777777" w:rsidR="007B0E3A" w:rsidRDefault="007B0E3A" w:rsidP="007B0E3A">
      <w:pPr>
        <w:jc w:val="both"/>
        <w:rPr>
          <w:rFonts w:eastAsia="Calibri"/>
          <w:lang w:val="en-US" w:eastAsia="en-US"/>
        </w:rPr>
      </w:pPr>
    </w:p>
    <w:p w14:paraId="1A84DF01" w14:textId="77777777" w:rsidR="007B0E3A" w:rsidRDefault="007B0E3A" w:rsidP="007B0E3A">
      <w:pPr>
        <w:jc w:val="both"/>
        <w:rPr>
          <w:rFonts w:eastAsia="Calibri"/>
          <w:lang w:val="en-US" w:eastAsia="en-US"/>
        </w:rPr>
      </w:pPr>
    </w:p>
    <w:p w14:paraId="766BE108" w14:textId="77777777" w:rsidR="007B0E3A" w:rsidRDefault="007B0E3A" w:rsidP="007B0E3A">
      <w:pPr>
        <w:jc w:val="both"/>
        <w:rPr>
          <w:rFonts w:eastAsia="Calibri"/>
          <w:lang w:val="en-US" w:eastAsia="en-US"/>
        </w:rPr>
      </w:pPr>
    </w:p>
    <w:p w14:paraId="23A4EE8A" w14:textId="77777777" w:rsidR="007B0E3A" w:rsidRDefault="007B0E3A" w:rsidP="007B0E3A">
      <w:pPr>
        <w:jc w:val="both"/>
        <w:rPr>
          <w:rFonts w:eastAsia="Calibri"/>
          <w:lang w:val="en-US" w:eastAsia="en-US"/>
        </w:rPr>
      </w:pPr>
    </w:p>
    <w:p w14:paraId="095FD6B7" w14:textId="77777777" w:rsidR="007B0E3A" w:rsidRDefault="007B0E3A" w:rsidP="007B0E3A">
      <w:pPr>
        <w:jc w:val="both"/>
        <w:rPr>
          <w:rFonts w:eastAsia="Calibri"/>
          <w:lang w:val="en-US" w:eastAsia="en-US"/>
        </w:rPr>
      </w:pPr>
    </w:p>
    <w:p w14:paraId="3CBCCEE5" w14:textId="77777777" w:rsidR="007B0E3A" w:rsidRDefault="007B0E3A" w:rsidP="007B0E3A">
      <w:pPr>
        <w:jc w:val="both"/>
        <w:rPr>
          <w:rFonts w:eastAsia="Calibri"/>
          <w:lang w:val="en-US" w:eastAsia="en-US"/>
        </w:rPr>
      </w:pPr>
    </w:p>
    <w:p w14:paraId="325A0BAC" w14:textId="77777777" w:rsidR="007B0E3A" w:rsidRDefault="007B0E3A" w:rsidP="007B0E3A">
      <w:pPr>
        <w:jc w:val="both"/>
        <w:rPr>
          <w:rFonts w:eastAsia="Calibri"/>
          <w:lang w:val="en-US" w:eastAsia="en-US"/>
        </w:rPr>
      </w:pPr>
    </w:p>
    <w:p w14:paraId="437E8F37" w14:textId="77777777" w:rsidR="007B0E3A" w:rsidRDefault="007B0E3A" w:rsidP="007B0E3A">
      <w:pPr>
        <w:jc w:val="both"/>
        <w:rPr>
          <w:rFonts w:eastAsia="Calibri"/>
          <w:lang w:val="en-US" w:eastAsia="en-US"/>
        </w:rPr>
      </w:pPr>
    </w:p>
    <w:p w14:paraId="694900A1" w14:textId="77777777" w:rsidR="007B0E3A" w:rsidRDefault="007B0E3A" w:rsidP="007B0E3A">
      <w:pPr>
        <w:jc w:val="both"/>
        <w:rPr>
          <w:rFonts w:eastAsia="Calibri"/>
          <w:lang w:val="en-US" w:eastAsia="en-US"/>
        </w:rPr>
      </w:pPr>
    </w:p>
    <w:p w14:paraId="30A9FD8D" w14:textId="77777777" w:rsidR="007B0E3A" w:rsidRDefault="007B0E3A" w:rsidP="007B0E3A">
      <w:pPr>
        <w:jc w:val="both"/>
        <w:rPr>
          <w:rFonts w:eastAsia="Calibri"/>
          <w:lang w:val="en-US" w:eastAsia="en-US"/>
        </w:rPr>
      </w:pPr>
    </w:p>
    <w:p w14:paraId="0470D4A1" w14:textId="77777777" w:rsidR="007B0E3A" w:rsidRDefault="007B0E3A" w:rsidP="007B0E3A">
      <w:pPr>
        <w:jc w:val="both"/>
        <w:rPr>
          <w:rFonts w:eastAsia="Calibri"/>
          <w:lang w:val="en-US" w:eastAsia="en-US"/>
        </w:rPr>
      </w:pPr>
    </w:p>
    <w:p w14:paraId="7799E61F" w14:textId="77777777" w:rsidR="007B0E3A" w:rsidRDefault="007B0E3A" w:rsidP="007B0E3A">
      <w:pPr>
        <w:jc w:val="both"/>
        <w:rPr>
          <w:rFonts w:eastAsia="Calibri"/>
          <w:lang w:val="en-US" w:eastAsia="en-US"/>
        </w:rPr>
      </w:pPr>
    </w:p>
    <w:p w14:paraId="661E37F5" w14:textId="77777777" w:rsidR="007B0E3A" w:rsidRDefault="007B0E3A" w:rsidP="007B0E3A">
      <w:pPr>
        <w:jc w:val="both"/>
        <w:rPr>
          <w:rFonts w:eastAsia="Calibri"/>
          <w:lang w:val="en-US" w:eastAsia="en-US"/>
        </w:rPr>
      </w:pPr>
    </w:p>
    <w:p w14:paraId="3055A638" w14:textId="77777777" w:rsidR="007B0E3A" w:rsidRDefault="007B0E3A" w:rsidP="007B0E3A">
      <w:pPr>
        <w:jc w:val="both"/>
        <w:rPr>
          <w:rFonts w:eastAsia="Calibri"/>
          <w:lang w:val="en-US" w:eastAsia="en-US"/>
        </w:rPr>
      </w:pPr>
    </w:p>
    <w:p w14:paraId="60D6819E" w14:textId="77777777" w:rsidR="007B0E3A" w:rsidRDefault="007B0E3A" w:rsidP="007B0E3A">
      <w:pPr>
        <w:jc w:val="both"/>
        <w:rPr>
          <w:rFonts w:eastAsia="Calibri"/>
          <w:lang w:val="en-US" w:eastAsia="en-US"/>
        </w:rPr>
      </w:pPr>
    </w:p>
    <w:p w14:paraId="20376AFC" w14:textId="77777777" w:rsidR="007B0E3A" w:rsidRDefault="007B0E3A" w:rsidP="007B0E3A">
      <w:pPr>
        <w:jc w:val="both"/>
        <w:rPr>
          <w:rFonts w:eastAsia="Calibri"/>
          <w:lang w:val="en-US" w:eastAsia="en-US"/>
        </w:rPr>
      </w:pPr>
    </w:p>
    <w:p w14:paraId="090FFE32" w14:textId="77777777" w:rsidR="007B0E3A" w:rsidRDefault="007B0E3A" w:rsidP="007B0E3A">
      <w:pPr>
        <w:jc w:val="both"/>
        <w:rPr>
          <w:rFonts w:eastAsia="Calibri"/>
          <w:lang w:val="en-US" w:eastAsia="en-US"/>
        </w:rPr>
      </w:pPr>
    </w:p>
    <w:p w14:paraId="459783EE" w14:textId="77777777" w:rsidR="007B0E3A" w:rsidRDefault="007B0E3A" w:rsidP="007B0E3A">
      <w:pPr>
        <w:jc w:val="both"/>
        <w:rPr>
          <w:rFonts w:eastAsia="Calibri"/>
          <w:lang w:val="en-US" w:eastAsia="en-US"/>
        </w:rPr>
      </w:pPr>
    </w:p>
    <w:p w14:paraId="60AD0B0A" w14:textId="77777777" w:rsidR="007B0E3A" w:rsidRDefault="007B0E3A" w:rsidP="007B0E3A">
      <w:pPr>
        <w:jc w:val="both"/>
        <w:rPr>
          <w:rFonts w:eastAsia="Calibri"/>
          <w:lang w:val="en-US" w:eastAsia="en-US"/>
        </w:rPr>
      </w:pPr>
    </w:p>
    <w:p w14:paraId="698D66B5" w14:textId="77777777" w:rsidR="007B0E3A" w:rsidRDefault="007B0E3A" w:rsidP="007B0E3A">
      <w:pPr>
        <w:jc w:val="both"/>
        <w:rPr>
          <w:rFonts w:eastAsia="Calibri"/>
          <w:lang w:val="en-US" w:eastAsia="en-US"/>
        </w:rPr>
      </w:pPr>
    </w:p>
    <w:p w14:paraId="70AA130E" w14:textId="77777777" w:rsidR="007B0E3A" w:rsidRDefault="007B0E3A" w:rsidP="007B0E3A">
      <w:pPr>
        <w:jc w:val="both"/>
        <w:rPr>
          <w:rFonts w:eastAsia="Calibri"/>
          <w:lang w:val="en-US" w:eastAsia="en-US"/>
        </w:rPr>
      </w:pPr>
    </w:p>
    <w:p w14:paraId="47A9F01B" w14:textId="77777777" w:rsidR="007B0E3A" w:rsidRDefault="007B0E3A" w:rsidP="007B0E3A">
      <w:pPr>
        <w:jc w:val="both"/>
        <w:rPr>
          <w:rFonts w:eastAsia="Calibri"/>
          <w:lang w:val="en-US" w:eastAsia="en-US"/>
        </w:rPr>
      </w:pPr>
    </w:p>
    <w:p w14:paraId="5D6D0490" w14:textId="77777777" w:rsidR="007B0E3A" w:rsidRDefault="007B0E3A" w:rsidP="007B0E3A">
      <w:pPr>
        <w:jc w:val="both"/>
        <w:rPr>
          <w:rFonts w:eastAsia="Calibri"/>
          <w:lang w:val="en-US" w:eastAsia="en-US"/>
        </w:rPr>
      </w:pPr>
    </w:p>
    <w:p w14:paraId="3A54F077" w14:textId="77777777" w:rsidR="007B0E3A" w:rsidRDefault="007B0E3A" w:rsidP="007B0E3A">
      <w:pPr>
        <w:jc w:val="both"/>
        <w:rPr>
          <w:rFonts w:eastAsia="Calibri"/>
          <w:lang w:val="en-US" w:eastAsia="en-US"/>
        </w:rPr>
      </w:pPr>
    </w:p>
    <w:p w14:paraId="6799CB23" w14:textId="77777777" w:rsidR="007B0E3A" w:rsidRDefault="007B0E3A" w:rsidP="007B0E3A">
      <w:pPr>
        <w:jc w:val="both"/>
        <w:rPr>
          <w:rFonts w:eastAsia="Calibri"/>
          <w:lang w:val="en-US" w:eastAsia="en-US"/>
        </w:rPr>
      </w:pPr>
    </w:p>
    <w:p w14:paraId="1212E99D" w14:textId="77777777" w:rsidR="007B0E3A" w:rsidRDefault="007B0E3A" w:rsidP="007B0E3A">
      <w:pPr>
        <w:jc w:val="both"/>
        <w:rPr>
          <w:rFonts w:eastAsia="Calibri"/>
          <w:lang w:val="en-US" w:eastAsia="en-US"/>
        </w:rPr>
      </w:pPr>
    </w:p>
    <w:p w14:paraId="7A98F516" w14:textId="77777777" w:rsidR="007B0E3A" w:rsidRDefault="007B0E3A" w:rsidP="007B0E3A">
      <w:pPr>
        <w:jc w:val="both"/>
        <w:rPr>
          <w:rFonts w:eastAsia="Calibri"/>
          <w:lang w:val="en-US" w:eastAsia="en-US"/>
        </w:rPr>
      </w:pPr>
    </w:p>
    <w:p w14:paraId="58FF5104" w14:textId="77777777" w:rsidR="007B0E3A" w:rsidRDefault="007B0E3A" w:rsidP="007B0E3A">
      <w:pPr>
        <w:jc w:val="both"/>
        <w:rPr>
          <w:rFonts w:eastAsia="Calibri"/>
          <w:lang w:val="en-US" w:eastAsia="en-US"/>
        </w:rPr>
      </w:pPr>
    </w:p>
    <w:p w14:paraId="55D3E264" w14:textId="77777777" w:rsidR="007B0E3A" w:rsidRDefault="007B0E3A" w:rsidP="007B0E3A">
      <w:pPr>
        <w:jc w:val="both"/>
        <w:rPr>
          <w:rFonts w:eastAsia="Calibri"/>
          <w:lang w:val="en-US" w:eastAsia="en-US"/>
        </w:rPr>
      </w:pPr>
    </w:p>
    <w:p w14:paraId="3CA0EB4C" w14:textId="77777777" w:rsidR="007B0E3A" w:rsidRDefault="007B0E3A" w:rsidP="007B0E3A">
      <w:pPr>
        <w:jc w:val="both"/>
        <w:rPr>
          <w:rFonts w:eastAsia="Calibri"/>
          <w:lang w:val="en-US" w:eastAsia="en-US"/>
        </w:rPr>
      </w:pPr>
    </w:p>
    <w:p w14:paraId="046F9BB4" w14:textId="77777777" w:rsidR="007B0E3A" w:rsidRDefault="007B0E3A" w:rsidP="007B0E3A">
      <w:pPr>
        <w:jc w:val="both"/>
        <w:rPr>
          <w:rFonts w:eastAsia="Calibri"/>
          <w:lang w:val="en-US" w:eastAsia="en-US"/>
        </w:rPr>
      </w:pPr>
    </w:p>
    <w:p w14:paraId="48B4FABE" w14:textId="77777777" w:rsidR="007B0E3A" w:rsidRPr="00733228" w:rsidRDefault="007B0E3A" w:rsidP="007B0E3A">
      <w:pPr>
        <w:jc w:val="both"/>
        <w:rPr>
          <w:rFonts w:eastAsia="Calibri"/>
          <w:lang w:val="en-US" w:eastAsia="en-US"/>
        </w:rPr>
      </w:pPr>
    </w:p>
    <w:p w14:paraId="62042742" w14:textId="77777777" w:rsidR="00733228" w:rsidRDefault="00733228" w:rsidP="007B0E3A">
      <w:pPr>
        <w:jc w:val="both"/>
        <w:rPr>
          <w:rFonts w:eastAsia="Calibri"/>
          <w:lang w:val="en-US" w:eastAsia="en-US"/>
        </w:rPr>
      </w:pPr>
    </w:p>
    <w:p w14:paraId="5462FFD1" w14:textId="77777777" w:rsidR="00733228" w:rsidRPr="00AF50B4" w:rsidRDefault="00733228" w:rsidP="007B0E3A">
      <w:pPr>
        <w:jc w:val="both"/>
        <w:rPr>
          <w:rFonts w:eastAsia="Calibri"/>
          <w:lang w:eastAsia="en-US"/>
        </w:rPr>
      </w:pPr>
      <w:r w:rsidRPr="00733228">
        <w:rPr>
          <w:rFonts w:eastAsia="Calibri"/>
          <w:b/>
          <w:bCs/>
          <w:lang w:val="en-US" w:eastAsia="en-US"/>
        </w:rPr>
        <w:t>1</w:t>
      </w:r>
      <w:r w:rsidRPr="00AF50B4">
        <w:rPr>
          <w:rFonts w:eastAsia="Calibri"/>
          <w:b/>
          <w:bCs/>
          <w:lang w:eastAsia="en-US"/>
        </w:rPr>
        <w:t xml:space="preserve">. Техническо изпълнение на проектите </w:t>
      </w:r>
    </w:p>
    <w:p w14:paraId="74FCE3E4" w14:textId="77777777" w:rsidR="00BB628B"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4BFA268" w14:textId="77777777" w:rsidR="00A416EC" w:rsidRPr="00AF50B4" w:rsidRDefault="00A416EC" w:rsidP="007B0E3A">
      <w:pPr>
        <w:ind w:firstLine="708"/>
        <w:jc w:val="both"/>
        <w:rPr>
          <w:rFonts w:eastAsia="Calibri"/>
          <w:sz w:val="22"/>
          <w:szCs w:val="22"/>
          <w:lang w:eastAsia="en-US"/>
        </w:rPr>
      </w:pPr>
      <w:r w:rsidRPr="00AF50B4">
        <w:rPr>
          <w:rFonts w:eastAsia="Calibri"/>
          <w:bCs/>
          <w:sz w:val="22"/>
          <w:szCs w:val="22"/>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66C63DEE" w14:textId="77777777" w:rsidR="00BB628B"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Изборът на изпълнител се извършва след сключване на административния договор за предоставяне на безвъзмездна финансова помощ. </w:t>
      </w:r>
    </w:p>
    <w:p w14:paraId="5E42BE9B"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419736C5"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611D041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313224F2" w14:textId="77777777" w:rsidR="00BB628B" w:rsidRDefault="00183728" w:rsidP="00183728">
      <w:pPr>
        <w:ind w:firstLine="708"/>
        <w:jc w:val="both"/>
        <w:rPr>
          <w:rFonts w:eastAsia="Calibri"/>
          <w:sz w:val="22"/>
          <w:szCs w:val="22"/>
          <w:lang w:eastAsia="en-US"/>
        </w:rPr>
      </w:pPr>
      <w:r w:rsidRPr="00183728">
        <w:rPr>
          <w:rFonts w:eastAsia="Calibri"/>
          <w:sz w:val="22"/>
          <w:szCs w:val="22"/>
          <w:lang w:eastAsia="en-US"/>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BC01BCC" w14:textId="77777777" w:rsidR="00183728" w:rsidRPr="00AF50B4" w:rsidRDefault="00183728" w:rsidP="007B0E3A">
      <w:pPr>
        <w:jc w:val="both"/>
        <w:rPr>
          <w:rFonts w:eastAsia="Calibri"/>
          <w:b/>
          <w:bCs/>
          <w:sz w:val="22"/>
          <w:szCs w:val="22"/>
          <w:lang w:eastAsia="en-US"/>
        </w:rPr>
      </w:pPr>
    </w:p>
    <w:p w14:paraId="43F750AD" w14:textId="77777777" w:rsidR="007B0E3A" w:rsidRPr="00AF50B4" w:rsidRDefault="00733228" w:rsidP="007B0E3A">
      <w:pPr>
        <w:jc w:val="both"/>
        <w:rPr>
          <w:rFonts w:eastAsia="Calibri"/>
          <w:b/>
          <w:bCs/>
          <w:sz w:val="22"/>
          <w:szCs w:val="22"/>
          <w:lang w:eastAsia="en-US"/>
        </w:rPr>
      </w:pPr>
      <w:r w:rsidRPr="00AF50B4">
        <w:rPr>
          <w:rFonts w:eastAsia="Calibri"/>
          <w:b/>
          <w:bCs/>
          <w:sz w:val="22"/>
          <w:szCs w:val="22"/>
          <w:lang w:eastAsia="en-US"/>
        </w:rPr>
        <w:t xml:space="preserve">1.1. Процедури за избор на изпълнител </w:t>
      </w:r>
    </w:p>
    <w:p w14:paraId="01DEE886" w14:textId="77777777" w:rsidR="007B0E3A" w:rsidRPr="00AF50B4" w:rsidRDefault="00BB628B" w:rsidP="007B0E3A">
      <w:pPr>
        <w:jc w:val="both"/>
        <w:rPr>
          <w:rFonts w:eastAsia="Calibri"/>
          <w:b/>
          <w:bCs/>
          <w:sz w:val="22"/>
          <w:szCs w:val="22"/>
          <w:lang w:eastAsia="en-US"/>
        </w:rPr>
      </w:pPr>
      <w:r w:rsidRPr="00AF50B4">
        <w:rPr>
          <w:rFonts w:eastAsia="Calibri"/>
          <w:sz w:val="22"/>
          <w:szCs w:val="22"/>
          <w:lang w:eastAsia="en-US"/>
        </w:rPr>
        <w:t xml:space="preserve">1.1.1 </w:t>
      </w:r>
      <w:r w:rsidRPr="00AF50B4">
        <w:rPr>
          <w:rFonts w:eastAsia="Calibri"/>
          <w:b/>
          <w:bCs/>
          <w:sz w:val="22"/>
          <w:szCs w:val="22"/>
          <w:lang w:eastAsia="en-US"/>
        </w:rPr>
        <w:t>Избор на изпълнител по реда на Закона за обществените поръчки:</w:t>
      </w:r>
      <w:r w:rsidR="007B0E3A" w:rsidRPr="00AF50B4">
        <w:rPr>
          <w:rFonts w:eastAsia="Calibri"/>
          <w:b/>
          <w:bCs/>
          <w:sz w:val="22"/>
          <w:szCs w:val="22"/>
          <w:lang w:eastAsia="en-US"/>
        </w:rPr>
        <w:t xml:space="preserve"> </w:t>
      </w:r>
    </w:p>
    <w:p w14:paraId="5F8B10D4" w14:textId="77777777" w:rsidR="007B0E3A" w:rsidRPr="00AF50B4" w:rsidRDefault="00BB628B" w:rsidP="007B0E3A">
      <w:pPr>
        <w:jc w:val="both"/>
        <w:rPr>
          <w:rFonts w:eastAsia="Calibri"/>
          <w:bCs/>
          <w:sz w:val="22"/>
          <w:szCs w:val="22"/>
          <w:lang w:eastAsia="en-US"/>
        </w:rPr>
      </w:pPr>
      <w:r w:rsidRPr="00AF50B4">
        <w:rPr>
          <w:rFonts w:eastAsia="Calibri"/>
          <w:bCs/>
          <w:sz w:val="22"/>
          <w:szCs w:val="22"/>
          <w:lang w:eastAsia="en-US"/>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раздел 1</w:t>
      </w:r>
      <w:r w:rsidR="00AF50B4">
        <w:rPr>
          <w:rFonts w:eastAsia="Calibri"/>
          <w:bCs/>
          <w:sz w:val="22"/>
          <w:szCs w:val="22"/>
          <w:lang w:val="en-US" w:eastAsia="en-US"/>
        </w:rPr>
        <w:t>5</w:t>
      </w:r>
      <w:r w:rsidRPr="00AF50B4">
        <w:rPr>
          <w:rFonts w:eastAsia="Calibri"/>
          <w:bCs/>
          <w:sz w:val="22"/>
          <w:szCs w:val="22"/>
          <w:lang w:eastAsia="en-US"/>
        </w:rPr>
        <w:t>. от Условията за кандидатстване.</w:t>
      </w:r>
      <w:r w:rsidR="007B0E3A" w:rsidRPr="00AF50B4">
        <w:rPr>
          <w:rFonts w:eastAsia="Calibri"/>
          <w:bCs/>
          <w:sz w:val="22"/>
          <w:szCs w:val="22"/>
          <w:lang w:eastAsia="en-US"/>
        </w:rPr>
        <w:t xml:space="preserve"> </w:t>
      </w:r>
    </w:p>
    <w:p w14:paraId="75117F0A" w14:textId="77777777" w:rsidR="007B0E3A" w:rsidRPr="00AF50B4" w:rsidRDefault="00BB628B" w:rsidP="007B0E3A">
      <w:pPr>
        <w:jc w:val="both"/>
        <w:rPr>
          <w:rFonts w:eastAsia="Calibri"/>
          <w:bCs/>
          <w:sz w:val="22"/>
          <w:szCs w:val="22"/>
          <w:lang w:eastAsia="en-US"/>
        </w:rPr>
      </w:pPr>
      <w:r w:rsidRPr="00AF50B4">
        <w:rPr>
          <w:rFonts w:eastAsia="Calibri"/>
          <w:bCs/>
          <w:sz w:val="22"/>
          <w:szCs w:val="22"/>
          <w:lang w:eastAsia="en-US"/>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r w:rsidR="007B0E3A" w:rsidRPr="00AF50B4">
        <w:rPr>
          <w:rFonts w:eastAsia="Calibri"/>
          <w:bCs/>
          <w:sz w:val="22"/>
          <w:szCs w:val="22"/>
          <w:lang w:eastAsia="en-US"/>
        </w:rPr>
        <w:t xml:space="preserve"> </w:t>
      </w:r>
    </w:p>
    <w:p w14:paraId="3B43944D" w14:textId="77777777" w:rsidR="007B0E3A" w:rsidRPr="00AF50B4" w:rsidRDefault="00BB628B" w:rsidP="007B0E3A">
      <w:pPr>
        <w:jc w:val="both"/>
        <w:rPr>
          <w:rFonts w:eastAsia="Calibri"/>
          <w:bCs/>
          <w:sz w:val="22"/>
          <w:szCs w:val="22"/>
          <w:lang w:eastAsia="en-US"/>
        </w:rPr>
      </w:pPr>
      <w:r w:rsidRPr="00AF50B4">
        <w:rPr>
          <w:rFonts w:eastAsia="Calibri"/>
          <w:bCs/>
          <w:sz w:val="22"/>
          <w:szCs w:val="22"/>
          <w:lang w:eastAsia="en-US"/>
        </w:rPr>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въвеждането му в ИСУН 2020.  </w:t>
      </w:r>
    </w:p>
    <w:p w14:paraId="2A9D1694" w14:textId="77777777" w:rsidR="00BB628B" w:rsidRPr="00AF50B4" w:rsidRDefault="00BB628B" w:rsidP="007B0E3A">
      <w:pPr>
        <w:jc w:val="both"/>
        <w:rPr>
          <w:rFonts w:eastAsia="Calibri"/>
          <w:bCs/>
          <w:sz w:val="22"/>
          <w:szCs w:val="22"/>
          <w:lang w:eastAsia="en-US"/>
        </w:rPr>
      </w:pPr>
      <w:r w:rsidRPr="00AF50B4">
        <w:rPr>
          <w:rFonts w:eastAsia="Calibri"/>
          <w:bCs/>
          <w:sz w:val="22"/>
          <w:szCs w:val="22"/>
          <w:lang w:eastAsia="en-US"/>
        </w:rPr>
        <w:t>Цялата документация, свързана с провеждането на обществената поръчка, следва да бъде представена от бенефициента на УО чрез ИСУН 2020,</w:t>
      </w:r>
      <w:r w:rsidRPr="00AF50B4">
        <w:rPr>
          <w:rFonts w:eastAsia="Calibri"/>
          <w:b/>
          <w:bCs/>
          <w:sz w:val="22"/>
          <w:szCs w:val="22"/>
          <w:lang w:eastAsia="en-US"/>
        </w:rPr>
        <w:t xml:space="preserve"> </w:t>
      </w:r>
      <w:r w:rsidRPr="00AF50B4">
        <w:rPr>
          <w:rFonts w:eastAsia="Calibri"/>
          <w:bCs/>
          <w:sz w:val="22"/>
          <w:szCs w:val="22"/>
          <w:lang w:eastAsia="en-US"/>
        </w:rPr>
        <w:t>като задължително го уведомява за това чрез модул „Комуникация “</w:t>
      </w:r>
    </w:p>
    <w:p w14:paraId="677805FA" w14:textId="77777777" w:rsidR="00BB628B" w:rsidRPr="00AF50B4" w:rsidRDefault="00BB628B" w:rsidP="007B0E3A">
      <w:pPr>
        <w:keepNext/>
        <w:keepLines/>
        <w:ind w:firstLine="708"/>
        <w:jc w:val="both"/>
        <w:outlineLvl w:val="1"/>
        <w:rPr>
          <w:rFonts w:eastAsia="Calibri"/>
          <w:bCs/>
          <w:sz w:val="22"/>
          <w:szCs w:val="22"/>
          <w:lang w:eastAsia="en-US"/>
        </w:rPr>
      </w:pPr>
      <w:r w:rsidRPr="00AF50B4">
        <w:rPr>
          <w:rFonts w:eastAsia="Calibri"/>
          <w:bCs/>
          <w:sz w:val="22"/>
          <w:szCs w:val="22"/>
          <w:lang w:eastAsia="en-US"/>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w:t>
      </w:r>
      <w:r w:rsidR="00047BF9" w:rsidRPr="00AF50B4">
        <w:rPr>
          <w:rFonts w:eastAsia="Calibri"/>
          <w:bCs/>
          <w:sz w:val="22"/>
          <w:szCs w:val="22"/>
          <w:lang w:eastAsia="en-US"/>
        </w:rPr>
        <w:t>и</w:t>
      </w:r>
      <w:r w:rsidRPr="00AF50B4">
        <w:rPr>
          <w:rFonts w:eastAsia="Calibri"/>
          <w:bCs/>
          <w:sz w:val="22"/>
          <w:szCs w:val="22"/>
          <w:lang w:eastAsia="en-US"/>
        </w:rPr>
        <w:t xml:space="preserve"> само по искане на УО на ПМДР.</w:t>
      </w:r>
    </w:p>
    <w:p w14:paraId="028A3C56" w14:textId="77777777" w:rsidR="00BB628B" w:rsidRPr="00AF50B4" w:rsidRDefault="00BB628B" w:rsidP="007B0E3A">
      <w:pPr>
        <w:keepNext/>
        <w:keepLines/>
        <w:ind w:firstLine="708"/>
        <w:jc w:val="both"/>
        <w:outlineLvl w:val="1"/>
        <w:rPr>
          <w:rFonts w:eastAsia="Calibri"/>
          <w:bCs/>
          <w:sz w:val="22"/>
          <w:szCs w:val="22"/>
          <w:lang w:eastAsia="en-US"/>
        </w:rPr>
      </w:pPr>
      <w:r w:rsidRPr="00AF50B4">
        <w:rPr>
          <w:rFonts w:eastAsia="Calibri"/>
          <w:bCs/>
          <w:sz w:val="22"/>
          <w:szCs w:val="22"/>
          <w:lang w:eastAsia="en-US"/>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0C397408" w14:textId="77777777" w:rsidR="00BB628B" w:rsidRPr="00AF50B4" w:rsidRDefault="00BB628B" w:rsidP="007B0E3A">
      <w:pPr>
        <w:keepNext/>
        <w:keepLines/>
        <w:ind w:firstLine="708"/>
        <w:jc w:val="both"/>
        <w:outlineLvl w:val="1"/>
        <w:rPr>
          <w:rFonts w:eastAsia="Calibri"/>
          <w:bCs/>
          <w:sz w:val="22"/>
          <w:szCs w:val="22"/>
          <w:lang w:eastAsia="en-US"/>
        </w:rPr>
      </w:pPr>
      <w:r w:rsidRPr="00AF50B4">
        <w:rPr>
          <w:rFonts w:eastAsia="Calibri"/>
          <w:bCs/>
          <w:sz w:val="22"/>
          <w:szCs w:val="22"/>
          <w:lang w:eastAsia="en-US"/>
        </w:rPr>
        <w:t>В случай на установяване на нередности</w:t>
      </w:r>
      <w:r w:rsidRPr="00AF50B4">
        <w:rPr>
          <w:rFonts w:eastAsia="Calibri"/>
          <w:sz w:val="22"/>
          <w:szCs w:val="22"/>
          <w:lang w:eastAsia="en-US"/>
        </w:rPr>
        <w:t xml:space="preserve"> </w:t>
      </w:r>
      <w:r w:rsidRPr="00AF50B4">
        <w:rPr>
          <w:rFonts w:eastAsia="Calibri"/>
          <w:bCs/>
          <w:sz w:val="22"/>
          <w:szCs w:val="22"/>
          <w:lang w:eastAsia="en-US"/>
        </w:rPr>
        <w:t>по смисъла на чл. 2, т. 36 и 38 от Регламент (ЕС) № 1303/2013 в проведената процедура, УО на ПМДР налага финансова корекция по реда на чл.70 и следващите от ЗУСЕСИФ.</w:t>
      </w:r>
    </w:p>
    <w:p w14:paraId="132500A6" w14:textId="28AD7669" w:rsidR="00BB628B" w:rsidRPr="00AF50B4" w:rsidRDefault="00BB628B" w:rsidP="007B0E3A">
      <w:pPr>
        <w:jc w:val="both"/>
        <w:rPr>
          <w:rFonts w:eastAsia="Calibri"/>
          <w:sz w:val="22"/>
          <w:szCs w:val="22"/>
          <w:lang w:eastAsia="en-US"/>
        </w:rPr>
      </w:pPr>
      <w:r w:rsidRPr="00AF50B4">
        <w:rPr>
          <w:rFonts w:eastAsia="Calibri"/>
          <w:sz w:val="22"/>
          <w:szCs w:val="22"/>
          <w:lang w:eastAsia="en-US"/>
        </w:rPr>
        <w:t xml:space="preserve">  </w:t>
      </w:r>
      <w:r w:rsidR="00733228" w:rsidRPr="00AF50B4">
        <w:rPr>
          <w:rFonts w:eastAsia="Calibri"/>
          <w:sz w:val="22"/>
          <w:szCs w:val="22"/>
          <w:lang w:eastAsia="en-US"/>
        </w:rPr>
        <w:t>Бенефициентите</w:t>
      </w:r>
      <w:r w:rsidRPr="00AF50B4">
        <w:rPr>
          <w:rFonts w:eastAsia="Calibri"/>
          <w:sz w:val="22"/>
          <w:szCs w:val="22"/>
          <w:lang w:eastAsia="en-US"/>
        </w:rPr>
        <w:t>, които не са възложители по смисъла на ЗОП</w:t>
      </w:r>
      <w:r w:rsidR="00733228" w:rsidRPr="00AF50B4">
        <w:rPr>
          <w:rFonts w:eastAsia="Calibri"/>
          <w:sz w:val="22"/>
          <w:szCs w:val="22"/>
          <w:lang w:eastAsia="en-US"/>
        </w:rPr>
        <w:t xml:space="preserve"> </w:t>
      </w:r>
      <w:r w:rsidRPr="00AF50B4">
        <w:rPr>
          <w:rFonts w:eastAsia="Calibri"/>
          <w:sz w:val="22"/>
          <w:szCs w:val="22"/>
          <w:lang w:eastAsia="en-US"/>
        </w:rPr>
        <w:t xml:space="preserve">избират изпълнител </w:t>
      </w:r>
      <w:r w:rsidR="00733228" w:rsidRPr="00AF50B4">
        <w:rPr>
          <w:rFonts w:eastAsia="Calibri"/>
          <w:sz w:val="22"/>
          <w:szCs w:val="22"/>
          <w:lang w:eastAsia="en-US"/>
        </w:rPr>
        <w:t xml:space="preserve">по следния ред: </w:t>
      </w:r>
    </w:p>
    <w:p w14:paraId="0D968B15" w14:textId="3B3050BF" w:rsidR="00733228" w:rsidRDefault="00756844" w:rsidP="007B0E3A">
      <w:pPr>
        <w:ind w:firstLine="708"/>
        <w:jc w:val="both"/>
        <w:rPr>
          <w:rFonts w:eastAsia="Calibri"/>
          <w:sz w:val="22"/>
          <w:szCs w:val="22"/>
          <w:lang w:eastAsia="en-US"/>
        </w:rPr>
      </w:pPr>
      <w:r w:rsidRPr="00B94D26">
        <w:rPr>
          <w:rFonts w:eastAsia="Calibri"/>
          <w:b/>
          <w:bCs/>
          <w:sz w:val="22"/>
          <w:szCs w:val="22"/>
          <w:lang w:eastAsia="en-US"/>
        </w:rPr>
        <w:t>1.1.2</w:t>
      </w:r>
      <w:r w:rsidRPr="00AF50B4">
        <w:rPr>
          <w:rFonts w:eastAsia="Calibri"/>
          <w:sz w:val="22"/>
          <w:szCs w:val="22"/>
          <w:lang w:eastAsia="en-US"/>
        </w:rPr>
        <w:t xml:space="preserve"> </w:t>
      </w:r>
      <w:r w:rsidR="00733228" w:rsidRPr="00AF50B4">
        <w:rPr>
          <w:rFonts w:eastAsia="Calibri"/>
          <w:b/>
          <w:bCs/>
          <w:sz w:val="22"/>
          <w:szCs w:val="22"/>
          <w:lang w:eastAsia="en-US"/>
        </w:rPr>
        <w:t xml:space="preserve">„Процедура за избор с публична покана“ пo реда на </w:t>
      </w:r>
      <w:r w:rsidR="00733228" w:rsidRPr="0027345F">
        <w:rPr>
          <w:rFonts w:eastAsia="Calibri"/>
          <w:b/>
          <w:bCs/>
          <w:sz w:val="22"/>
          <w:szCs w:val="22"/>
          <w:lang w:eastAsia="en-US"/>
        </w:rPr>
        <w:t>Постановление № 160</w:t>
      </w:r>
      <w:r w:rsidR="00733228" w:rsidRPr="00AF50B4">
        <w:rPr>
          <w:rFonts w:eastAsia="Calibri"/>
          <w:sz w:val="22"/>
          <w:szCs w:val="22"/>
          <w:lang w:eastAsia="en-US"/>
        </w:rPr>
        <w:t xml:space="preserve">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w:t>
      </w:r>
    </w:p>
    <w:p w14:paraId="6362645B" w14:textId="77777777" w:rsidR="00B41EE1" w:rsidRDefault="00B41EE1" w:rsidP="00B41EE1">
      <w:pPr>
        <w:ind w:firstLine="708"/>
        <w:jc w:val="both"/>
        <w:rPr>
          <w:rFonts w:eastAsia="Calibri"/>
          <w:sz w:val="22"/>
          <w:szCs w:val="22"/>
          <w:lang w:eastAsia="en-US"/>
        </w:rPr>
      </w:pPr>
      <w:r w:rsidRPr="00B41EE1">
        <w:rPr>
          <w:rFonts w:eastAsia="Calibri"/>
          <w:b/>
          <w:bCs/>
          <w:sz w:val="22"/>
          <w:szCs w:val="22"/>
          <w:lang w:eastAsia="en-US"/>
        </w:rPr>
        <w:t>ВАЖНО!!!</w:t>
      </w:r>
      <w:r w:rsidRPr="00B41EE1">
        <w:rPr>
          <w:rFonts w:eastAsia="Calibri"/>
          <w:sz w:val="22"/>
          <w:szCs w:val="22"/>
          <w:lang w:eastAsia="en-US"/>
        </w:rPr>
        <w:t xml:space="preserve">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w:t>
      </w:r>
      <w:r>
        <w:rPr>
          <w:rFonts w:eastAsia="Calibri"/>
          <w:sz w:val="22"/>
          <w:szCs w:val="22"/>
          <w:lang w:eastAsia="en-US"/>
        </w:rPr>
        <w:t xml:space="preserve"> (Приложение </w:t>
      </w:r>
      <w:r w:rsidRPr="00B41EE1">
        <w:rPr>
          <w:rFonts w:eastAsia="Calibri"/>
          <w:sz w:val="22"/>
          <w:szCs w:val="22"/>
          <w:lang w:eastAsia="en-US"/>
        </w:rPr>
        <w:t>№</w:t>
      </w:r>
      <w:r>
        <w:rPr>
          <w:rFonts w:eastAsia="Calibri"/>
          <w:sz w:val="22"/>
          <w:szCs w:val="22"/>
          <w:lang w:eastAsia="en-US"/>
        </w:rPr>
        <w:t>19 към настоящите Условия за изпълнение)</w:t>
      </w:r>
      <w:r w:rsidRPr="00B41EE1">
        <w:rPr>
          <w:rFonts w:eastAsia="Calibri"/>
          <w:sz w:val="22"/>
          <w:szCs w:val="22"/>
          <w:lang w:eastAsia="en-US"/>
        </w:rPr>
        <w:t xml:space="preserve">. </w:t>
      </w:r>
    </w:p>
    <w:p w14:paraId="50B0D056" w14:textId="77777777" w:rsidR="00B41EE1" w:rsidRPr="00B41EE1" w:rsidRDefault="00B41EE1" w:rsidP="00B41EE1">
      <w:pPr>
        <w:ind w:firstLine="708"/>
        <w:jc w:val="both"/>
        <w:rPr>
          <w:rFonts w:eastAsia="Calibri"/>
          <w:sz w:val="22"/>
          <w:szCs w:val="22"/>
          <w:lang w:eastAsia="en-US"/>
        </w:rPr>
      </w:pPr>
      <w:r w:rsidRPr="00B41EE1">
        <w:rPr>
          <w:rFonts w:eastAsia="Calibri"/>
          <w:sz w:val="22"/>
          <w:szCs w:val="22"/>
          <w:lang w:eastAsia="en-US"/>
        </w:rPr>
        <w:t xml:space="preserve">Същото може да бъде намерено на следния интернет адрес: </w:t>
      </w:r>
      <w:hyperlink r:id="rId7" w:history="1">
        <w:r w:rsidRPr="00FD729F">
          <w:rPr>
            <w:rStyle w:val="af1"/>
            <w:rFonts w:eastAsia="Calibri"/>
            <w:sz w:val="22"/>
            <w:szCs w:val="22"/>
            <w:lang w:eastAsia="en-US"/>
          </w:rPr>
          <w:t>https://www.eufunds.bg/bg/pmdr/node/5313</w:t>
        </w:r>
      </w:hyperlink>
      <w:r>
        <w:rPr>
          <w:rFonts w:eastAsia="Calibri"/>
          <w:sz w:val="22"/>
          <w:szCs w:val="22"/>
          <w:lang w:eastAsia="en-US"/>
        </w:rPr>
        <w:t xml:space="preserve"> </w:t>
      </w:r>
    </w:p>
    <w:p w14:paraId="2A354A29" w14:textId="77777777" w:rsidR="00B41EE1" w:rsidRDefault="00B41EE1" w:rsidP="00B41EE1">
      <w:pPr>
        <w:jc w:val="both"/>
        <w:rPr>
          <w:rFonts w:eastAsia="Calibri"/>
          <w:sz w:val="22"/>
          <w:szCs w:val="22"/>
          <w:lang w:eastAsia="en-US"/>
        </w:rPr>
      </w:pPr>
      <w:r w:rsidRPr="00B41EE1">
        <w:rPr>
          <w:rFonts w:eastAsia="Calibri"/>
          <w:sz w:val="22"/>
          <w:szCs w:val="22"/>
          <w:lang w:eastAsia="en-US"/>
        </w:rPr>
        <w:t xml:space="preserve">и </w:t>
      </w:r>
    </w:p>
    <w:p w14:paraId="596AD558" w14:textId="77777777" w:rsidR="00B41EE1" w:rsidRPr="00AF50B4" w:rsidRDefault="00B41EE1" w:rsidP="00B41EE1">
      <w:pPr>
        <w:jc w:val="both"/>
        <w:rPr>
          <w:rFonts w:eastAsia="Calibri"/>
          <w:sz w:val="22"/>
          <w:szCs w:val="22"/>
          <w:lang w:eastAsia="en-US"/>
        </w:rPr>
      </w:pPr>
      <w:r w:rsidRPr="00B41EE1">
        <w:rPr>
          <w:rFonts w:eastAsia="Calibri"/>
          <w:sz w:val="22"/>
          <w:szCs w:val="22"/>
          <w:lang w:eastAsia="en-US"/>
        </w:rPr>
        <w:t>https://www.eufunds.bg/bg/pmdr/node/5279  - Указание за регламентиране и</w:t>
      </w:r>
      <w:r>
        <w:rPr>
          <w:rFonts w:eastAsia="Calibri"/>
          <w:sz w:val="22"/>
          <w:szCs w:val="22"/>
          <w:lang w:eastAsia="en-US"/>
        </w:rPr>
        <w:t xml:space="preserve"> </w:t>
      </w:r>
      <w:r w:rsidRPr="00B41EE1">
        <w:rPr>
          <w:rFonts w:eastAsia="Calibri"/>
          <w:sz w:val="22"/>
          <w:szCs w:val="22"/>
          <w:lang w:eastAsia="en-US"/>
        </w:rPr>
        <w:t>отчитане на възнагражденията на екипите за изпълнение на проекти</w:t>
      </w:r>
      <w:r>
        <w:rPr>
          <w:rFonts w:eastAsia="Calibri"/>
          <w:sz w:val="22"/>
          <w:szCs w:val="22"/>
          <w:lang w:eastAsia="en-US"/>
        </w:rPr>
        <w:t xml:space="preserve"> (Приложение </w:t>
      </w:r>
      <w:r w:rsidRPr="00B41EE1">
        <w:rPr>
          <w:rFonts w:eastAsia="Calibri"/>
          <w:sz w:val="22"/>
          <w:szCs w:val="22"/>
          <w:lang w:eastAsia="en-US"/>
        </w:rPr>
        <w:t>№</w:t>
      </w:r>
      <w:r>
        <w:rPr>
          <w:rFonts w:eastAsia="Calibri"/>
          <w:sz w:val="22"/>
          <w:szCs w:val="22"/>
          <w:lang w:eastAsia="en-US"/>
        </w:rPr>
        <w:t>20 към настоящите Условия за изпълнение)</w:t>
      </w:r>
      <w:r w:rsidRPr="00B41EE1">
        <w:rPr>
          <w:rFonts w:eastAsia="Calibri"/>
          <w:sz w:val="22"/>
          <w:szCs w:val="22"/>
          <w:lang w:eastAsia="en-US"/>
        </w:rPr>
        <w:t>.</w:t>
      </w:r>
    </w:p>
    <w:p w14:paraId="728771A0"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 </w:t>
      </w:r>
    </w:p>
    <w:p w14:paraId="511EED1A"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2A7AE087"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47046BF7" w14:textId="77777777" w:rsidR="002556A4" w:rsidRPr="00AF50B4" w:rsidRDefault="002556A4" w:rsidP="007B0E3A">
      <w:pPr>
        <w:jc w:val="both"/>
        <w:rPr>
          <w:rFonts w:eastAsia="Calibri"/>
          <w:sz w:val="22"/>
          <w:szCs w:val="22"/>
          <w:lang w:eastAsia="en-US"/>
        </w:rPr>
      </w:pPr>
      <w:r w:rsidRPr="00AF50B4">
        <w:rPr>
          <w:rFonts w:eastAsia="Calibri"/>
          <w:sz w:val="22"/>
          <w:szCs w:val="22"/>
          <w:lang w:eastAsia="en-US"/>
        </w:rPr>
        <w:tab/>
        <w:t xml:space="preserve">Съгласно чл. 50, ал 3 от ЗУСЕСИФ </w:t>
      </w:r>
      <w:r w:rsidR="00741B6C" w:rsidRPr="00AF50B4">
        <w:rPr>
          <w:rFonts w:eastAsia="Calibri"/>
          <w:sz w:val="22"/>
          <w:szCs w:val="22"/>
          <w:lang w:eastAsia="en-US"/>
        </w:rPr>
        <w:t xml:space="preserve">и изискванията на УО </w:t>
      </w:r>
      <w:r w:rsidRPr="00AF50B4">
        <w:rPr>
          <w:rFonts w:eastAsia="Calibri"/>
          <w:sz w:val="22"/>
          <w:szCs w:val="22"/>
          <w:lang w:eastAsia="en-US"/>
        </w:rPr>
        <w:t>бенефициентът провежда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w:t>
      </w:r>
      <w:r w:rsidR="00741B6C" w:rsidRPr="00AF50B4">
        <w:rPr>
          <w:rFonts w:eastAsia="Calibri"/>
          <w:sz w:val="22"/>
          <w:szCs w:val="22"/>
          <w:lang w:eastAsia="en-US"/>
        </w:rPr>
        <w:t>.</w:t>
      </w:r>
    </w:p>
    <w:p w14:paraId="0FAEC32B" w14:textId="21A4719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w:t>
      </w:r>
    </w:p>
    <w:p w14:paraId="3E81F355" w14:textId="1D8710B4"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Кандидатите за изпълнители на дейностите</w:t>
      </w:r>
      <w:r w:rsidR="00AE0713">
        <w:rPr>
          <w:rFonts w:eastAsia="Calibri"/>
          <w:sz w:val="22"/>
          <w:szCs w:val="22"/>
          <w:lang w:val="en-US" w:eastAsia="en-US"/>
        </w:rPr>
        <w:t>,</w:t>
      </w:r>
      <w:r w:rsidRPr="00AF50B4">
        <w:rPr>
          <w:rFonts w:eastAsia="Calibri"/>
          <w:sz w:val="22"/>
          <w:szCs w:val="22"/>
          <w:lang w:eastAsia="en-US"/>
        </w:rPr>
        <w:t xml:space="preserve"> посочени в публичната покана</w:t>
      </w:r>
      <w:r w:rsidR="00AE0713">
        <w:rPr>
          <w:rFonts w:eastAsia="Calibri"/>
          <w:sz w:val="22"/>
          <w:szCs w:val="22"/>
          <w:lang w:val="en-US" w:eastAsia="en-US"/>
        </w:rPr>
        <w:t>,</w:t>
      </w:r>
      <w:r w:rsidRPr="00AF50B4">
        <w:rPr>
          <w:rFonts w:eastAsia="Calibri"/>
          <w:sz w:val="22"/>
          <w:szCs w:val="22"/>
          <w:lang w:eastAsia="en-US"/>
        </w:rPr>
        <w:t xml:space="preserve"> следва да отговарят на следните две кумулативни условия: </w:t>
      </w:r>
    </w:p>
    <w:p w14:paraId="1A60CBE3" w14:textId="2B230BE4" w:rsidR="00733228" w:rsidRPr="00AF50B4" w:rsidRDefault="00733228" w:rsidP="0027345F">
      <w:pPr>
        <w:ind w:firstLine="708"/>
        <w:jc w:val="both"/>
        <w:rPr>
          <w:rFonts w:eastAsia="Calibri"/>
          <w:sz w:val="22"/>
          <w:szCs w:val="22"/>
          <w:lang w:eastAsia="en-US"/>
        </w:rPr>
      </w:pPr>
      <w:r w:rsidRPr="00AF50B4">
        <w:rPr>
          <w:rFonts w:eastAsia="Calibri"/>
          <w:sz w:val="22"/>
          <w:szCs w:val="22"/>
          <w:lang w:eastAsia="en-US"/>
        </w:rPr>
        <w:lastRenderedPageBreak/>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0E7A8C4C" w14:textId="650E8FFA" w:rsidR="00733228" w:rsidRPr="00AF50B4" w:rsidRDefault="00733228" w:rsidP="0027345F">
      <w:pPr>
        <w:ind w:firstLine="708"/>
        <w:jc w:val="both"/>
        <w:rPr>
          <w:rFonts w:eastAsia="Calibri"/>
          <w:sz w:val="22"/>
          <w:szCs w:val="22"/>
          <w:lang w:eastAsia="en-US"/>
        </w:rPr>
      </w:pPr>
      <w:r w:rsidRPr="00AF50B4">
        <w:rPr>
          <w:rFonts w:eastAsia="Calibri"/>
          <w:sz w:val="22"/>
          <w:szCs w:val="22"/>
          <w:lang w:eastAsia="en-US"/>
        </w:rPr>
        <w:t xml:space="preserve">2. годишния оборот, който се отнася до предмета на поръчката (специфичен оборот) </w:t>
      </w:r>
      <w:r w:rsidR="00A25EC8" w:rsidRPr="00A25EC8">
        <w:rPr>
          <w:rFonts w:eastAsia="Calibri"/>
          <w:sz w:val="22"/>
          <w:szCs w:val="22"/>
          <w:lang w:eastAsia="en-US"/>
        </w:rPr>
        <w:t>да е най-много за последните 3 приключили финансови години</w:t>
      </w:r>
      <w:r w:rsidRPr="00AF50B4">
        <w:rPr>
          <w:rFonts w:eastAsia="Calibri"/>
          <w:sz w:val="22"/>
          <w:szCs w:val="22"/>
          <w:lang w:eastAsia="en-US"/>
        </w:rPr>
        <w:t xml:space="preserve">,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0E65085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Тези изисквания са кумулативни и кандидатите за изпълнители, трябва да отговарят задължително на тях. </w:t>
      </w:r>
    </w:p>
    <w:p w14:paraId="7E9D05D3" w14:textId="77777777" w:rsidR="000B0C37" w:rsidRDefault="00733228" w:rsidP="0027345F">
      <w:pPr>
        <w:ind w:firstLine="708"/>
        <w:jc w:val="both"/>
        <w:rPr>
          <w:rFonts w:eastAsia="Calibri"/>
          <w:sz w:val="22"/>
          <w:szCs w:val="22"/>
          <w:lang w:eastAsia="en-US"/>
        </w:rPr>
      </w:pPr>
      <w:r w:rsidRPr="00AF50B4">
        <w:rPr>
          <w:rFonts w:eastAsia="Calibri"/>
          <w:sz w:val="22"/>
          <w:szCs w:val="22"/>
          <w:lang w:eastAsia="en-US"/>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54FEBFEF" w14:textId="4C3DEC3F" w:rsidR="00733228" w:rsidRPr="00AF50B4" w:rsidRDefault="00733228" w:rsidP="0027345F">
      <w:pPr>
        <w:ind w:firstLine="708"/>
        <w:jc w:val="both"/>
        <w:rPr>
          <w:rFonts w:eastAsia="Calibri"/>
          <w:sz w:val="22"/>
          <w:szCs w:val="22"/>
          <w:lang w:eastAsia="en-US"/>
        </w:rPr>
      </w:pPr>
      <w:r w:rsidRPr="00AF50B4">
        <w:rPr>
          <w:rFonts w:eastAsia="Calibri"/>
          <w:sz w:val="22"/>
          <w:szCs w:val="22"/>
          <w:lang w:eastAsia="en-U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C16201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w:t>
      </w:r>
      <w:r w:rsidR="00AF50B4">
        <w:rPr>
          <w:rFonts w:eastAsia="Calibri"/>
          <w:sz w:val="22"/>
          <w:szCs w:val="22"/>
          <w:lang w:val="en-US" w:eastAsia="en-US"/>
        </w:rPr>
        <w:t>7</w:t>
      </w:r>
      <w:r w:rsidRPr="00AF50B4">
        <w:rPr>
          <w:rFonts w:eastAsia="Calibri"/>
          <w:sz w:val="22"/>
          <w:szCs w:val="22"/>
          <w:lang w:eastAsia="en-US"/>
        </w:rPr>
        <w:t xml:space="preserve"> „Документи за осъществяване на последващ контрол на проведена процедура „Избор с публична покана“  по чл. 50, ал. 1 от ЗУСЕСИФ и ПМС № 160 от 2016 г.“. </w:t>
      </w:r>
    </w:p>
    <w:p w14:paraId="07DA249F" w14:textId="47968AA6" w:rsidR="00733228" w:rsidRPr="00AF50B4" w:rsidRDefault="00756844" w:rsidP="00B94D26">
      <w:pPr>
        <w:spacing w:before="240"/>
        <w:jc w:val="both"/>
        <w:rPr>
          <w:rFonts w:eastAsia="Calibri"/>
          <w:sz w:val="22"/>
          <w:szCs w:val="22"/>
          <w:lang w:eastAsia="en-US"/>
        </w:rPr>
      </w:pPr>
      <w:r w:rsidRPr="00AF50B4">
        <w:rPr>
          <w:rFonts w:eastAsia="Calibri"/>
          <w:sz w:val="22"/>
          <w:szCs w:val="22"/>
          <w:lang w:eastAsia="en-US"/>
        </w:rPr>
        <w:t>1.1.</w:t>
      </w:r>
      <w:r>
        <w:rPr>
          <w:rFonts w:eastAsia="Calibri"/>
          <w:sz w:val="22"/>
          <w:szCs w:val="22"/>
          <w:lang w:eastAsia="en-US"/>
        </w:rPr>
        <w:t xml:space="preserve">3 </w:t>
      </w:r>
      <w:r w:rsidR="00733228" w:rsidRPr="00AF50B4">
        <w:rPr>
          <w:rFonts w:eastAsia="Calibri"/>
          <w:b/>
          <w:bCs/>
          <w:sz w:val="22"/>
          <w:szCs w:val="22"/>
          <w:lang w:eastAsia="en-US"/>
        </w:rPr>
        <w:t>Избор на изпълнител “Чрез представяне на поне две съпоставими</w:t>
      </w:r>
      <w:r w:rsidR="0065481A">
        <w:rPr>
          <w:rFonts w:eastAsia="Calibri"/>
          <w:b/>
          <w:bCs/>
          <w:sz w:val="22"/>
          <w:szCs w:val="22"/>
          <w:lang w:eastAsia="en-US"/>
        </w:rPr>
        <w:t>,</w:t>
      </w:r>
      <w:r w:rsidR="00733228" w:rsidRPr="00AF50B4">
        <w:rPr>
          <w:rFonts w:eastAsia="Calibri"/>
          <w:b/>
          <w:bCs/>
          <w:sz w:val="22"/>
          <w:szCs w:val="22"/>
          <w:lang w:eastAsia="en-US"/>
        </w:rPr>
        <w:t xml:space="preserve"> независими </w:t>
      </w:r>
      <w:r w:rsidR="0065481A">
        <w:rPr>
          <w:rFonts w:eastAsia="Calibri"/>
          <w:b/>
          <w:bCs/>
          <w:sz w:val="22"/>
          <w:szCs w:val="22"/>
          <w:lang w:eastAsia="en-US"/>
        </w:rPr>
        <w:t xml:space="preserve">и конкурентни </w:t>
      </w:r>
      <w:r w:rsidR="00733228" w:rsidRPr="00AF50B4">
        <w:rPr>
          <w:rFonts w:eastAsia="Calibri"/>
          <w:b/>
          <w:bCs/>
          <w:sz w:val="22"/>
          <w:szCs w:val="22"/>
          <w:lang w:eastAsia="en-US"/>
        </w:rPr>
        <w:t xml:space="preserve">оферти“: </w:t>
      </w:r>
    </w:p>
    <w:p w14:paraId="56BB8A74"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73BB61CC"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строителство, в т. ч. съфинансирането от страна на бенефициента, без данък върху добавената стойност, е по-малка от 50 000 лв.; </w:t>
      </w:r>
    </w:p>
    <w:p w14:paraId="76A3D142"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059FBE73" w14:textId="77777777" w:rsidR="00BB628B"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този случай, Бенефициентите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 </w:t>
      </w:r>
    </w:p>
    <w:p w14:paraId="5C5A03CA" w14:textId="77777777" w:rsidR="00733228" w:rsidRPr="00AF50B4" w:rsidRDefault="00733228" w:rsidP="007B0E3A">
      <w:pPr>
        <w:jc w:val="both"/>
        <w:rPr>
          <w:rFonts w:eastAsia="Calibri"/>
          <w:sz w:val="22"/>
          <w:szCs w:val="22"/>
          <w:lang w:eastAsia="en-US"/>
        </w:rPr>
      </w:pPr>
      <w:r w:rsidRPr="00AF50B4">
        <w:rPr>
          <w:rFonts w:eastAsia="Calibri"/>
          <w:b/>
          <w:bCs/>
          <w:i/>
          <w:iCs/>
          <w:sz w:val="22"/>
          <w:szCs w:val="22"/>
          <w:lang w:eastAsia="en-US"/>
        </w:rPr>
        <w:t xml:space="preserve">„Независими оферти“ </w:t>
      </w:r>
      <w:r w:rsidRPr="00AF50B4">
        <w:rPr>
          <w:rFonts w:eastAsia="Calibri"/>
          <w:sz w:val="22"/>
          <w:szCs w:val="22"/>
          <w:lang w:eastAsia="en-US"/>
        </w:rPr>
        <w:t xml:space="preserve">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w:t>
      </w:r>
      <w:r w:rsidRPr="00AF50B4">
        <w:rPr>
          <w:rFonts w:eastAsia="Calibri"/>
          <w:sz w:val="22"/>
          <w:szCs w:val="22"/>
          <w:lang w:eastAsia="en-US"/>
        </w:rPr>
        <w:lastRenderedPageBreak/>
        <w:t xml:space="preserve">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04503733" w14:textId="77777777" w:rsidR="00BB628B" w:rsidRPr="00AF50B4" w:rsidRDefault="00733228" w:rsidP="007B0E3A">
      <w:pPr>
        <w:jc w:val="both"/>
        <w:rPr>
          <w:rFonts w:eastAsia="Calibri"/>
          <w:sz w:val="22"/>
          <w:szCs w:val="22"/>
          <w:lang w:eastAsia="en-US"/>
        </w:rPr>
      </w:pPr>
      <w:r w:rsidRPr="00AF50B4">
        <w:rPr>
          <w:rFonts w:eastAsia="Calibri"/>
          <w:b/>
          <w:bCs/>
          <w:i/>
          <w:iCs/>
          <w:sz w:val="22"/>
          <w:szCs w:val="22"/>
          <w:lang w:eastAsia="en-US"/>
        </w:rPr>
        <w:t xml:space="preserve">„Официален каталог“ </w:t>
      </w:r>
      <w:r w:rsidRPr="00AF50B4">
        <w:rPr>
          <w:rFonts w:eastAsia="Calibri"/>
          <w:sz w:val="22"/>
          <w:szCs w:val="22"/>
          <w:lang w:eastAsia="en-US"/>
        </w:rPr>
        <w:t xml:space="preserve">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146258B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8E4D883" w14:textId="77777777" w:rsidR="002A0A29" w:rsidRPr="002A0A29" w:rsidRDefault="002A0A29" w:rsidP="002A0A29">
      <w:pPr>
        <w:ind w:firstLine="708"/>
        <w:jc w:val="both"/>
        <w:rPr>
          <w:rFonts w:eastAsia="Calibri"/>
          <w:sz w:val="22"/>
          <w:szCs w:val="22"/>
          <w:lang w:eastAsia="en-US"/>
        </w:rPr>
      </w:pPr>
      <w:r w:rsidRPr="002A0A29">
        <w:rPr>
          <w:rFonts w:eastAsia="Calibri"/>
          <w:sz w:val="22"/>
          <w:szCs w:val="22"/>
          <w:lang w:eastAsia="en-US"/>
        </w:rPr>
        <w:t>Оферентите следва да отговарят на следните две кумулативни условия:</w:t>
      </w:r>
    </w:p>
    <w:p w14:paraId="3E52EF3C" w14:textId="77777777" w:rsidR="002A0A29" w:rsidRPr="002A0A29" w:rsidRDefault="002A0A29" w:rsidP="002A0A29">
      <w:pPr>
        <w:ind w:firstLine="708"/>
        <w:jc w:val="both"/>
        <w:rPr>
          <w:rFonts w:eastAsia="Calibri"/>
          <w:sz w:val="22"/>
          <w:szCs w:val="22"/>
          <w:lang w:eastAsia="en-US"/>
        </w:rPr>
      </w:pPr>
      <w:r w:rsidRPr="002A0A29">
        <w:rPr>
          <w:rFonts w:eastAsia="Calibri"/>
          <w:sz w:val="22"/>
          <w:szCs w:val="22"/>
          <w:lang w:eastAsia="en-U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6DE8C12F" w14:textId="614C7F77" w:rsidR="002A0A29" w:rsidRDefault="002A0A29" w:rsidP="007B0E3A">
      <w:pPr>
        <w:ind w:firstLine="708"/>
        <w:jc w:val="both"/>
        <w:rPr>
          <w:rFonts w:eastAsia="Calibri"/>
          <w:sz w:val="22"/>
          <w:szCs w:val="22"/>
          <w:lang w:eastAsia="en-US"/>
        </w:rPr>
      </w:pPr>
      <w:r w:rsidRPr="002A0A29">
        <w:rPr>
          <w:rFonts w:eastAsia="Calibri"/>
          <w:sz w:val="22"/>
          <w:szCs w:val="22"/>
          <w:lang w:eastAsia="en-U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45F698F" w14:textId="0B87A59A"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1B6165E6"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Бенефициентите не могат да </w:t>
      </w:r>
      <w:r w:rsidR="009B6D40" w:rsidRPr="00AF50B4">
        <w:rPr>
          <w:rFonts w:eastAsia="Calibri"/>
          <w:sz w:val="22"/>
          <w:szCs w:val="22"/>
          <w:lang w:eastAsia="en-US"/>
        </w:rPr>
        <w:t>сключват</w:t>
      </w:r>
      <w:r w:rsidRPr="00AF50B4">
        <w:rPr>
          <w:rFonts w:eastAsia="Calibri"/>
          <w:sz w:val="22"/>
          <w:szCs w:val="22"/>
          <w:lang w:eastAsia="en-US"/>
        </w:rPr>
        <w:t xml:space="preserve">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28EDEF5" w14:textId="77777777" w:rsidR="00F83BB9" w:rsidRPr="00AF50B4" w:rsidRDefault="00733228" w:rsidP="007B0E3A">
      <w:pPr>
        <w:ind w:firstLine="708"/>
        <w:jc w:val="both"/>
        <w:rPr>
          <w:rFonts w:eastAsia="Calibri"/>
          <w:b/>
          <w:bCs/>
          <w:sz w:val="22"/>
          <w:szCs w:val="22"/>
          <w:lang w:eastAsia="en-US"/>
        </w:rPr>
      </w:pPr>
      <w:r w:rsidRPr="00AF50B4">
        <w:rPr>
          <w:rFonts w:eastAsia="Calibri"/>
          <w:sz w:val="22"/>
          <w:szCs w:val="22"/>
          <w:lang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AF50B4">
        <w:rPr>
          <w:rFonts w:eastAsia="Calibri"/>
          <w:b/>
          <w:bCs/>
          <w:sz w:val="22"/>
          <w:szCs w:val="22"/>
          <w:lang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w:t>
      </w:r>
    </w:p>
    <w:p w14:paraId="3E0C0B89" w14:textId="77777777" w:rsidR="00733228" w:rsidRPr="00AF50B4" w:rsidRDefault="00733228" w:rsidP="007B0E3A">
      <w:pPr>
        <w:ind w:firstLine="708"/>
        <w:jc w:val="both"/>
        <w:rPr>
          <w:rFonts w:eastAsia="Calibri"/>
          <w:sz w:val="22"/>
          <w:szCs w:val="22"/>
          <w:lang w:eastAsia="en-US"/>
        </w:rPr>
      </w:pPr>
      <w:r w:rsidRPr="00AF50B4">
        <w:rPr>
          <w:rFonts w:eastAsia="Calibri"/>
          <w:b/>
          <w:bCs/>
          <w:sz w:val="22"/>
          <w:szCs w:val="22"/>
          <w:lang w:eastAsia="en-US"/>
        </w:rPr>
        <w:t xml:space="preserve">В този случай </w:t>
      </w:r>
      <w:r w:rsidRPr="00AF50B4">
        <w:rPr>
          <w:rFonts w:eastAsia="Calibri"/>
          <w:sz w:val="22"/>
          <w:szCs w:val="22"/>
          <w:lang w:eastAsia="en-US"/>
        </w:rPr>
        <w:t xml:space="preserve">бенефициентът представя на УО на ПМДР, чрез ИСУН 2020, минимум следните документи: </w:t>
      </w:r>
    </w:p>
    <w:p w14:paraId="6F2358E4"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събраните поне 2 оферти; </w:t>
      </w:r>
    </w:p>
    <w:p w14:paraId="3A1616AB"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обосновка в свободен текст за направения избор на база на събраните оферти; </w:t>
      </w:r>
    </w:p>
    <w:p w14:paraId="7C707110"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документите доказващи, че оферентът отговаря на кумулативните изисквания, посочени по-горе; </w:t>
      </w:r>
    </w:p>
    <w:p w14:paraId="00AE75F1"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сключен договор, предметът и параметрите на който трябва да съответстват на избраната оферта. </w:t>
      </w:r>
    </w:p>
    <w:p w14:paraId="3FEF4D3B" w14:textId="0B2C12B3"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lastRenderedPageBreak/>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w:t>
      </w:r>
      <w:r w:rsidR="00756844">
        <w:rPr>
          <w:rFonts w:eastAsia="Calibri"/>
          <w:sz w:val="22"/>
          <w:szCs w:val="22"/>
          <w:lang w:eastAsia="en-US"/>
        </w:rPr>
        <w:t>точк</w:t>
      </w:r>
      <w:r w:rsidR="00FB062F">
        <w:rPr>
          <w:rFonts w:eastAsia="Calibri"/>
          <w:sz w:val="22"/>
          <w:szCs w:val="22"/>
          <w:lang w:eastAsia="en-US"/>
        </w:rPr>
        <w:t>а</w:t>
      </w:r>
      <w:r w:rsidR="00756844">
        <w:rPr>
          <w:rFonts w:eastAsia="Calibri"/>
          <w:sz w:val="22"/>
          <w:szCs w:val="22"/>
          <w:lang w:eastAsia="en-US"/>
        </w:rPr>
        <w:t xml:space="preserve"> </w:t>
      </w:r>
      <w:r w:rsidR="00FB062F">
        <w:rPr>
          <w:rFonts w:eastAsia="Calibri"/>
          <w:sz w:val="22"/>
          <w:szCs w:val="22"/>
          <w:lang w:eastAsia="en-US"/>
        </w:rPr>
        <w:t>1.1.</w:t>
      </w:r>
      <w:r w:rsidR="00756844">
        <w:rPr>
          <w:rFonts w:eastAsia="Calibri"/>
          <w:sz w:val="22"/>
          <w:szCs w:val="22"/>
          <w:lang w:eastAsia="en-US"/>
        </w:rPr>
        <w:t xml:space="preserve"> </w:t>
      </w:r>
      <w:r w:rsidRPr="00AF50B4">
        <w:rPr>
          <w:rFonts w:eastAsia="Calibri"/>
          <w:sz w:val="22"/>
          <w:szCs w:val="22"/>
          <w:lang w:eastAsia="en-US"/>
        </w:rPr>
        <w:t xml:space="preserve">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5A72B07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7CE9B1D4"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2C580CF9"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48F68925"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34F81E5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2DB1D264"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19E122CB"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патент за изобретение, </w:t>
      </w:r>
    </w:p>
    <w:p w14:paraId="6D007EC4"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или </w:t>
      </w:r>
    </w:p>
    <w:p w14:paraId="470C07CF"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свидетелство за регистрация на полезен модел за иновацията, внедрявана по проекта. </w:t>
      </w:r>
    </w:p>
    <w:p w14:paraId="33946B8A"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AF50B4">
        <w:rPr>
          <w:rFonts w:eastAsia="Calibri"/>
          <w:sz w:val="22"/>
          <w:szCs w:val="22"/>
          <w:lang w:eastAsia="en-US"/>
        </w:rPr>
        <w:t>а</w:t>
      </w:r>
      <w:r w:rsidRPr="00AF50B4">
        <w:rPr>
          <w:rFonts w:eastAsia="Calibri"/>
          <w:sz w:val="22"/>
          <w:szCs w:val="22"/>
          <w:lang w:eastAsia="en-US"/>
        </w:rPr>
        <w:t xml:space="preserve">ктер, а да съдържат оценка за иновативния продукт/процес/съоръжения и да доказват неговата иновативност. </w:t>
      </w:r>
    </w:p>
    <w:p w14:paraId="5FEE50B7"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lastRenderedPageBreak/>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549B768A"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6B1F61D9"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2DF9BA3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606AB277"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1.2. Изменения и/или допълнение на административен договор за предоставяне на безвъзмездна финансова помощ. </w:t>
      </w:r>
    </w:p>
    <w:p w14:paraId="784D662E"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C55E294"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15E228F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2049BC4F" w14:textId="77777777" w:rsidR="00B96CB5" w:rsidRPr="00AF50B4" w:rsidRDefault="00733228" w:rsidP="00246B8C">
      <w:pPr>
        <w:jc w:val="both"/>
        <w:rPr>
          <w:rFonts w:eastAsia="Calibri"/>
          <w:sz w:val="22"/>
          <w:szCs w:val="22"/>
          <w:lang w:eastAsia="en-US"/>
        </w:rPr>
      </w:pPr>
      <w:r w:rsidRPr="00AF50B4">
        <w:rPr>
          <w:rFonts w:eastAsia="Calibri"/>
          <w:sz w:val="22"/>
          <w:szCs w:val="22"/>
          <w:lang w:eastAsia="en-US"/>
        </w:rPr>
        <w:t>Управляващият орган на ПМДР извършва задължителни проверки преди подписване на договори и мониторингови проверки на изпълнените проекти.</w:t>
      </w:r>
      <w:r w:rsidR="00246B8C" w:rsidRPr="00AF50B4">
        <w:rPr>
          <w:rFonts w:eastAsia="Calibri"/>
          <w:sz w:val="22"/>
          <w:szCs w:val="22"/>
          <w:lang w:eastAsia="en-US"/>
        </w:rPr>
        <w:t xml:space="preserve"> </w:t>
      </w:r>
      <w:r w:rsidR="00B96CB5" w:rsidRPr="00AF50B4">
        <w:rPr>
          <w:rFonts w:eastAsia="Calibri"/>
          <w:sz w:val="22"/>
          <w:szCs w:val="22"/>
          <w:lang w:eastAsia="en-US"/>
        </w:rPr>
        <w:t>Мониторингови</w:t>
      </w:r>
      <w:r w:rsidR="00246B8C" w:rsidRPr="00AF50B4">
        <w:rPr>
          <w:rFonts w:eastAsia="Calibri"/>
          <w:sz w:val="22"/>
          <w:szCs w:val="22"/>
          <w:lang w:eastAsia="en-US"/>
        </w:rPr>
        <w:t>те</w:t>
      </w:r>
      <w:r w:rsidR="00B96CB5" w:rsidRPr="00AF50B4">
        <w:rPr>
          <w:rFonts w:eastAsia="Calibri"/>
          <w:sz w:val="22"/>
          <w:szCs w:val="22"/>
          <w:lang w:eastAsia="en-US"/>
        </w:rPr>
        <w:t xml:space="preserve"> проверки на изпълнените проекти на база извадка (проверките са административни и проверки на място) се извършват от междинното звено ДФЗ-РА.</w:t>
      </w:r>
    </w:p>
    <w:p w14:paraId="47C9E7DC"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27D0AF80" w14:textId="77777777" w:rsidR="00C12263"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w:t>
      </w:r>
      <w:r w:rsidRPr="00AF50B4">
        <w:rPr>
          <w:rFonts w:eastAsia="Calibri"/>
          <w:sz w:val="22"/>
          <w:szCs w:val="22"/>
          <w:lang w:eastAsia="en-US"/>
        </w:rPr>
        <w:lastRenderedPageBreak/>
        <w:t xml:space="preserve">съответните дейности няма да бъдат признати, като ще бъдат прилагани съответните европейски и национални норми. </w:t>
      </w:r>
    </w:p>
    <w:p w14:paraId="0BE98D6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w:t>
      </w:r>
      <w:r w:rsidR="00C12263">
        <w:rPr>
          <w:rFonts w:eastAsia="Calibri"/>
          <w:sz w:val="22"/>
          <w:szCs w:val="22"/>
          <w:lang w:eastAsia="en-US"/>
        </w:rPr>
        <w:t>, МИРГ Бургас-Камено</w:t>
      </w:r>
      <w:r w:rsidRPr="00AF50B4">
        <w:rPr>
          <w:rFonts w:eastAsia="Calibri"/>
          <w:sz w:val="22"/>
          <w:szCs w:val="22"/>
          <w:lang w:eastAsia="en-US"/>
        </w:rPr>
        <w:t xml:space="preserve"> и/или други одитиращи институции с цел извършването на проверка на място на резултатите от изпълнението на проекта. </w:t>
      </w:r>
    </w:p>
    <w:p w14:paraId="19E28256"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Бенефициентът е задължен да докладва и отчита изпълнението на проекта в съответните отчетни форми и документи чрез ИСУН 2020. </w:t>
      </w:r>
    </w:p>
    <w:p w14:paraId="21AECF85"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2. Финансово изпълнение на проектите и плащане. </w:t>
      </w:r>
    </w:p>
    <w:p w14:paraId="4A5BF696"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450FA718" w14:textId="77777777" w:rsidR="00CE4FDF" w:rsidRPr="00AF50B4" w:rsidRDefault="00CE4FDF" w:rsidP="00CE4FDF">
      <w:pPr>
        <w:ind w:firstLine="708"/>
        <w:jc w:val="both"/>
        <w:rPr>
          <w:rFonts w:eastAsia="Calibri"/>
          <w:bCs/>
          <w:sz w:val="22"/>
          <w:szCs w:val="22"/>
          <w:lang w:eastAsia="en-US"/>
        </w:rPr>
      </w:pPr>
      <w:r w:rsidRPr="00AF50B4">
        <w:rPr>
          <w:rFonts w:eastAsia="Calibri"/>
          <w:bCs/>
          <w:sz w:val="22"/>
          <w:szCs w:val="22"/>
          <w:lang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p>
    <w:p w14:paraId="048A0BF4" w14:textId="77777777" w:rsidR="00CE4FDF" w:rsidRPr="00AF50B4" w:rsidRDefault="00CE4FDF" w:rsidP="00CE4FDF">
      <w:pPr>
        <w:ind w:firstLine="708"/>
        <w:jc w:val="both"/>
        <w:rPr>
          <w:rFonts w:eastAsia="Calibri"/>
          <w:sz w:val="22"/>
          <w:szCs w:val="22"/>
          <w:lang w:eastAsia="en-US"/>
        </w:rPr>
      </w:pPr>
      <w:r w:rsidRPr="00AF50B4">
        <w:rPr>
          <w:rFonts w:eastAsia="Calibri"/>
          <w:bCs/>
          <w:sz w:val="22"/>
          <w:szCs w:val="22"/>
          <w:lang w:eastAsia="en-US"/>
        </w:rPr>
        <w:t>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3EF94703" w14:textId="77777777" w:rsidR="00733228" w:rsidRPr="00AF50B4" w:rsidRDefault="00733228" w:rsidP="007B0E3A">
      <w:pPr>
        <w:ind w:firstLine="708"/>
        <w:jc w:val="both"/>
        <w:rPr>
          <w:rFonts w:eastAsia="Calibri"/>
          <w:sz w:val="22"/>
          <w:szCs w:val="22"/>
          <w:lang w:eastAsia="en-US"/>
        </w:rPr>
      </w:pPr>
      <w:r w:rsidRPr="00AF50B4">
        <w:rPr>
          <w:rFonts w:eastAsia="Calibri"/>
          <w:color w:val="000000" w:themeColor="text1"/>
          <w:sz w:val="22"/>
          <w:szCs w:val="22"/>
          <w:lang w:eastAsia="en-US"/>
        </w:rPr>
        <w:t xml:space="preserve">Максималният размер на безвъзмездната финансова помощ задължително се посочва </w:t>
      </w:r>
      <w:r w:rsidRPr="00AF50B4">
        <w:rPr>
          <w:rFonts w:eastAsia="Calibri"/>
          <w:sz w:val="22"/>
          <w:szCs w:val="22"/>
          <w:lang w:eastAsia="en-US"/>
        </w:rPr>
        <w:t xml:space="preserve">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7C2620D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5DC6E7BE" w14:textId="77777777" w:rsidR="00733228" w:rsidRPr="00AF50B4" w:rsidRDefault="00733228" w:rsidP="007B0E3A">
      <w:pPr>
        <w:ind w:firstLine="708"/>
        <w:jc w:val="both"/>
        <w:rPr>
          <w:rFonts w:eastAsia="Calibri"/>
          <w:sz w:val="22"/>
          <w:szCs w:val="22"/>
          <w:lang w:eastAsia="en-US"/>
        </w:rPr>
      </w:pPr>
      <w:bookmarkStart w:id="0" w:name="_Hlk41383841"/>
      <w:r w:rsidRPr="00AF50B4">
        <w:rPr>
          <w:rFonts w:eastAsia="Calibri"/>
          <w:sz w:val="22"/>
          <w:szCs w:val="22"/>
          <w:lang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32B545CE" w14:textId="77777777" w:rsidR="00CE4FDF" w:rsidRPr="00AF50B4" w:rsidRDefault="00CE4FDF" w:rsidP="00CE4FDF">
      <w:pPr>
        <w:ind w:firstLine="708"/>
        <w:jc w:val="both"/>
        <w:rPr>
          <w:rFonts w:eastAsia="Calibri"/>
          <w:bCs/>
          <w:sz w:val="22"/>
          <w:szCs w:val="22"/>
          <w:lang w:eastAsia="en-US"/>
        </w:rPr>
      </w:pPr>
      <w:r w:rsidRPr="00AF50B4">
        <w:rPr>
          <w:rFonts w:eastAsia="Calibri"/>
          <w:bCs/>
          <w:sz w:val="22"/>
          <w:szCs w:val="22"/>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p>
    <w:p w14:paraId="6F43CB3F" w14:textId="77777777" w:rsidR="00246B8C" w:rsidRDefault="00246B8C" w:rsidP="00CE4FDF">
      <w:pPr>
        <w:ind w:firstLine="708"/>
        <w:jc w:val="both"/>
        <w:rPr>
          <w:rFonts w:eastAsia="Calibri"/>
          <w:bCs/>
          <w:sz w:val="22"/>
          <w:szCs w:val="22"/>
          <w:lang w:eastAsia="en-US"/>
        </w:rPr>
      </w:pPr>
      <w:r w:rsidRPr="00AF50B4">
        <w:rPr>
          <w:rFonts w:eastAsia="Calibri"/>
          <w:bCs/>
          <w:sz w:val="22"/>
          <w:szCs w:val="22"/>
          <w:lang w:eastAsia="en-US"/>
        </w:rPr>
        <w:t>Авансовото плащане се извършва в двуседмичен срок от датата на постъпване на искането на бенефициента в управляващия орган при условията и реда на чл.61, ал.1 от ЗУСЕСИФ, освен ако за него не е посочен по-дълъг срок в документите по чл. 26, ал. 1.</w:t>
      </w:r>
    </w:p>
    <w:p w14:paraId="16D920CE" w14:textId="77777777" w:rsidR="0072280D" w:rsidRPr="002F0020" w:rsidRDefault="0072280D" w:rsidP="00CE4FDF">
      <w:pPr>
        <w:ind w:firstLine="708"/>
        <w:jc w:val="both"/>
        <w:rPr>
          <w:rFonts w:eastAsia="Calibri"/>
          <w:bCs/>
          <w:sz w:val="22"/>
          <w:szCs w:val="22"/>
          <w:lang w:val="en-US" w:eastAsia="en-US"/>
        </w:rPr>
      </w:pPr>
      <w:r w:rsidRPr="0072280D">
        <w:rPr>
          <w:rFonts w:eastAsia="Calibri"/>
          <w:bCs/>
          <w:sz w:val="22"/>
          <w:szCs w:val="22"/>
          <w:lang w:val="en-US" w:eastAsia="en-U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bookmarkEnd w:id="0"/>
    <w:p w14:paraId="22CC4E7D" w14:textId="77777777" w:rsidR="00CE4FDF" w:rsidRPr="00AF50B4" w:rsidRDefault="00CE4FDF" w:rsidP="007B0E3A">
      <w:pPr>
        <w:ind w:firstLine="708"/>
        <w:jc w:val="both"/>
        <w:rPr>
          <w:rFonts w:eastAsia="Calibri"/>
          <w:bCs/>
          <w:sz w:val="22"/>
          <w:szCs w:val="22"/>
          <w:lang w:eastAsia="en-US"/>
        </w:rPr>
      </w:pPr>
    </w:p>
    <w:p w14:paraId="12EBC81C"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3. Мерки за информиране и публичност </w:t>
      </w:r>
    </w:p>
    <w:p w14:paraId="7A68A49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1B7E8368"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5F83E4C0"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По време на изпълнението на даден проект бенефициентът информира обществеността за получената от ЕФМДР подкрепа като: </w:t>
      </w:r>
    </w:p>
    <w:p w14:paraId="61EB8DE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24AF2C2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6F3CF90D"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Плакатът следва да съдържа следната текстова и визуална информация: </w:t>
      </w:r>
    </w:p>
    <w:p w14:paraId="112B6CB9"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емблемата на ЕС и упоменаването „Европейски съюз“; </w:t>
      </w:r>
    </w:p>
    <w:p w14:paraId="49F6B891"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наименованието на съфинансиращия фонд - Европейски фонд за морско дело и рибарство; </w:t>
      </w:r>
    </w:p>
    <w:p w14:paraId="191377D5"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общото лого за програмен период 2014-2020 г.; </w:t>
      </w:r>
    </w:p>
    <w:p w14:paraId="1AE8E219"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наименованието на „Програма за морско дело и рибарство” 2014-2020; </w:t>
      </w:r>
    </w:p>
    <w:p w14:paraId="7336AA00"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наименованието на проекта; </w:t>
      </w:r>
    </w:p>
    <w:p w14:paraId="1324C8CD"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общата стойност на проекта, както и размера на европейското и националното съфинансиране, представени в български лева; </w:t>
      </w:r>
    </w:p>
    <w:p w14:paraId="05380B43"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 начална и крайна дата на изпълнение на проекта. </w:t>
      </w:r>
    </w:p>
    <w:p w14:paraId="5214B1F3"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r w:rsidR="00CE4FDF" w:rsidRPr="00AF50B4">
        <w:rPr>
          <w:rFonts w:eastAsia="Calibri"/>
          <w:sz w:val="22"/>
          <w:szCs w:val="22"/>
          <w:lang w:eastAsia="en-US"/>
        </w:rPr>
        <w:t xml:space="preserve"> </w:t>
      </w:r>
      <w:r w:rsidR="00CE4FDF" w:rsidRPr="00AF50B4">
        <w:rPr>
          <w:rFonts w:eastAsia="Calibri"/>
          <w:bCs/>
          <w:sz w:val="22"/>
          <w:szCs w:val="22"/>
          <w:lang w:eastAsia="en-US"/>
        </w:rPr>
        <w:t>(OB L 223 от 29 юли 2014г.).</w:t>
      </w:r>
    </w:p>
    <w:p w14:paraId="7EFBA259"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16901FD4" w14:textId="77777777" w:rsidR="00733228" w:rsidRPr="00AF50B4" w:rsidRDefault="00733228" w:rsidP="007B0E3A">
      <w:pPr>
        <w:ind w:firstLine="708"/>
        <w:jc w:val="both"/>
        <w:rPr>
          <w:rFonts w:eastAsia="Calibri"/>
          <w:sz w:val="22"/>
          <w:szCs w:val="22"/>
          <w:lang w:eastAsia="en-US"/>
        </w:rPr>
      </w:pPr>
      <w:r w:rsidRPr="00AF50B4">
        <w:rPr>
          <w:rFonts w:eastAsia="Calibri"/>
          <w:sz w:val="22"/>
          <w:szCs w:val="22"/>
          <w:lang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8" w:history="1">
        <w:r w:rsidR="00C406EF" w:rsidRPr="00AF50B4">
          <w:rPr>
            <w:rStyle w:val="af1"/>
            <w:rFonts w:eastAsia="Calibri"/>
            <w:bCs/>
            <w:sz w:val="22"/>
            <w:szCs w:val="22"/>
            <w:lang w:eastAsia="en-US"/>
          </w:rPr>
          <w:t>https://www.eufunds.bg/bg/taxonomy/term/609</w:t>
        </w:r>
      </w:hyperlink>
    </w:p>
    <w:p w14:paraId="3221C648" w14:textId="77777777" w:rsidR="00733228" w:rsidRPr="00AF50B4" w:rsidRDefault="00733228" w:rsidP="007B0E3A">
      <w:pPr>
        <w:jc w:val="both"/>
        <w:rPr>
          <w:rFonts w:eastAsia="Calibri"/>
          <w:sz w:val="22"/>
          <w:szCs w:val="22"/>
          <w:lang w:eastAsia="en-US"/>
        </w:rPr>
      </w:pPr>
    </w:p>
    <w:p w14:paraId="54C08FD2" w14:textId="77777777" w:rsidR="00733228" w:rsidRPr="00AF50B4" w:rsidRDefault="00733228" w:rsidP="007B0E3A">
      <w:pPr>
        <w:jc w:val="both"/>
        <w:rPr>
          <w:rFonts w:eastAsia="Calibri"/>
          <w:sz w:val="22"/>
          <w:szCs w:val="22"/>
          <w:lang w:eastAsia="en-US"/>
        </w:rPr>
      </w:pPr>
      <w:r w:rsidRPr="00AF50B4">
        <w:rPr>
          <w:rFonts w:eastAsia="Calibri"/>
          <w:sz w:val="22"/>
          <w:szCs w:val="22"/>
          <w:lang w:eastAsia="en-US"/>
        </w:rPr>
        <w:t xml:space="preserve">На същата страница могат да бъдат намерени и векторните варианти на логото на ПМДР. </w:t>
      </w:r>
    </w:p>
    <w:p w14:paraId="7A5A590E" w14:textId="77777777" w:rsidR="00733228" w:rsidRPr="00AF50B4" w:rsidRDefault="00733228" w:rsidP="007B0E3A">
      <w:pPr>
        <w:jc w:val="both"/>
        <w:rPr>
          <w:rFonts w:eastAsia="Calibri"/>
          <w:sz w:val="22"/>
          <w:szCs w:val="22"/>
          <w:lang w:eastAsia="en-US"/>
        </w:rPr>
      </w:pPr>
      <w:r w:rsidRPr="00AF50B4">
        <w:rPr>
          <w:rFonts w:eastAsia="Calibri"/>
          <w:b/>
          <w:bCs/>
          <w:sz w:val="22"/>
          <w:szCs w:val="22"/>
          <w:lang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77177242" w14:textId="77777777" w:rsidR="00733228" w:rsidRPr="00AF50B4" w:rsidRDefault="007B0E3A" w:rsidP="007B0E3A">
      <w:pPr>
        <w:keepNext/>
        <w:keepLines/>
        <w:ind w:firstLine="708"/>
        <w:jc w:val="both"/>
        <w:outlineLvl w:val="1"/>
        <w:rPr>
          <w:rFonts w:eastAsia="Calibri"/>
          <w:b/>
          <w:bCs/>
          <w:sz w:val="22"/>
          <w:szCs w:val="22"/>
          <w:lang w:eastAsia="en-US"/>
        </w:rPr>
      </w:pPr>
      <w:bookmarkStart w:id="1" w:name="_Toc509920777"/>
      <w:r w:rsidRPr="00AF50B4">
        <w:rPr>
          <w:rFonts w:eastAsia="Calibri"/>
          <w:b/>
          <w:bCs/>
          <w:sz w:val="22"/>
          <w:szCs w:val="22"/>
          <w:lang w:eastAsia="en-US"/>
        </w:rPr>
        <w:lastRenderedPageBreak/>
        <w:t xml:space="preserve">4. </w:t>
      </w:r>
      <w:r w:rsidR="00733228" w:rsidRPr="00AF50B4">
        <w:rPr>
          <w:rFonts w:eastAsia="Calibri"/>
          <w:b/>
          <w:bCs/>
          <w:sz w:val="22"/>
          <w:szCs w:val="22"/>
          <w:lang w:eastAsia="en-US"/>
        </w:rPr>
        <w:t>Приложения към Условията за изпълнение:</w:t>
      </w:r>
      <w:bookmarkEnd w:id="1"/>
    </w:p>
    <w:p w14:paraId="598737B3"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6 - Декларация за втора употреба;</w:t>
      </w:r>
    </w:p>
    <w:p w14:paraId="3370B342"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 xml:space="preserve">Приложение № 7 - Декларация за упражняване правото на данъчен кредит; </w:t>
      </w:r>
    </w:p>
    <w:p w14:paraId="0599ADAB"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 xml:space="preserve">Приложение № 8 – Административен договор за предоставяне на безвъзмездна финансова помощ по Програмата за морско дело и рибарство  2014 – 2020 г.; </w:t>
      </w:r>
    </w:p>
    <w:p w14:paraId="73A81F8E"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13CF91C2"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10 - Банкова гаранция;</w:t>
      </w:r>
    </w:p>
    <w:p w14:paraId="1D178D08"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11 - Заявление за профил за достъп на ръководител на бенефициента до ИСУН 2020;</w:t>
      </w:r>
    </w:p>
    <w:p w14:paraId="2B8A1F4F"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12 - Заявление за профил за достъп на упълномощени от бенефициента лица до ИСУН 2020;</w:t>
      </w:r>
    </w:p>
    <w:p w14:paraId="6CDFE466"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13 - Списък с изискуеми документи към Искане за авансово плащане;</w:t>
      </w:r>
    </w:p>
    <w:p w14:paraId="644A20ED"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14 - Списък с изискуеми документи към Искане за междинно/окончателно плащане;</w:t>
      </w:r>
    </w:p>
    <w:p w14:paraId="0ADE1851" w14:textId="77777777" w:rsidR="00733228" w:rsidRPr="008D2235" w:rsidRDefault="00733228" w:rsidP="008D2235">
      <w:pPr>
        <w:pStyle w:val="af3"/>
        <w:keepNext/>
        <w:keepLines/>
        <w:numPr>
          <w:ilvl w:val="0"/>
          <w:numId w:val="4"/>
        </w:numPr>
        <w:jc w:val="both"/>
        <w:outlineLvl w:val="1"/>
        <w:rPr>
          <w:rFonts w:eastAsia="Calibri"/>
          <w:bCs/>
          <w:sz w:val="22"/>
          <w:szCs w:val="22"/>
          <w:lang w:eastAsia="en-US"/>
        </w:rPr>
      </w:pPr>
      <w:r w:rsidRPr="008D2235">
        <w:rPr>
          <w:rFonts w:eastAsia="Calibri"/>
          <w:bCs/>
          <w:sz w:val="22"/>
          <w:szCs w:val="22"/>
          <w:lang w:eastAsia="en-US"/>
        </w:rPr>
        <w:t>Приложение № 16 - Запис на заповед;</w:t>
      </w:r>
      <w:r w:rsidRPr="008D2235">
        <w:rPr>
          <w:rFonts w:eastAsia="Calibri"/>
          <w:bCs/>
          <w:sz w:val="22"/>
          <w:szCs w:val="22"/>
          <w:lang w:eastAsia="en-US"/>
        </w:rPr>
        <w:tab/>
      </w:r>
    </w:p>
    <w:p w14:paraId="05578457" w14:textId="77777777" w:rsidR="002B2A1C" w:rsidRPr="004011FE" w:rsidRDefault="002B2A1C" w:rsidP="008D2235">
      <w:pPr>
        <w:pStyle w:val="af3"/>
        <w:numPr>
          <w:ilvl w:val="0"/>
          <w:numId w:val="4"/>
        </w:numPr>
        <w:jc w:val="both"/>
        <w:rPr>
          <w:rFonts w:eastAsia="Calibri" w:cs="Calibri"/>
          <w:bCs/>
          <w:sz w:val="22"/>
          <w:szCs w:val="22"/>
          <w:lang w:eastAsia="en-US"/>
        </w:rPr>
      </w:pPr>
      <w:r w:rsidRPr="008D2235">
        <w:rPr>
          <w:rFonts w:eastAsia="Calibri" w:cs="Calibri"/>
          <w:lang w:eastAsia="en-US"/>
        </w:rPr>
        <w:t>П</w:t>
      </w:r>
      <w:r w:rsidRPr="004011FE">
        <w:rPr>
          <w:rFonts w:eastAsia="Calibri" w:cs="Calibri"/>
          <w:sz w:val="22"/>
          <w:szCs w:val="22"/>
          <w:lang w:eastAsia="en-US"/>
        </w:rPr>
        <w:t>риложение № 17 – Документи за осъществяване на последващ контрол на проведена процедура „Избор с публична покана“ по чл.50, ал.1 от ЗУСЕСИФ и ПМС 160/01.07.2016</w:t>
      </w:r>
      <w:r w:rsidR="00742900" w:rsidRPr="004011FE">
        <w:rPr>
          <w:rFonts w:eastAsia="Calibri" w:cs="Calibri"/>
          <w:sz w:val="22"/>
          <w:szCs w:val="22"/>
          <w:lang w:eastAsia="en-US"/>
        </w:rPr>
        <w:t>;</w:t>
      </w:r>
      <w:r w:rsidRPr="004011FE">
        <w:rPr>
          <w:rFonts w:eastAsia="Calibri" w:cs="Calibri"/>
          <w:sz w:val="22"/>
          <w:szCs w:val="22"/>
          <w:lang w:eastAsia="en-US"/>
        </w:rPr>
        <w:t xml:space="preserve"> </w:t>
      </w:r>
    </w:p>
    <w:p w14:paraId="097CB7D4" w14:textId="77777777" w:rsidR="002B2A1C" w:rsidRDefault="002B2A1C" w:rsidP="008D2235">
      <w:pPr>
        <w:pStyle w:val="af3"/>
        <w:numPr>
          <w:ilvl w:val="0"/>
          <w:numId w:val="4"/>
        </w:numPr>
        <w:jc w:val="both"/>
        <w:rPr>
          <w:rFonts w:eastAsia="Calibri" w:cs="Calibri"/>
          <w:sz w:val="22"/>
          <w:szCs w:val="22"/>
          <w:lang w:eastAsia="en-US"/>
        </w:rPr>
      </w:pPr>
      <w:r w:rsidRPr="004011FE">
        <w:rPr>
          <w:rFonts w:eastAsia="Calibri" w:cs="Calibri"/>
          <w:sz w:val="22"/>
          <w:szCs w:val="22"/>
          <w:lang w:eastAsia="en-US"/>
        </w:rPr>
        <w:t>Приложение № 18 - Методика за определяне на фина</w:t>
      </w:r>
      <w:r w:rsidR="007006EA" w:rsidRPr="004011FE">
        <w:rPr>
          <w:rFonts w:eastAsia="Calibri" w:cs="Calibri"/>
          <w:sz w:val="22"/>
          <w:szCs w:val="22"/>
          <w:lang w:eastAsia="en-US"/>
        </w:rPr>
        <w:t>н</w:t>
      </w:r>
      <w:r w:rsidRPr="004011FE">
        <w:rPr>
          <w:rFonts w:eastAsia="Calibri" w:cs="Calibri"/>
          <w:sz w:val="22"/>
          <w:szCs w:val="22"/>
          <w:lang w:eastAsia="en-US"/>
        </w:rPr>
        <w:t>совите корекции, по проекти финансирани по Програмата за морско дело и рибарство</w:t>
      </w:r>
      <w:r w:rsidR="00742900" w:rsidRPr="004011FE">
        <w:rPr>
          <w:rFonts w:eastAsia="Calibri" w:cs="Calibri"/>
          <w:sz w:val="22"/>
          <w:szCs w:val="22"/>
          <w:lang w:eastAsia="en-US"/>
        </w:rPr>
        <w:t>;</w:t>
      </w:r>
    </w:p>
    <w:p w14:paraId="564309EA" w14:textId="77777777" w:rsidR="00317F20" w:rsidRPr="000E2369" w:rsidRDefault="00B41EE1" w:rsidP="00B41EE1">
      <w:pPr>
        <w:pStyle w:val="af3"/>
        <w:numPr>
          <w:ilvl w:val="0"/>
          <w:numId w:val="4"/>
        </w:numPr>
        <w:jc w:val="both"/>
        <w:rPr>
          <w:rFonts w:eastAsia="Calibri" w:cs="Calibri"/>
          <w:sz w:val="22"/>
          <w:szCs w:val="22"/>
          <w:lang w:eastAsia="en-US"/>
        </w:rPr>
      </w:pPr>
      <w:r>
        <w:rPr>
          <w:rFonts w:eastAsia="Calibri" w:cs="Calibri"/>
          <w:sz w:val="22"/>
          <w:szCs w:val="22"/>
          <w:lang w:eastAsia="en-US"/>
        </w:rPr>
        <w:t xml:space="preserve">Приложение </w:t>
      </w:r>
      <w:r w:rsidRPr="004011FE">
        <w:rPr>
          <w:rFonts w:eastAsia="Calibri" w:cs="Calibri"/>
          <w:sz w:val="22"/>
          <w:szCs w:val="22"/>
          <w:lang w:eastAsia="en-US"/>
        </w:rPr>
        <w:t>№</w:t>
      </w:r>
      <w:r>
        <w:rPr>
          <w:rFonts w:eastAsia="Calibri" w:cs="Calibri"/>
          <w:sz w:val="22"/>
          <w:szCs w:val="22"/>
          <w:lang w:eastAsia="en-US"/>
        </w:rPr>
        <w:t xml:space="preserve"> 19 -</w:t>
      </w:r>
      <w:r w:rsidRPr="00B41EE1">
        <w:rPr>
          <w:rFonts w:eastAsia="Calibri"/>
          <w:sz w:val="22"/>
          <w:szCs w:val="22"/>
          <w:lang w:eastAsia="en-US"/>
        </w:rPr>
        <w:t xml:space="preserve"> Указание на УО на ПМДР на ПМС 160/2016 г., одобрено с докладна записка 93-3936 от 30.07.2020</w:t>
      </w:r>
      <w:r>
        <w:rPr>
          <w:rFonts w:eastAsia="Calibri"/>
          <w:sz w:val="22"/>
          <w:szCs w:val="22"/>
          <w:lang w:eastAsia="en-US"/>
        </w:rPr>
        <w:t>;</w:t>
      </w:r>
    </w:p>
    <w:p w14:paraId="10A4F8AA" w14:textId="64E03397" w:rsidR="00B41EE1" w:rsidRPr="00B41EE1" w:rsidRDefault="00B41EE1" w:rsidP="00B41EE1">
      <w:pPr>
        <w:pStyle w:val="af3"/>
        <w:numPr>
          <w:ilvl w:val="0"/>
          <w:numId w:val="4"/>
        </w:numPr>
        <w:jc w:val="both"/>
        <w:rPr>
          <w:rFonts w:eastAsia="Calibri" w:cs="Calibri"/>
          <w:sz w:val="22"/>
          <w:szCs w:val="22"/>
          <w:lang w:eastAsia="en-US"/>
        </w:rPr>
      </w:pPr>
      <w:r w:rsidRPr="00B41EE1">
        <w:rPr>
          <w:rFonts w:eastAsia="Calibri" w:cs="Calibri"/>
          <w:sz w:val="22"/>
          <w:szCs w:val="22"/>
          <w:lang w:eastAsia="en-US"/>
        </w:rPr>
        <w:t>Приложение № 20 - Указание за регламентиране и отчитане на възнагражденията на екипите за изпълнение на проекти</w:t>
      </w:r>
    </w:p>
    <w:p w14:paraId="23E45186" w14:textId="77777777" w:rsidR="00742900" w:rsidRPr="004011FE" w:rsidRDefault="00742900" w:rsidP="00742900">
      <w:pPr>
        <w:keepNext/>
        <w:keepLines/>
        <w:numPr>
          <w:ilvl w:val="0"/>
          <w:numId w:val="4"/>
        </w:numPr>
        <w:spacing w:line="360" w:lineRule="auto"/>
        <w:jc w:val="both"/>
        <w:outlineLvl w:val="1"/>
        <w:rPr>
          <w:sz w:val="22"/>
          <w:szCs w:val="22"/>
        </w:rPr>
      </w:pPr>
      <w:r w:rsidRPr="004011FE">
        <w:rPr>
          <w:sz w:val="22"/>
          <w:szCs w:val="22"/>
        </w:rPr>
        <w:t xml:space="preserve">Приложения към </w:t>
      </w:r>
      <w:r w:rsidRPr="004011FE">
        <w:rPr>
          <w:sz w:val="22"/>
          <w:szCs w:val="22"/>
          <w:lang w:val="en-US"/>
        </w:rPr>
        <w:t>A</w:t>
      </w:r>
      <w:r w:rsidRPr="004011FE">
        <w:rPr>
          <w:sz w:val="22"/>
          <w:szCs w:val="22"/>
        </w:rPr>
        <w:t>дминистративен договор за безвъзмездна финансова помощ.</w:t>
      </w:r>
    </w:p>
    <w:p w14:paraId="09184B43" w14:textId="77777777" w:rsidR="000F44D4" w:rsidRPr="00AF50B4" w:rsidRDefault="000F44D4" w:rsidP="007B0E3A">
      <w:pPr>
        <w:jc w:val="both"/>
      </w:pPr>
    </w:p>
    <w:sectPr w:rsidR="000F44D4" w:rsidRPr="00AF50B4" w:rsidSect="0051161D">
      <w:headerReference w:type="default" r:id="rId9"/>
      <w:footerReference w:type="default" r:id="rId10"/>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31397" w14:textId="77777777" w:rsidR="008A661E" w:rsidRDefault="008A661E" w:rsidP="00682431">
      <w:r>
        <w:separator/>
      </w:r>
    </w:p>
  </w:endnote>
  <w:endnote w:type="continuationSeparator" w:id="0">
    <w:p w14:paraId="03D5430B" w14:textId="77777777" w:rsidR="008A661E" w:rsidRDefault="008A661E"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4619987"/>
      <w:docPartObj>
        <w:docPartGallery w:val="Page Numbers (Bottom of Page)"/>
        <w:docPartUnique/>
      </w:docPartObj>
    </w:sdtPr>
    <w:sdtEndPr>
      <w:rPr>
        <w:noProof/>
      </w:rPr>
    </w:sdtEndPr>
    <w:sdtContent>
      <w:p w14:paraId="6A1F4F7C" w14:textId="77777777" w:rsidR="007B0E3A" w:rsidRDefault="007B0E3A">
        <w:pPr>
          <w:pStyle w:val="ae"/>
          <w:jc w:val="right"/>
        </w:pPr>
        <w:r>
          <w:fldChar w:fldCharType="begin"/>
        </w:r>
        <w:r>
          <w:instrText xml:space="preserve"> PAGE   \* MERGEFORMAT </w:instrText>
        </w:r>
        <w:r>
          <w:fldChar w:fldCharType="separate"/>
        </w:r>
        <w:r w:rsidR="001D4A6C">
          <w:rPr>
            <w:noProof/>
          </w:rPr>
          <w:t>7</w:t>
        </w:r>
        <w:r>
          <w:rPr>
            <w:noProof/>
          </w:rPr>
          <w:fldChar w:fldCharType="end"/>
        </w:r>
      </w:p>
    </w:sdtContent>
  </w:sdt>
  <w:p w14:paraId="4E392D80" w14:textId="77777777" w:rsidR="007B0E3A" w:rsidRDefault="007B0E3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28C1C" w14:textId="77777777" w:rsidR="008A661E" w:rsidRDefault="008A661E" w:rsidP="00682431">
      <w:r>
        <w:separator/>
      </w:r>
    </w:p>
  </w:footnote>
  <w:footnote w:type="continuationSeparator" w:id="0">
    <w:p w14:paraId="01F5BD81" w14:textId="77777777" w:rsidR="008A661E" w:rsidRDefault="008A661E"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F4E9A" w14:textId="77777777" w:rsidR="00DD44D3" w:rsidRDefault="00DD44D3" w:rsidP="00C87E54">
    <w:pPr>
      <w:pStyle w:val="ac"/>
      <w:rPr>
        <w:noProof/>
      </w:rPr>
    </w:pPr>
    <w:bookmarkStart w:id="2" w:name="_Hlk534880055"/>
  </w:p>
  <w:p w14:paraId="233714BB" w14:textId="77777777" w:rsidR="00DD44D3" w:rsidRDefault="00FD7276" w:rsidP="00E269AD">
    <w:pPr>
      <w:pStyle w:val="ac"/>
      <w:jc w:val="center"/>
      <w:rPr>
        <w:noProof/>
      </w:rPr>
    </w:pPr>
    <w:r>
      <w:rPr>
        <w:noProof/>
        <w:lang w:val="en-US" w:eastAsia="en-US"/>
      </w:rPr>
      <w:drawing>
        <wp:inline distT="0" distB="0" distL="0" distR="0" wp14:anchorId="1111CC78" wp14:editId="72DDCB37">
          <wp:extent cx="5128260" cy="1097280"/>
          <wp:effectExtent l="0" t="0" r="0" b="762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128260" cy="1097280"/>
                  </a:xfrm>
                  <a:prstGeom prst="rect">
                    <a:avLst/>
                  </a:prstGeom>
                </pic:spPr>
              </pic:pic>
            </a:graphicData>
          </a:graphic>
        </wp:inline>
      </w:drawing>
    </w:r>
  </w:p>
  <w:bookmarkEnd w:id="2"/>
  <w:p w14:paraId="132318EA" w14:textId="77777777" w:rsidR="00C87E54" w:rsidRDefault="00C87E5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84B5A"/>
    <w:multiLevelType w:val="hybridMultilevel"/>
    <w:tmpl w:val="7AF488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205E9"/>
    <w:multiLevelType w:val="hybridMultilevel"/>
    <w:tmpl w:val="CE38F0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21"/>
    <w:rsid w:val="00011848"/>
    <w:rsid w:val="00024442"/>
    <w:rsid w:val="0002480A"/>
    <w:rsid w:val="000274E1"/>
    <w:rsid w:val="00034A03"/>
    <w:rsid w:val="00035210"/>
    <w:rsid w:val="00047BF9"/>
    <w:rsid w:val="00052547"/>
    <w:rsid w:val="00054DA5"/>
    <w:rsid w:val="00062813"/>
    <w:rsid w:val="00066686"/>
    <w:rsid w:val="000803D9"/>
    <w:rsid w:val="000A165B"/>
    <w:rsid w:val="000A4835"/>
    <w:rsid w:val="000B0C37"/>
    <w:rsid w:val="000D3C6D"/>
    <w:rsid w:val="000D63A5"/>
    <w:rsid w:val="000E2369"/>
    <w:rsid w:val="000E44AE"/>
    <w:rsid w:val="000F0C45"/>
    <w:rsid w:val="000F44D4"/>
    <w:rsid w:val="00104EAE"/>
    <w:rsid w:val="001053B6"/>
    <w:rsid w:val="001173F9"/>
    <w:rsid w:val="00124F1B"/>
    <w:rsid w:val="001253E1"/>
    <w:rsid w:val="001332BD"/>
    <w:rsid w:val="0013667B"/>
    <w:rsid w:val="00147812"/>
    <w:rsid w:val="00156930"/>
    <w:rsid w:val="00161725"/>
    <w:rsid w:val="0016630D"/>
    <w:rsid w:val="00182C17"/>
    <w:rsid w:val="00183728"/>
    <w:rsid w:val="00185F7C"/>
    <w:rsid w:val="00195DA6"/>
    <w:rsid w:val="001A14C7"/>
    <w:rsid w:val="001A35F3"/>
    <w:rsid w:val="001A51F6"/>
    <w:rsid w:val="001A615A"/>
    <w:rsid w:val="001B3CEE"/>
    <w:rsid w:val="001B7370"/>
    <w:rsid w:val="001C05DE"/>
    <w:rsid w:val="001C0BB9"/>
    <w:rsid w:val="001C4894"/>
    <w:rsid w:val="001D394F"/>
    <w:rsid w:val="001D4A6C"/>
    <w:rsid w:val="001E0DF2"/>
    <w:rsid w:val="001E4A9B"/>
    <w:rsid w:val="001E6E76"/>
    <w:rsid w:val="001F5C29"/>
    <w:rsid w:val="0020395B"/>
    <w:rsid w:val="002173B0"/>
    <w:rsid w:val="00231F63"/>
    <w:rsid w:val="00235124"/>
    <w:rsid w:val="002440D4"/>
    <w:rsid w:val="00246B8C"/>
    <w:rsid w:val="002556A4"/>
    <w:rsid w:val="0027327C"/>
    <w:rsid w:val="0027345F"/>
    <w:rsid w:val="0027631D"/>
    <w:rsid w:val="00277805"/>
    <w:rsid w:val="002A0A29"/>
    <w:rsid w:val="002B2A1C"/>
    <w:rsid w:val="002B2D9C"/>
    <w:rsid w:val="002D668A"/>
    <w:rsid w:val="002F0020"/>
    <w:rsid w:val="00314A11"/>
    <w:rsid w:val="00317F20"/>
    <w:rsid w:val="00332191"/>
    <w:rsid w:val="00360378"/>
    <w:rsid w:val="00363A4B"/>
    <w:rsid w:val="00366A21"/>
    <w:rsid w:val="00366A74"/>
    <w:rsid w:val="00367B49"/>
    <w:rsid w:val="00384E66"/>
    <w:rsid w:val="00394B07"/>
    <w:rsid w:val="003A3CBE"/>
    <w:rsid w:val="003B05F1"/>
    <w:rsid w:val="003B1512"/>
    <w:rsid w:val="003E30FA"/>
    <w:rsid w:val="003E7A85"/>
    <w:rsid w:val="004011FE"/>
    <w:rsid w:val="00411032"/>
    <w:rsid w:val="004111B1"/>
    <w:rsid w:val="0041251F"/>
    <w:rsid w:val="00426AC7"/>
    <w:rsid w:val="00431C4F"/>
    <w:rsid w:val="004326C9"/>
    <w:rsid w:val="00474D60"/>
    <w:rsid w:val="00485143"/>
    <w:rsid w:val="00485C94"/>
    <w:rsid w:val="00487ABC"/>
    <w:rsid w:val="00495197"/>
    <w:rsid w:val="004A3F0B"/>
    <w:rsid w:val="004B6583"/>
    <w:rsid w:val="004C1152"/>
    <w:rsid w:val="004D7698"/>
    <w:rsid w:val="0051161D"/>
    <w:rsid w:val="00516926"/>
    <w:rsid w:val="00520283"/>
    <w:rsid w:val="00531149"/>
    <w:rsid w:val="00542B4E"/>
    <w:rsid w:val="00545234"/>
    <w:rsid w:val="00554D39"/>
    <w:rsid w:val="00594437"/>
    <w:rsid w:val="00594F20"/>
    <w:rsid w:val="005B52D0"/>
    <w:rsid w:val="005C0DA7"/>
    <w:rsid w:val="005C3963"/>
    <w:rsid w:val="005C5689"/>
    <w:rsid w:val="005D3FA3"/>
    <w:rsid w:val="006054CA"/>
    <w:rsid w:val="006155B3"/>
    <w:rsid w:val="00617E7E"/>
    <w:rsid w:val="00620B76"/>
    <w:rsid w:val="00634DF3"/>
    <w:rsid w:val="0063652C"/>
    <w:rsid w:val="0065481A"/>
    <w:rsid w:val="00661487"/>
    <w:rsid w:val="00662299"/>
    <w:rsid w:val="00671FB4"/>
    <w:rsid w:val="00680DCF"/>
    <w:rsid w:val="0068159B"/>
    <w:rsid w:val="00682431"/>
    <w:rsid w:val="006A34E3"/>
    <w:rsid w:val="006D1527"/>
    <w:rsid w:val="006D1DAC"/>
    <w:rsid w:val="006E2796"/>
    <w:rsid w:val="007006EA"/>
    <w:rsid w:val="00706DAB"/>
    <w:rsid w:val="0072280D"/>
    <w:rsid w:val="00733228"/>
    <w:rsid w:val="00741B6C"/>
    <w:rsid w:val="00742900"/>
    <w:rsid w:val="00756844"/>
    <w:rsid w:val="00756D99"/>
    <w:rsid w:val="007618EB"/>
    <w:rsid w:val="007633E6"/>
    <w:rsid w:val="0078077F"/>
    <w:rsid w:val="00782CFA"/>
    <w:rsid w:val="0079500B"/>
    <w:rsid w:val="00795430"/>
    <w:rsid w:val="007B0E3A"/>
    <w:rsid w:val="007C5F34"/>
    <w:rsid w:val="007C74ED"/>
    <w:rsid w:val="007C7DB7"/>
    <w:rsid w:val="007D16F3"/>
    <w:rsid w:val="007D4BE5"/>
    <w:rsid w:val="007E5DD4"/>
    <w:rsid w:val="0080076D"/>
    <w:rsid w:val="00813E47"/>
    <w:rsid w:val="00815021"/>
    <w:rsid w:val="00823113"/>
    <w:rsid w:val="008273AF"/>
    <w:rsid w:val="00833AAF"/>
    <w:rsid w:val="00834E87"/>
    <w:rsid w:val="00843DC1"/>
    <w:rsid w:val="00855CDD"/>
    <w:rsid w:val="008565B5"/>
    <w:rsid w:val="00877FF2"/>
    <w:rsid w:val="008820E2"/>
    <w:rsid w:val="008866F3"/>
    <w:rsid w:val="008A0948"/>
    <w:rsid w:val="008A5AA8"/>
    <w:rsid w:val="008A661E"/>
    <w:rsid w:val="008B0684"/>
    <w:rsid w:val="008C01E2"/>
    <w:rsid w:val="008D2235"/>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2875"/>
    <w:rsid w:val="009B6D40"/>
    <w:rsid w:val="009C0F95"/>
    <w:rsid w:val="009D57EA"/>
    <w:rsid w:val="009E72D7"/>
    <w:rsid w:val="009F3A94"/>
    <w:rsid w:val="00A22274"/>
    <w:rsid w:val="00A23D7C"/>
    <w:rsid w:val="00A24021"/>
    <w:rsid w:val="00A25EC8"/>
    <w:rsid w:val="00A337E5"/>
    <w:rsid w:val="00A34F24"/>
    <w:rsid w:val="00A375D0"/>
    <w:rsid w:val="00A416EC"/>
    <w:rsid w:val="00A41DB7"/>
    <w:rsid w:val="00A57430"/>
    <w:rsid w:val="00A66669"/>
    <w:rsid w:val="00A8104E"/>
    <w:rsid w:val="00A83BC6"/>
    <w:rsid w:val="00AA4D0F"/>
    <w:rsid w:val="00AB5C63"/>
    <w:rsid w:val="00AC29EB"/>
    <w:rsid w:val="00AD421C"/>
    <w:rsid w:val="00AD6DD1"/>
    <w:rsid w:val="00AE0713"/>
    <w:rsid w:val="00AE0D90"/>
    <w:rsid w:val="00AE21F7"/>
    <w:rsid w:val="00AE23A6"/>
    <w:rsid w:val="00AF50B4"/>
    <w:rsid w:val="00B254D3"/>
    <w:rsid w:val="00B313D5"/>
    <w:rsid w:val="00B37C4E"/>
    <w:rsid w:val="00B41EE1"/>
    <w:rsid w:val="00B67D61"/>
    <w:rsid w:val="00B86659"/>
    <w:rsid w:val="00B94D26"/>
    <w:rsid w:val="00B96CB5"/>
    <w:rsid w:val="00B97A9D"/>
    <w:rsid w:val="00BA632D"/>
    <w:rsid w:val="00BB628B"/>
    <w:rsid w:val="00BB7FD0"/>
    <w:rsid w:val="00BC34FB"/>
    <w:rsid w:val="00BE0458"/>
    <w:rsid w:val="00BE5F7A"/>
    <w:rsid w:val="00C12263"/>
    <w:rsid w:val="00C127BF"/>
    <w:rsid w:val="00C142D5"/>
    <w:rsid w:val="00C20F81"/>
    <w:rsid w:val="00C24CCA"/>
    <w:rsid w:val="00C3090F"/>
    <w:rsid w:val="00C406EF"/>
    <w:rsid w:val="00C473FA"/>
    <w:rsid w:val="00C52EF5"/>
    <w:rsid w:val="00C72F1F"/>
    <w:rsid w:val="00C74548"/>
    <w:rsid w:val="00C87E54"/>
    <w:rsid w:val="00C906A6"/>
    <w:rsid w:val="00C95FAD"/>
    <w:rsid w:val="00CA49FC"/>
    <w:rsid w:val="00CB4FC0"/>
    <w:rsid w:val="00CD1245"/>
    <w:rsid w:val="00CD649E"/>
    <w:rsid w:val="00CE2C8C"/>
    <w:rsid w:val="00CE424F"/>
    <w:rsid w:val="00CE4FDF"/>
    <w:rsid w:val="00CE5D9E"/>
    <w:rsid w:val="00CE71BA"/>
    <w:rsid w:val="00CF75B4"/>
    <w:rsid w:val="00D02DC0"/>
    <w:rsid w:val="00D03042"/>
    <w:rsid w:val="00D06CC4"/>
    <w:rsid w:val="00D27E76"/>
    <w:rsid w:val="00D36F26"/>
    <w:rsid w:val="00D53E76"/>
    <w:rsid w:val="00D609DC"/>
    <w:rsid w:val="00D6188C"/>
    <w:rsid w:val="00D63EFE"/>
    <w:rsid w:val="00D67339"/>
    <w:rsid w:val="00D8148D"/>
    <w:rsid w:val="00D8672F"/>
    <w:rsid w:val="00D90FA2"/>
    <w:rsid w:val="00D96110"/>
    <w:rsid w:val="00DA1DC7"/>
    <w:rsid w:val="00DA3723"/>
    <w:rsid w:val="00DA52B8"/>
    <w:rsid w:val="00DB55CE"/>
    <w:rsid w:val="00DC0900"/>
    <w:rsid w:val="00DD0B93"/>
    <w:rsid w:val="00DD44D3"/>
    <w:rsid w:val="00DE720C"/>
    <w:rsid w:val="00E055F4"/>
    <w:rsid w:val="00E269AD"/>
    <w:rsid w:val="00E423BD"/>
    <w:rsid w:val="00E52056"/>
    <w:rsid w:val="00E56D93"/>
    <w:rsid w:val="00E704F7"/>
    <w:rsid w:val="00E71B73"/>
    <w:rsid w:val="00E87B60"/>
    <w:rsid w:val="00EA4F99"/>
    <w:rsid w:val="00EA542E"/>
    <w:rsid w:val="00EB0BDE"/>
    <w:rsid w:val="00EB2841"/>
    <w:rsid w:val="00EC3008"/>
    <w:rsid w:val="00EC7099"/>
    <w:rsid w:val="00EF1C87"/>
    <w:rsid w:val="00EF60E0"/>
    <w:rsid w:val="00EF6428"/>
    <w:rsid w:val="00F03BEA"/>
    <w:rsid w:val="00F04ED2"/>
    <w:rsid w:val="00F0640D"/>
    <w:rsid w:val="00F107A0"/>
    <w:rsid w:val="00F275A1"/>
    <w:rsid w:val="00F35744"/>
    <w:rsid w:val="00F60F37"/>
    <w:rsid w:val="00F60F95"/>
    <w:rsid w:val="00F74AC2"/>
    <w:rsid w:val="00F77C3A"/>
    <w:rsid w:val="00F83BB9"/>
    <w:rsid w:val="00F83D69"/>
    <w:rsid w:val="00FA1D64"/>
    <w:rsid w:val="00FB062F"/>
    <w:rsid w:val="00FB25BA"/>
    <w:rsid w:val="00FB3A7C"/>
    <w:rsid w:val="00FB5C63"/>
    <w:rsid w:val="00FB699E"/>
    <w:rsid w:val="00FD7276"/>
    <w:rsid w:val="00FE0A45"/>
    <w:rsid w:val="00FF1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E01BC9"/>
  <w15:docId w15:val="{78630E9E-5743-424C-AE39-E33B2E3C1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090F"/>
    <w:rPr>
      <w:rFonts w:ascii="Tahoma" w:hAnsi="Tahoma" w:cs="Tahoma"/>
      <w:sz w:val="16"/>
      <w:szCs w:val="16"/>
    </w:rPr>
  </w:style>
  <w:style w:type="paragraph" w:styleId="a4">
    <w:name w:val="footnote text"/>
    <w:basedOn w:val="a"/>
    <w:link w:val="a5"/>
    <w:rsid w:val="00682431"/>
    <w:rPr>
      <w:sz w:val="20"/>
      <w:szCs w:val="20"/>
    </w:rPr>
  </w:style>
  <w:style w:type="character" w:customStyle="1" w:styleId="a5">
    <w:name w:val="Текст под линия Знак"/>
    <w:link w:val="a4"/>
    <w:rsid w:val="00682431"/>
    <w:rPr>
      <w:lang w:val="bg-BG" w:eastAsia="bg-BG"/>
    </w:rPr>
  </w:style>
  <w:style w:type="character" w:styleId="a6">
    <w:name w:val="footnote reference"/>
    <w:rsid w:val="00682431"/>
    <w:rPr>
      <w:vertAlign w:val="superscript"/>
    </w:rPr>
  </w:style>
  <w:style w:type="character" w:styleId="a7">
    <w:name w:val="annotation reference"/>
    <w:rsid w:val="00682431"/>
    <w:rPr>
      <w:sz w:val="16"/>
      <w:szCs w:val="16"/>
    </w:rPr>
  </w:style>
  <w:style w:type="paragraph" w:styleId="a8">
    <w:name w:val="annotation text"/>
    <w:basedOn w:val="a"/>
    <w:link w:val="a9"/>
    <w:rsid w:val="00682431"/>
    <w:rPr>
      <w:sz w:val="20"/>
      <w:szCs w:val="20"/>
    </w:rPr>
  </w:style>
  <w:style w:type="character" w:customStyle="1" w:styleId="a9">
    <w:name w:val="Текст на коментар Знак"/>
    <w:link w:val="a8"/>
    <w:rsid w:val="00682431"/>
    <w:rPr>
      <w:lang w:val="bg-BG" w:eastAsia="bg-BG"/>
    </w:rPr>
  </w:style>
  <w:style w:type="paragraph" w:styleId="aa">
    <w:name w:val="annotation subject"/>
    <w:basedOn w:val="a8"/>
    <w:next w:val="a8"/>
    <w:link w:val="ab"/>
    <w:rsid w:val="00682431"/>
    <w:rPr>
      <w:b/>
      <w:bCs/>
    </w:rPr>
  </w:style>
  <w:style w:type="character" w:customStyle="1" w:styleId="ab">
    <w:name w:val="Предмет на коментар Знак"/>
    <w:link w:val="aa"/>
    <w:rsid w:val="00682431"/>
    <w:rPr>
      <w:b/>
      <w:bCs/>
      <w:lang w:val="bg-BG" w:eastAsia="bg-BG"/>
    </w:rPr>
  </w:style>
  <w:style w:type="paragraph" w:styleId="ac">
    <w:name w:val="header"/>
    <w:basedOn w:val="a"/>
    <w:link w:val="ad"/>
    <w:uiPriority w:val="99"/>
    <w:rsid w:val="00147812"/>
    <w:pPr>
      <w:tabs>
        <w:tab w:val="center" w:pos="4703"/>
        <w:tab w:val="right" w:pos="9406"/>
      </w:tabs>
    </w:pPr>
  </w:style>
  <w:style w:type="character" w:customStyle="1" w:styleId="ad">
    <w:name w:val="Горен колонтитул Знак"/>
    <w:link w:val="ac"/>
    <w:uiPriority w:val="99"/>
    <w:rsid w:val="00147812"/>
    <w:rPr>
      <w:sz w:val="24"/>
      <w:szCs w:val="24"/>
      <w:lang w:val="bg-BG" w:eastAsia="bg-BG"/>
    </w:rPr>
  </w:style>
  <w:style w:type="paragraph" w:styleId="ae">
    <w:name w:val="footer"/>
    <w:basedOn w:val="a"/>
    <w:link w:val="af"/>
    <w:uiPriority w:val="99"/>
    <w:rsid w:val="00147812"/>
    <w:pPr>
      <w:tabs>
        <w:tab w:val="center" w:pos="4703"/>
        <w:tab w:val="right" w:pos="9406"/>
      </w:tabs>
    </w:pPr>
  </w:style>
  <w:style w:type="character" w:customStyle="1" w:styleId="af">
    <w:name w:val="Долен колонтитул Знак"/>
    <w:link w:val="ae"/>
    <w:uiPriority w:val="99"/>
    <w:rsid w:val="00147812"/>
    <w:rPr>
      <w:sz w:val="24"/>
      <w:szCs w:val="24"/>
      <w:lang w:val="bg-BG" w:eastAsia="bg-BG"/>
    </w:rPr>
  </w:style>
  <w:style w:type="paragraph" w:styleId="af0">
    <w:name w:val="Normal (Web)"/>
    <w:basedOn w:val="a"/>
    <w:uiPriority w:val="99"/>
    <w:unhideWhenUsed/>
    <w:rsid w:val="00147812"/>
    <w:pPr>
      <w:spacing w:before="100" w:beforeAutospacing="1" w:after="100" w:afterAutospacing="1"/>
    </w:pPr>
  </w:style>
  <w:style w:type="character" w:styleId="af1">
    <w:name w:val="Hyperlink"/>
    <w:uiPriority w:val="99"/>
    <w:unhideWhenUsed/>
    <w:rsid w:val="001332BD"/>
    <w:rPr>
      <w:strike w:val="0"/>
      <w:dstrike w:val="0"/>
      <w:color w:val="000000"/>
      <w:u w:val="none"/>
      <w:effect w:val="none"/>
    </w:rPr>
  </w:style>
  <w:style w:type="character" w:customStyle="1" w:styleId="UnresolvedMention1">
    <w:name w:val="Unresolved Mention1"/>
    <w:basedOn w:val="a0"/>
    <w:uiPriority w:val="99"/>
    <w:semiHidden/>
    <w:unhideWhenUsed/>
    <w:rsid w:val="00CE4FDF"/>
    <w:rPr>
      <w:color w:val="605E5C"/>
      <w:shd w:val="clear" w:color="auto" w:fill="E1DFDD"/>
    </w:rPr>
  </w:style>
  <w:style w:type="paragraph" w:styleId="af2">
    <w:name w:val="Revision"/>
    <w:hidden/>
    <w:uiPriority w:val="99"/>
    <w:semiHidden/>
    <w:rsid w:val="00B96CB5"/>
    <w:rPr>
      <w:sz w:val="24"/>
      <w:szCs w:val="24"/>
      <w:lang w:val="bg-BG" w:eastAsia="bg-BG"/>
    </w:rPr>
  </w:style>
  <w:style w:type="character" w:customStyle="1" w:styleId="samedocreference">
    <w:name w:val="samedocreference"/>
    <w:basedOn w:val="a0"/>
    <w:rsid w:val="00246B8C"/>
  </w:style>
  <w:style w:type="paragraph" w:styleId="af3">
    <w:name w:val="List Paragraph"/>
    <w:basedOn w:val="a"/>
    <w:uiPriority w:val="34"/>
    <w:qFormat/>
    <w:rsid w:val="008D2235"/>
    <w:pPr>
      <w:ind w:left="720"/>
      <w:contextualSpacing/>
    </w:pPr>
  </w:style>
  <w:style w:type="character" w:customStyle="1" w:styleId="1">
    <w:name w:val="Неразрешено споменаване1"/>
    <w:basedOn w:val="a0"/>
    <w:uiPriority w:val="99"/>
    <w:semiHidden/>
    <w:unhideWhenUsed/>
    <w:rsid w:val="00B41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8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openxmlformats.org/officeDocument/2006/relationships/settings" Target="settings.xml"/><Relationship Id="rId7" Type="http://schemas.openxmlformats.org/officeDocument/2006/relationships/hyperlink" Target="https://www.eufunds.bg/bg/pmdr/node/531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11</Pages>
  <Words>4483</Words>
  <Characters>25558</Characters>
  <Application>Microsoft Office Word</Application>
  <DocSecurity>0</DocSecurity>
  <Lines>212</Lines>
  <Paragraphs>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29982</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Mirg Burgas</cp:lastModifiedBy>
  <cp:revision>9</cp:revision>
  <cp:lastPrinted>2019-10-24T07:59:00Z</cp:lastPrinted>
  <dcterms:created xsi:type="dcterms:W3CDTF">2020-09-17T13:26:00Z</dcterms:created>
  <dcterms:modified xsi:type="dcterms:W3CDTF">2020-09-23T07:25:00Z</dcterms:modified>
</cp:coreProperties>
</file>