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798A5" w14:textId="2980BCBA" w:rsidR="00EB7113" w:rsidRPr="007E4FC3" w:rsidRDefault="00EB7113" w:rsidP="00EB711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7E4FC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Проект</w:t>
      </w:r>
    </w:p>
    <w:p w14:paraId="4AD4E351" w14:textId="77777777" w:rsidR="007E4FC3" w:rsidRPr="007E4FC3" w:rsidRDefault="007E4FC3" w:rsidP="00EB711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65F7D166" w14:textId="77777777" w:rsidR="00EB7113" w:rsidRPr="007E4FC3" w:rsidRDefault="00EB7113" w:rsidP="00EB7113">
      <w:pPr>
        <w:spacing w:after="0" w:line="360" w:lineRule="auto"/>
        <w:jc w:val="center"/>
        <w:rPr>
          <w:rFonts w:ascii="Times New Roman Bold" w:eastAsia="Times New Roman" w:hAnsi="Times New Roman Bold" w:cs="Times New Roman"/>
          <w:b/>
          <w:color w:val="000000"/>
          <w:spacing w:val="30"/>
          <w:sz w:val="28"/>
          <w:szCs w:val="28"/>
          <w:lang w:val="bg-BG" w:eastAsia="bg-BG"/>
        </w:rPr>
      </w:pPr>
      <w:r w:rsidRPr="007E4FC3">
        <w:rPr>
          <w:rFonts w:ascii="Times New Roman Bold" w:eastAsia="Times New Roman" w:hAnsi="Times New Roman Bold" w:cs="Times New Roman"/>
          <w:b/>
          <w:color w:val="000000"/>
          <w:spacing w:val="30"/>
          <w:sz w:val="28"/>
          <w:szCs w:val="28"/>
          <w:lang w:val="bg-BG" w:eastAsia="bg-BG"/>
        </w:rPr>
        <w:t xml:space="preserve">ЗАКОН </w:t>
      </w:r>
    </w:p>
    <w:p w14:paraId="6F291FA0" w14:textId="2F6E0BE1" w:rsidR="00EB7113" w:rsidRPr="007E4FC3" w:rsidRDefault="00EB7113" w:rsidP="008050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</w:pPr>
      <w:r w:rsidRPr="007E4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за изменение и допълнение на Закона за лова и опазване на дивеча 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(</w:t>
      </w:r>
      <w:proofErr w:type="spellStart"/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обн</w:t>
      </w:r>
      <w:proofErr w:type="spellEnd"/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., ДВ, бр. 78 от 200</w:t>
      </w:r>
      <w:r w:rsidR="00B4002F"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0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г.; изм.</w:t>
      </w:r>
      <w:r w:rsidR="00C331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</w:t>
      </w:r>
      <w:r w:rsidR="00C3311A" w:rsidRPr="00C954ED">
        <w:rPr>
          <w:rFonts w:ascii="Times New Roman" w:eastAsia="Times New Roman" w:hAnsi="Times New Roman" w:cs="Times New Roman"/>
          <w:spacing w:val="-2"/>
          <w:sz w:val="24"/>
          <w:szCs w:val="24"/>
          <w:lang w:val="bg-BG" w:eastAsia="bg-BG"/>
        </w:rPr>
        <w:t>и доп.</w:t>
      </w:r>
      <w:r w:rsidRPr="00C954ED">
        <w:rPr>
          <w:rFonts w:ascii="Times New Roman" w:eastAsia="Times New Roman" w:hAnsi="Times New Roman" w:cs="Times New Roman"/>
          <w:spacing w:val="-2"/>
          <w:sz w:val="24"/>
          <w:szCs w:val="24"/>
          <w:lang w:val="bg-BG" w:eastAsia="bg-BG"/>
        </w:rPr>
        <w:t xml:space="preserve">, бр. 26 от 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2001 г.</w:t>
      </w:r>
      <w:r w:rsidR="003568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,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бр. 77 и 79 от 2002 г.</w:t>
      </w:r>
      <w:r w:rsidR="003568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,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бр. 88 от 2005 г.</w:t>
      </w:r>
      <w:r w:rsidR="003568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,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бр. 82 и 108 от 2006 г.</w:t>
      </w:r>
      <w:r w:rsidR="003568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,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бр. 64 от 2007 г.</w:t>
      </w:r>
      <w:r w:rsidR="003568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,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бр. 43, 67, 69 и 91 от 2008 г.</w:t>
      </w:r>
      <w:r w:rsidR="003568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,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бр. 6, 80 и 92 от 2009 г.</w:t>
      </w:r>
      <w:r w:rsidR="003568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,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бр. 73 и 89 от 2010 г.</w:t>
      </w:r>
      <w:r w:rsidR="003568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,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бр. 8, 19, 39, и 77 от 2011 г.</w:t>
      </w:r>
      <w:r w:rsidR="003568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,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бр. 38, 60, 77 и 102 от 2012 г.</w:t>
      </w:r>
      <w:r w:rsidR="003568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,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бр. 15 и 62 от 2013 г.</w:t>
      </w:r>
      <w:r w:rsidR="003568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,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</w:t>
      </w:r>
      <w:r w:rsidR="008050FD"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бр. 60 от 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2015 г., </w:t>
      </w:r>
      <w:r w:rsidR="008050FD"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бр. 14 от 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2016 г., бр. 58 </w:t>
      </w:r>
      <w:r w:rsidR="008050FD"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и 63 от 2017 г.</w:t>
      </w:r>
      <w:r w:rsidR="003568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,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бр. 17</w:t>
      </w:r>
      <w:r w:rsidR="008050FD"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, 61 и 77 от 2018 г. и 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бр. 37 </w:t>
      </w:r>
      <w:r w:rsidR="008050FD"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и 74 от </w:t>
      </w:r>
      <w:r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2019 г.</w:t>
      </w:r>
      <w:r w:rsidR="008050FD" w:rsidRPr="007E4F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)</w:t>
      </w:r>
    </w:p>
    <w:p w14:paraId="17AF3AB5" w14:textId="77777777" w:rsidR="008050FD" w:rsidRPr="007E4FC3" w:rsidRDefault="008050FD" w:rsidP="00EB71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to_paragraph_id40490246"/>
      <w:bookmarkStart w:id="1" w:name="to_paragraph_id41571141"/>
      <w:bookmarkEnd w:id="0"/>
      <w:bookmarkEnd w:id="1"/>
    </w:p>
    <w:p w14:paraId="386BF5B7" w14:textId="77777777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1.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36л се създава ал. 7:</w:t>
      </w:r>
    </w:p>
    <w:p w14:paraId="20BE3DA8" w14:textId="77777777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„(7) След извършена проверка по реда на чл. 36н, ал. 4, при която е установено, че лицето стопанисващо дивеча изпълнява д</w:t>
      </w:r>
      <w:r w:rsidR="00907B99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обросъвестно договорните задължения, съответното държавно предприятие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чл. 163 от Закона за горите</w:t>
      </w:r>
      <w:r w:rsidR="00907B99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може да намали гаран</w:t>
      </w:r>
      <w:r w:rsidR="00907B99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цията за изпълнение на договора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934B7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стопанисване и ползване на дивеча в </w:t>
      </w:r>
      <w:proofErr w:type="spellStart"/>
      <w:r w:rsidR="002934B7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дивечовъдния</w:t>
      </w:r>
      <w:proofErr w:type="spellEnd"/>
      <w:r w:rsidR="002934B7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участък 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до размер</w:t>
      </w:r>
      <w:r w:rsidR="00907B99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една годишна вно</w:t>
      </w:r>
      <w:r w:rsidR="002934B7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ска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.“</w:t>
      </w:r>
    </w:p>
    <w:p w14:paraId="3D501725" w14:textId="77777777" w:rsidR="00B4002F" w:rsidRPr="007E4FC3" w:rsidRDefault="00B4002F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494BA5C" w14:textId="77777777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§ 2.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37, ал. 1 се създава т. 7:</w:t>
      </w:r>
    </w:p>
    <w:p w14:paraId="18BE460C" w14:textId="0A1ACDFB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„7. </w:t>
      </w:r>
      <w:r w:rsidR="00C66AD8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изпълняват мерките, определени със 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заповеди по чл. 54, ал. 5.“</w:t>
      </w:r>
    </w:p>
    <w:p w14:paraId="5692000B" w14:textId="77777777" w:rsidR="00B4002F" w:rsidRPr="007E4FC3" w:rsidRDefault="00B4002F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A187CFD" w14:textId="77777777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3.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46 се създава ал. 6: </w:t>
      </w:r>
    </w:p>
    <w:p w14:paraId="498D711C" w14:textId="77777777" w:rsidR="00C66AD8" w:rsidRPr="007E4FC3" w:rsidRDefault="008050FD" w:rsidP="00C66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„(6) При усложнена </w:t>
      </w:r>
      <w:proofErr w:type="spellStart"/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епизоотична</w:t>
      </w:r>
      <w:proofErr w:type="spellEnd"/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обстановка по смисъла на Закона за ветеринарномедицинската дейност, пораждаща необходимост от намаляване на популацията на дивата свиня, за планирането на ловните излети </w:t>
      </w:r>
      <w:r w:rsidR="003D1523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групов лов на дива свиня, 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</w:t>
      </w:r>
      <w:r w:rsidR="003D1523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се изисква</w:t>
      </w:r>
      <w:r w:rsidR="00FA2A23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3D1523" w:rsidRPr="007E4FC3">
        <w:rPr>
          <w:rFonts w:ascii="Times New Roman" w:hAnsi="Times New Roman" w:cs="Times New Roman"/>
          <w:sz w:val="24"/>
          <w:szCs w:val="24"/>
          <w:lang w:val="bg-BG"/>
        </w:rPr>
        <w:t xml:space="preserve"> 3 ловни излета за една дива свиня, планирана за </w:t>
      </w:r>
      <w:proofErr w:type="spellStart"/>
      <w:r w:rsidR="003D1523" w:rsidRPr="007E4FC3">
        <w:rPr>
          <w:rFonts w:ascii="Times New Roman" w:hAnsi="Times New Roman" w:cs="Times New Roman"/>
          <w:sz w:val="24"/>
          <w:szCs w:val="24"/>
          <w:lang w:val="bg-BG"/>
        </w:rPr>
        <w:t>отстрел</w:t>
      </w:r>
      <w:proofErr w:type="spellEnd"/>
      <w:r w:rsidR="003D1523" w:rsidRPr="007E4FC3">
        <w:rPr>
          <w:rFonts w:ascii="Times New Roman" w:hAnsi="Times New Roman" w:cs="Times New Roman"/>
          <w:sz w:val="24"/>
          <w:szCs w:val="24"/>
          <w:lang w:val="bg-BG"/>
        </w:rPr>
        <w:t>, за един ловен сезон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FA2A23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отстрелът</w:t>
      </w:r>
      <w:proofErr w:type="spellEnd"/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извършва до регулиране на числеността до степен, недопускаща или ограничаваща разпространението на </w:t>
      </w:r>
      <w:r w:rsidR="00C66AD8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болестта по животните.“</w:t>
      </w:r>
    </w:p>
    <w:p w14:paraId="39A8320E" w14:textId="77777777" w:rsidR="00B4002F" w:rsidRPr="007E4FC3" w:rsidRDefault="00B4002F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4950314" w14:textId="77777777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4.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48, ал. 2, след думите „държавните ловни стопанства“ се добавя „и в </w:t>
      </w:r>
      <w:proofErr w:type="spellStart"/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дивечовъдните</w:t>
      </w:r>
      <w:proofErr w:type="spellEnd"/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участъци, стопанисвани от държавните горски стопанства“.</w:t>
      </w:r>
    </w:p>
    <w:p w14:paraId="63A3CE63" w14:textId="77777777" w:rsidR="00B4002F" w:rsidRPr="007E4FC3" w:rsidRDefault="00B4002F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E3187AE" w14:textId="77777777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5.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54, ал. 5 се правят следните изменения и допълнения:</w:t>
      </w:r>
    </w:p>
    <w:p w14:paraId="6D2EDE46" w14:textId="269030F4" w:rsidR="008050FD" w:rsidRPr="007E4FC3" w:rsidRDefault="00C66AD8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="007E4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0FD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Точка 2 се изменя така:</w:t>
      </w:r>
    </w:p>
    <w:p w14:paraId="3A1208E2" w14:textId="5E6EF068" w:rsidR="008050FD" w:rsidRPr="007E4FC3" w:rsidRDefault="004C56FA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</w:t>
      </w:r>
      <w:r w:rsidR="008050FD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разпорежда прилагането на санитарен </w:t>
      </w:r>
      <w:proofErr w:type="spellStart"/>
      <w:r w:rsidR="008050FD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отстрел</w:t>
      </w:r>
      <w:proofErr w:type="spellEnd"/>
      <w:r w:rsidR="008050FD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дивеч, включително и на индивиди, при които не се забелязват </w:t>
      </w:r>
      <w:r w:rsidR="00C66AD8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симптоми на болестта</w:t>
      </w:r>
      <w:r w:rsidR="008050FD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“.</w:t>
      </w:r>
    </w:p>
    <w:p w14:paraId="60EB9DD7" w14:textId="12357417" w:rsidR="008050FD" w:rsidRPr="007E4FC3" w:rsidRDefault="00C66AD8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="008050FD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Създават се т. 5-8:</w:t>
      </w:r>
    </w:p>
    <w:p w14:paraId="4A1335D8" w14:textId="77777777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„5. определя мерки за ограничаване и ликвидиране на болести по дивеча и за спазване на </w:t>
      </w:r>
      <w:proofErr w:type="spellStart"/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биосигурност</w:t>
      </w:r>
      <w:proofErr w:type="spellEnd"/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време на лов;</w:t>
      </w:r>
    </w:p>
    <w:p w14:paraId="5E057928" w14:textId="305D500E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6. разрешава извършването </w:t>
      </w:r>
      <w:r w:rsidR="00B46552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proofErr w:type="spellStart"/>
      <w:r w:rsidR="00B46552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отстрел</w:t>
      </w:r>
      <w:proofErr w:type="spellEnd"/>
      <w:r w:rsidR="00B46552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т. 2 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r w:rsidR="00112BB0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служителите на Министерство на земеделието, храните и горите, Министерство на вътрешните работи, Министерство на отбраната и техните структури и държавните предприятия по чл. 163 от Закона за горите, 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във всички </w:t>
      </w:r>
      <w:proofErr w:type="spellStart"/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ловностопански</w:t>
      </w:r>
      <w:proofErr w:type="spellEnd"/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райони, като разрешителните за ловуване се издават от директора на съответното държавно горско или ловно стопанство;</w:t>
      </w:r>
    </w:p>
    <w:p w14:paraId="1305DDA2" w14:textId="77777777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7. разрешава на лицата по т. 6 използването на методи и средства за ловуване, включени в забраните по чл. 65;</w:t>
      </w:r>
    </w:p>
    <w:p w14:paraId="63144B1E" w14:textId="6138CBC4" w:rsidR="008050FD" w:rsidRPr="007E4FC3" w:rsidRDefault="008050FD" w:rsidP="008050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</w:t>
      </w:r>
      <w:r w:rsidR="007D4ECF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8.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определя стимули за лицата, стопанисващи дивеча, които са изпълнили заповедите по т. 2 и 5.“</w:t>
      </w:r>
    </w:p>
    <w:p w14:paraId="1C92B1BD" w14:textId="77777777" w:rsidR="00B4002F" w:rsidRPr="007E4FC3" w:rsidRDefault="00B4002F" w:rsidP="008050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B97275" w14:textId="630F7B17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6.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Създава</w:t>
      </w:r>
      <w:r w:rsidR="00C66AD8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чл. 83р</w:t>
      </w:r>
      <w:r w:rsidR="00C66AD8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чл. 83с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5F68C154" w14:textId="2D9812DA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„Чл. 83р. (1) Който наруши или не изпълни въведените със заповед на министъра на земеделие</w:t>
      </w:r>
      <w:r w:rsidR="005E5482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то, храните и горите мерки по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чл. 54, ал. 5, </w:t>
      </w:r>
      <w:r w:rsidR="00C66AD8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т. 5</w:t>
      </w:r>
      <w:r w:rsidR="005E5482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66AD8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освен ако деянието не съставлява престъпление, се наказва с глоба в размер от 100 до 1000 лв.</w:t>
      </w:r>
    </w:p>
    <w:p w14:paraId="50CD90A7" w14:textId="56BD9052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Когато нарушението </w:t>
      </w:r>
      <w:r w:rsidR="00C66AD8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ал. 1 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е извършено от едноличен търговец или юридическо лице, се налага имуществена санкция в размер от 500 до 5000 лв.“</w:t>
      </w:r>
    </w:p>
    <w:p w14:paraId="57BEDF5F" w14:textId="6109A3BD" w:rsidR="008050FD" w:rsidRPr="007E4FC3" w:rsidRDefault="008050FD" w:rsidP="00C66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Чл. 83с. Лице, което възпр</w:t>
      </w:r>
      <w:r w:rsidR="007D4ECF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епятства изпълнението на мярката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чл. 54, ал. 5, т. 6, ако деянието не съставлява престъпление, се наказва с глоба или имуществена санкция в размер от 500 до 5000 лв.“</w:t>
      </w:r>
    </w:p>
    <w:p w14:paraId="508C3719" w14:textId="77777777" w:rsidR="00B4002F" w:rsidRPr="007E4FC3" w:rsidRDefault="00B4002F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E2A9007" w14:textId="76EB8F21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C66AD8"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Създава се чл. 95б</w:t>
      </w:r>
      <w:r w:rsidR="00C66AD8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95в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31E41D22" w14:textId="77777777" w:rsidR="008050FD" w:rsidRPr="007E4FC3" w:rsidRDefault="008050FD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“Чл. 95б. Който наруши разпоредба на този закон, извън случаите по чл. 83а – 95а, и на актовете по неговото прилагане, се наказва с глоба от 50 до 500 лв., съответно имуществена санкция от 100 до 1000 лв., ако не е предвидено по-тежко наказание.“</w:t>
      </w:r>
    </w:p>
    <w:p w14:paraId="216EC3CE" w14:textId="1A3ABA07" w:rsidR="00414D4C" w:rsidRPr="00BF79C0" w:rsidRDefault="0044177D" w:rsidP="00570C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050FD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Чл. 95в. (1) При неизпълнение на</w:t>
      </w:r>
      <w:r w:rsidR="00112BB0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задълженията </w:t>
      </w:r>
      <w:r w:rsidR="003813C4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по ч</w:t>
      </w:r>
      <w:r w:rsidR="00212712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л. 37 от</w:t>
      </w:r>
      <w:r w:rsidR="003813C4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ловните сдружения, на които е предоставено стопанисването и ползването на дивеча по реда на чл. 36, ал. 3, директорът на държавното горско или ловно стопанство със заповед </w:t>
      </w:r>
      <w:r w:rsidR="00212712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 </w:t>
      </w:r>
      <w:r w:rsidR="003813C4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забранява ползването на дивеча в съответния </w:t>
      </w:r>
      <w:proofErr w:type="spellStart"/>
      <w:r w:rsidR="000E1166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ловностопански</w:t>
      </w:r>
      <w:proofErr w:type="spellEnd"/>
      <w:r w:rsidR="000E1166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район за срок до</w:t>
      </w:r>
      <w:r w:rsidR="003813C4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E1166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="003813C4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година. </w:t>
      </w:r>
      <w:r w:rsidR="000E1166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Заповедта се издава по предложение на комисията по ловно стопанство или на управителния съвет на ловното сдружение</w:t>
      </w:r>
      <w:r w:rsidR="001A1A46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чл. 30</w:t>
      </w:r>
      <w:r w:rsidR="000E1166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71037013" w14:textId="77777777" w:rsidR="00682E62" w:rsidRPr="00456BB3" w:rsidRDefault="00682E62" w:rsidP="00682E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56BB3">
        <w:rPr>
          <w:rFonts w:ascii="Times New Roman" w:eastAsia="Times New Roman" w:hAnsi="Times New Roman" w:cs="Times New Roman"/>
          <w:sz w:val="24"/>
          <w:szCs w:val="24"/>
          <w:lang w:val="bg-BG"/>
        </w:rPr>
        <w:t>(2) Забраната ал. 1 се налага със заповед по реда и при условията от същата алинея и при констатиран инцидент по време на ловен излет.</w:t>
      </w:r>
    </w:p>
    <w:p w14:paraId="2F903243" w14:textId="14E0E91F" w:rsidR="008050FD" w:rsidRPr="00BF79C0" w:rsidRDefault="00414D4C" w:rsidP="00682E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(3) Заповедите за прилагане на принудителна административна мярка по ал. 1 и 2 подлежат на незабавно изпълнение. </w:t>
      </w:r>
    </w:p>
    <w:p w14:paraId="4951615A" w14:textId="5AE8E489" w:rsidR="00414D4C" w:rsidRPr="00BF79C0" w:rsidRDefault="008050FD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(4) </w:t>
      </w:r>
      <w:r w:rsidR="00414D4C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Заповедите по ал. 1 и ал. 2 се съобщават и могат да се обжалват по реда на </w:t>
      </w:r>
      <w:proofErr w:type="spellStart"/>
      <w:r w:rsidR="00414D4C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Административнопроцесуалния</w:t>
      </w:r>
      <w:proofErr w:type="spellEnd"/>
      <w:r w:rsidR="00414D4C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кодекс.</w:t>
      </w:r>
    </w:p>
    <w:p w14:paraId="49E503C3" w14:textId="19AF176E" w:rsidR="008050FD" w:rsidRPr="00BF79C0" w:rsidRDefault="00414D4C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(5) </w:t>
      </w:r>
      <w:r w:rsidR="008050FD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Неизпълнението на задълженията по ал. 1 </w:t>
      </w:r>
      <w:r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ал. 2 за налагане на принудителна административна мярка </w:t>
      </w:r>
      <w:r w:rsidR="008050FD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основание за прекратяване на договора за управление на директора на съответното държавно горско стопанство </w:t>
      </w:r>
      <w:r w:rsidR="00BE7861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или държавно ловно стопанство.”</w:t>
      </w:r>
    </w:p>
    <w:p w14:paraId="71CE3E5B" w14:textId="77777777" w:rsidR="00B4002F" w:rsidRPr="00BF79C0" w:rsidRDefault="00B4002F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03B2631" w14:textId="6010500C" w:rsidR="008050FD" w:rsidRPr="00BF79C0" w:rsidRDefault="00BE7861" w:rsidP="008050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79C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5E5482" w:rsidRPr="00BF79C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="008050FD" w:rsidRPr="00BF79C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4E4B64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§ 1 от Допълнителни</w:t>
      </w:r>
      <w:r w:rsidR="008050FD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разпоредби се създава т. 34:</w:t>
      </w:r>
    </w:p>
    <w:p w14:paraId="307A33B4" w14:textId="144A1AFF" w:rsidR="00B4002F" w:rsidRPr="00BF79C0" w:rsidRDefault="008050FD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„34. </w:t>
      </w:r>
      <w:r w:rsidR="005E5482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4E4B64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Инцидент</w:t>
      </w:r>
      <w:r w:rsidR="00004D2A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време на ловен излет</w:t>
      </w:r>
      <w:r w:rsidR="005E5482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</w:t>
      </w:r>
      <w:r w:rsidR="004E4B64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5E5482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F6D62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произшеств</w:t>
      </w:r>
      <w:r w:rsidR="005E5482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4E4B64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004D2A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DF6D62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E5482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свързан</w:t>
      </w:r>
      <w:r w:rsidR="004E4B64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DF6D62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</w:t>
      </w:r>
      <w:r w:rsidR="005E5482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прострелване на ловец, довело до неговото </w:t>
      </w:r>
      <w:r w:rsidR="00DF6D62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нараняване или смъртен случай</w:t>
      </w:r>
      <w:r w:rsidR="005E5482" w:rsidRPr="00BF79C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C02E48A" w14:textId="77777777" w:rsidR="00DF6D62" w:rsidRPr="007E4FC3" w:rsidRDefault="00DF6D62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B1E5D60" w14:textId="0BCF6332" w:rsidR="00BE7861" w:rsidRPr="007E4FC3" w:rsidRDefault="00BE7861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5E5482"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 Приложение № 2 към чл. 9, ал. 1 „Списък на държавните ловни стопанства“ се създава т. 29:</w:t>
      </w:r>
    </w:p>
    <w:p w14:paraId="36F115AD" w14:textId="0B201B9F" w:rsidR="008050FD" w:rsidRPr="007E4FC3" w:rsidRDefault="00BE7861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„29. КРИЧИМ“</w:t>
      </w:r>
      <w:r w:rsidR="00C3653C"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59D9539B" w14:textId="77777777" w:rsidR="00BE7861" w:rsidRPr="007E4FC3" w:rsidRDefault="00BE7861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1693F46" w14:textId="77777777" w:rsidR="00BE7861" w:rsidRPr="007E4FC3" w:rsidRDefault="00BE7861" w:rsidP="00BE786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Заключителна разпоредба</w:t>
      </w:r>
    </w:p>
    <w:p w14:paraId="3DAD0B5D" w14:textId="77777777" w:rsidR="00BE7861" w:rsidRPr="007E4FC3" w:rsidRDefault="00BE7861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299CBB3" w14:textId="721443C8" w:rsidR="00BE7861" w:rsidRPr="007E4FC3" w:rsidRDefault="00BE7861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4E4B64"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10</w:t>
      </w:r>
      <w:r w:rsidRPr="007E4F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Законът влиза в сила от деня на обнародването му в „Държавен вестник“.</w:t>
      </w:r>
    </w:p>
    <w:p w14:paraId="512859F5" w14:textId="77777777" w:rsidR="00BE7861" w:rsidRPr="007E4FC3" w:rsidRDefault="00BE7861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40FF43B" w14:textId="77777777" w:rsidR="00BE7861" w:rsidRPr="007E4FC3" w:rsidRDefault="00BE7861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319484F" w14:textId="2A39A86C" w:rsidR="00BE7861" w:rsidRPr="007E4FC3" w:rsidRDefault="00BE7861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Законът е приет от 44-ото Наро</w:t>
      </w:r>
      <w:r w:rsidR="007E4FC3">
        <w:rPr>
          <w:rFonts w:ascii="Times New Roman" w:eastAsia="Times New Roman" w:hAnsi="Times New Roman" w:cs="Times New Roman"/>
          <w:sz w:val="24"/>
          <w:szCs w:val="24"/>
          <w:lang w:val="bg-BG"/>
        </w:rPr>
        <w:t>дно събрание на ……………..…......</w:t>
      </w: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и е подпечатан с официалния печат на Народното събрание.</w:t>
      </w:r>
    </w:p>
    <w:p w14:paraId="3BF7E67A" w14:textId="77777777" w:rsidR="00BE7861" w:rsidRPr="007E4FC3" w:rsidRDefault="00BE7861" w:rsidP="00BE78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F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4BBFCA52" w14:textId="77777777" w:rsidR="001108B4" w:rsidRPr="007E4FC3" w:rsidRDefault="001108B4" w:rsidP="0089017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2" w:name="_GoBack"/>
      <w:bookmarkEnd w:id="2"/>
    </w:p>
    <w:sectPr w:rsidR="001108B4" w:rsidRPr="007E4FC3" w:rsidSect="00B4002F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344E2" w14:textId="77777777" w:rsidR="00A51849" w:rsidRDefault="00A51849">
      <w:pPr>
        <w:spacing w:after="0" w:line="240" w:lineRule="auto"/>
      </w:pPr>
      <w:r>
        <w:separator/>
      </w:r>
    </w:p>
  </w:endnote>
  <w:endnote w:type="continuationSeparator" w:id="0">
    <w:p w14:paraId="53748CEE" w14:textId="77777777" w:rsidR="00A51849" w:rsidRDefault="00A5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03474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FED9F6" w14:textId="017DCF88" w:rsidR="004373E0" w:rsidRPr="00682E62" w:rsidRDefault="00BE7861" w:rsidP="006D4DA1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82E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2E6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82E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675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82E6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1C16B" w14:textId="77777777" w:rsidR="00A51849" w:rsidRDefault="00A51849">
      <w:pPr>
        <w:spacing w:after="0" w:line="240" w:lineRule="auto"/>
      </w:pPr>
      <w:r>
        <w:separator/>
      </w:r>
    </w:p>
  </w:footnote>
  <w:footnote w:type="continuationSeparator" w:id="0">
    <w:p w14:paraId="3554FE27" w14:textId="77777777" w:rsidR="00A51849" w:rsidRDefault="00A5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746E"/>
    <w:multiLevelType w:val="hybridMultilevel"/>
    <w:tmpl w:val="17743C34"/>
    <w:lvl w:ilvl="0" w:tplc="C7AA6C9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49"/>
    <w:rsid w:val="00004D2A"/>
    <w:rsid w:val="000256D3"/>
    <w:rsid w:val="00055939"/>
    <w:rsid w:val="00081349"/>
    <w:rsid w:val="000D230B"/>
    <w:rsid w:val="000E1166"/>
    <w:rsid w:val="001108B4"/>
    <w:rsid w:val="00112BB0"/>
    <w:rsid w:val="001A1A46"/>
    <w:rsid w:val="001A7AAE"/>
    <w:rsid w:val="00210B58"/>
    <w:rsid w:val="00212712"/>
    <w:rsid w:val="00224A6A"/>
    <w:rsid w:val="002934B7"/>
    <w:rsid w:val="002E4CFD"/>
    <w:rsid w:val="003568EC"/>
    <w:rsid w:val="003813C4"/>
    <w:rsid w:val="003B2502"/>
    <w:rsid w:val="003D1523"/>
    <w:rsid w:val="003F72A4"/>
    <w:rsid w:val="004010AC"/>
    <w:rsid w:val="00414D4C"/>
    <w:rsid w:val="0044177D"/>
    <w:rsid w:val="00450731"/>
    <w:rsid w:val="004A656B"/>
    <w:rsid w:val="004C56FA"/>
    <w:rsid w:val="004E4B64"/>
    <w:rsid w:val="00526C47"/>
    <w:rsid w:val="005332EE"/>
    <w:rsid w:val="0054789A"/>
    <w:rsid w:val="00570C91"/>
    <w:rsid w:val="005D2C20"/>
    <w:rsid w:val="005E5482"/>
    <w:rsid w:val="00611053"/>
    <w:rsid w:val="00621E1D"/>
    <w:rsid w:val="00682E62"/>
    <w:rsid w:val="00694496"/>
    <w:rsid w:val="006B683F"/>
    <w:rsid w:val="006B795E"/>
    <w:rsid w:val="00703696"/>
    <w:rsid w:val="0071375D"/>
    <w:rsid w:val="00721C31"/>
    <w:rsid w:val="00792E93"/>
    <w:rsid w:val="007D263E"/>
    <w:rsid w:val="007D4ECF"/>
    <w:rsid w:val="007D5263"/>
    <w:rsid w:val="007E4FC3"/>
    <w:rsid w:val="008050FD"/>
    <w:rsid w:val="00890171"/>
    <w:rsid w:val="00907B99"/>
    <w:rsid w:val="00915D24"/>
    <w:rsid w:val="00935A05"/>
    <w:rsid w:val="00A407EE"/>
    <w:rsid w:val="00A505F7"/>
    <w:rsid w:val="00A51849"/>
    <w:rsid w:val="00B4002F"/>
    <w:rsid w:val="00B4189C"/>
    <w:rsid w:val="00B46552"/>
    <w:rsid w:val="00B721A0"/>
    <w:rsid w:val="00BA43E8"/>
    <w:rsid w:val="00BD412D"/>
    <w:rsid w:val="00BE7861"/>
    <w:rsid w:val="00BF79C0"/>
    <w:rsid w:val="00C3311A"/>
    <w:rsid w:val="00C35021"/>
    <w:rsid w:val="00C3653C"/>
    <w:rsid w:val="00C66AD8"/>
    <w:rsid w:val="00C76756"/>
    <w:rsid w:val="00C954ED"/>
    <w:rsid w:val="00CC041A"/>
    <w:rsid w:val="00CD2D7E"/>
    <w:rsid w:val="00D93143"/>
    <w:rsid w:val="00DE33D0"/>
    <w:rsid w:val="00DF1799"/>
    <w:rsid w:val="00DF6D62"/>
    <w:rsid w:val="00EA2D74"/>
    <w:rsid w:val="00EB7113"/>
    <w:rsid w:val="00F549D9"/>
    <w:rsid w:val="00F631B6"/>
    <w:rsid w:val="00F84B46"/>
    <w:rsid w:val="00FA2A23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6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71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113"/>
  </w:style>
  <w:style w:type="character" w:styleId="Hyperlink">
    <w:name w:val="Hyperlink"/>
    <w:basedOn w:val="DefaultParagraphFont"/>
    <w:uiPriority w:val="99"/>
    <w:semiHidden/>
    <w:unhideWhenUsed/>
    <w:rsid w:val="00B4002F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B4002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4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71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113"/>
  </w:style>
  <w:style w:type="character" w:styleId="Hyperlink">
    <w:name w:val="Hyperlink"/>
    <w:basedOn w:val="DefaultParagraphFont"/>
    <w:uiPriority w:val="99"/>
    <w:semiHidden/>
    <w:unhideWhenUsed/>
    <w:rsid w:val="00B4002F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B4002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4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78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8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70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3429-0D10-4F40-B838-E1AAF91F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Nataliya Slavova</cp:lastModifiedBy>
  <cp:revision>3</cp:revision>
  <cp:lastPrinted>2020-09-14T11:44:00Z</cp:lastPrinted>
  <dcterms:created xsi:type="dcterms:W3CDTF">2020-09-17T10:07:00Z</dcterms:created>
  <dcterms:modified xsi:type="dcterms:W3CDTF">2020-09-17T10:12:00Z</dcterms:modified>
</cp:coreProperties>
</file>