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93" w:rsidRPr="007B4099" w:rsidRDefault="00BA7811" w:rsidP="008E0973">
      <w:pPr>
        <w:widowControl w:val="0"/>
        <w:autoSpaceDE w:val="0"/>
        <w:autoSpaceDN w:val="0"/>
        <w:adjustRightInd w:val="0"/>
        <w:spacing w:after="0" w:line="360" w:lineRule="auto"/>
        <w:jc w:val="right"/>
        <w:rPr>
          <w:rFonts w:ascii="Verdana" w:hAnsi="Verdana"/>
          <w:strike/>
          <w:color w:val="FF0000"/>
          <w:sz w:val="20"/>
          <w:szCs w:val="20"/>
          <w:lang w:val="bg-BG" w:eastAsia="bg-BG"/>
        </w:rPr>
      </w:pPr>
      <w:r w:rsidRPr="007B4099">
        <w:rPr>
          <w:rFonts w:ascii="Verdana" w:hAnsi="Verdana"/>
          <w:noProof/>
          <w:sz w:val="20"/>
          <w:szCs w:val="20"/>
        </w:rPr>
        <w:drawing>
          <wp:anchor distT="0" distB="0" distL="114300" distR="114300" simplePos="0" relativeHeight="251657728" behindDoc="1" locked="0" layoutInCell="1" allowOverlap="1" wp14:anchorId="075E42B5" wp14:editId="4631BD6B">
            <wp:simplePos x="0" y="0"/>
            <wp:positionH relativeFrom="column">
              <wp:posOffset>2262505</wp:posOffset>
            </wp:positionH>
            <wp:positionV relativeFrom="paragraph">
              <wp:posOffset>-316865</wp:posOffset>
            </wp:positionV>
            <wp:extent cx="1243330" cy="119951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330" cy="1199515"/>
                    </a:xfrm>
                    <a:prstGeom prst="rect">
                      <a:avLst/>
                    </a:prstGeom>
                    <a:noFill/>
                  </pic:spPr>
                </pic:pic>
              </a:graphicData>
            </a:graphic>
            <wp14:sizeRelH relativeFrom="page">
              <wp14:pctWidth>0</wp14:pctWidth>
            </wp14:sizeRelH>
            <wp14:sizeRelV relativeFrom="page">
              <wp14:pctHeight>0</wp14:pctHeight>
            </wp14:sizeRelV>
          </wp:anchor>
        </w:drawing>
      </w:r>
      <w:r w:rsidR="00AC7993" w:rsidRPr="007B4099">
        <w:rPr>
          <w:rFonts w:ascii="Verdana" w:hAnsi="Verdana"/>
          <w:strike/>
          <w:color w:val="FF0000"/>
          <w:sz w:val="20"/>
          <w:szCs w:val="20"/>
          <w:lang w:val="bg-BG" w:eastAsia="bg-BG"/>
        </w:rPr>
        <w:t xml:space="preserve"> </w:t>
      </w:r>
    </w:p>
    <w:p w:rsidR="00AC7993" w:rsidRPr="007B4099" w:rsidRDefault="00AC7993" w:rsidP="008E0973">
      <w:pPr>
        <w:tabs>
          <w:tab w:val="center" w:pos="4153"/>
          <w:tab w:val="left" w:pos="7230"/>
          <w:tab w:val="left" w:pos="7655"/>
          <w:tab w:val="right" w:pos="8306"/>
        </w:tabs>
        <w:spacing w:after="0" w:line="360" w:lineRule="auto"/>
        <w:ind w:left="-851" w:right="-285"/>
        <w:jc w:val="center"/>
        <w:rPr>
          <w:rFonts w:ascii="Verdana" w:hAnsi="Verdana"/>
          <w:noProof/>
          <w:sz w:val="20"/>
          <w:szCs w:val="20"/>
          <w:lang w:val="bg-BG" w:eastAsia="bg-BG"/>
        </w:rPr>
      </w:pPr>
    </w:p>
    <w:p w:rsidR="00AC7993" w:rsidRPr="007B4099" w:rsidRDefault="00AC7993" w:rsidP="008E0973">
      <w:pPr>
        <w:tabs>
          <w:tab w:val="center" w:pos="4153"/>
          <w:tab w:val="left" w:pos="7230"/>
          <w:tab w:val="left" w:pos="7655"/>
          <w:tab w:val="right" w:pos="8306"/>
        </w:tabs>
        <w:spacing w:after="0" w:line="360" w:lineRule="auto"/>
        <w:ind w:left="-851" w:right="-285"/>
        <w:jc w:val="center"/>
        <w:rPr>
          <w:rFonts w:ascii="Verdana" w:hAnsi="Verdana"/>
          <w:noProof/>
          <w:sz w:val="20"/>
          <w:szCs w:val="20"/>
          <w:lang w:val="bg-BG" w:eastAsia="bg-BG"/>
        </w:rPr>
      </w:pPr>
    </w:p>
    <w:p w:rsidR="00E53711" w:rsidRPr="007B4099" w:rsidRDefault="00E53711" w:rsidP="008E0973">
      <w:pPr>
        <w:keepNext/>
        <w:spacing w:after="0" w:line="360" w:lineRule="auto"/>
        <w:outlineLvl w:val="0"/>
        <w:rPr>
          <w:rFonts w:ascii="Verdana" w:hAnsi="Verdana"/>
          <w:b/>
          <w:spacing w:val="40"/>
          <w:kern w:val="32"/>
          <w:sz w:val="20"/>
          <w:szCs w:val="20"/>
          <w:lang w:val="bg-BG" w:eastAsia="bg-BG"/>
        </w:rPr>
      </w:pPr>
    </w:p>
    <w:p w:rsidR="00AC7993" w:rsidRPr="007B4099" w:rsidRDefault="00AC7993" w:rsidP="001D7C91">
      <w:pPr>
        <w:keepNext/>
        <w:spacing w:after="0" w:line="360" w:lineRule="auto"/>
        <w:jc w:val="center"/>
        <w:outlineLvl w:val="0"/>
        <w:rPr>
          <w:rFonts w:ascii="Verdana" w:hAnsi="Verdana"/>
          <w:b/>
          <w:spacing w:val="40"/>
          <w:kern w:val="32"/>
          <w:sz w:val="20"/>
          <w:szCs w:val="20"/>
          <w:lang w:val="bg-BG" w:eastAsia="bg-BG"/>
        </w:rPr>
      </w:pPr>
      <w:r w:rsidRPr="007B4099">
        <w:rPr>
          <w:rFonts w:ascii="Verdana" w:hAnsi="Verdana"/>
          <w:b/>
          <w:spacing w:val="40"/>
          <w:kern w:val="32"/>
          <w:sz w:val="20"/>
          <w:szCs w:val="20"/>
          <w:lang w:val="bg-BG" w:eastAsia="bg-BG"/>
        </w:rPr>
        <w:t>РЕПУБЛИКА БЪЛГАРИЯ</w:t>
      </w:r>
    </w:p>
    <w:p w:rsidR="00AC7993" w:rsidRPr="007B4099" w:rsidRDefault="00AC7993" w:rsidP="001D7C91">
      <w:pPr>
        <w:widowControl w:val="0"/>
        <w:pBdr>
          <w:bottom w:val="single" w:sz="4" w:space="1" w:color="auto"/>
        </w:pBdr>
        <w:autoSpaceDE w:val="0"/>
        <w:autoSpaceDN w:val="0"/>
        <w:adjustRightInd w:val="0"/>
        <w:spacing w:after="0" w:line="360" w:lineRule="auto"/>
        <w:jc w:val="center"/>
        <w:rPr>
          <w:rFonts w:ascii="Verdana" w:hAnsi="Verdana"/>
          <w:sz w:val="20"/>
          <w:szCs w:val="20"/>
          <w:lang w:val="bg-BG" w:eastAsia="bg-BG"/>
        </w:rPr>
      </w:pPr>
      <w:r w:rsidRPr="007B4099">
        <w:rPr>
          <w:rFonts w:ascii="Verdana" w:hAnsi="Verdana"/>
          <w:b/>
          <w:spacing w:val="40"/>
          <w:sz w:val="20"/>
          <w:szCs w:val="20"/>
          <w:lang w:val="bg-BG" w:eastAsia="bg-BG"/>
        </w:rPr>
        <w:t>Министър на земеделието, храните и горите</w:t>
      </w:r>
    </w:p>
    <w:p w:rsidR="00CD721D" w:rsidRPr="007B4099" w:rsidRDefault="00CD721D" w:rsidP="00B15E46">
      <w:pPr>
        <w:widowControl w:val="0"/>
        <w:autoSpaceDE w:val="0"/>
        <w:autoSpaceDN w:val="0"/>
        <w:adjustRightInd w:val="0"/>
        <w:spacing w:after="0" w:line="360" w:lineRule="auto"/>
        <w:rPr>
          <w:rFonts w:ascii="Verdana" w:hAnsi="Verdana"/>
          <w:b/>
          <w:bCs/>
          <w:sz w:val="20"/>
          <w:szCs w:val="20"/>
          <w:lang w:val="bg-BG" w:eastAsia="bg-BG"/>
        </w:rPr>
      </w:pPr>
    </w:p>
    <w:p w:rsidR="00CD721D" w:rsidRPr="007B4099" w:rsidRDefault="00CD721D" w:rsidP="00B15E46">
      <w:pPr>
        <w:widowControl w:val="0"/>
        <w:autoSpaceDE w:val="0"/>
        <w:autoSpaceDN w:val="0"/>
        <w:adjustRightInd w:val="0"/>
        <w:spacing w:after="0" w:line="360" w:lineRule="auto"/>
        <w:rPr>
          <w:rFonts w:ascii="Verdana" w:hAnsi="Verdana"/>
          <w:b/>
          <w:bCs/>
          <w:sz w:val="20"/>
          <w:szCs w:val="20"/>
          <w:lang w:val="bg-BG" w:eastAsia="bg-BG"/>
        </w:rPr>
      </w:pPr>
    </w:p>
    <w:p w:rsidR="00AC7993" w:rsidRPr="007B4099" w:rsidRDefault="00AC7993" w:rsidP="00B15E46">
      <w:pPr>
        <w:widowControl w:val="0"/>
        <w:autoSpaceDE w:val="0"/>
        <w:autoSpaceDN w:val="0"/>
        <w:adjustRightInd w:val="0"/>
        <w:spacing w:after="0" w:line="360" w:lineRule="auto"/>
        <w:rPr>
          <w:rFonts w:ascii="Verdana" w:hAnsi="Verdana"/>
          <w:b/>
          <w:bCs/>
          <w:sz w:val="20"/>
          <w:szCs w:val="20"/>
          <w:lang w:val="bg-BG" w:eastAsia="bg-BG"/>
        </w:rPr>
      </w:pPr>
      <w:r w:rsidRPr="007B4099">
        <w:rPr>
          <w:rFonts w:ascii="Verdana" w:hAnsi="Verdana"/>
          <w:b/>
          <w:bCs/>
          <w:sz w:val="20"/>
          <w:szCs w:val="20"/>
          <w:lang w:val="bg-BG" w:eastAsia="bg-BG"/>
        </w:rPr>
        <w:t>ДО</w:t>
      </w:r>
    </w:p>
    <w:p w:rsidR="00AC7993" w:rsidRPr="007B4099" w:rsidRDefault="00AC7993" w:rsidP="00B15E46">
      <w:pPr>
        <w:widowControl w:val="0"/>
        <w:autoSpaceDE w:val="0"/>
        <w:autoSpaceDN w:val="0"/>
        <w:adjustRightInd w:val="0"/>
        <w:spacing w:after="0" w:line="360" w:lineRule="auto"/>
        <w:rPr>
          <w:rFonts w:ascii="Verdana" w:hAnsi="Verdana"/>
          <w:b/>
          <w:bCs/>
          <w:sz w:val="20"/>
          <w:szCs w:val="20"/>
          <w:lang w:val="bg-BG" w:eastAsia="bg-BG"/>
        </w:rPr>
      </w:pPr>
      <w:r w:rsidRPr="007B4099">
        <w:rPr>
          <w:rFonts w:ascii="Verdana" w:hAnsi="Verdana"/>
          <w:b/>
          <w:bCs/>
          <w:sz w:val="20"/>
          <w:szCs w:val="20"/>
          <w:lang w:val="bg-BG" w:eastAsia="bg-BG"/>
        </w:rPr>
        <w:t>МИНИСТЕРСКИЯ СЪВЕТ</w:t>
      </w:r>
    </w:p>
    <w:p w:rsidR="00452CC0" w:rsidRPr="007B4099" w:rsidRDefault="00AC7993" w:rsidP="00B15E46">
      <w:pPr>
        <w:widowControl w:val="0"/>
        <w:autoSpaceDE w:val="0"/>
        <w:autoSpaceDN w:val="0"/>
        <w:adjustRightInd w:val="0"/>
        <w:spacing w:after="0" w:line="360" w:lineRule="auto"/>
        <w:rPr>
          <w:rFonts w:ascii="Verdana" w:hAnsi="Verdana"/>
          <w:b/>
          <w:bCs/>
          <w:sz w:val="20"/>
          <w:szCs w:val="20"/>
          <w:lang w:val="bg-BG" w:eastAsia="bg-BG"/>
        </w:rPr>
      </w:pPr>
      <w:r w:rsidRPr="007B4099">
        <w:rPr>
          <w:rFonts w:ascii="Verdana" w:hAnsi="Verdana"/>
          <w:b/>
          <w:bCs/>
          <w:sz w:val="20"/>
          <w:szCs w:val="20"/>
          <w:lang w:val="bg-BG" w:eastAsia="bg-BG"/>
        </w:rPr>
        <w:t>НА РЕПУБЛИКА БЪЛГАРИЯ</w:t>
      </w:r>
    </w:p>
    <w:p w:rsidR="00CD721D" w:rsidRPr="007B4099" w:rsidRDefault="00CD721D" w:rsidP="00B15E46">
      <w:pPr>
        <w:keepNext/>
        <w:spacing w:after="0" w:line="360" w:lineRule="auto"/>
        <w:jc w:val="center"/>
        <w:outlineLvl w:val="0"/>
        <w:rPr>
          <w:rFonts w:ascii="Verdana" w:hAnsi="Verdana"/>
          <w:b/>
          <w:bCs/>
          <w:spacing w:val="90"/>
          <w:kern w:val="32"/>
          <w:sz w:val="20"/>
          <w:szCs w:val="20"/>
          <w:lang w:val="bg-BG" w:eastAsia="bg-BG"/>
        </w:rPr>
      </w:pPr>
    </w:p>
    <w:p w:rsidR="00CD721D" w:rsidRPr="007B4099" w:rsidRDefault="00CD721D" w:rsidP="00B15E46">
      <w:pPr>
        <w:keepNext/>
        <w:spacing w:after="0" w:line="360" w:lineRule="auto"/>
        <w:jc w:val="center"/>
        <w:outlineLvl w:val="0"/>
        <w:rPr>
          <w:rFonts w:ascii="Verdana" w:hAnsi="Verdana"/>
          <w:b/>
          <w:bCs/>
          <w:spacing w:val="90"/>
          <w:kern w:val="32"/>
          <w:sz w:val="20"/>
          <w:szCs w:val="20"/>
          <w:lang w:val="bg-BG" w:eastAsia="bg-BG"/>
        </w:rPr>
      </w:pPr>
    </w:p>
    <w:p w:rsidR="00AC7993" w:rsidRPr="007B4099" w:rsidRDefault="00AC7993" w:rsidP="00B15E46">
      <w:pPr>
        <w:keepNext/>
        <w:spacing w:after="0" w:line="360" w:lineRule="auto"/>
        <w:jc w:val="center"/>
        <w:outlineLvl w:val="0"/>
        <w:rPr>
          <w:rFonts w:ascii="Verdana" w:hAnsi="Verdana"/>
          <w:b/>
          <w:bCs/>
          <w:spacing w:val="90"/>
          <w:kern w:val="32"/>
          <w:sz w:val="24"/>
          <w:szCs w:val="24"/>
          <w:lang w:val="bg-BG" w:eastAsia="bg-BG"/>
        </w:rPr>
      </w:pPr>
      <w:r w:rsidRPr="007B4099">
        <w:rPr>
          <w:rFonts w:ascii="Verdana" w:hAnsi="Verdana"/>
          <w:b/>
          <w:bCs/>
          <w:spacing w:val="90"/>
          <w:kern w:val="32"/>
          <w:sz w:val="24"/>
          <w:szCs w:val="24"/>
          <w:lang w:val="bg-BG" w:eastAsia="bg-BG"/>
        </w:rPr>
        <w:t>ДОКЛАД</w:t>
      </w:r>
    </w:p>
    <w:p w:rsidR="00AC7993" w:rsidRPr="007B4099" w:rsidRDefault="00AC7993" w:rsidP="00B15E46">
      <w:pPr>
        <w:widowControl w:val="0"/>
        <w:autoSpaceDE w:val="0"/>
        <w:autoSpaceDN w:val="0"/>
        <w:adjustRightInd w:val="0"/>
        <w:spacing w:after="0" w:line="360" w:lineRule="auto"/>
        <w:jc w:val="center"/>
        <w:rPr>
          <w:rFonts w:ascii="Verdana" w:hAnsi="Verdana"/>
          <w:sz w:val="20"/>
          <w:szCs w:val="20"/>
          <w:lang w:val="bg-BG" w:eastAsia="bg-BG"/>
        </w:rPr>
      </w:pPr>
      <w:r w:rsidRPr="007B4099">
        <w:rPr>
          <w:rFonts w:ascii="Verdana" w:hAnsi="Verdana"/>
          <w:sz w:val="20"/>
          <w:szCs w:val="20"/>
          <w:lang w:val="bg-BG" w:eastAsia="bg-BG"/>
        </w:rPr>
        <w:t xml:space="preserve">от Десислава Танева </w:t>
      </w:r>
      <w:r w:rsidR="00804836" w:rsidRPr="007B4099">
        <w:rPr>
          <w:rFonts w:ascii="Verdana" w:hAnsi="Verdana"/>
          <w:sz w:val="20"/>
          <w:szCs w:val="20"/>
          <w:lang w:val="bg-BG" w:eastAsia="bg-BG"/>
        </w:rPr>
        <w:t>–</w:t>
      </w:r>
      <w:r w:rsidRPr="007B4099">
        <w:rPr>
          <w:rFonts w:ascii="Verdana" w:hAnsi="Verdana"/>
          <w:sz w:val="20"/>
          <w:szCs w:val="20"/>
          <w:lang w:val="bg-BG" w:eastAsia="bg-BG"/>
        </w:rPr>
        <w:t xml:space="preserve"> министър на земеделието, храните и горите</w:t>
      </w:r>
    </w:p>
    <w:p w:rsidR="00AC7993" w:rsidRPr="007B4099" w:rsidRDefault="00AC7993" w:rsidP="00B15E46">
      <w:pPr>
        <w:widowControl w:val="0"/>
        <w:autoSpaceDE w:val="0"/>
        <w:autoSpaceDN w:val="0"/>
        <w:adjustRightInd w:val="0"/>
        <w:spacing w:after="0" w:line="360" w:lineRule="auto"/>
        <w:rPr>
          <w:rFonts w:ascii="Verdana" w:hAnsi="Verdana"/>
          <w:sz w:val="20"/>
          <w:szCs w:val="20"/>
          <w:lang w:val="bg-BG" w:eastAsia="bg-BG"/>
        </w:rPr>
      </w:pPr>
    </w:p>
    <w:p w:rsidR="00AC7993" w:rsidRPr="007B4099" w:rsidRDefault="00AC7993" w:rsidP="00B15E46">
      <w:pPr>
        <w:widowControl w:val="0"/>
        <w:autoSpaceDE w:val="0"/>
        <w:autoSpaceDN w:val="0"/>
        <w:adjustRightInd w:val="0"/>
        <w:spacing w:after="0" w:line="360" w:lineRule="auto"/>
        <w:ind w:left="1276" w:hanging="1276"/>
        <w:jc w:val="both"/>
        <w:rPr>
          <w:rFonts w:ascii="Verdana" w:hAnsi="Verdana"/>
          <w:sz w:val="20"/>
          <w:szCs w:val="20"/>
          <w:lang w:val="bg-BG" w:eastAsia="bg-BG"/>
        </w:rPr>
      </w:pPr>
      <w:r w:rsidRPr="007B4099">
        <w:rPr>
          <w:rFonts w:ascii="Verdana" w:hAnsi="Verdana"/>
          <w:b/>
          <w:bCs/>
          <w:sz w:val="20"/>
          <w:szCs w:val="20"/>
          <w:lang w:val="bg-BG" w:eastAsia="bg-BG"/>
        </w:rPr>
        <w:t>Относно</w:t>
      </w:r>
      <w:r w:rsidRPr="007B4099">
        <w:rPr>
          <w:rFonts w:ascii="Verdana" w:hAnsi="Verdana"/>
          <w:b/>
          <w:sz w:val="20"/>
          <w:szCs w:val="20"/>
          <w:lang w:val="bg-BG" w:eastAsia="bg-BG"/>
        </w:rPr>
        <w:t>:</w:t>
      </w:r>
      <w:r w:rsidR="00B97FC3" w:rsidRPr="007B4099">
        <w:rPr>
          <w:rFonts w:ascii="Verdana" w:hAnsi="Verdana"/>
          <w:sz w:val="20"/>
          <w:szCs w:val="20"/>
          <w:lang w:val="bg-BG" w:eastAsia="bg-BG"/>
        </w:rPr>
        <w:t xml:space="preserve"> Проект на П</w:t>
      </w:r>
      <w:r w:rsidRPr="007B4099">
        <w:rPr>
          <w:rFonts w:ascii="Verdana" w:hAnsi="Verdana"/>
          <w:sz w:val="20"/>
          <w:szCs w:val="20"/>
          <w:lang w:val="bg-BG" w:eastAsia="bg-BG"/>
        </w:rPr>
        <w:t xml:space="preserve">остановление </w:t>
      </w:r>
      <w:r w:rsidR="00C512AD" w:rsidRPr="007B4099">
        <w:rPr>
          <w:rFonts w:ascii="Verdana" w:hAnsi="Verdana"/>
          <w:sz w:val="20"/>
          <w:szCs w:val="20"/>
          <w:lang w:val="bg-BG"/>
        </w:rPr>
        <w:t>на</w:t>
      </w:r>
      <w:r w:rsidRPr="007B4099">
        <w:rPr>
          <w:rFonts w:ascii="Verdana" w:hAnsi="Verdana"/>
          <w:sz w:val="20"/>
          <w:szCs w:val="20"/>
          <w:lang w:val="bg-BG"/>
        </w:rPr>
        <w:t xml:space="preserve"> Министерския съвет за изменение и</w:t>
      </w:r>
      <w:r w:rsidR="00AA4961" w:rsidRPr="007B4099">
        <w:rPr>
          <w:rFonts w:ascii="Verdana" w:hAnsi="Verdana"/>
          <w:sz w:val="20"/>
          <w:szCs w:val="20"/>
          <w:lang w:val="bg-BG"/>
        </w:rPr>
        <w:t xml:space="preserve"> допълнение на </w:t>
      </w:r>
      <w:proofErr w:type="spellStart"/>
      <w:r w:rsidR="00AA4961" w:rsidRPr="007B4099">
        <w:rPr>
          <w:rFonts w:ascii="Verdana" w:hAnsi="Verdana"/>
          <w:sz w:val="20"/>
          <w:szCs w:val="20"/>
          <w:lang w:val="bg-BG"/>
        </w:rPr>
        <w:t>Устройствения</w:t>
      </w:r>
      <w:proofErr w:type="spellEnd"/>
      <w:r w:rsidR="00AA4961" w:rsidRPr="007B4099">
        <w:rPr>
          <w:rFonts w:ascii="Verdana" w:hAnsi="Verdana"/>
          <w:sz w:val="20"/>
          <w:szCs w:val="20"/>
          <w:lang w:val="bg-BG"/>
        </w:rPr>
        <w:t xml:space="preserve"> правилник на Българската аг</w:t>
      </w:r>
      <w:r w:rsidR="00B97FC3" w:rsidRPr="007B4099">
        <w:rPr>
          <w:rFonts w:ascii="Verdana" w:hAnsi="Verdana"/>
          <w:sz w:val="20"/>
          <w:szCs w:val="20"/>
          <w:lang w:val="bg-BG"/>
        </w:rPr>
        <w:t xml:space="preserve">енция по безопасност на храните, приет с Постановление № 35 на Министерския съвет от 2011 г.  </w:t>
      </w:r>
    </w:p>
    <w:p w:rsidR="00B97FC3" w:rsidRDefault="00B97FC3" w:rsidP="00B15E46">
      <w:pPr>
        <w:widowControl w:val="0"/>
        <w:autoSpaceDE w:val="0"/>
        <w:autoSpaceDN w:val="0"/>
        <w:adjustRightInd w:val="0"/>
        <w:spacing w:after="0" w:line="360" w:lineRule="auto"/>
        <w:rPr>
          <w:rFonts w:ascii="Verdana" w:hAnsi="Verdana"/>
          <w:b/>
          <w:bCs/>
          <w:sz w:val="20"/>
          <w:szCs w:val="20"/>
          <w:lang w:val="bg-BG" w:eastAsia="bg-BG"/>
        </w:rPr>
      </w:pPr>
    </w:p>
    <w:p w:rsidR="00571A7B" w:rsidRPr="007B4099" w:rsidRDefault="00571A7B" w:rsidP="00B15E46">
      <w:pPr>
        <w:widowControl w:val="0"/>
        <w:autoSpaceDE w:val="0"/>
        <w:autoSpaceDN w:val="0"/>
        <w:adjustRightInd w:val="0"/>
        <w:spacing w:after="0" w:line="360" w:lineRule="auto"/>
        <w:rPr>
          <w:rFonts w:ascii="Verdana" w:hAnsi="Verdana"/>
          <w:b/>
          <w:bCs/>
          <w:sz w:val="20"/>
          <w:szCs w:val="20"/>
          <w:lang w:val="bg-BG" w:eastAsia="bg-BG"/>
        </w:rPr>
      </w:pPr>
    </w:p>
    <w:p w:rsidR="00CD721D" w:rsidRPr="007B4099" w:rsidRDefault="00CD721D" w:rsidP="00B15E46">
      <w:pPr>
        <w:widowControl w:val="0"/>
        <w:autoSpaceDE w:val="0"/>
        <w:autoSpaceDN w:val="0"/>
        <w:adjustRightInd w:val="0"/>
        <w:spacing w:after="0" w:line="360" w:lineRule="auto"/>
        <w:rPr>
          <w:rFonts w:ascii="Verdana" w:hAnsi="Verdana"/>
          <w:b/>
          <w:bCs/>
          <w:sz w:val="20"/>
          <w:szCs w:val="20"/>
          <w:lang w:val="bg-BG" w:eastAsia="bg-BG"/>
        </w:rPr>
      </w:pPr>
    </w:p>
    <w:p w:rsidR="00AC7993" w:rsidRPr="007B4099" w:rsidRDefault="00AC7993" w:rsidP="00B15E46">
      <w:pPr>
        <w:widowControl w:val="0"/>
        <w:autoSpaceDE w:val="0"/>
        <w:autoSpaceDN w:val="0"/>
        <w:adjustRightInd w:val="0"/>
        <w:spacing w:after="0" w:line="360" w:lineRule="auto"/>
        <w:rPr>
          <w:rFonts w:ascii="Verdana" w:hAnsi="Verdana"/>
          <w:b/>
          <w:bCs/>
          <w:sz w:val="20"/>
          <w:szCs w:val="20"/>
          <w:lang w:val="bg-BG" w:eastAsia="bg-BG"/>
        </w:rPr>
      </w:pPr>
      <w:r w:rsidRPr="007B4099">
        <w:rPr>
          <w:rFonts w:ascii="Verdana" w:hAnsi="Verdana"/>
          <w:b/>
          <w:bCs/>
          <w:sz w:val="20"/>
          <w:szCs w:val="20"/>
          <w:lang w:val="bg-BG" w:eastAsia="bg-BG"/>
        </w:rPr>
        <w:t>УВАЖАЕМИ ГОСПОДИН МИНИСТЪР-ПРЕДСЕДАТЕЛ,</w:t>
      </w:r>
    </w:p>
    <w:p w:rsidR="00AC7993" w:rsidRPr="007B4099" w:rsidRDefault="00AC7993" w:rsidP="00B15E46">
      <w:pPr>
        <w:widowControl w:val="0"/>
        <w:autoSpaceDE w:val="0"/>
        <w:autoSpaceDN w:val="0"/>
        <w:adjustRightInd w:val="0"/>
        <w:spacing w:after="120" w:line="360" w:lineRule="auto"/>
        <w:rPr>
          <w:rFonts w:ascii="Verdana" w:hAnsi="Verdana"/>
          <w:b/>
          <w:bCs/>
          <w:sz w:val="20"/>
          <w:szCs w:val="20"/>
          <w:lang w:val="bg-BG" w:eastAsia="bg-BG"/>
        </w:rPr>
      </w:pPr>
      <w:r w:rsidRPr="007B4099">
        <w:rPr>
          <w:rFonts w:ascii="Verdana" w:hAnsi="Verdana"/>
          <w:b/>
          <w:bCs/>
          <w:sz w:val="20"/>
          <w:szCs w:val="20"/>
          <w:lang w:val="bg-BG" w:eastAsia="bg-BG"/>
        </w:rPr>
        <w:t>УВАЖАЕМИ ГОСПОЖИ И ГОСПОДА МИНИСТРИ,</w:t>
      </w:r>
    </w:p>
    <w:p w:rsidR="009C6C4F" w:rsidRPr="007B4099" w:rsidRDefault="00AC7993" w:rsidP="00B15E46">
      <w:pPr>
        <w:widowControl w:val="0"/>
        <w:autoSpaceDE w:val="0"/>
        <w:autoSpaceDN w:val="0"/>
        <w:adjustRightInd w:val="0"/>
        <w:spacing w:after="0" w:line="360" w:lineRule="auto"/>
        <w:ind w:firstLine="709"/>
        <w:jc w:val="both"/>
        <w:rPr>
          <w:rFonts w:ascii="Verdana" w:hAnsi="Verdana"/>
          <w:spacing w:val="4"/>
          <w:sz w:val="20"/>
          <w:szCs w:val="20"/>
          <w:lang w:val="bg-BG"/>
        </w:rPr>
      </w:pPr>
      <w:r w:rsidRPr="007B4099">
        <w:rPr>
          <w:rFonts w:ascii="Verdana" w:hAnsi="Verdana"/>
          <w:spacing w:val="4"/>
          <w:sz w:val="20"/>
          <w:szCs w:val="20"/>
          <w:lang w:val="bg-BG" w:eastAsia="bg-BG"/>
        </w:rPr>
        <w:t xml:space="preserve">На основание чл. 31, ал. 2 от </w:t>
      </w:r>
      <w:proofErr w:type="spellStart"/>
      <w:r w:rsidRPr="007B4099">
        <w:rPr>
          <w:rFonts w:ascii="Verdana" w:hAnsi="Verdana"/>
          <w:spacing w:val="4"/>
          <w:sz w:val="20"/>
          <w:szCs w:val="20"/>
          <w:lang w:val="bg-BG" w:eastAsia="bg-BG"/>
        </w:rPr>
        <w:t>Устройствения</w:t>
      </w:r>
      <w:proofErr w:type="spellEnd"/>
      <w:r w:rsidRPr="007B4099">
        <w:rPr>
          <w:rFonts w:ascii="Verdana" w:hAnsi="Verdana"/>
          <w:spacing w:val="4"/>
          <w:sz w:val="20"/>
          <w:szCs w:val="20"/>
          <w:lang w:val="bg-BG" w:eastAsia="bg-BG"/>
        </w:rPr>
        <w:t xml:space="preserve"> правилник на Министерския съвет и на неговата администрация, внасям за разглеждане о</w:t>
      </w:r>
      <w:r w:rsidR="00B97FC3" w:rsidRPr="007B4099">
        <w:rPr>
          <w:rFonts w:ascii="Verdana" w:hAnsi="Verdana"/>
          <w:spacing w:val="4"/>
          <w:sz w:val="20"/>
          <w:szCs w:val="20"/>
          <w:lang w:val="bg-BG" w:eastAsia="bg-BG"/>
        </w:rPr>
        <w:t>т Министерския съвет проект на П</w:t>
      </w:r>
      <w:r w:rsidRPr="007B4099">
        <w:rPr>
          <w:rFonts w:ascii="Verdana" w:hAnsi="Verdana"/>
          <w:spacing w:val="4"/>
          <w:sz w:val="20"/>
          <w:szCs w:val="20"/>
          <w:lang w:val="bg-BG" w:eastAsia="bg-BG"/>
        </w:rPr>
        <w:t xml:space="preserve">остановление </w:t>
      </w:r>
      <w:r w:rsidR="00C512AD" w:rsidRPr="007B4099">
        <w:rPr>
          <w:rFonts w:ascii="Verdana" w:hAnsi="Verdana"/>
          <w:spacing w:val="4"/>
          <w:sz w:val="20"/>
          <w:szCs w:val="20"/>
          <w:lang w:val="bg-BG"/>
        </w:rPr>
        <w:t xml:space="preserve">на Министерския съвет за изменение и допълнение на </w:t>
      </w:r>
      <w:proofErr w:type="spellStart"/>
      <w:r w:rsidR="009C6C4F" w:rsidRPr="007B4099">
        <w:rPr>
          <w:rFonts w:ascii="Verdana" w:hAnsi="Verdana"/>
          <w:spacing w:val="4"/>
          <w:sz w:val="20"/>
          <w:szCs w:val="20"/>
          <w:lang w:val="bg-BG"/>
        </w:rPr>
        <w:t>Устройствения</w:t>
      </w:r>
      <w:proofErr w:type="spellEnd"/>
      <w:r w:rsidR="009C6C4F" w:rsidRPr="007B4099">
        <w:rPr>
          <w:rFonts w:ascii="Verdana" w:hAnsi="Verdana"/>
          <w:spacing w:val="4"/>
          <w:sz w:val="20"/>
          <w:szCs w:val="20"/>
          <w:lang w:val="bg-BG"/>
        </w:rPr>
        <w:t xml:space="preserve"> правилник на Българската агенция по безопасност на храните </w:t>
      </w:r>
      <w:r w:rsidR="009C6C4F" w:rsidRPr="007B4099">
        <w:rPr>
          <w:rFonts w:ascii="Verdana" w:hAnsi="Verdana"/>
          <w:bCs/>
          <w:spacing w:val="4"/>
          <w:sz w:val="20"/>
          <w:szCs w:val="20"/>
          <w:lang w:val="bg-BG"/>
        </w:rPr>
        <w:t>(</w:t>
      </w:r>
      <w:proofErr w:type="spellStart"/>
      <w:r w:rsidR="00B97FC3" w:rsidRPr="007B4099">
        <w:rPr>
          <w:rFonts w:ascii="Verdana" w:hAnsi="Verdana"/>
          <w:bCs/>
          <w:iCs/>
          <w:spacing w:val="4"/>
          <w:sz w:val="20"/>
          <w:szCs w:val="20"/>
          <w:lang w:val="bg-BG"/>
        </w:rPr>
        <w:t>о</w:t>
      </w:r>
      <w:r w:rsidR="00BC5650" w:rsidRPr="007B4099">
        <w:rPr>
          <w:rFonts w:ascii="Verdana" w:hAnsi="Verdana"/>
          <w:bCs/>
          <w:iCs/>
          <w:spacing w:val="4"/>
          <w:sz w:val="20"/>
          <w:szCs w:val="20"/>
          <w:lang w:val="bg-BG"/>
        </w:rPr>
        <w:t>бн</w:t>
      </w:r>
      <w:proofErr w:type="spellEnd"/>
      <w:r w:rsidR="00BC5650" w:rsidRPr="007B4099">
        <w:rPr>
          <w:rFonts w:ascii="Verdana" w:hAnsi="Verdana"/>
          <w:bCs/>
          <w:iCs/>
          <w:spacing w:val="4"/>
          <w:sz w:val="20"/>
          <w:szCs w:val="20"/>
          <w:lang w:val="bg-BG"/>
        </w:rPr>
        <w:t>.</w:t>
      </w:r>
      <w:r w:rsidR="00B97FC3" w:rsidRPr="007B4099">
        <w:rPr>
          <w:rFonts w:ascii="Verdana" w:hAnsi="Verdana"/>
          <w:bCs/>
          <w:iCs/>
          <w:spacing w:val="4"/>
          <w:sz w:val="20"/>
          <w:szCs w:val="20"/>
          <w:lang w:val="bg-BG"/>
        </w:rPr>
        <w:t>, ДВ,</w:t>
      </w:r>
      <w:r w:rsidR="00BC5650" w:rsidRPr="007B4099">
        <w:rPr>
          <w:rFonts w:ascii="Verdana" w:hAnsi="Verdana"/>
          <w:bCs/>
          <w:iCs/>
          <w:spacing w:val="4"/>
          <w:sz w:val="20"/>
          <w:szCs w:val="20"/>
          <w:lang w:val="bg-BG"/>
        </w:rPr>
        <w:t xml:space="preserve"> бр.</w:t>
      </w:r>
      <w:r w:rsidR="00B97FC3" w:rsidRPr="007B4099">
        <w:rPr>
          <w:rFonts w:ascii="Verdana" w:hAnsi="Verdana"/>
          <w:bCs/>
          <w:iCs/>
          <w:spacing w:val="4"/>
          <w:sz w:val="20"/>
          <w:szCs w:val="20"/>
          <w:lang w:val="bg-BG"/>
        </w:rPr>
        <w:t xml:space="preserve"> </w:t>
      </w:r>
      <w:r w:rsidR="00BC5650" w:rsidRPr="007B4099">
        <w:rPr>
          <w:rFonts w:ascii="Verdana" w:hAnsi="Verdana"/>
          <w:bCs/>
          <w:iCs/>
          <w:spacing w:val="4"/>
          <w:sz w:val="20"/>
          <w:szCs w:val="20"/>
          <w:lang w:val="bg-BG"/>
        </w:rPr>
        <w:t>49 от 2011</w:t>
      </w:r>
      <w:r w:rsidR="009C6C4F" w:rsidRPr="007B4099">
        <w:rPr>
          <w:rFonts w:ascii="Verdana" w:hAnsi="Verdana"/>
          <w:bCs/>
          <w:iCs/>
          <w:spacing w:val="4"/>
          <w:sz w:val="20"/>
          <w:szCs w:val="20"/>
          <w:lang w:val="bg-BG"/>
        </w:rPr>
        <w:t xml:space="preserve"> г.)</w:t>
      </w:r>
    </w:p>
    <w:p w:rsidR="00BB7BC4" w:rsidRPr="007B4099" w:rsidRDefault="00C512AD" w:rsidP="00B15E46">
      <w:pPr>
        <w:widowControl w:val="0"/>
        <w:autoSpaceDE w:val="0"/>
        <w:autoSpaceDN w:val="0"/>
        <w:adjustRightInd w:val="0"/>
        <w:spacing w:after="0" w:line="360" w:lineRule="auto"/>
        <w:ind w:firstLine="709"/>
        <w:jc w:val="both"/>
        <w:rPr>
          <w:rFonts w:ascii="Verdana" w:hAnsi="Verdana"/>
          <w:sz w:val="20"/>
          <w:szCs w:val="20"/>
          <w:lang w:val="bg-BG"/>
        </w:rPr>
      </w:pPr>
      <w:r w:rsidRPr="007B4099">
        <w:rPr>
          <w:rFonts w:ascii="Verdana" w:hAnsi="Verdana"/>
          <w:sz w:val="20"/>
          <w:szCs w:val="20"/>
          <w:lang w:val="bg-BG"/>
        </w:rPr>
        <w:t xml:space="preserve">С постановлението се </w:t>
      </w:r>
      <w:r w:rsidR="004418A4" w:rsidRPr="007B4099">
        <w:rPr>
          <w:rFonts w:ascii="Verdana" w:hAnsi="Verdana"/>
          <w:sz w:val="20"/>
          <w:szCs w:val="20"/>
          <w:lang w:val="bg-BG"/>
        </w:rPr>
        <w:t xml:space="preserve">извършват структурни промени и се </w:t>
      </w:r>
      <w:r w:rsidRPr="007B4099">
        <w:rPr>
          <w:rFonts w:ascii="Verdana" w:hAnsi="Verdana"/>
          <w:sz w:val="20"/>
          <w:szCs w:val="20"/>
          <w:lang w:val="bg-BG"/>
        </w:rPr>
        <w:t xml:space="preserve">прецизират </w:t>
      </w:r>
      <w:r w:rsidR="00AC7993" w:rsidRPr="007B4099">
        <w:rPr>
          <w:rFonts w:ascii="Verdana" w:hAnsi="Verdana"/>
          <w:sz w:val="20"/>
          <w:szCs w:val="20"/>
          <w:lang w:val="bg-BG"/>
        </w:rPr>
        <w:t xml:space="preserve">функции на </w:t>
      </w:r>
      <w:r w:rsidR="004418A4" w:rsidRPr="007B4099">
        <w:rPr>
          <w:rFonts w:ascii="Verdana" w:hAnsi="Verdana"/>
          <w:sz w:val="20"/>
          <w:szCs w:val="20"/>
          <w:lang w:val="bg-BG"/>
        </w:rPr>
        <w:t>Българската агенция по безопасност на храните</w:t>
      </w:r>
      <w:r w:rsidR="00571A7B">
        <w:rPr>
          <w:rFonts w:ascii="Verdana" w:hAnsi="Verdana"/>
          <w:sz w:val="20"/>
          <w:szCs w:val="20"/>
          <w:lang w:val="bg-BG"/>
        </w:rPr>
        <w:t xml:space="preserve"> (БАБХ)</w:t>
      </w:r>
      <w:r w:rsidR="004418A4" w:rsidRPr="007B4099">
        <w:rPr>
          <w:rFonts w:ascii="Verdana" w:hAnsi="Verdana"/>
          <w:sz w:val="20"/>
          <w:szCs w:val="20"/>
          <w:lang w:val="bg-BG"/>
        </w:rPr>
        <w:t xml:space="preserve">. Промените се извършват с цел </w:t>
      </w:r>
      <w:r w:rsidR="00AC7993" w:rsidRPr="007B4099">
        <w:rPr>
          <w:rFonts w:ascii="Verdana" w:hAnsi="Verdana"/>
          <w:sz w:val="20"/>
          <w:szCs w:val="20"/>
          <w:lang w:val="bg-BG"/>
        </w:rPr>
        <w:t xml:space="preserve">подобряване на административния капацитет </w:t>
      </w:r>
      <w:r w:rsidR="004418A4" w:rsidRPr="007B4099">
        <w:rPr>
          <w:rFonts w:ascii="Verdana" w:hAnsi="Verdana"/>
          <w:sz w:val="20"/>
          <w:szCs w:val="20"/>
          <w:lang w:val="bg-BG"/>
        </w:rPr>
        <w:t>и засилване на контрола на</w:t>
      </w:r>
      <w:r w:rsidR="00AC7993" w:rsidRPr="007B4099">
        <w:rPr>
          <w:rFonts w:ascii="Verdana" w:hAnsi="Verdana"/>
          <w:sz w:val="20"/>
          <w:szCs w:val="20"/>
          <w:lang w:val="bg-BG"/>
        </w:rPr>
        <w:t xml:space="preserve"> определени </w:t>
      </w:r>
      <w:r w:rsidR="004418A4" w:rsidRPr="007B4099">
        <w:rPr>
          <w:rFonts w:ascii="Verdana" w:hAnsi="Verdana"/>
          <w:sz w:val="20"/>
          <w:szCs w:val="20"/>
          <w:lang w:val="bg-BG"/>
        </w:rPr>
        <w:t>з</w:t>
      </w:r>
      <w:r w:rsidR="00AC7993" w:rsidRPr="007B4099">
        <w:rPr>
          <w:rFonts w:ascii="Verdana" w:hAnsi="Verdana"/>
          <w:sz w:val="20"/>
          <w:szCs w:val="20"/>
          <w:lang w:val="bg-BG"/>
        </w:rPr>
        <w:t>вена</w:t>
      </w:r>
      <w:r w:rsidR="004418A4" w:rsidRPr="007B4099">
        <w:rPr>
          <w:rFonts w:ascii="Verdana" w:hAnsi="Verdana"/>
          <w:sz w:val="20"/>
          <w:szCs w:val="20"/>
          <w:lang w:val="bg-BG"/>
        </w:rPr>
        <w:t xml:space="preserve"> на агенцията</w:t>
      </w:r>
      <w:r w:rsidR="00AC7993" w:rsidRPr="007B4099">
        <w:rPr>
          <w:rFonts w:ascii="Verdana" w:hAnsi="Verdana"/>
          <w:sz w:val="20"/>
          <w:szCs w:val="20"/>
          <w:lang w:val="bg-BG"/>
        </w:rPr>
        <w:t xml:space="preserve">, </w:t>
      </w:r>
      <w:r w:rsidR="002634EC" w:rsidRPr="007B4099">
        <w:rPr>
          <w:rFonts w:ascii="Verdana" w:hAnsi="Verdana"/>
          <w:sz w:val="20"/>
          <w:szCs w:val="20"/>
          <w:lang w:val="bg-BG"/>
        </w:rPr>
        <w:t>в рамките на настоящата</w:t>
      </w:r>
      <w:r w:rsidR="00AC7993" w:rsidRPr="007B4099">
        <w:rPr>
          <w:rFonts w:ascii="Verdana" w:hAnsi="Verdana"/>
          <w:sz w:val="20"/>
          <w:szCs w:val="20"/>
          <w:lang w:val="bg-BG"/>
        </w:rPr>
        <w:t xml:space="preserve"> </w:t>
      </w:r>
      <w:r w:rsidR="002634EC" w:rsidRPr="007B4099">
        <w:rPr>
          <w:rFonts w:ascii="Verdana" w:hAnsi="Verdana"/>
          <w:sz w:val="20"/>
          <w:szCs w:val="20"/>
          <w:lang w:val="bg-BG"/>
        </w:rPr>
        <w:t xml:space="preserve">обща численост на щатните </w:t>
      </w:r>
      <w:r w:rsidR="00AC7993" w:rsidRPr="007B4099">
        <w:rPr>
          <w:rFonts w:ascii="Verdana" w:hAnsi="Verdana"/>
          <w:sz w:val="20"/>
          <w:szCs w:val="20"/>
          <w:lang w:val="bg-BG"/>
        </w:rPr>
        <w:t>бройки</w:t>
      </w:r>
      <w:r w:rsidR="002634EC" w:rsidRPr="007B4099">
        <w:rPr>
          <w:rFonts w:ascii="Verdana" w:hAnsi="Verdana"/>
          <w:sz w:val="20"/>
          <w:szCs w:val="20"/>
          <w:lang w:val="bg-BG"/>
        </w:rPr>
        <w:t xml:space="preserve"> на агенцията</w:t>
      </w:r>
      <w:r w:rsidR="00AC7993" w:rsidRPr="007B4099">
        <w:rPr>
          <w:rFonts w:ascii="Verdana" w:hAnsi="Verdana"/>
          <w:sz w:val="20"/>
          <w:szCs w:val="20"/>
          <w:lang w:val="bg-BG"/>
        </w:rPr>
        <w:t>.</w:t>
      </w:r>
      <w:bookmarkStart w:id="0" w:name="to_paragraph_id42702595"/>
      <w:bookmarkEnd w:id="0"/>
    </w:p>
    <w:p w:rsidR="00BB7BC4" w:rsidRPr="007B4099" w:rsidRDefault="00BB7BC4" w:rsidP="00B15E46">
      <w:pPr>
        <w:spacing w:after="0" w:line="360" w:lineRule="auto"/>
        <w:ind w:firstLine="708"/>
        <w:jc w:val="both"/>
        <w:rPr>
          <w:rFonts w:ascii="Verdana" w:hAnsi="Verdana"/>
          <w:sz w:val="20"/>
          <w:szCs w:val="20"/>
          <w:lang w:val="bg-BG"/>
        </w:rPr>
      </w:pPr>
      <w:r w:rsidRPr="007B4099">
        <w:rPr>
          <w:rFonts w:ascii="Verdana" w:hAnsi="Verdana"/>
          <w:sz w:val="20"/>
          <w:szCs w:val="20"/>
          <w:lang w:val="bg-BG"/>
        </w:rPr>
        <w:t>Сегашната структурна организация на Българската агенция по безопасност на храните не е достатъчно ефективна. С оглед повишаване на ефективността на рабо</w:t>
      </w:r>
      <w:r w:rsidR="00E32C1E" w:rsidRPr="007B4099">
        <w:rPr>
          <w:rFonts w:ascii="Verdana" w:hAnsi="Verdana"/>
          <w:sz w:val="20"/>
          <w:szCs w:val="20"/>
          <w:lang w:val="bg-BG"/>
        </w:rPr>
        <w:t>тата на агенцията е необходимо</w:t>
      </w:r>
      <w:r w:rsidRPr="007B4099">
        <w:rPr>
          <w:rFonts w:ascii="Verdana" w:hAnsi="Verdana"/>
          <w:sz w:val="20"/>
          <w:szCs w:val="20"/>
          <w:lang w:val="bg-BG"/>
        </w:rPr>
        <w:t xml:space="preserve"> в специализираната администрация на Българската агенция по безопасност на храните да бъдат извършени структурни промени. </w:t>
      </w:r>
    </w:p>
    <w:p w:rsidR="00BB7BC4" w:rsidRPr="007B4099" w:rsidRDefault="00BB7BC4" w:rsidP="00B15E46">
      <w:pPr>
        <w:spacing w:after="0" w:line="360" w:lineRule="auto"/>
        <w:ind w:firstLine="708"/>
        <w:jc w:val="both"/>
        <w:rPr>
          <w:rFonts w:ascii="Verdana" w:hAnsi="Verdana"/>
          <w:sz w:val="20"/>
          <w:szCs w:val="20"/>
          <w:lang w:val="bg-BG"/>
        </w:rPr>
      </w:pPr>
      <w:r w:rsidRPr="007B4099">
        <w:rPr>
          <w:rFonts w:ascii="Verdana" w:hAnsi="Verdana"/>
          <w:sz w:val="20"/>
          <w:szCs w:val="20"/>
          <w:lang w:val="bg-BG"/>
        </w:rPr>
        <w:lastRenderedPageBreak/>
        <w:t xml:space="preserve">На първо място е необходимо да се създаде нова дирекция „Лабораторен контрол“. </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 xml:space="preserve">Към настоящия момент в </w:t>
      </w:r>
      <w:r w:rsidR="00B97FC3" w:rsidRPr="007B4099">
        <w:rPr>
          <w:rFonts w:ascii="Verdana" w:hAnsi="Verdana"/>
          <w:sz w:val="20"/>
          <w:szCs w:val="20"/>
          <w:lang w:val="bg-BG"/>
        </w:rPr>
        <w:t>Българска агенция по безопасност на храните</w:t>
      </w:r>
      <w:r w:rsidRPr="007B4099">
        <w:rPr>
          <w:rFonts w:ascii="Verdana" w:hAnsi="Verdana"/>
          <w:sz w:val="20"/>
          <w:szCs w:val="20"/>
          <w:lang w:val="bg-BG"/>
        </w:rPr>
        <w:t xml:space="preserve"> няма специализирано звено, което да осъществява координация и контрол по отношение на лабораторните дейности. Всяка специализирана дирекция самостоятелно прави проучване относно лабораториите и организира изпращането на пробите за изследване, в това число и в лаборатории в чужбина. Това е специфичен вид дейност, която се регламентира със специфично национално и европейско законодателство изисква специални познания.</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Съгласно чл. 39 от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Българската агенция по безопасност на храните в качеството си на компетентен орган, следва да организира одити на официалните лаборатории и да предприема мерки.</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В Българската агенция по безопасност на храните са структурирани множество лаборатории към отделните специализирани структури и е необходимо централизирано звено, компетентно по лабораторни дейности, което да координира и контролира тяхната дейност, с цел уеднаквяване на практиките и процедурите по извършване на лабораторните дейности в БАБХ.</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Отделно от това</w:t>
      </w:r>
      <w:r w:rsidR="00287BB0" w:rsidRPr="007B4099">
        <w:rPr>
          <w:rFonts w:ascii="Verdana" w:hAnsi="Verdana"/>
          <w:sz w:val="20"/>
          <w:szCs w:val="20"/>
          <w:lang w:val="bg-BG"/>
        </w:rPr>
        <w:t xml:space="preserve">, </w:t>
      </w:r>
      <w:r w:rsidRPr="007B4099">
        <w:rPr>
          <w:rFonts w:ascii="Verdana" w:hAnsi="Verdana"/>
          <w:sz w:val="20"/>
          <w:szCs w:val="20"/>
          <w:lang w:val="bg-BG"/>
        </w:rPr>
        <w:t>звено</w:t>
      </w:r>
      <w:r w:rsidR="00287BB0" w:rsidRPr="007B4099">
        <w:rPr>
          <w:rFonts w:ascii="Verdana" w:hAnsi="Verdana"/>
          <w:sz w:val="20"/>
          <w:szCs w:val="20"/>
          <w:lang w:val="bg-BG"/>
        </w:rPr>
        <w:t>то</w:t>
      </w:r>
      <w:r w:rsidRPr="007B4099">
        <w:rPr>
          <w:rFonts w:ascii="Verdana" w:hAnsi="Verdana"/>
          <w:sz w:val="20"/>
          <w:szCs w:val="20"/>
          <w:lang w:val="bg-BG"/>
        </w:rPr>
        <w:t xml:space="preserve"> е необходимо за да изготвя техническите задания и изисквания и да проверява съответствието с тях на лабораториите, на които се възлагат изследвания за целите на официалния контрол.</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 xml:space="preserve">Липсата на централизирано звено, компетентно да извършва описаните по-горе дейности, затруднява координацията и контрола на лабораторните дейности, осъществявани от БАБХ. </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 xml:space="preserve">Структурирането на централизирано звено, отговарящо за лабораторните дейности на БАБХ ще повиши ефективността на официалния контрол на БАБХ по отношение на лабораторните дейности, които са от  изключителна важност за контрола по отношение на безопасността на храните и здравеопазване на </w:t>
      </w:r>
      <w:r w:rsidRPr="007B4099">
        <w:rPr>
          <w:rFonts w:ascii="Verdana" w:hAnsi="Verdana"/>
          <w:sz w:val="20"/>
          <w:szCs w:val="20"/>
          <w:lang w:val="bg-BG"/>
        </w:rPr>
        <w:lastRenderedPageBreak/>
        <w:t>животните.</w:t>
      </w:r>
    </w:p>
    <w:p w:rsidR="00BB7BC4" w:rsidRPr="007B4099" w:rsidRDefault="00BB7BC4" w:rsidP="00B15E46">
      <w:pPr>
        <w:spacing w:after="0" w:line="360" w:lineRule="auto"/>
        <w:ind w:firstLine="708"/>
        <w:jc w:val="both"/>
        <w:rPr>
          <w:rFonts w:ascii="Verdana" w:hAnsi="Verdana"/>
          <w:sz w:val="20"/>
          <w:szCs w:val="20"/>
          <w:lang w:val="bg-BG"/>
        </w:rPr>
      </w:pPr>
      <w:r w:rsidRPr="007B4099">
        <w:rPr>
          <w:rFonts w:ascii="Verdana" w:hAnsi="Verdana"/>
          <w:sz w:val="20"/>
          <w:szCs w:val="20"/>
          <w:lang w:val="bg-BG"/>
        </w:rPr>
        <w:t xml:space="preserve">На следващо място е необходимо да бъде разделена дирекция „Здравеопазване и хуманно отношение към животните и контрол на фуражи“. </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Досегашната дирекция „Здравеопазване и хуманно отношение към животните и контрол на фуражите“ /ЗХОЖКФ/, е необходимо да бъде разделена на две отделни дирекции, а именно дирекция „Здравеопазване и хуманно отношение към животните“ и дирекция „Контрол на фуражите и страничните животински продукти“.</w:t>
      </w:r>
    </w:p>
    <w:p w:rsidR="00BB7BC4" w:rsidRPr="00A450E2" w:rsidRDefault="00BB7BC4" w:rsidP="00A450E2">
      <w:pPr>
        <w:widowControl w:val="0"/>
        <w:autoSpaceDE w:val="0"/>
        <w:autoSpaceDN w:val="0"/>
        <w:adjustRightInd w:val="0"/>
        <w:spacing w:after="0" w:line="360" w:lineRule="auto"/>
        <w:ind w:firstLine="720"/>
        <w:jc w:val="both"/>
        <w:rPr>
          <w:rFonts w:ascii="Verdana" w:hAnsi="Verdana"/>
          <w:sz w:val="20"/>
          <w:szCs w:val="20"/>
          <w:lang w:val="bg-BG"/>
        </w:rPr>
      </w:pPr>
      <w:r w:rsidRPr="00A450E2">
        <w:rPr>
          <w:rFonts w:ascii="Verdana" w:hAnsi="Verdana"/>
          <w:sz w:val="20"/>
          <w:szCs w:val="20"/>
          <w:lang w:val="bg-BG"/>
        </w:rPr>
        <w:t>Сега съществуващата дирекция ЗХОЖКФ обединява в себе си изключително широк кръг от дейности, които освен, че са с голям обем се отличават и с много специфики. Досегашната практика показва, че множеството дейности сериозно затрудняват организацията и контрола. Констатирани са пропуски в различни направления на дейност на дирекцията, които трябва да бъдат преодолени в спешен порядък.</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z w:val="20"/>
          <w:szCs w:val="20"/>
          <w:lang w:val="bg-BG"/>
        </w:rPr>
      </w:pPr>
      <w:r w:rsidRPr="007B4099">
        <w:rPr>
          <w:rFonts w:ascii="Verdana" w:hAnsi="Verdana"/>
          <w:sz w:val="20"/>
          <w:szCs w:val="20"/>
          <w:lang w:val="bg-BG"/>
        </w:rPr>
        <w:t xml:space="preserve">С разделянето на дирекцията се очаква да се повиши контрола, да бъдат преодолени пропуските, констатирани от отделните мисии, както и по-добра специализация на отделните служители по направление на дейност, като отделните видове контрол да се локализира в съответствие със спецификата им. </w:t>
      </w:r>
    </w:p>
    <w:p w:rsidR="00F04C44" w:rsidRPr="00A450E2" w:rsidRDefault="00F04C44" w:rsidP="00A450E2">
      <w:pPr>
        <w:widowControl w:val="0"/>
        <w:autoSpaceDE w:val="0"/>
        <w:autoSpaceDN w:val="0"/>
        <w:adjustRightInd w:val="0"/>
        <w:spacing w:after="0" w:line="360" w:lineRule="auto"/>
        <w:ind w:firstLine="720"/>
        <w:jc w:val="both"/>
        <w:rPr>
          <w:rFonts w:ascii="Verdana" w:hAnsi="Verdana"/>
          <w:sz w:val="20"/>
          <w:szCs w:val="20"/>
          <w:lang w:val="bg-BG"/>
        </w:rPr>
      </w:pPr>
      <w:r w:rsidRPr="00A450E2">
        <w:rPr>
          <w:rFonts w:ascii="Verdana" w:hAnsi="Verdana"/>
          <w:sz w:val="20"/>
          <w:szCs w:val="20"/>
          <w:lang w:val="bg-BG"/>
        </w:rPr>
        <w:t xml:space="preserve">Проектът предвижда промяна в </w:t>
      </w:r>
      <w:r w:rsidR="0071483C" w:rsidRPr="00A450E2">
        <w:rPr>
          <w:rFonts w:ascii="Verdana" w:hAnsi="Verdana"/>
          <w:sz w:val="20"/>
          <w:szCs w:val="20"/>
          <w:lang w:val="bg-BG"/>
        </w:rPr>
        <w:t>наименованието</w:t>
      </w:r>
      <w:r w:rsidRPr="00A450E2">
        <w:rPr>
          <w:rFonts w:ascii="Verdana" w:hAnsi="Verdana"/>
          <w:sz w:val="20"/>
          <w:szCs w:val="20"/>
          <w:lang w:val="bg-BG"/>
        </w:rPr>
        <w:t xml:space="preserve"> и във функциите на </w:t>
      </w:r>
      <w:r w:rsidR="0071483C" w:rsidRPr="00A450E2">
        <w:rPr>
          <w:rFonts w:ascii="Verdana" w:hAnsi="Verdana"/>
          <w:sz w:val="20"/>
          <w:szCs w:val="20"/>
          <w:lang w:val="bg-BG"/>
        </w:rPr>
        <w:t xml:space="preserve">дирекция „Информационни технологии, информационни системи и комуникационно осигуряване". </w:t>
      </w:r>
      <w:r w:rsidR="0064555E" w:rsidRPr="00A450E2">
        <w:rPr>
          <w:rFonts w:ascii="Verdana" w:hAnsi="Verdana"/>
          <w:sz w:val="20"/>
          <w:szCs w:val="20"/>
          <w:lang w:val="bg-BG"/>
        </w:rPr>
        <w:t>Промяната се налага във връзка с прилагането на Наредба за минималните изисквания за мрежова и информационна сигурност (Приета с ПМС № 186 от 26.07.2019 г.).</w:t>
      </w:r>
    </w:p>
    <w:p w:rsidR="00BB7BC4" w:rsidRPr="007B4099" w:rsidRDefault="00BB7BC4" w:rsidP="00B15E46">
      <w:pPr>
        <w:widowControl w:val="0"/>
        <w:autoSpaceDE w:val="0"/>
        <w:autoSpaceDN w:val="0"/>
        <w:adjustRightInd w:val="0"/>
        <w:spacing w:after="0" w:line="360" w:lineRule="auto"/>
        <w:ind w:firstLine="720"/>
        <w:jc w:val="both"/>
        <w:rPr>
          <w:rFonts w:ascii="Verdana" w:hAnsi="Verdana"/>
          <w:spacing w:val="-4"/>
          <w:sz w:val="20"/>
          <w:szCs w:val="20"/>
          <w:lang w:val="bg-BG"/>
        </w:rPr>
      </w:pPr>
      <w:r w:rsidRPr="007B4099">
        <w:rPr>
          <w:rFonts w:ascii="Verdana" w:hAnsi="Verdana"/>
          <w:spacing w:val="-4"/>
          <w:sz w:val="20"/>
          <w:szCs w:val="20"/>
          <w:lang w:val="bg-BG"/>
        </w:rPr>
        <w:t>Налице е необходимост секторът „Мляко“, който е в състава на отдел „Лабораторни дейности“ към ОДБХ – София да премине в Националния диагностичен научноизследователски ветеринарномедицински институт /НДНИВМИ/, който извършва широк обем от лабораторно-диагностични дейности. С предложението се цели по добра координация, подобряване на организацията на работата и повишаване на капацитета.</w:t>
      </w:r>
    </w:p>
    <w:p w:rsidR="005C048C" w:rsidRPr="007B4099" w:rsidRDefault="005C048C" w:rsidP="00A450E2">
      <w:pPr>
        <w:widowControl w:val="0"/>
        <w:autoSpaceDE w:val="0"/>
        <w:autoSpaceDN w:val="0"/>
        <w:adjustRightInd w:val="0"/>
        <w:spacing w:after="0" w:line="348" w:lineRule="auto"/>
        <w:ind w:firstLine="720"/>
        <w:jc w:val="both"/>
        <w:rPr>
          <w:rFonts w:ascii="Verdana" w:hAnsi="Verdana"/>
          <w:sz w:val="20"/>
          <w:szCs w:val="20"/>
          <w:lang w:val="bg-BG"/>
        </w:rPr>
      </w:pPr>
      <w:r w:rsidRPr="007B4099">
        <w:rPr>
          <w:rFonts w:ascii="Verdana" w:hAnsi="Verdana"/>
          <w:sz w:val="20"/>
          <w:szCs w:val="20"/>
          <w:lang w:val="bg-BG"/>
        </w:rPr>
        <w:t xml:space="preserve">Проектът предвижда разрешаването и контрола на </w:t>
      </w:r>
      <w:proofErr w:type="spellStart"/>
      <w:r w:rsidRPr="007B4099">
        <w:rPr>
          <w:rFonts w:ascii="Verdana" w:hAnsi="Verdana"/>
          <w:sz w:val="20"/>
          <w:szCs w:val="20"/>
          <w:lang w:val="bg-BG"/>
        </w:rPr>
        <w:t>инвитро</w:t>
      </w:r>
      <w:proofErr w:type="spellEnd"/>
      <w:r w:rsidRPr="007B4099">
        <w:rPr>
          <w:rFonts w:ascii="Verdana" w:hAnsi="Verdana"/>
          <w:sz w:val="20"/>
          <w:szCs w:val="20"/>
          <w:lang w:val="bg-BG"/>
        </w:rPr>
        <w:t xml:space="preserve"> диагностичните ветеринарномедицински средства да се извършва от дирекцията по контрол на ветеринарномедицинските продукти.</w:t>
      </w:r>
    </w:p>
    <w:p w:rsidR="005C048C" w:rsidRPr="007B4099" w:rsidRDefault="005C048C" w:rsidP="00A450E2">
      <w:pPr>
        <w:widowControl w:val="0"/>
        <w:spacing w:after="0" w:line="348" w:lineRule="auto"/>
        <w:contextualSpacing/>
        <w:jc w:val="both"/>
        <w:rPr>
          <w:rFonts w:ascii="Verdana" w:eastAsia="Calibri" w:hAnsi="Verdana"/>
          <w:spacing w:val="-4"/>
          <w:sz w:val="20"/>
          <w:szCs w:val="20"/>
          <w:lang w:val="bg-BG"/>
        </w:rPr>
      </w:pPr>
      <w:r w:rsidRPr="007B4099">
        <w:rPr>
          <w:rFonts w:ascii="Verdana" w:eastAsia="Calibri" w:hAnsi="Verdana"/>
          <w:sz w:val="20"/>
          <w:szCs w:val="20"/>
          <w:lang w:val="bg-BG"/>
        </w:rPr>
        <w:tab/>
        <w:t xml:space="preserve">В сега действащия </w:t>
      </w:r>
      <w:proofErr w:type="spellStart"/>
      <w:r w:rsidRPr="007B4099">
        <w:rPr>
          <w:rFonts w:ascii="Verdana" w:eastAsia="Calibri" w:hAnsi="Verdana"/>
          <w:sz w:val="20"/>
          <w:szCs w:val="20"/>
          <w:lang w:val="bg-BG"/>
        </w:rPr>
        <w:t>Устройствен</w:t>
      </w:r>
      <w:proofErr w:type="spellEnd"/>
      <w:r w:rsidRPr="007B4099">
        <w:rPr>
          <w:rFonts w:ascii="Verdana" w:eastAsia="Calibri" w:hAnsi="Verdana"/>
          <w:sz w:val="20"/>
          <w:szCs w:val="20"/>
          <w:lang w:val="bg-BG"/>
        </w:rPr>
        <w:t xml:space="preserve"> правилник на БАБХ не </w:t>
      </w:r>
      <w:r w:rsidR="00571A7B">
        <w:rPr>
          <w:rFonts w:ascii="Verdana" w:eastAsia="Calibri" w:hAnsi="Verdana"/>
          <w:sz w:val="20"/>
          <w:szCs w:val="20"/>
          <w:lang w:val="bg-BG"/>
        </w:rPr>
        <w:t xml:space="preserve">е </w:t>
      </w:r>
      <w:r w:rsidRPr="007B4099">
        <w:rPr>
          <w:rFonts w:ascii="Verdana" w:eastAsia="Calibri" w:hAnsi="Verdana"/>
          <w:sz w:val="20"/>
          <w:szCs w:val="20"/>
          <w:lang w:val="bg-BG"/>
        </w:rPr>
        <w:t xml:space="preserve">разписано, кой контролира </w:t>
      </w:r>
      <w:proofErr w:type="spellStart"/>
      <w:r w:rsidRPr="007B4099">
        <w:rPr>
          <w:rFonts w:ascii="Verdana" w:eastAsia="Calibri" w:hAnsi="Verdana"/>
          <w:sz w:val="20"/>
          <w:szCs w:val="20"/>
          <w:lang w:val="bg-BG"/>
        </w:rPr>
        <w:t>инвитро</w:t>
      </w:r>
      <w:proofErr w:type="spellEnd"/>
      <w:r w:rsidRPr="007B4099">
        <w:rPr>
          <w:rFonts w:ascii="Verdana" w:eastAsia="Calibri" w:hAnsi="Verdana"/>
          <w:sz w:val="20"/>
          <w:szCs w:val="20"/>
          <w:lang w:val="bg-BG"/>
        </w:rPr>
        <w:t xml:space="preserve"> диагностичните ветеринарномедицински средства. Разписано е само в чл. 38, </w:t>
      </w:r>
      <w:r w:rsidR="00E136C3">
        <w:rPr>
          <w:rFonts w:ascii="Verdana" w:eastAsia="Calibri" w:hAnsi="Verdana"/>
          <w:sz w:val="20"/>
          <w:szCs w:val="20"/>
          <w:lang w:val="bg-BG"/>
        </w:rPr>
        <w:t xml:space="preserve">ал. 4, </w:t>
      </w:r>
      <w:r w:rsidRPr="007B4099">
        <w:rPr>
          <w:rFonts w:ascii="Verdana" w:eastAsia="Calibri" w:hAnsi="Verdana"/>
          <w:sz w:val="20"/>
          <w:szCs w:val="20"/>
          <w:lang w:val="bg-BG"/>
        </w:rPr>
        <w:t>т. 16 и 17, че НДНИВМИ издава сертификати за т</w:t>
      </w:r>
      <w:r w:rsidR="008E0973" w:rsidRPr="007B4099">
        <w:rPr>
          <w:rFonts w:ascii="Verdana" w:eastAsia="Calibri" w:hAnsi="Verdana"/>
          <w:sz w:val="20"/>
          <w:szCs w:val="20"/>
          <w:lang w:val="bg-BG"/>
        </w:rPr>
        <w:t xml:space="preserve">ези средства и води регистъра. </w:t>
      </w:r>
      <w:r w:rsidRPr="007B4099">
        <w:rPr>
          <w:rFonts w:ascii="Verdana" w:hAnsi="Verdana"/>
          <w:spacing w:val="-4"/>
          <w:sz w:val="20"/>
          <w:szCs w:val="20"/>
          <w:lang w:val="bg-BG"/>
        </w:rPr>
        <w:t>Националния диагностичен научноизследователски ветеринарно</w:t>
      </w:r>
      <w:r w:rsidR="00E136C3">
        <w:rPr>
          <w:rFonts w:ascii="Verdana" w:hAnsi="Verdana"/>
          <w:spacing w:val="-4"/>
          <w:sz w:val="20"/>
          <w:szCs w:val="20"/>
          <w:lang w:val="bg-BG"/>
        </w:rPr>
        <w:t>-</w:t>
      </w:r>
      <w:r w:rsidRPr="007B4099">
        <w:rPr>
          <w:rFonts w:ascii="Verdana" w:hAnsi="Verdana"/>
          <w:spacing w:val="-4"/>
          <w:sz w:val="20"/>
          <w:szCs w:val="20"/>
          <w:lang w:val="bg-BG"/>
        </w:rPr>
        <w:t xml:space="preserve">медицински институт </w:t>
      </w:r>
      <w:r w:rsidRPr="007B4099">
        <w:rPr>
          <w:rFonts w:ascii="Verdana" w:eastAsia="Calibri" w:hAnsi="Verdana"/>
          <w:spacing w:val="-4"/>
          <w:sz w:val="20"/>
          <w:szCs w:val="20"/>
          <w:lang w:val="bg-BG"/>
        </w:rPr>
        <w:t xml:space="preserve">е специализирана структура за научноизследователска и лабораторна дейност и няма компетенции да осъществява функции на регулаторна дейност. Предвид това, се предлага тези функции да се изпълняват от дирекцията по контрол на ВМП, която от една страна и към момента осъществява регулаторна дейност на ВМП, а от друга страна двата регулаторни режима за ВМП и </w:t>
      </w:r>
      <w:proofErr w:type="spellStart"/>
      <w:r w:rsidRPr="007B4099">
        <w:rPr>
          <w:rFonts w:ascii="Verdana" w:eastAsia="Calibri" w:hAnsi="Verdana"/>
          <w:spacing w:val="-4"/>
          <w:sz w:val="20"/>
          <w:szCs w:val="20"/>
          <w:lang w:val="bg-BG"/>
        </w:rPr>
        <w:t>инвитро</w:t>
      </w:r>
      <w:proofErr w:type="spellEnd"/>
      <w:r w:rsidRPr="007B4099">
        <w:rPr>
          <w:rFonts w:ascii="Verdana" w:eastAsia="Calibri" w:hAnsi="Verdana"/>
          <w:spacing w:val="-4"/>
          <w:sz w:val="20"/>
          <w:szCs w:val="20"/>
          <w:lang w:val="bg-BG"/>
        </w:rPr>
        <w:t xml:space="preserve"> диагностичните средства са сходни.</w:t>
      </w:r>
    </w:p>
    <w:p w:rsidR="00003FD8" w:rsidRPr="007B4099" w:rsidRDefault="00003FD8" w:rsidP="00A450E2">
      <w:pPr>
        <w:widowControl w:val="0"/>
        <w:suppressAutoHyphens/>
        <w:snapToGrid w:val="0"/>
        <w:spacing w:after="0" w:line="360" w:lineRule="auto"/>
        <w:ind w:right="-29" w:firstLine="709"/>
        <w:jc w:val="both"/>
        <w:rPr>
          <w:rFonts w:ascii="Verdana" w:hAnsi="Verdana"/>
          <w:sz w:val="20"/>
          <w:szCs w:val="20"/>
          <w:lang w:val="bg-BG" w:eastAsia="bg-BG"/>
        </w:rPr>
      </w:pPr>
      <w:r w:rsidRPr="007B4099">
        <w:rPr>
          <w:rFonts w:ascii="Verdana" w:hAnsi="Verdana"/>
          <w:sz w:val="20"/>
          <w:szCs w:val="20"/>
          <w:lang w:val="bg-BG" w:eastAsia="bg-BG"/>
        </w:rPr>
        <w:t>Очакванит</w:t>
      </w:r>
      <w:r w:rsidR="00E11F52" w:rsidRPr="007B4099">
        <w:rPr>
          <w:rFonts w:ascii="Verdana" w:hAnsi="Verdana"/>
          <w:sz w:val="20"/>
          <w:szCs w:val="20"/>
          <w:lang w:val="bg-BG" w:eastAsia="bg-BG"/>
        </w:rPr>
        <w:t xml:space="preserve">е резултати от приемането на </w:t>
      </w:r>
      <w:r w:rsidRPr="007B4099">
        <w:rPr>
          <w:rFonts w:ascii="Verdana" w:hAnsi="Verdana"/>
          <w:sz w:val="20"/>
          <w:szCs w:val="20"/>
          <w:lang w:val="bg-BG" w:eastAsia="bg-BG"/>
        </w:rPr>
        <w:t xml:space="preserve">измененията и допълненията на </w:t>
      </w:r>
      <w:proofErr w:type="spellStart"/>
      <w:r w:rsidRPr="007B4099">
        <w:rPr>
          <w:rFonts w:ascii="Verdana" w:hAnsi="Verdana"/>
          <w:sz w:val="20"/>
          <w:szCs w:val="20"/>
          <w:lang w:val="bg-BG" w:eastAsia="bg-BG"/>
        </w:rPr>
        <w:lastRenderedPageBreak/>
        <w:t>Устройствения</w:t>
      </w:r>
      <w:proofErr w:type="spellEnd"/>
      <w:r w:rsidRPr="007B4099">
        <w:rPr>
          <w:rFonts w:ascii="Verdana" w:hAnsi="Verdana"/>
          <w:sz w:val="20"/>
          <w:szCs w:val="20"/>
          <w:lang w:val="bg-BG" w:eastAsia="bg-BG"/>
        </w:rPr>
        <w:t xml:space="preserve"> правилник на БАБХ са:</w:t>
      </w:r>
    </w:p>
    <w:p w:rsidR="00DF6AFC" w:rsidRPr="007B4099" w:rsidRDefault="00DF6AFC" w:rsidP="00B15E46">
      <w:pPr>
        <w:suppressAutoHyphens/>
        <w:snapToGrid w:val="0"/>
        <w:spacing w:after="0" w:line="360" w:lineRule="auto"/>
        <w:ind w:firstLine="709"/>
        <w:jc w:val="both"/>
        <w:rPr>
          <w:rFonts w:ascii="Verdana" w:hAnsi="Verdana"/>
          <w:sz w:val="20"/>
          <w:szCs w:val="20"/>
          <w:lang w:val="bg-BG" w:eastAsia="bg-BG"/>
        </w:rPr>
      </w:pPr>
      <w:r w:rsidRPr="007B4099">
        <w:rPr>
          <w:rFonts w:ascii="Verdana" w:hAnsi="Verdana"/>
          <w:sz w:val="20"/>
          <w:szCs w:val="20"/>
          <w:lang w:val="bg-BG" w:eastAsia="bg-BG"/>
        </w:rPr>
        <w:t>- по-ефективна организация на дейността на дирекциите, в Централно управление на БАБХ;</w:t>
      </w:r>
    </w:p>
    <w:p w:rsidR="00DF6AFC" w:rsidRPr="007B4099" w:rsidRDefault="00DF6AFC" w:rsidP="00B15E46">
      <w:pPr>
        <w:suppressAutoHyphens/>
        <w:snapToGrid w:val="0"/>
        <w:spacing w:after="0" w:line="360" w:lineRule="auto"/>
        <w:ind w:right="-29" w:firstLine="709"/>
        <w:jc w:val="both"/>
        <w:rPr>
          <w:rFonts w:ascii="Verdana" w:hAnsi="Verdana"/>
          <w:sz w:val="20"/>
          <w:szCs w:val="20"/>
          <w:lang w:val="bg-BG" w:eastAsia="bg-BG"/>
        </w:rPr>
      </w:pPr>
      <w:r w:rsidRPr="007B4099">
        <w:rPr>
          <w:rFonts w:ascii="Verdana" w:hAnsi="Verdana"/>
          <w:sz w:val="20"/>
          <w:szCs w:val="20"/>
          <w:lang w:val="bg-BG" w:eastAsia="bg-BG"/>
        </w:rPr>
        <w:t>- повишаване на контрола и координацията при лабораторния контрол и контрола свързан със страничните животински продукти;</w:t>
      </w:r>
    </w:p>
    <w:p w:rsidR="00003FD8" w:rsidRPr="007B4099" w:rsidRDefault="00003FD8" w:rsidP="00B15E46">
      <w:pPr>
        <w:suppressAutoHyphens/>
        <w:snapToGrid w:val="0"/>
        <w:spacing w:after="0" w:line="360" w:lineRule="auto"/>
        <w:ind w:right="-29" w:firstLine="709"/>
        <w:jc w:val="both"/>
        <w:rPr>
          <w:rFonts w:ascii="Verdana" w:hAnsi="Verdana"/>
          <w:sz w:val="20"/>
          <w:szCs w:val="20"/>
          <w:lang w:val="bg-BG"/>
        </w:rPr>
      </w:pPr>
      <w:r w:rsidRPr="007B4099">
        <w:rPr>
          <w:rFonts w:ascii="Verdana" w:hAnsi="Verdana"/>
          <w:sz w:val="20"/>
          <w:szCs w:val="20"/>
          <w:lang w:val="bg-BG" w:eastAsia="bg-BG"/>
        </w:rPr>
        <w:t xml:space="preserve">- по-ефективен </w:t>
      </w:r>
      <w:r w:rsidR="00DF6AFC" w:rsidRPr="007B4099">
        <w:rPr>
          <w:rFonts w:ascii="Verdana" w:hAnsi="Verdana"/>
          <w:sz w:val="20"/>
          <w:szCs w:val="20"/>
          <w:lang w:val="bg-BG" w:eastAsia="bg-BG"/>
        </w:rPr>
        <w:t xml:space="preserve">и всеобхватен контрол осъществяван от страна на Областните дирекции по безопасност на храните по отношение на здравеопазване на животните и </w:t>
      </w:r>
      <w:r w:rsidRPr="007B4099">
        <w:rPr>
          <w:rFonts w:ascii="Verdana" w:hAnsi="Verdana"/>
          <w:sz w:val="20"/>
          <w:szCs w:val="20"/>
          <w:lang w:val="bg-BG" w:eastAsia="bg-BG"/>
        </w:rPr>
        <w:t xml:space="preserve">контрол </w:t>
      </w:r>
      <w:r w:rsidR="00DF6AFC" w:rsidRPr="007B4099">
        <w:rPr>
          <w:rFonts w:ascii="Verdana" w:hAnsi="Verdana"/>
          <w:sz w:val="20"/>
          <w:szCs w:val="20"/>
          <w:lang w:val="bg-BG" w:eastAsia="bg-BG"/>
        </w:rPr>
        <w:t>на храните</w:t>
      </w:r>
      <w:r w:rsidR="00E11F52" w:rsidRPr="007B4099">
        <w:rPr>
          <w:rFonts w:ascii="Verdana" w:hAnsi="Verdana"/>
          <w:sz w:val="20"/>
          <w:szCs w:val="20"/>
          <w:lang w:val="bg-BG" w:eastAsia="bg-BG"/>
        </w:rPr>
        <w:t>. Също така</w:t>
      </w:r>
      <w:r w:rsidR="00DF6AFC" w:rsidRPr="007B4099">
        <w:rPr>
          <w:rFonts w:ascii="Verdana" w:hAnsi="Verdana"/>
          <w:sz w:val="20"/>
          <w:szCs w:val="20"/>
          <w:lang w:val="bg-BG" w:eastAsia="bg-BG"/>
        </w:rPr>
        <w:t xml:space="preserve"> </w:t>
      </w:r>
      <w:r w:rsidR="00E11F52" w:rsidRPr="007B4099">
        <w:rPr>
          <w:rFonts w:ascii="Verdana" w:hAnsi="Verdana"/>
          <w:bCs/>
          <w:sz w:val="20"/>
          <w:szCs w:val="20"/>
          <w:lang w:val="bg-BG"/>
        </w:rPr>
        <w:t>постигане увереност на държавата по отношение изпълнението на ангажиментите, свързани с прилагане на изискванията на европейското и национално законодателство.</w:t>
      </w:r>
    </w:p>
    <w:p w:rsidR="00BB7BC4" w:rsidRPr="007B4099" w:rsidRDefault="00E44383" w:rsidP="00B15E46">
      <w:pPr>
        <w:spacing w:after="0" w:line="360" w:lineRule="auto"/>
        <w:ind w:firstLine="708"/>
        <w:jc w:val="both"/>
        <w:rPr>
          <w:rFonts w:ascii="Verdana" w:hAnsi="Verdana"/>
          <w:sz w:val="20"/>
          <w:szCs w:val="20"/>
          <w:lang w:val="bg-BG"/>
        </w:rPr>
      </w:pPr>
      <w:r w:rsidRPr="007B4099">
        <w:rPr>
          <w:rFonts w:ascii="Verdana" w:hAnsi="Verdana"/>
          <w:sz w:val="20"/>
          <w:szCs w:val="20"/>
          <w:lang w:val="bg-BG"/>
        </w:rPr>
        <w:t>Предвид обстоятелството, че структурните и функционални промени са  извършват без промяна на общата численост на служителите в агенцията, предлаганата промяна</w:t>
      </w:r>
      <w:r w:rsidR="00BB7BC4" w:rsidRPr="007B4099">
        <w:rPr>
          <w:rFonts w:ascii="Verdana" w:hAnsi="Verdana"/>
          <w:sz w:val="20"/>
          <w:szCs w:val="20"/>
          <w:lang w:val="bg-BG"/>
        </w:rPr>
        <w:t xml:space="preserve"> няма да се отрази на държавния бюджет. </w:t>
      </w:r>
    </w:p>
    <w:p w:rsidR="007B4099" w:rsidRPr="00A17BAB" w:rsidRDefault="008A769A" w:rsidP="001D3B8A">
      <w:pPr>
        <w:spacing w:after="0" w:line="360" w:lineRule="auto"/>
        <w:ind w:firstLine="709"/>
        <w:jc w:val="both"/>
        <w:rPr>
          <w:rFonts w:ascii="Verdana" w:hAnsi="Verdana"/>
          <w:spacing w:val="-2"/>
          <w:sz w:val="20"/>
          <w:szCs w:val="20"/>
          <w:lang w:val="bg-BG" w:eastAsia="bg-BG"/>
        </w:rPr>
      </w:pPr>
      <w:r w:rsidRPr="00A17BAB">
        <w:rPr>
          <w:rFonts w:ascii="Verdana" w:hAnsi="Verdana"/>
          <w:spacing w:val="-2"/>
          <w:sz w:val="20"/>
          <w:szCs w:val="20"/>
          <w:lang w:val="bg-BG" w:eastAsia="bg-BG"/>
        </w:rPr>
        <w:t>Приемането на представения проект на Постановление на Министерския съвет не води до въздействие върху държавния бюджет, поради което е изготвена финансова обосновка</w:t>
      </w:r>
      <w:r w:rsidR="00A17BAB" w:rsidRPr="00A17BAB">
        <w:rPr>
          <w:rFonts w:ascii="Verdana" w:hAnsi="Verdana"/>
          <w:spacing w:val="-2"/>
          <w:sz w:val="20"/>
          <w:szCs w:val="20"/>
          <w:lang w:val="bg-BG" w:eastAsia="bg-BG"/>
        </w:rPr>
        <w:t>,</w:t>
      </w:r>
      <w:r w:rsidRPr="00A17BAB">
        <w:rPr>
          <w:rFonts w:ascii="Verdana" w:hAnsi="Verdana"/>
          <w:spacing w:val="-2"/>
          <w:sz w:val="20"/>
          <w:szCs w:val="20"/>
          <w:lang w:val="bg-BG" w:eastAsia="bg-BG"/>
        </w:rPr>
        <w:t xml:space="preserve"> съгласно образеца по приложение № 2.2 към чл. 35, ал. 1, т. 4, буква „б“ от </w:t>
      </w:r>
      <w:proofErr w:type="spellStart"/>
      <w:r w:rsidRPr="00A17BAB">
        <w:rPr>
          <w:rFonts w:ascii="Verdana" w:hAnsi="Verdana"/>
          <w:spacing w:val="-2"/>
          <w:sz w:val="20"/>
          <w:szCs w:val="20"/>
          <w:lang w:val="bg-BG" w:eastAsia="bg-BG"/>
        </w:rPr>
        <w:t>Устройствения</w:t>
      </w:r>
      <w:proofErr w:type="spellEnd"/>
      <w:r w:rsidRPr="00A17BAB">
        <w:rPr>
          <w:rFonts w:ascii="Verdana" w:hAnsi="Verdana"/>
          <w:spacing w:val="-2"/>
          <w:sz w:val="20"/>
          <w:szCs w:val="20"/>
          <w:lang w:val="bg-BG" w:eastAsia="bg-BG"/>
        </w:rPr>
        <w:t xml:space="preserve"> правилник на Министерския съвет и на неговата администрация.</w:t>
      </w:r>
      <w:r w:rsidR="001D3B8A" w:rsidRPr="00A17BAB">
        <w:rPr>
          <w:rFonts w:ascii="Verdana" w:hAnsi="Verdana"/>
          <w:spacing w:val="-2"/>
          <w:sz w:val="20"/>
          <w:szCs w:val="20"/>
          <w:lang w:val="bg-BG" w:eastAsia="bg-BG"/>
        </w:rPr>
        <w:t xml:space="preserve"> </w:t>
      </w:r>
    </w:p>
    <w:p w:rsidR="007B4099" w:rsidRPr="00DB2497" w:rsidRDefault="007B4099" w:rsidP="007B4099">
      <w:pPr>
        <w:spacing w:after="0" w:line="360" w:lineRule="auto"/>
        <w:ind w:firstLine="709"/>
        <w:jc w:val="both"/>
        <w:rPr>
          <w:rFonts w:ascii="Verdana" w:hAnsi="Verdana"/>
          <w:sz w:val="20"/>
          <w:szCs w:val="20"/>
          <w:lang w:val="bg-BG" w:eastAsia="bg-BG"/>
        </w:rPr>
      </w:pPr>
      <w:r w:rsidRPr="00DB2497">
        <w:rPr>
          <w:rFonts w:ascii="Verdana" w:hAnsi="Verdana"/>
          <w:sz w:val="20"/>
          <w:szCs w:val="20"/>
          <w:lang w:val="bg-BG" w:eastAsia="bg-BG"/>
        </w:rPr>
        <w:t xml:space="preserve">Проектът цели оптимизиране на структурата на Българската агенция по безопасност на храните, повишаване ефективността на лабораторния контрол и контрола на </w:t>
      </w:r>
      <w:r w:rsidR="004A6F13" w:rsidRPr="00DB2497">
        <w:rPr>
          <w:rFonts w:ascii="Verdana" w:hAnsi="Verdana"/>
          <w:sz w:val="20"/>
          <w:szCs w:val="20"/>
          <w:lang w:val="bg-BG" w:eastAsia="bg-BG"/>
        </w:rPr>
        <w:t>страничните животински продукти и п</w:t>
      </w:r>
      <w:r w:rsidRPr="00DB2497">
        <w:rPr>
          <w:rFonts w:ascii="Verdana" w:hAnsi="Verdana"/>
          <w:sz w:val="20"/>
          <w:szCs w:val="20"/>
          <w:lang w:val="bg-BG" w:eastAsia="bg-BG"/>
        </w:rPr>
        <w:t>о-ефективна организац</w:t>
      </w:r>
      <w:r w:rsidR="004A6F13" w:rsidRPr="00DB2497">
        <w:rPr>
          <w:rFonts w:ascii="Verdana" w:hAnsi="Verdana"/>
          <w:sz w:val="20"/>
          <w:szCs w:val="20"/>
          <w:lang w:val="bg-BG" w:eastAsia="bg-BG"/>
        </w:rPr>
        <w:t xml:space="preserve">ия на работния процес. </w:t>
      </w:r>
      <w:r w:rsidR="00E1403E" w:rsidRPr="00DB2497">
        <w:rPr>
          <w:rFonts w:ascii="Verdana" w:hAnsi="Verdana"/>
          <w:sz w:val="20"/>
          <w:szCs w:val="20"/>
          <w:lang w:val="bg-BG" w:eastAsia="bg-BG"/>
        </w:rPr>
        <w:t>Цели се с</w:t>
      </w:r>
      <w:r w:rsidR="004A6F13" w:rsidRPr="00DB2497">
        <w:rPr>
          <w:rFonts w:ascii="Verdana" w:hAnsi="Verdana"/>
          <w:sz w:val="20"/>
          <w:szCs w:val="20"/>
          <w:lang w:val="bg-BG" w:eastAsia="bg-BG"/>
        </w:rPr>
        <w:t>ъздава</w:t>
      </w:r>
      <w:r w:rsidR="00E1403E" w:rsidRPr="00DB2497">
        <w:rPr>
          <w:rFonts w:ascii="Verdana" w:hAnsi="Verdana"/>
          <w:sz w:val="20"/>
          <w:szCs w:val="20"/>
          <w:lang w:val="bg-BG" w:eastAsia="bg-BG"/>
        </w:rPr>
        <w:t>не на</w:t>
      </w:r>
      <w:r w:rsidRPr="00DB2497">
        <w:rPr>
          <w:rFonts w:ascii="Verdana" w:hAnsi="Verdana"/>
          <w:sz w:val="20"/>
          <w:szCs w:val="20"/>
          <w:lang w:val="bg-BG" w:eastAsia="bg-BG"/>
        </w:rPr>
        <w:t xml:space="preserve"> тясно профилиран и обучен експертен състав по направления на дейност</w:t>
      </w:r>
      <w:r w:rsidR="004A6F13" w:rsidRPr="00DB2497">
        <w:rPr>
          <w:rFonts w:ascii="Verdana" w:hAnsi="Verdana"/>
          <w:sz w:val="20"/>
          <w:szCs w:val="20"/>
          <w:lang w:val="bg-BG" w:eastAsia="bg-BG"/>
        </w:rPr>
        <w:t>ите</w:t>
      </w:r>
      <w:r w:rsidRPr="00DB2497">
        <w:rPr>
          <w:rFonts w:ascii="Verdana" w:hAnsi="Verdana"/>
          <w:sz w:val="20"/>
          <w:szCs w:val="20"/>
          <w:lang w:val="bg-BG" w:eastAsia="bg-BG"/>
        </w:rPr>
        <w:t>, добре позна</w:t>
      </w:r>
      <w:r w:rsidR="00E1403E" w:rsidRPr="00DB2497">
        <w:rPr>
          <w:rFonts w:ascii="Verdana" w:hAnsi="Verdana"/>
          <w:sz w:val="20"/>
          <w:szCs w:val="20"/>
          <w:lang w:val="bg-BG" w:eastAsia="bg-BG"/>
        </w:rPr>
        <w:t>ващ действащото законодателство и п</w:t>
      </w:r>
      <w:r w:rsidRPr="00DB2497">
        <w:rPr>
          <w:rFonts w:ascii="Verdana" w:hAnsi="Verdana"/>
          <w:sz w:val="20"/>
          <w:szCs w:val="20"/>
          <w:lang w:val="bg-BG" w:eastAsia="bg-BG"/>
        </w:rPr>
        <w:t xml:space="preserve">о-ефективен контрол по спазването на установения законов ред по безопасността на храните и здравето на животните. </w:t>
      </w:r>
    </w:p>
    <w:p w:rsidR="00E1403E" w:rsidRPr="00DB2497" w:rsidRDefault="007B4099" w:rsidP="00BB3165">
      <w:pPr>
        <w:spacing w:after="0" w:line="360" w:lineRule="auto"/>
        <w:ind w:firstLine="708"/>
        <w:jc w:val="both"/>
        <w:rPr>
          <w:rFonts w:ascii="Verdana" w:hAnsi="Verdana"/>
          <w:sz w:val="20"/>
          <w:szCs w:val="20"/>
          <w:lang w:val="bg-BG"/>
        </w:rPr>
      </w:pPr>
      <w:r w:rsidRPr="00DB2497">
        <w:rPr>
          <w:rFonts w:ascii="Verdana" w:hAnsi="Verdana"/>
          <w:sz w:val="20"/>
          <w:szCs w:val="20"/>
          <w:lang w:val="bg-BG"/>
        </w:rPr>
        <w:t xml:space="preserve">Проектът на акт няма за цел дефиниране на нови стойности на показателите за изпълнение по програми, а цели осигуряване изпълнението на вече дефинираните  такива в пълен обем, съгласно очакванията на обществото. </w:t>
      </w:r>
    </w:p>
    <w:p w:rsidR="007B4099" w:rsidRPr="00DB2497" w:rsidRDefault="007B4099" w:rsidP="00BB3165">
      <w:pPr>
        <w:spacing w:after="0" w:line="360" w:lineRule="auto"/>
        <w:ind w:firstLine="708"/>
        <w:jc w:val="both"/>
        <w:rPr>
          <w:rFonts w:ascii="Verdana" w:hAnsi="Verdana"/>
          <w:sz w:val="20"/>
          <w:szCs w:val="20"/>
          <w:lang w:val="bg-BG"/>
        </w:rPr>
      </w:pPr>
      <w:r w:rsidRPr="00DB2497">
        <w:rPr>
          <w:rFonts w:ascii="Verdana" w:hAnsi="Verdana"/>
          <w:sz w:val="20"/>
          <w:szCs w:val="20"/>
          <w:lang w:val="bg-BG"/>
        </w:rPr>
        <w:t>Проектът на акт не води до изменения в целевите стойности на показателите за изпълнение по програми, в това число и ключовите индикатори.</w:t>
      </w:r>
    </w:p>
    <w:p w:rsidR="001D3B8A" w:rsidRPr="00571A7B" w:rsidRDefault="001D3B8A" w:rsidP="001D3B8A">
      <w:pPr>
        <w:spacing w:after="0" w:line="360" w:lineRule="auto"/>
        <w:ind w:firstLine="709"/>
        <w:jc w:val="both"/>
        <w:rPr>
          <w:rFonts w:ascii="Verdana" w:hAnsi="Verdana"/>
          <w:sz w:val="20"/>
          <w:szCs w:val="20"/>
          <w:lang w:val="ru-RU"/>
        </w:rPr>
      </w:pPr>
      <w:r w:rsidRPr="00DB2497">
        <w:rPr>
          <w:rFonts w:ascii="Verdana" w:hAnsi="Verdana"/>
          <w:sz w:val="20"/>
          <w:szCs w:val="20"/>
          <w:lang w:val="bg-BG"/>
        </w:rPr>
        <w:t xml:space="preserve">Не са необходими допълнителни разходи/трансфери/други плащания по бюджета на Министерството на земеделието, храните и горите. </w:t>
      </w:r>
    </w:p>
    <w:p w:rsidR="00590AD5" w:rsidRPr="007B4099" w:rsidRDefault="00590AD5" w:rsidP="00B15E46">
      <w:pPr>
        <w:autoSpaceDE w:val="0"/>
        <w:autoSpaceDN w:val="0"/>
        <w:adjustRightInd w:val="0"/>
        <w:spacing w:after="0" w:line="360" w:lineRule="auto"/>
        <w:ind w:right="-142" w:firstLine="709"/>
        <w:jc w:val="both"/>
        <w:rPr>
          <w:rFonts w:ascii="Verdana" w:hAnsi="Verdana"/>
          <w:sz w:val="20"/>
          <w:szCs w:val="20"/>
          <w:lang w:val="bg-BG" w:eastAsia="bg-BG"/>
        </w:rPr>
      </w:pPr>
      <w:r w:rsidRPr="007B4099">
        <w:rPr>
          <w:rFonts w:ascii="Verdana" w:hAnsi="Verdana"/>
          <w:sz w:val="20"/>
          <w:szCs w:val="20"/>
          <w:lang w:val="bg-BG" w:eastAsia="bg-BG"/>
        </w:rPr>
        <w:t>С проекта на постановление не се транспонират нормативни актове на институции на Европейския съюз, поради което не е изготвена и представена таблица за съответствието с правото на Европейския съюз.</w:t>
      </w:r>
    </w:p>
    <w:p w:rsidR="008A769A" w:rsidRPr="007B4099" w:rsidRDefault="008A769A" w:rsidP="001D7C91">
      <w:pPr>
        <w:autoSpaceDE w:val="0"/>
        <w:autoSpaceDN w:val="0"/>
        <w:adjustRightInd w:val="0"/>
        <w:spacing w:after="0" w:line="360" w:lineRule="auto"/>
        <w:ind w:right="-142" w:firstLine="709"/>
        <w:jc w:val="both"/>
        <w:rPr>
          <w:rFonts w:ascii="Verdana" w:hAnsi="Verdana"/>
          <w:bCs/>
          <w:sz w:val="20"/>
          <w:szCs w:val="20"/>
          <w:lang w:val="bg-BG" w:eastAsia="bg-BG"/>
        </w:rPr>
      </w:pPr>
      <w:r w:rsidRPr="007B4099">
        <w:rPr>
          <w:rFonts w:ascii="Verdana" w:hAnsi="Verdana"/>
          <w:sz w:val="20"/>
          <w:szCs w:val="20"/>
          <w:lang w:val="bg-BG" w:eastAsia="bg-BG"/>
        </w:rPr>
        <w:t xml:space="preserve">В изпълнение на чл. 26, ал. 3 и 4 от Закона за нормативните актове и чл. 85 от </w:t>
      </w:r>
      <w:proofErr w:type="spellStart"/>
      <w:r w:rsidRPr="007B4099">
        <w:rPr>
          <w:rFonts w:ascii="Verdana" w:hAnsi="Verdana"/>
          <w:sz w:val="20"/>
          <w:szCs w:val="20"/>
          <w:lang w:val="bg-BG" w:eastAsia="bg-BG"/>
        </w:rPr>
        <w:t>Устройствения</w:t>
      </w:r>
      <w:proofErr w:type="spellEnd"/>
      <w:r w:rsidRPr="007B4099">
        <w:rPr>
          <w:rFonts w:ascii="Verdana" w:hAnsi="Verdana"/>
          <w:sz w:val="20"/>
          <w:szCs w:val="20"/>
          <w:lang w:val="bg-BG" w:eastAsia="bg-BG"/>
        </w:rPr>
        <w:t xml:space="preserve"> правилник на Министерския съвет и на неговата администрация по проекта на акт са проведени обще</w:t>
      </w:r>
      <w:r w:rsidR="008E0973" w:rsidRPr="007B4099">
        <w:rPr>
          <w:rFonts w:ascii="Verdana" w:hAnsi="Verdana"/>
          <w:sz w:val="20"/>
          <w:szCs w:val="20"/>
          <w:lang w:val="bg-BG" w:eastAsia="bg-BG"/>
        </w:rPr>
        <w:t xml:space="preserve">ствени консултации, като проектите на постановление и доклад (мотиви), както и </w:t>
      </w:r>
      <w:r w:rsidRPr="007B4099">
        <w:rPr>
          <w:rFonts w:ascii="Verdana" w:hAnsi="Verdana"/>
          <w:bCs/>
          <w:sz w:val="20"/>
          <w:szCs w:val="20"/>
          <w:lang w:val="bg-BG" w:eastAsia="bg-BG"/>
        </w:rPr>
        <w:t>частичната предварителна оценка на въздействието и становището на</w:t>
      </w:r>
      <w:r w:rsidRPr="007B4099">
        <w:rPr>
          <w:rFonts w:ascii="Verdana" w:hAnsi="Verdana"/>
          <w:bCs/>
          <w:spacing w:val="14"/>
          <w:sz w:val="20"/>
          <w:szCs w:val="20"/>
          <w:lang w:val="bg-BG" w:eastAsia="bg-BG"/>
        </w:rPr>
        <w:t xml:space="preserve"> </w:t>
      </w:r>
      <w:r w:rsidRPr="007B4099">
        <w:rPr>
          <w:rFonts w:ascii="Verdana" w:hAnsi="Verdana"/>
          <w:bCs/>
          <w:sz w:val="20"/>
          <w:szCs w:val="20"/>
          <w:lang w:val="bg-BG" w:eastAsia="bg-BG"/>
        </w:rPr>
        <w:t xml:space="preserve">дирекция „Модернизация на администрацията“ на </w:t>
      </w:r>
      <w:r w:rsidRPr="007B4099">
        <w:rPr>
          <w:rFonts w:ascii="Verdana" w:hAnsi="Verdana"/>
          <w:bCs/>
          <w:sz w:val="20"/>
          <w:szCs w:val="20"/>
          <w:lang w:val="bg-BG" w:eastAsia="bg-BG"/>
        </w:rPr>
        <w:lastRenderedPageBreak/>
        <w:t xml:space="preserve">Министерския съвет са публикувани на интернет страницата на Министерството на земеделието, храните и горите и на Портала за обществени консултации за срок от 30 дни. </w:t>
      </w:r>
    </w:p>
    <w:p w:rsidR="008A769A" w:rsidRPr="007B4099" w:rsidRDefault="008A769A" w:rsidP="00B15E46">
      <w:pPr>
        <w:autoSpaceDE w:val="0"/>
        <w:autoSpaceDN w:val="0"/>
        <w:adjustRightInd w:val="0"/>
        <w:spacing w:after="0" w:line="360" w:lineRule="auto"/>
        <w:ind w:right="-142" w:firstLine="709"/>
        <w:jc w:val="both"/>
        <w:rPr>
          <w:rFonts w:ascii="Verdana" w:hAnsi="Verdana"/>
          <w:sz w:val="20"/>
          <w:szCs w:val="20"/>
          <w:lang w:val="bg-BG" w:eastAsia="bg-BG"/>
        </w:rPr>
      </w:pPr>
      <w:r w:rsidRPr="007B4099">
        <w:rPr>
          <w:rFonts w:ascii="Verdana" w:hAnsi="Verdana"/>
          <w:sz w:val="20"/>
          <w:szCs w:val="20"/>
          <w:lang w:val="bg-BG" w:eastAsia="bg-BG"/>
        </w:rPr>
        <w:t>В съответствие с чл. 26, ал. 5 от Закона за нормативните актове справката за п</w:t>
      </w:r>
      <w:r w:rsidR="008E0973" w:rsidRPr="007B4099">
        <w:rPr>
          <w:rFonts w:ascii="Verdana" w:hAnsi="Verdana"/>
          <w:sz w:val="20"/>
          <w:szCs w:val="20"/>
          <w:lang w:val="bg-BG" w:eastAsia="bg-BG"/>
        </w:rPr>
        <w:t>олучените</w:t>
      </w:r>
      <w:r w:rsidRPr="007B4099">
        <w:rPr>
          <w:rFonts w:ascii="Verdana" w:hAnsi="Verdana"/>
          <w:sz w:val="20"/>
          <w:szCs w:val="20"/>
          <w:lang w:val="bg-BG" w:eastAsia="bg-BG"/>
        </w:rPr>
        <w:t xml:space="preserve"> предложения</w:t>
      </w:r>
      <w:r w:rsidR="008E0973" w:rsidRPr="007B4099">
        <w:rPr>
          <w:rFonts w:ascii="Verdana" w:hAnsi="Verdana"/>
          <w:sz w:val="20"/>
          <w:szCs w:val="20"/>
          <w:lang w:val="bg-BG" w:eastAsia="bg-BG"/>
        </w:rPr>
        <w:t xml:space="preserve"> и становища</w:t>
      </w:r>
      <w:r w:rsidRPr="007B4099">
        <w:rPr>
          <w:rFonts w:ascii="Verdana" w:hAnsi="Verdana"/>
          <w:sz w:val="20"/>
          <w:szCs w:val="20"/>
          <w:lang w:val="bg-BG" w:eastAsia="bg-BG"/>
        </w:rPr>
        <w:t xml:space="preserve"> заедно с обосновка за неприетите предложения </w:t>
      </w:r>
      <w:r w:rsidR="008E0973" w:rsidRPr="007B4099">
        <w:rPr>
          <w:rFonts w:ascii="Verdana" w:hAnsi="Verdana"/>
          <w:sz w:val="20"/>
          <w:szCs w:val="20"/>
          <w:lang w:val="bg-BG" w:eastAsia="bg-BG"/>
        </w:rPr>
        <w:t>от проведената обществена консултация</w:t>
      </w:r>
      <w:r w:rsidRPr="007B4099">
        <w:rPr>
          <w:rFonts w:ascii="Verdana" w:hAnsi="Verdana"/>
          <w:sz w:val="20"/>
          <w:szCs w:val="20"/>
          <w:lang w:val="bg-BG" w:eastAsia="bg-BG"/>
        </w:rPr>
        <w:t xml:space="preserve"> е публикувана н</w:t>
      </w:r>
      <w:r w:rsidR="008E0973" w:rsidRPr="007B4099">
        <w:rPr>
          <w:rFonts w:ascii="Verdana" w:hAnsi="Verdana"/>
          <w:sz w:val="20"/>
          <w:szCs w:val="20"/>
          <w:lang w:val="bg-BG" w:eastAsia="bg-BG"/>
        </w:rPr>
        <w:t xml:space="preserve">а интернет страницата на </w:t>
      </w:r>
      <w:r w:rsidRPr="007B4099">
        <w:rPr>
          <w:rFonts w:ascii="Verdana" w:hAnsi="Verdana"/>
          <w:sz w:val="20"/>
          <w:szCs w:val="20"/>
          <w:lang w:val="bg-BG" w:eastAsia="bg-BG"/>
        </w:rPr>
        <w:t>Министерството на земеделието, храните и горите и на Портала за обществени консултации.</w:t>
      </w:r>
    </w:p>
    <w:p w:rsidR="008A769A" w:rsidRDefault="008A769A" w:rsidP="00B15E46">
      <w:pPr>
        <w:autoSpaceDE w:val="0"/>
        <w:autoSpaceDN w:val="0"/>
        <w:adjustRightInd w:val="0"/>
        <w:spacing w:after="0" w:line="360" w:lineRule="auto"/>
        <w:ind w:right="-142" w:firstLine="709"/>
        <w:jc w:val="both"/>
        <w:rPr>
          <w:rFonts w:ascii="Verdana" w:hAnsi="Verdana"/>
          <w:sz w:val="20"/>
          <w:szCs w:val="20"/>
          <w:lang w:val="bg-BG" w:eastAsia="bg-BG"/>
        </w:rPr>
      </w:pPr>
      <w:r w:rsidRPr="007B4099">
        <w:rPr>
          <w:rFonts w:ascii="Verdana" w:hAnsi="Verdana"/>
          <w:sz w:val="20"/>
          <w:szCs w:val="20"/>
          <w:lang w:val="bg-BG" w:eastAsia="bg-BG"/>
        </w:rPr>
        <w:t xml:space="preserve">Проектът на постановление на Министерския съвет е съгласуван в съответствие с разпоредбите на чл. 32 от </w:t>
      </w:r>
      <w:proofErr w:type="spellStart"/>
      <w:r w:rsidRPr="007B4099">
        <w:rPr>
          <w:rFonts w:ascii="Verdana" w:hAnsi="Verdana"/>
          <w:sz w:val="20"/>
          <w:szCs w:val="20"/>
          <w:lang w:val="bg-BG" w:eastAsia="bg-BG"/>
        </w:rPr>
        <w:t>Устройствения</w:t>
      </w:r>
      <w:proofErr w:type="spellEnd"/>
      <w:r w:rsidRPr="007B4099">
        <w:rPr>
          <w:rFonts w:ascii="Verdana" w:hAnsi="Verdana"/>
          <w:sz w:val="20"/>
          <w:szCs w:val="20"/>
          <w:lang w:val="bg-BG" w:eastAsia="bg-BG"/>
        </w:rPr>
        <w:t xml:space="preserve"> правилник на Министерския съвет и на неговата администрация. Направените целесъобразни бележки и предложения са отразени. Приложена е</w:t>
      </w:r>
      <w:r w:rsidR="008E0973" w:rsidRPr="007B4099">
        <w:rPr>
          <w:rFonts w:ascii="Verdana" w:hAnsi="Verdana"/>
          <w:sz w:val="20"/>
          <w:szCs w:val="20"/>
          <w:lang w:val="bg-BG" w:eastAsia="bg-BG"/>
        </w:rPr>
        <w:t xml:space="preserve"> справка за отразяване на постъпили</w:t>
      </w:r>
      <w:r w:rsidRPr="007B4099">
        <w:rPr>
          <w:rFonts w:ascii="Verdana" w:hAnsi="Verdana"/>
          <w:sz w:val="20"/>
          <w:szCs w:val="20"/>
          <w:lang w:val="bg-BG" w:eastAsia="bg-BG"/>
        </w:rPr>
        <w:t>те становища.</w:t>
      </w:r>
    </w:p>
    <w:p w:rsidR="001D7C91" w:rsidRPr="007B4099" w:rsidRDefault="001D7C91" w:rsidP="00B15E46">
      <w:pPr>
        <w:autoSpaceDE w:val="0"/>
        <w:autoSpaceDN w:val="0"/>
        <w:adjustRightInd w:val="0"/>
        <w:spacing w:after="0" w:line="360" w:lineRule="auto"/>
        <w:ind w:right="-142" w:firstLine="709"/>
        <w:jc w:val="both"/>
        <w:rPr>
          <w:rFonts w:ascii="Verdana" w:hAnsi="Verdana"/>
          <w:sz w:val="20"/>
          <w:szCs w:val="20"/>
          <w:lang w:val="bg-BG" w:eastAsia="bg-BG"/>
        </w:rPr>
      </w:pPr>
    </w:p>
    <w:p w:rsidR="00AC7993" w:rsidRPr="007B4099" w:rsidRDefault="00AC7993" w:rsidP="00B15E46">
      <w:pPr>
        <w:widowControl w:val="0"/>
        <w:autoSpaceDE w:val="0"/>
        <w:autoSpaceDN w:val="0"/>
        <w:adjustRightInd w:val="0"/>
        <w:spacing w:after="0" w:line="360" w:lineRule="auto"/>
        <w:rPr>
          <w:rFonts w:ascii="Verdana" w:hAnsi="Verdana"/>
          <w:b/>
          <w:bCs/>
          <w:sz w:val="20"/>
          <w:szCs w:val="20"/>
          <w:lang w:val="bg-BG" w:eastAsia="bg-BG"/>
        </w:rPr>
      </w:pPr>
      <w:r w:rsidRPr="007B4099">
        <w:rPr>
          <w:rFonts w:ascii="Verdana" w:hAnsi="Verdana"/>
          <w:b/>
          <w:bCs/>
          <w:sz w:val="20"/>
          <w:szCs w:val="20"/>
          <w:lang w:val="bg-BG" w:eastAsia="bg-BG"/>
        </w:rPr>
        <w:t>УВАЖАЕМИ ГОСПОДИН МИНИСТЪР-ПРЕДСЕДАТЕЛ,</w:t>
      </w:r>
    </w:p>
    <w:p w:rsidR="00F56111" w:rsidRPr="007B4099" w:rsidRDefault="00AC7993" w:rsidP="001D7C91">
      <w:pPr>
        <w:widowControl w:val="0"/>
        <w:autoSpaceDE w:val="0"/>
        <w:autoSpaceDN w:val="0"/>
        <w:adjustRightInd w:val="0"/>
        <w:spacing w:after="120" w:line="360" w:lineRule="auto"/>
        <w:rPr>
          <w:rFonts w:ascii="Verdana" w:hAnsi="Verdana"/>
          <w:b/>
          <w:bCs/>
          <w:sz w:val="20"/>
          <w:szCs w:val="20"/>
          <w:lang w:val="bg-BG" w:eastAsia="bg-BG"/>
        </w:rPr>
      </w:pPr>
      <w:r w:rsidRPr="007B4099">
        <w:rPr>
          <w:rFonts w:ascii="Verdana" w:hAnsi="Verdana"/>
          <w:b/>
          <w:bCs/>
          <w:sz w:val="20"/>
          <w:szCs w:val="20"/>
          <w:lang w:val="bg-BG" w:eastAsia="bg-BG"/>
        </w:rPr>
        <w:t>УВАЖАЕМИ ГОСПОЖИ И ГОСПОДА МИНИСТРИ,</w:t>
      </w:r>
    </w:p>
    <w:p w:rsidR="00804836" w:rsidRPr="00571A7B" w:rsidRDefault="00AC7993" w:rsidP="001D7C91">
      <w:pPr>
        <w:autoSpaceDE w:val="0"/>
        <w:autoSpaceDN w:val="0"/>
        <w:adjustRightInd w:val="0"/>
        <w:spacing w:after="120" w:line="360" w:lineRule="auto"/>
        <w:ind w:firstLine="709"/>
        <w:jc w:val="both"/>
        <w:rPr>
          <w:rFonts w:ascii="Verdana" w:hAnsi="Verdana"/>
          <w:sz w:val="20"/>
          <w:szCs w:val="20"/>
          <w:lang w:val="ru-RU" w:eastAsia="bg-BG"/>
        </w:rPr>
      </w:pPr>
      <w:r w:rsidRPr="007B4099">
        <w:rPr>
          <w:rFonts w:ascii="Verdana" w:hAnsi="Verdana"/>
          <w:sz w:val="20"/>
          <w:szCs w:val="20"/>
          <w:lang w:val="bg-BG" w:eastAsia="bg-BG"/>
        </w:rPr>
        <w:t xml:space="preserve">Във връзка с гореизложеното и на основание чл. 8, ал. 1 от </w:t>
      </w:r>
      <w:proofErr w:type="spellStart"/>
      <w:r w:rsidRPr="007B4099">
        <w:rPr>
          <w:rFonts w:ascii="Verdana" w:hAnsi="Verdana"/>
          <w:sz w:val="20"/>
          <w:szCs w:val="20"/>
          <w:lang w:val="bg-BG" w:eastAsia="bg-BG"/>
        </w:rPr>
        <w:t>Устройствения</w:t>
      </w:r>
      <w:proofErr w:type="spellEnd"/>
      <w:r w:rsidRPr="007B4099">
        <w:rPr>
          <w:rFonts w:ascii="Verdana" w:hAnsi="Verdana"/>
          <w:sz w:val="20"/>
          <w:szCs w:val="20"/>
          <w:lang w:val="bg-BG" w:eastAsia="bg-BG"/>
        </w:rPr>
        <w:t xml:space="preserve"> правилник на Министерския съвет и на неговата администрация предлагам Министерския съвет д</w:t>
      </w:r>
      <w:r w:rsidR="00C6775C" w:rsidRPr="007B4099">
        <w:rPr>
          <w:rFonts w:ascii="Verdana" w:hAnsi="Verdana"/>
          <w:sz w:val="20"/>
          <w:szCs w:val="20"/>
          <w:lang w:val="bg-BG" w:eastAsia="bg-BG"/>
        </w:rPr>
        <w:t xml:space="preserve">а приеме предложения проект на </w:t>
      </w:r>
      <w:r w:rsidR="00E53711" w:rsidRPr="007B4099">
        <w:rPr>
          <w:rFonts w:ascii="Verdana" w:hAnsi="Verdana"/>
          <w:sz w:val="20"/>
          <w:szCs w:val="20"/>
          <w:lang w:val="bg-BG" w:eastAsia="bg-BG"/>
        </w:rPr>
        <w:t xml:space="preserve">Постановление </w:t>
      </w:r>
      <w:r w:rsidRPr="007B4099">
        <w:rPr>
          <w:rFonts w:ascii="Verdana" w:hAnsi="Verdana"/>
          <w:sz w:val="20"/>
          <w:szCs w:val="20"/>
          <w:lang w:val="bg-BG" w:eastAsia="bg-BG"/>
        </w:rPr>
        <w:t xml:space="preserve">за </w:t>
      </w:r>
      <w:r w:rsidR="00C6775C" w:rsidRPr="007B4099">
        <w:rPr>
          <w:rFonts w:ascii="Verdana" w:hAnsi="Verdana"/>
          <w:sz w:val="20"/>
          <w:szCs w:val="20"/>
          <w:lang w:val="bg-BG" w:eastAsia="bg-BG"/>
        </w:rPr>
        <w:t xml:space="preserve">изменение и допълнение на </w:t>
      </w:r>
      <w:proofErr w:type="spellStart"/>
      <w:r w:rsidR="00B97FC3" w:rsidRPr="007B4099">
        <w:rPr>
          <w:rFonts w:ascii="Verdana" w:hAnsi="Verdana"/>
          <w:sz w:val="20"/>
          <w:szCs w:val="20"/>
          <w:lang w:val="bg-BG" w:eastAsia="bg-BG"/>
        </w:rPr>
        <w:t>Устро</w:t>
      </w:r>
      <w:r w:rsidR="00CD0E70" w:rsidRPr="007B4099">
        <w:rPr>
          <w:rFonts w:ascii="Verdana" w:hAnsi="Verdana"/>
          <w:sz w:val="20"/>
          <w:szCs w:val="20"/>
          <w:lang w:val="bg-BG" w:eastAsia="bg-BG"/>
        </w:rPr>
        <w:t>йствения</w:t>
      </w:r>
      <w:proofErr w:type="spellEnd"/>
      <w:r w:rsidR="00CD0E70" w:rsidRPr="007B4099">
        <w:rPr>
          <w:rFonts w:ascii="Verdana" w:hAnsi="Verdana"/>
          <w:sz w:val="20"/>
          <w:szCs w:val="20"/>
          <w:lang w:val="bg-BG" w:eastAsia="bg-BG"/>
        </w:rPr>
        <w:t xml:space="preserve"> правилник на Българската агенция по безопасност на храните</w:t>
      </w:r>
      <w:r w:rsidR="008E0973" w:rsidRPr="007B4099">
        <w:rPr>
          <w:rFonts w:ascii="Verdana" w:hAnsi="Verdana"/>
          <w:sz w:val="20"/>
          <w:szCs w:val="20"/>
          <w:lang w:val="bg-BG" w:eastAsia="bg-BG"/>
        </w:rPr>
        <w:t xml:space="preserve">, приет с Постановление № 35 на Министерския съвет от 2011 г.  </w:t>
      </w:r>
    </w:p>
    <w:tbl>
      <w:tblPr>
        <w:tblW w:w="8512" w:type="dxa"/>
        <w:tblInd w:w="668" w:type="dxa"/>
        <w:tblLook w:val="01E0" w:firstRow="1" w:lastRow="1" w:firstColumn="1" w:lastColumn="1" w:noHBand="0" w:noVBand="0"/>
      </w:tblPr>
      <w:tblGrid>
        <w:gridCol w:w="1781"/>
        <w:gridCol w:w="6731"/>
      </w:tblGrid>
      <w:tr w:rsidR="00804836" w:rsidRPr="00571A7B" w:rsidTr="00B97FC3">
        <w:tc>
          <w:tcPr>
            <w:tcW w:w="1781" w:type="dxa"/>
          </w:tcPr>
          <w:p w:rsidR="00804836" w:rsidRPr="007B4099" w:rsidRDefault="00804836" w:rsidP="00B15E46">
            <w:pPr>
              <w:spacing w:after="0" w:line="360" w:lineRule="auto"/>
              <w:rPr>
                <w:rFonts w:ascii="Verdana" w:hAnsi="Verdana"/>
                <w:b/>
                <w:bCs/>
                <w:sz w:val="20"/>
                <w:szCs w:val="20"/>
                <w:lang w:val="bg-BG"/>
              </w:rPr>
            </w:pPr>
            <w:proofErr w:type="spellStart"/>
            <w:r w:rsidRPr="007B4099">
              <w:rPr>
                <w:rFonts w:ascii="Verdana" w:hAnsi="Verdana"/>
                <w:b/>
                <w:bCs/>
                <w:sz w:val="20"/>
                <w:szCs w:val="20"/>
                <w:lang w:val="bg-BG"/>
              </w:rPr>
              <w:t>Приложениe</w:t>
            </w:r>
            <w:proofErr w:type="spellEnd"/>
            <w:r w:rsidRPr="007B4099">
              <w:rPr>
                <w:rFonts w:ascii="Verdana" w:hAnsi="Verdana"/>
                <w:b/>
                <w:bCs/>
                <w:sz w:val="20"/>
                <w:szCs w:val="20"/>
                <w:lang w:val="bg-BG"/>
              </w:rPr>
              <w:t xml:space="preserve">: </w:t>
            </w:r>
          </w:p>
        </w:tc>
        <w:tc>
          <w:tcPr>
            <w:tcW w:w="6731" w:type="dxa"/>
          </w:tcPr>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 xml:space="preserve">Проект на Постановление на Министерския съвет; </w:t>
            </w:r>
          </w:p>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Частична предварителна оценка на въздействието;</w:t>
            </w:r>
          </w:p>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Становище на дирекция „М</w:t>
            </w:r>
            <w:r w:rsidR="00B97FC3" w:rsidRPr="007B4099">
              <w:rPr>
                <w:rFonts w:cs="Times New Roman"/>
                <w:sz w:val="20"/>
                <w:szCs w:val="20"/>
              </w:rPr>
              <w:t>одернизация на администрацията“ на Министерския съвет</w:t>
            </w:r>
            <w:r w:rsidRPr="007B4099">
              <w:rPr>
                <w:rFonts w:cs="Times New Roman"/>
                <w:sz w:val="20"/>
                <w:szCs w:val="20"/>
              </w:rPr>
              <w:t>;</w:t>
            </w:r>
          </w:p>
          <w:p w:rsidR="00B97FC3" w:rsidRPr="007B4099" w:rsidRDefault="00B97FC3" w:rsidP="00B15E46">
            <w:pPr>
              <w:pStyle w:val="ListParagraph"/>
              <w:numPr>
                <w:ilvl w:val="0"/>
                <w:numId w:val="1"/>
              </w:numPr>
              <w:spacing w:line="360" w:lineRule="auto"/>
              <w:rPr>
                <w:rFonts w:cs="Times New Roman"/>
                <w:sz w:val="20"/>
                <w:szCs w:val="20"/>
              </w:rPr>
            </w:pPr>
            <w:r w:rsidRPr="007B4099">
              <w:rPr>
                <w:rFonts w:cs="Times New Roman"/>
                <w:sz w:val="20"/>
                <w:szCs w:val="20"/>
              </w:rPr>
              <w:t>Финансова обосновка;</w:t>
            </w:r>
          </w:p>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Спра</w:t>
            </w:r>
            <w:r w:rsidR="00B17A06" w:rsidRPr="007B4099">
              <w:rPr>
                <w:rFonts w:cs="Times New Roman"/>
                <w:sz w:val="20"/>
                <w:szCs w:val="20"/>
              </w:rPr>
              <w:t>вка за отразяване на</w:t>
            </w:r>
            <w:r w:rsidRPr="007B4099">
              <w:rPr>
                <w:rFonts w:cs="Times New Roman"/>
                <w:sz w:val="20"/>
                <w:szCs w:val="20"/>
              </w:rPr>
              <w:t xml:space="preserve"> становища</w:t>
            </w:r>
            <w:r w:rsidR="00B17A06" w:rsidRPr="007B4099">
              <w:rPr>
                <w:rFonts w:cs="Times New Roman"/>
                <w:sz w:val="20"/>
                <w:szCs w:val="20"/>
              </w:rPr>
              <w:t xml:space="preserve">та, постъпили по реда на чл. 32 от </w:t>
            </w:r>
            <w:r w:rsidR="00E53711" w:rsidRPr="007B4099">
              <w:rPr>
                <w:rFonts w:cs="Times New Roman"/>
                <w:sz w:val="20"/>
                <w:szCs w:val="20"/>
              </w:rPr>
              <w:t>УПМСНА</w:t>
            </w:r>
            <w:r w:rsidRPr="007B4099">
              <w:rPr>
                <w:rFonts w:cs="Times New Roman"/>
                <w:sz w:val="20"/>
                <w:szCs w:val="20"/>
              </w:rPr>
              <w:t>;</w:t>
            </w:r>
          </w:p>
          <w:p w:rsidR="00804836" w:rsidRPr="007B4099" w:rsidRDefault="008E0973"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Постъпили</w:t>
            </w:r>
            <w:r w:rsidR="00804836" w:rsidRPr="007B4099">
              <w:rPr>
                <w:rFonts w:cs="Times New Roman"/>
                <w:sz w:val="20"/>
                <w:szCs w:val="20"/>
              </w:rPr>
              <w:t xml:space="preserve"> становища;</w:t>
            </w:r>
          </w:p>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Справка за отразяване на предложенията</w:t>
            </w:r>
            <w:r w:rsidR="00B97FC3" w:rsidRPr="007B4099">
              <w:rPr>
                <w:rFonts w:cs="Times New Roman"/>
                <w:sz w:val="20"/>
                <w:szCs w:val="20"/>
              </w:rPr>
              <w:t xml:space="preserve"> и становищата</w:t>
            </w:r>
            <w:r w:rsidRPr="007B4099">
              <w:rPr>
                <w:rFonts w:cs="Times New Roman"/>
                <w:sz w:val="20"/>
                <w:szCs w:val="20"/>
              </w:rPr>
              <w:t xml:space="preserve"> </w:t>
            </w:r>
            <w:r w:rsidR="00B17A06" w:rsidRPr="007B4099">
              <w:rPr>
                <w:rFonts w:cs="Times New Roman"/>
                <w:sz w:val="20"/>
                <w:szCs w:val="20"/>
              </w:rPr>
              <w:t xml:space="preserve">получени </w:t>
            </w:r>
            <w:r w:rsidRPr="007B4099">
              <w:rPr>
                <w:rFonts w:cs="Times New Roman"/>
                <w:sz w:val="20"/>
                <w:szCs w:val="20"/>
              </w:rPr>
              <w:t xml:space="preserve">от </w:t>
            </w:r>
            <w:r w:rsidR="00B97FC3" w:rsidRPr="007B4099">
              <w:rPr>
                <w:rFonts w:cs="Times New Roman"/>
                <w:sz w:val="20"/>
                <w:szCs w:val="20"/>
              </w:rPr>
              <w:t>проведената обществена</w:t>
            </w:r>
            <w:r w:rsidRPr="007B4099">
              <w:rPr>
                <w:rFonts w:cs="Times New Roman"/>
                <w:sz w:val="20"/>
                <w:szCs w:val="20"/>
              </w:rPr>
              <w:t xml:space="preserve"> консултация;</w:t>
            </w:r>
          </w:p>
          <w:p w:rsidR="00B17A06" w:rsidRPr="007B4099" w:rsidRDefault="00B17A0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Предложения и становища получени от проведената обществена консултация;</w:t>
            </w:r>
          </w:p>
          <w:p w:rsidR="00804836" w:rsidRPr="007B4099" w:rsidRDefault="00804836" w:rsidP="00B15E46">
            <w:pPr>
              <w:pStyle w:val="ListParagraph"/>
              <w:numPr>
                <w:ilvl w:val="0"/>
                <w:numId w:val="1"/>
              </w:numPr>
              <w:spacing w:line="360" w:lineRule="auto"/>
              <w:jc w:val="both"/>
              <w:rPr>
                <w:rFonts w:cs="Times New Roman"/>
                <w:sz w:val="20"/>
                <w:szCs w:val="20"/>
              </w:rPr>
            </w:pPr>
            <w:r w:rsidRPr="007B4099">
              <w:rPr>
                <w:rFonts w:cs="Times New Roman"/>
                <w:sz w:val="20"/>
                <w:szCs w:val="20"/>
              </w:rPr>
              <w:t>Проект на съобщение за средствата за масово осведомяване.</w:t>
            </w:r>
          </w:p>
        </w:tc>
      </w:tr>
    </w:tbl>
    <w:p w:rsidR="001D7C91" w:rsidRDefault="001D7C91" w:rsidP="00B15E46">
      <w:pPr>
        <w:widowControl w:val="0"/>
        <w:autoSpaceDE w:val="0"/>
        <w:autoSpaceDN w:val="0"/>
        <w:adjustRightInd w:val="0"/>
        <w:spacing w:after="0" w:line="360" w:lineRule="auto"/>
        <w:jc w:val="both"/>
        <w:rPr>
          <w:rFonts w:ascii="Verdana" w:hAnsi="Verdana"/>
          <w:sz w:val="20"/>
          <w:szCs w:val="20"/>
          <w:lang w:val="bg-BG" w:eastAsia="bg-BG"/>
        </w:rPr>
      </w:pPr>
    </w:p>
    <w:p w:rsidR="00AC7993" w:rsidRPr="007B4099" w:rsidRDefault="00AC7993" w:rsidP="00B15E46">
      <w:pPr>
        <w:widowControl w:val="0"/>
        <w:autoSpaceDE w:val="0"/>
        <w:autoSpaceDN w:val="0"/>
        <w:adjustRightInd w:val="0"/>
        <w:spacing w:after="0" w:line="360" w:lineRule="auto"/>
        <w:jc w:val="both"/>
        <w:rPr>
          <w:rFonts w:ascii="Verdana" w:hAnsi="Verdana"/>
          <w:sz w:val="20"/>
          <w:szCs w:val="20"/>
          <w:lang w:val="bg-BG" w:eastAsia="bg-BG"/>
        </w:rPr>
      </w:pPr>
      <w:r w:rsidRPr="007B4099">
        <w:rPr>
          <w:rFonts w:ascii="Verdana" w:hAnsi="Verdana"/>
          <w:sz w:val="20"/>
          <w:szCs w:val="20"/>
          <w:lang w:val="bg-BG" w:eastAsia="bg-BG"/>
        </w:rPr>
        <w:t>С уважение,</w:t>
      </w:r>
    </w:p>
    <w:p w:rsidR="000E4044" w:rsidRPr="007B4099" w:rsidRDefault="000E4044" w:rsidP="00B15E46">
      <w:pPr>
        <w:widowControl w:val="0"/>
        <w:tabs>
          <w:tab w:val="left" w:pos="6315"/>
        </w:tabs>
        <w:autoSpaceDE w:val="0"/>
        <w:autoSpaceDN w:val="0"/>
        <w:adjustRightInd w:val="0"/>
        <w:spacing w:after="0" w:line="360" w:lineRule="auto"/>
        <w:jc w:val="both"/>
        <w:rPr>
          <w:rFonts w:ascii="Verdana" w:hAnsi="Verdana"/>
          <w:b/>
          <w:bCs/>
          <w:sz w:val="20"/>
          <w:szCs w:val="20"/>
          <w:lang w:val="bg-BG" w:eastAsia="bg-BG"/>
        </w:rPr>
      </w:pPr>
    </w:p>
    <w:p w:rsidR="00E53711" w:rsidRPr="007B4099" w:rsidRDefault="00E53711" w:rsidP="00B15E46">
      <w:pPr>
        <w:widowControl w:val="0"/>
        <w:tabs>
          <w:tab w:val="left" w:pos="6315"/>
        </w:tabs>
        <w:autoSpaceDE w:val="0"/>
        <w:autoSpaceDN w:val="0"/>
        <w:adjustRightInd w:val="0"/>
        <w:spacing w:after="0" w:line="360" w:lineRule="auto"/>
        <w:jc w:val="both"/>
        <w:rPr>
          <w:rFonts w:ascii="Verdana" w:hAnsi="Verdana"/>
          <w:b/>
          <w:bCs/>
          <w:sz w:val="20"/>
          <w:szCs w:val="20"/>
          <w:lang w:val="bg-BG" w:eastAsia="bg-BG"/>
        </w:rPr>
      </w:pPr>
    </w:p>
    <w:p w:rsidR="00AC7993" w:rsidRPr="007B4099" w:rsidRDefault="00C74432" w:rsidP="00B15E46">
      <w:pPr>
        <w:widowControl w:val="0"/>
        <w:autoSpaceDE w:val="0"/>
        <w:autoSpaceDN w:val="0"/>
        <w:adjustRightInd w:val="0"/>
        <w:spacing w:after="0" w:line="360" w:lineRule="auto"/>
        <w:rPr>
          <w:rFonts w:ascii="Verdana" w:hAnsi="Verdana"/>
          <w:b/>
          <w:bCs/>
          <w:caps/>
          <w:sz w:val="20"/>
          <w:szCs w:val="20"/>
          <w:lang w:val="bg-BG" w:eastAsia="bg-BG"/>
        </w:rPr>
      </w:pPr>
      <w:r w:rsidRPr="007B4099">
        <w:rPr>
          <w:rFonts w:ascii="Verdana" w:hAnsi="Verdana"/>
          <w:b/>
          <w:bCs/>
          <w:caps/>
          <w:sz w:val="20"/>
          <w:szCs w:val="20"/>
          <w:lang w:val="bg-BG" w:eastAsia="bg-BG"/>
        </w:rPr>
        <w:t>ДЕСИСЛАВА ТАНЕВА</w:t>
      </w:r>
    </w:p>
    <w:p w:rsidR="00AC7993" w:rsidRPr="007B4099" w:rsidRDefault="00AC7993" w:rsidP="00B15E46">
      <w:pPr>
        <w:widowControl w:val="0"/>
        <w:autoSpaceDE w:val="0"/>
        <w:autoSpaceDN w:val="0"/>
        <w:adjustRightInd w:val="0"/>
        <w:spacing w:after="0" w:line="360" w:lineRule="auto"/>
        <w:jc w:val="both"/>
        <w:rPr>
          <w:rFonts w:ascii="Verdana" w:hAnsi="Verdana"/>
          <w:bCs/>
          <w:i/>
          <w:iCs/>
          <w:sz w:val="20"/>
          <w:szCs w:val="20"/>
          <w:lang w:val="bg-BG" w:eastAsia="bg-BG"/>
        </w:rPr>
      </w:pPr>
      <w:r w:rsidRPr="007B4099">
        <w:rPr>
          <w:rFonts w:ascii="Verdana" w:hAnsi="Verdana"/>
          <w:bCs/>
          <w:i/>
          <w:iCs/>
          <w:sz w:val="20"/>
          <w:szCs w:val="20"/>
          <w:lang w:val="bg-BG" w:eastAsia="bg-BG"/>
        </w:rPr>
        <w:t>Министър на земеделието, храните и горите</w:t>
      </w:r>
      <w:bookmarkStart w:id="1" w:name="_GoBack"/>
      <w:bookmarkEnd w:id="1"/>
    </w:p>
    <w:sectPr w:rsidR="00AC7993" w:rsidRPr="007B4099" w:rsidSect="008E0973">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7D" w:rsidRDefault="00E3067D">
      <w:r>
        <w:separator/>
      </w:r>
    </w:p>
  </w:endnote>
  <w:endnote w:type="continuationSeparator" w:id="0">
    <w:p w:rsidR="00E3067D" w:rsidRDefault="00E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48258"/>
      <w:docPartObj>
        <w:docPartGallery w:val="Page Numbers (Bottom of Page)"/>
        <w:docPartUnique/>
      </w:docPartObj>
    </w:sdtPr>
    <w:sdtEndPr>
      <w:rPr>
        <w:rFonts w:ascii="Verdana" w:hAnsi="Verdana"/>
        <w:noProof/>
        <w:sz w:val="16"/>
        <w:szCs w:val="16"/>
      </w:rPr>
    </w:sdtEndPr>
    <w:sdtContent>
      <w:p w:rsidR="00986C72" w:rsidRPr="00E53711" w:rsidRDefault="00804836" w:rsidP="00804836">
        <w:pPr>
          <w:pStyle w:val="Footer"/>
          <w:jc w:val="right"/>
          <w:rPr>
            <w:rFonts w:ascii="Verdana" w:hAnsi="Verdana"/>
            <w:sz w:val="16"/>
            <w:szCs w:val="16"/>
          </w:rPr>
        </w:pPr>
        <w:r w:rsidRPr="00E53711">
          <w:rPr>
            <w:rFonts w:ascii="Verdana" w:hAnsi="Verdana"/>
            <w:sz w:val="16"/>
            <w:szCs w:val="16"/>
          </w:rPr>
          <w:fldChar w:fldCharType="begin"/>
        </w:r>
        <w:r w:rsidRPr="00E53711">
          <w:rPr>
            <w:rFonts w:ascii="Verdana" w:hAnsi="Verdana"/>
            <w:sz w:val="16"/>
            <w:szCs w:val="16"/>
          </w:rPr>
          <w:instrText xml:space="preserve"> PAGE   \* MERGEFORMAT </w:instrText>
        </w:r>
        <w:r w:rsidRPr="00E53711">
          <w:rPr>
            <w:rFonts w:ascii="Verdana" w:hAnsi="Verdana"/>
            <w:sz w:val="16"/>
            <w:szCs w:val="16"/>
          </w:rPr>
          <w:fldChar w:fldCharType="separate"/>
        </w:r>
        <w:r w:rsidR="00D71044">
          <w:rPr>
            <w:rFonts w:ascii="Verdana" w:hAnsi="Verdana"/>
            <w:noProof/>
            <w:sz w:val="16"/>
            <w:szCs w:val="16"/>
          </w:rPr>
          <w:t>4</w:t>
        </w:r>
        <w:r w:rsidRPr="00E53711">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7D" w:rsidRDefault="00E3067D">
      <w:r>
        <w:separator/>
      </w:r>
    </w:p>
  </w:footnote>
  <w:footnote w:type="continuationSeparator" w:id="0">
    <w:p w:rsidR="00E3067D" w:rsidRDefault="00E30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13B"/>
    <w:multiLevelType w:val="multilevel"/>
    <w:tmpl w:val="834A542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93"/>
    <w:rsid w:val="00003FD8"/>
    <w:rsid w:val="00032852"/>
    <w:rsid w:val="0008685D"/>
    <w:rsid w:val="000E4044"/>
    <w:rsid w:val="001B687C"/>
    <w:rsid w:val="001D3B8A"/>
    <w:rsid w:val="001D7C91"/>
    <w:rsid w:val="00217FD6"/>
    <w:rsid w:val="00247138"/>
    <w:rsid w:val="002634EC"/>
    <w:rsid w:val="002742F4"/>
    <w:rsid w:val="00287BB0"/>
    <w:rsid w:val="002C0ECD"/>
    <w:rsid w:val="002C5798"/>
    <w:rsid w:val="002C641A"/>
    <w:rsid w:val="002D04F7"/>
    <w:rsid w:val="0032709D"/>
    <w:rsid w:val="003454C2"/>
    <w:rsid w:val="003E16DC"/>
    <w:rsid w:val="00407D42"/>
    <w:rsid w:val="00421321"/>
    <w:rsid w:val="004418A4"/>
    <w:rsid w:val="00452CC0"/>
    <w:rsid w:val="004A6F13"/>
    <w:rsid w:val="00516F97"/>
    <w:rsid w:val="00571A7B"/>
    <w:rsid w:val="00590AD5"/>
    <w:rsid w:val="005927A7"/>
    <w:rsid w:val="005C048C"/>
    <w:rsid w:val="005C1E04"/>
    <w:rsid w:val="005C2FA1"/>
    <w:rsid w:val="005C4E36"/>
    <w:rsid w:val="0064555E"/>
    <w:rsid w:val="00646AEA"/>
    <w:rsid w:val="00670E33"/>
    <w:rsid w:val="006A3A4D"/>
    <w:rsid w:val="0071483C"/>
    <w:rsid w:val="007644FE"/>
    <w:rsid w:val="00773738"/>
    <w:rsid w:val="00796F24"/>
    <w:rsid w:val="007B4099"/>
    <w:rsid w:val="007D66E4"/>
    <w:rsid w:val="00804836"/>
    <w:rsid w:val="00834EC0"/>
    <w:rsid w:val="008A769A"/>
    <w:rsid w:val="008D56C1"/>
    <w:rsid w:val="008E0973"/>
    <w:rsid w:val="00932673"/>
    <w:rsid w:val="00940CF4"/>
    <w:rsid w:val="00986C72"/>
    <w:rsid w:val="00997503"/>
    <w:rsid w:val="009A7C24"/>
    <w:rsid w:val="009B5B86"/>
    <w:rsid w:val="009C6C4F"/>
    <w:rsid w:val="00A00760"/>
    <w:rsid w:val="00A17BAB"/>
    <w:rsid w:val="00A450E2"/>
    <w:rsid w:val="00A513CE"/>
    <w:rsid w:val="00A579C4"/>
    <w:rsid w:val="00AA4961"/>
    <w:rsid w:val="00AB78D9"/>
    <w:rsid w:val="00AC421B"/>
    <w:rsid w:val="00AC7993"/>
    <w:rsid w:val="00B15E46"/>
    <w:rsid w:val="00B17A06"/>
    <w:rsid w:val="00B2518A"/>
    <w:rsid w:val="00B426C6"/>
    <w:rsid w:val="00B90D7E"/>
    <w:rsid w:val="00B97FC3"/>
    <w:rsid w:val="00BA7811"/>
    <w:rsid w:val="00BB3165"/>
    <w:rsid w:val="00BB7BC4"/>
    <w:rsid w:val="00BC5650"/>
    <w:rsid w:val="00BD29D6"/>
    <w:rsid w:val="00BE7320"/>
    <w:rsid w:val="00BF7D72"/>
    <w:rsid w:val="00C512AD"/>
    <w:rsid w:val="00C54CE1"/>
    <w:rsid w:val="00C6775C"/>
    <w:rsid w:val="00C74432"/>
    <w:rsid w:val="00C83034"/>
    <w:rsid w:val="00CB001D"/>
    <w:rsid w:val="00CD0E70"/>
    <w:rsid w:val="00CD3277"/>
    <w:rsid w:val="00CD721D"/>
    <w:rsid w:val="00CF1FC6"/>
    <w:rsid w:val="00CF51A0"/>
    <w:rsid w:val="00D11888"/>
    <w:rsid w:val="00D435E7"/>
    <w:rsid w:val="00D44A06"/>
    <w:rsid w:val="00D53517"/>
    <w:rsid w:val="00D71044"/>
    <w:rsid w:val="00D714B1"/>
    <w:rsid w:val="00D72D6F"/>
    <w:rsid w:val="00D91574"/>
    <w:rsid w:val="00DB2497"/>
    <w:rsid w:val="00DF6AFC"/>
    <w:rsid w:val="00E02ECA"/>
    <w:rsid w:val="00E11F52"/>
    <w:rsid w:val="00E136C3"/>
    <w:rsid w:val="00E1403E"/>
    <w:rsid w:val="00E3067D"/>
    <w:rsid w:val="00E32C1E"/>
    <w:rsid w:val="00E348D8"/>
    <w:rsid w:val="00E44383"/>
    <w:rsid w:val="00E53711"/>
    <w:rsid w:val="00E80645"/>
    <w:rsid w:val="00F04C44"/>
    <w:rsid w:val="00F11E90"/>
    <w:rsid w:val="00F219CE"/>
    <w:rsid w:val="00F52DDE"/>
    <w:rsid w:val="00F56111"/>
    <w:rsid w:val="00FA0064"/>
    <w:rsid w:val="00FE26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93"/>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99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AC7993"/>
    <w:rPr>
      <w:rFonts w:ascii="Calibri" w:hAnsi="Calibri"/>
      <w:sz w:val="22"/>
      <w:szCs w:val="22"/>
      <w:lang w:val="en-US" w:eastAsia="en-US" w:bidi="ar-SA"/>
    </w:rPr>
  </w:style>
  <w:style w:type="character" w:styleId="Hyperlink">
    <w:name w:val="Hyperlink"/>
    <w:basedOn w:val="DefaultParagraphFont"/>
    <w:rsid w:val="00AC7993"/>
    <w:rPr>
      <w:color w:val="0000FF"/>
      <w:u w:val="single"/>
    </w:rPr>
  </w:style>
  <w:style w:type="character" w:customStyle="1" w:styleId="newdocreference1">
    <w:name w:val="newdocreference1"/>
    <w:basedOn w:val="DefaultParagraphFont"/>
    <w:rsid w:val="00AC7993"/>
    <w:rPr>
      <w:i w:val="0"/>
      <w:iCs w:val="0"/>
      <w:color w:val="0000FF"/>
      <w:u w:val="single"/>
    </w:rPr>
  </w:style>
  <w:style w:type="paragraph" w:styleId="BodyText">
    <w:name w:val="Body Text"/>
    <w:basedOn w:val="Normal"/>
    <w:link w:val="BodyTextChar"/>
    <w:rsid w:val="00C74432"/>
    <w:pPr>
      <w:spacing w:after="0" w:line="240" w:lineRule="auto"/>
      <w:jc w:val="center"/>
    </w:pPr>
    <w:rPr>
      <w:rFonts w:ascii="Times New Roman" w:eastAsia="Calibri" w:hAnsi="Times New Roman"/>
      <w:b/>
      <w:bCs/>
      <w:i/>
      <w:iCs/>
      <w:lang w:val="bg-BG"/>
    </w:rPr>
  </w:style>
  <w:style w:type="character" w:customStyle="1" w:styleId="BodyTextChar">
    <w:name w:val="Body Text Char"/>
    <w:basedOn w:val="DefaultParagraphFont"/>
    <w:link w:val="BodyText"/>
    <w:locked/>
    <w:rsid w:val="00C74432"/>
    <w:rPr>
      <w:rFonts w:eastAsia="Calibri"/>
      <w:b/>
      <w:bCs/>
      <w:i/>
      <w:iCs/>
      <w:sz w:val="22"/>
      <w:szCs w:val="22"/>
      <w:lang w:val="bg-BG" w:eastAsia="en-US" w:bidi="ar-SA"/>
    </w:rPr>
  </w:style>
  <w:style w:type="paragraph" w:styleId="BodyTextIndent2">
    <w:name w:val="Body Text Indent 2"/>
    <w:basedOn w:val="Normal"/>
    <w:link w:val="BodyTextIndent2Char"/>
    <w:rsid w:val="00C74432"/>
    <w:pPr>
      <w:spacing w:after="120" w:line="480" w:lineRule="auto"/>
      <w:ind w:left="283"/>
    </w:pPr>
    <w:rPr>
      <w:rFonts w:ascii="Times New Roman" w:eastAsia="Calibri" w:hAnsi="Times New Roman"/>
      <w:sz w:val="24"/>
      <w:szCs w:val="24"/>
      <w:lang w:val="bg-BG" w:eastAsia="bg-BG"/>
    </w:rPr>
  </w:style>
  <w:style w:type="character" w:customStyle="1" w:styleId="BodyTextIndent2Char">
    <w:name w:val="Body Text Indent 2 Char"/>
    <w:basedOn w:val="DefaultParagraphFont"/>
    <w:link w:val="BodyTextIndent2"/>
    <w:locked/>
    <w:rsid w:val="00C74432"/>
    <w:rPr>
      <w:rFonts w:eastAsia="Calibri"/>
      <w:sz w:val="24"/>
      <w:szCs w:val="24"/>
      <w:lang w:val="bg-BG" w:eastAsia="bg-BG" w:bidi="ar-SA"/>
    </w:rPr>
  </w:style>
  <w:style w:type="paragraph" w:styleId="ListParagraph">
    <w:name w:val="List Paragraph"/>
    <w:basedOn w:val="Normal"/>
    <w:uiPriority w:val="99"/>
    <w:qFormat/>
    <w:rsid w:val="00804836"/>
    <w:pPr>
      <w:widowControl w:val="0"/>
      <w:autoSpaceDE w:val="0"/>
      <w:autoSpaceDN w:val="0"/>
      <w:adjustRightInd w:val="0"/>
      <w:spacing w:after="0" w:line="240" w:lineRule="auto"/>
      <w:ind w:left="720"/>
      <w:contextualSpacing/>
    </w:pPr>
    <w:rPr>
      <w:rFonts w:ascii="Verdana" w:hAnsi="Verdana" w:cs="Verdana"/>
      <w:sz w:val="24"/>
      <w:szCs w:val="24"/>
      <w:lang w:val="bg-BG" w:eastAsia="bg-BG"/>
    </w:rPr>
  </w:style>
  <w:style w:type="paragraph" w:styleId="Header">
    <w:name w:val="header"/>
    <w:basedOn w:val="Normal"/>
    <w:link w:val="HeaderChar"/>
    <w:rsid w:val="00804836"/>
    <w:pPr>
      <w:tabs>
        <w:tab w:val="center" w:pos="4536"/>
        <w:tab w:val="right" w:pos="9072"/>
      </w:tabs>
      <w:spacing w:after="0" w:line="240" w:lineRule="auto"/>
    </w:pPr>
  </w:style>
  <w:style w:type="character" w:customStyle="1" w:styleId="HeaderChar">
    <w:name w:val="Header Char"/>
    <w:basedOn w:val="DefaultParagraphFont"/>
    <w:link w:val="Header"/>
    <w:rsid w:val="00804836"/>
    <w:rPr>
      <w:rFonts w:ascii="Calibri" w:hAnsi="Calibri"/>
      <w:sz w:val="22"/>
      <w:szCs w:val="22"/>
      <w:lang w:val="en-US" w:eastAsia="en-US"/>
    </w:rPr>
  </w:style>
  <w:style w:type="paragraph" w:styleId="NormalWeb">
    <w:name w:val="Normal (Web)"/>
    <w:basedOn w:val="Normal"/>
    <w:uiPriority w:val="99"/>
    <w:semiHidden/>
    <w:unhideWhenUsed/>
    <w:rsid w:val="003454C2"/>
    <w:pPr>
      <w:spacing w:before="100" w:beforeAutospacing="1" w:after="100" w:afterAutospacing="1" w:line="240" w:lineRule="auto"/>
    </w:pPr>
    <w:rPr>
      <w:rFonts w:ascii="Times New Roman" w:hAnsi="Times New Roman"/>
      <w:sz w:val="24"/>
      <w:szCs w:val="24"/>
      <w:lang w:val="bg-BG" w:eastAsia="bg-BG"/>
    </w:rPr>
  </w:style>
  <w:style w:type="character" w:styleId="Emphasis">
    <w:name w:val="Emphasis"/>
    <w:basedOn w:val="DefaultParagraphFont"/>
    <w:qFormat/>
    <w:rsid w:val="00AA4961"/>
    <w:rPr>
      <w:i/>
      <w:iCs/>
    </w:rPr>
  </w:style>
  <w:style w:type="paragraph" w:styleId="BalloonText">
    <w:name w:val="Balloon Text"/>
    <w:basedOn w:val="Normal"/>
    <w:link w:val="BalloonTextChar"/>
    <w:semiHidden/>
    <w:unhideWhenUsed/>
    <w:rsid w:val="00B4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26C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93"/>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99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AC7993"/>
    <w:rPr>
      <w:rFonts w:ascii="Calibri" w:hAnsi="Calibri"/>
      <w:sz w:val="22"/>
      <w:szCs w:val="22"/>
      <w:lang w:val="en-US" w:eastAsia="en-US" w:bidi="ar-SA"/>
    </w:rPr>
  </w:style>
  <w:style w:type="character" w:styleId="Hyperlink">
    <w:name w:val="Hyperlink"/>
    <w:basedOn w:val="DefaultParagraphFont"/>
    <w:rsid w:val="00AC7993"/>
    <w:rPr>
      <w:color w:val="0000FF"/>
      <w:u w:val="single"/>
    </w:rPr>
  </w:style>
  <w:style w:type="character" w:customStyle="1" w:styleId="newdocreference1">
    <w:name w:val="newdocreference1"/>
    <w:basedOn w:val="DefaultParagraphFont"/>
    <w:rsid w:val="00AC7993"/>
    <w:rPr>
      <w:i w:val="0"/>
      <w:iCs w:val="0"/>
      <w:color w:val="0000FF"/>
      <w:u w:val="single"/>
    </w:rPr>
  </w:style>
  <w:style w:type="paragraph" w:styleId="BodyText">
    <w:name w:val="Body Text"/>
    <w:basedOn w:val="Normal"/>
    <w:link w:val="BodyTextChar"/>
    <w:rsid w:val="00C74432"/>
    <w:pPr>
      <w:spacing w:after="0" w:line="240" w:lineRule="auto"/>
      <w:jc w:val="center"/>
    </w:pPr>
    <w:rPr>
      <w:rFonts w:ascii="Times New Roman" w:eastAsia="Calibri" w:hAnsi="Times New Roman"/>
      <w:b/>
      <w:bCs/>
      <w:i/>
      <w:iCs/>
      <w:lang w:val="bg-BG"/>
    </w:rPr>
  </w:style>
  <w:style w:type="character" w:customStyle="1" w:styleId="BodyTextChar">
    <w:name w:val="Body Text Char"/>
    <w:basedOn w:val="DefaultParagraphFont"/>
    <w:link w:val="BodyText"/>
    <w:locked/>
    <w:rsid w:val="00C74432"/>
    <w:rPr>
      <w:rFonts w:eastAsia="Calibri"/>
      <w:b/>
      <w:bCs/>
      <w:i/>
      <w:iCs/>
      <w:sz w:val="22"/>
      <w:szCs w:val="22"/>
      <w:lang w:val="bg-BG" w:eastAsia="en-US" w:bidi="ar-SA"/>
    </w:rPr>
  </w:style>
  <w:style w:type="paragraph" w:styleId="BodyTextIndent2">
    <w:name w:val="Body Text Indent 2"/>
    <w:basedOn w:val="Normal"/>
    <w:link w:val="BodyTextIndent2Char"/>
    <w:rsid w:val="00C74432"/>
    <w:pPr>
      <w:spacing w:after="120" w:line="480" w:lineRule="auto"/>
      <w:ind w:left="283"/>
    </w:pPr>
    <w:rPr>
      <w:rFonts w:ascii="Times New Roman" w:eastAsia="Calibri" w:hAnsi="Times New Roman"/>
      <w:sz w:val="24"/>
      <w:szCs w:val="24"/>
      <w:lang w:val="bg-BG" w:eastAsia="bg-BG"/>
    </w:rPr>
  </w:style>
  <w:style w:type="character" w:customStyle="1" w:styleId="BodyTextIndent2Char">
    <w:name w:val="Body Text Indent 2 Char"/>
    <w:basedOn w:val="DefaultParagraphFont"/>
    <w:link w:val="BodyTextIndent2"/>
    <w:locked/>
    <w:rsid w:val="00C74432"/>
    <w:rPr>
      <w:rFonts w:eastAsia="Calibri"/>
      <w:sz w:val="24"/>
      <w:szCs w:val="24"/>
      <w:lang w:val="bg-BG" w:eastAsia="bg-BG" w:bidi="ar-SA"/>
    </w:rPr>
  </w:style>
  <w:style w:type="paragraph" w:styleId="ListParagraph">
    <w:name w:val="List Paragraph"/>
    <w:basedOn w:val="Normal"/>
    <w:uiPriority w:val="99"/>
    <w:qFormat/>
    <w:rsid w:val="00804836"/>
    <w:pPr>
      <w:widowControl w:val="0"/>
      <w:autoSpaceDE w:val="0"/>
      <w:autoSpaceDN w:val="0"/>
      <w:adjustRightInd w:val="0"/>
      <w:spacing w:after="0" w:line="240" w:lineRule="auto"/>
      <w:ind w:left="720"/>
      <w:contextualSpacing/>
    </w:pPr>
    <w:rPr>
      <w:rFonts w:ascii="Verdana" w:hAnsi="Verdana" w:cs="Verdana"/>
      <w:sz w:val="24"/>
      <w:szCs w:val="24"/>
      <w:lang w:val="bg-BG" w:eastAsia="bg-BG"/>
    </w:rPr>
  </w:style>
  <w:style w:type="paragraph" w:styleId="Header">
    <w:name w:val="header"/>
    <w:basedOn w:val="Normal"/>
    <w:link w:val="HeaderChar"/>
    <w:rsid w:val="00804836"/>
    <w:pPr>
      <w:tabs>
        <w:tab w:val="center" w:pos="4536"/>
        <w:tab w:val="right" w:pos="9072"/>
      </w:tabs>
      <w:spacing w:after="0" w:line="240" w:lineRule="auto"/>
    </w:pPr>
  </w:style>
  <w:style w:type="character" w:customStyle="1" w:styleId="HeaderChar">
    <w:name w:val="Header Char"/>
    <w:basedOn w:val="DefaultParagraphFont"/>
    <w:link w:val="Header"/>
    <w:rsid w:val="00804836"/>
    <w:rPr>
      <w:rFonts w:ascii="Calibri" w:hAnsi="Calibri"/>
      <w:sz w:val="22"/>
      <w:szCs w:val="22"/>
      <w:lang w:val="en-US" w:eastAsia="en-US"/>
    </w:rPr>
  </w:style>
  <w:style w:type="paragraph" w:styleId="NormalWeb">
    <w:name w:val="Normal (Web)"/>
    <w:basedOn w:val="Normal"/>
    <w:uiPriority w:val="99"/>
    <w:semiHidden/>
    <w:unhideWhenUsed/>
    <w:rsid w:val="003454C2"/>
    <w:pPr>
      <w:spacing w:before="100" w:beforeAutospacing="1" w:after="100" w:afterAutospacing="1" w:line="240" w:lineRule="auto"/>
    </w:pPr>
    <w:rPr>
      <w:rFonts w:ascii="Times New Roman" w:hAnsi="Times New Roman"/>
      <w:sz w:val="24"/>
      <w:szCs w:val="24"/>
      <w:lang w:val="bg-BG" w:eastAsia="bg-BG"/>
    </w:rPr>
  </w:style>
  <w:style w:type="character" w:styleId="Emphasis">
    <w:name w:val="Emphasis"/>
    <w:basedOn w:val="DefaultParagraphFont"/>
    <w:qFormat/>
    <w:rsid w:val="00AA4961"/>
    <w:rPr>
      <w:i/>
      <w:iCs/>
    </w:rPr>
  </w:style>
  <w:style w:type="paragraph" w:styleId="BalloonText">
    <w:name w:val="Balloon Text"/>
    <w:basedOn w:val="Normal"/>
    <w:link w:val="BalloonTextChar"/>
    <w:semiHidden/>
    <w:unhideWhenUsed/>
    <w:rsid w:val="00B4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26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660">
      <w:bodyDiv w:val="1"/>
      <w:marLeft w:val="0"/>
      <w:marRight w:val="0"/>
      <w:marTop w:val="0"/>
      <w:marBottom w:val="0"/>
      <w:divBdr>
        <w:top w:val="none" w:sz="0" w:space="0" w:color="auto"/>
        <w:left w:val="none" w:sz="0" w:space="0" w:color="auto"/>
        <w:bottom w:val="none" w:sz="0" w:space="0" w:color="auto"/>
        <w:right w:val="none" w:sz="0" w:space="0" w:color="auto"/>
      </w:divBdr>
    </w:div>
    <w:div w:id="1219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464E-4A8D-4ECA-AAE3-9F0854AE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9886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11454</CharactersWithSpaces>
  <SharedDoc>false</SharedDoc>
  <HLinks>
    <vt:vector size="36" baseType="variant">
      <vt:variant>
        <vt:i4>458771</vt:i4>
      </vt:variant>
      <vt:variant>
        <vt:i4>15</vt:i4>
      </vt:variant>
      <vt:variant>
        <vt:i4>0</vt:i4>
      </vt:variant>
      <vt:variant>
        <vt:i4>5</vt:i4>
      </vt:variant>
      <vt:variant>
        <vt:lpwstr>http://www.mzh.government.bg/</vt:lpwstr>
      </vt:variant>
      <vt:variant>
        <vt:lpwstr/>
      </vt:variant>
      <vt:variant>
        <vt:i4>262216</vt:i4>
      </vt:variant>
      <vt:variant>
        <vt:i4>12</vt:i4>
      </vt:variant>
      <vt:variant>
        <vt:i4>0</vt:i4>
      </vt:variant>
      <vt:variant>
        <vt:i4>5</vt:i4>
      </vt:variant>
      <vt:variant>
        <vt:lpwstr>apis://Base=NARH&amp;DocCode=5384516071&amp;Type=201/</vt:lpwstr>
      </vt:variant>
      <vt:variant>
        <vt:lpwstr/>
      </vt:variant>
      <vt:variant>
        <vt:i4>2687090</vt:i4>
      </vt:variant>
      <vt:variant>
        <vt:i4>9</vt:i4>
      </vt:variant>
      <vt:variant>
        <vt:i4>0</vt:i4>
      </vt:variant>
      <vt:variant>
        <vt:i4>5</vt:i4>
      </vt:variant>
      <vt:variant>
        <vt:lpwstr>apis://Base=NARH&amp;DocCode=10900518002&amp;Type=201/</vt:lpwstr>
      </vt:variant>
      <vt:variant>
        <vt:lpwstr/>
      </vt:variant>
      <vt:variant>
        <vt:i4>3080319</vt:i4>
      </vt:variant>
      <vt:variant>
        <vt:i4>6</vt:i4>
      </vt:variant>
      <vt:variant>
        <vt:i4>0</vt:i4>
      </vt:variant>
      <vt:variant>
        <vt:i4>5</vt:i4>
      </vt:variant>
      <vt:variant>
        <vt:lpwstr>apis://Base=NARH&amp;DocCode=10900516034&amp;Type=201/</vt:lpwstr>
      </vt:variant>
      <vt:variant>
        <vt:lpwstr/>
      </vt:variant>
      <vt:variant>
        <vt:i4>2818172</vt:i4>
      </vt:variant>
      <vt:variant>
        <vt:i4>3</vt:i4>
      </vt:variant>
      <vt:variant>
        <vt:i4>0</vt:i4>
      </vt:variant>
      <vt:variant>
        <vt:i4>5</vt:i4>
      </vt:variant>
      <vt:variant>
        <vt:lpwstr>apis://Base=NARH&amp;DocCode=10900515030&amp;Type=201/</vt:lpwstr>
      </vt:variant>
      <vt:variant>
        <vt:lpwstr/>
      </vt:variant>
      <vt:variant>
        <vt:i4>2818168</vt:i4>
      </vt:variant>
      <vt:variant>
        <vt:i4>0</vt:i4>
      </vt:variant>
      <vt:variant>
        <vt:i4>0</vt:i4>
      </vt:variant>
      <vt:variant>
        <vt:i4>5</vt:i4>
      </vt:variant>
      <vt:variant>
        <vt:lpwstr>apis://Base=NARH&amp;DocCode=10900514060&amp;Type=201/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Nataliya Slavova</cp:lastModifiedBy>
  <cp:revision>3</cp:revision>
  <cp:lastPrinted>2020-06-23T11:57:00Z</cp:lastPrinted>
  <dcterms:created xsi:type="dcterms:W3CDTF">2020-08-19T07:02:00Z</dcterms:created>
  <dcterms:modified xsi:type="dcterms:W3CDTF">2020-08-24T11:42:00Z</dcterms:modified>
</cp:coreProperties>
</file>