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2A" w:rsidRPr="00AF2593" w:rsidRDefault="00C70E2A" w:rsidP="004E68E5">
      <w:pPr>
        <w:widowControl w:val="0"/>
        <w:jc w:val="center"/>
        <w:rPr>
          <w:rFonts w:ascii="Verdana" w:hAnsi="Verdana"/>
          <w:sz w:val="22"/>
          <w:szCs w:val="22"/>
        </w:rPr>
      </w:pPr>
      <w:r w:rsidRPr="00AF2593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13E14FC" wp14:editId="65B7B939">
            <wp:simplePos x="0" y="0"/>
            <wp:positionH relativeFrom="column">
              <wp:posOffset>2454744</wp:posOffset>
            </wp:positionH>
            <wp:positionV relativeFrom="paragraph">
              <wp:posOffset>-474345</wp:posOffset>
            </wp:positionV>
            <wp:extent cx="939800" cy="933450"/>
            <wp:effectExtent l="0" t="0" r="0" b="0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E2A" w:rsidRPr="00AF2593" w:rsidRDefault="00C70E2A" w:rsidP="004E68E5">
      <w:pPr>
        <w:widowControl w:val="0"/>
        <w:jc w:val="center"/>
        <w:rPr>
          <w:rFonts w:ascii="Verdana" w:hAnsi="Verdana"/>
          <w:sz w:val="22"/>
          <w:szCs w:val="22"/>
        </w:rPr>
      </w:pPr>
    </w:p>
    <w:p w:rsidR="00C70E2A" w:rsidRPr="00AF2593" w:rsidRDefault="00C70E2A" w:rsidP="004E68E5">
      <w:pPr>
        <w:widowControl w:val="0"/>
        <w:jc w:val="center"/>
        <w:rPr>
          <w:rFonts w:ascii="Verdana" w:hAnsi="Verdana"/>
          <w:sz w:val="22"/>
          <w:szCs w:val="22"/>
        </w:rPr>
      </w:pPr>
    </w:p>
    <w:p w:rsidR="00C70E2A" w:rsidRPr="00AF2593" w:rsidRDefault="00C70E2A" w:rsidP="004E68E5">
      <w:pPr>
        <w:pStyle w:val="Heading1"/>
        <w:widowControl w:val="0"/>
        <w:rPr>
          <w:rFonts w:ascii="Verdana" w:hAnsi="Verdana"/>
          <w:b w:val="0"/>
          <w:spacing w:val="40"/>
          <w:sz w:val="22"/>
          <w:szCs w:val="22"/>
        </w:rPr>
      </w:pPr>
      <w:r w:rsidRPr="00AF2593">
        <w:rPr>
          <w:rFonts w:ascii="Verdana" w:hAnsi="Verdana"/>
          <w:b w:val="0"/>
          <w:spacing w:val="40"/>
          <w:sz w:val="22"/>
          <w:szCs w:val="22"/>
        </w:rPr>
        <w:t>РЕПУБЛИКА БЪЛГАРИЯ</w:t>
      </w:r>
    </w:p>
    <w:p w:rsidR="00C70E2A" w:rsidRPr="00AF2593" w:rsidRDefault="00C70E2A" w:rsidP="004E68E5">
      <w:pPr>
        <w:widowControl w:val="0"/>
        <w:pBdr>
          <w:bottom w:val="single" w:sz="4" w:space="1" w:color="auto"/>
        </w:pBdr>
        <w:jc w:val="center"/>
        <w:rPr>
          <w:rFonts w:ascii="Verdana" w:hAnsi="Verdana"/>
          <w:spacing w:val="38"/>
          <w:sz w:val="22"/>
          <w:szCs w:val="22"/>
        </w:rPr>
      </w:pPr>
      <w:r w:rsidRPr="00AF2593">
        <w:rPr>
          <w:rFonts w:ascii="Verdana" w:hAnsi="Verdana"/>
          <w:spacing w:val="38"/>
          <w:sz w:val="22"/>
          <w:szCs w:val="22"/>
        </w:rPr>
        <w:t>Заместник-министър на земеделието</w:t>
      </w:r>
      <w:r w:rsidR="00826C11" w:rsidRPr="00AF2593">
        <w:rPr>
          <w:rFonts w:ascii="Verdana" w:hAnsi="Verdana"/>
          <w:spacing w:val="38"/>
          <w:sz w:val="22"/>
          <w:szCs w:val="22"/>
        </w:rPr>
        <w:t>,</w:t>
      </w:r>
      <w:r w:rsidRPr="00AF2593">
        <w:rPr>
          <w:rFonts w:ascii="Verdana" w:hAnsi="Verdana"/>
          <w:spacing w:val="38"/>
          <w:sz w:val="22"/>
          <w:szCs w:val="22"/>
        </w:rPr>
        <w:t xml:space="preserve"> храните</w:t>
      </w:r>
      <w:r w:rsidR="00826C11" w:rsidRPr="00AF2593">
        <w:rPr>
          <w:rFonts w:ascii="Verdana" w:hAnsi="Verdana"/>
          <w:spacing w:val="38"/>
          <w:sz w:val="22"/>
          <w:szCs w:val="22"/>
        </w:rPr>
        <w:t xml:space="preserve"> и горите</w:t>
      </w:r>
    </w:p>
    <w:p w:rsidR="00AF2593" w:rsidRPr="00A815B7" w:rsidRDefault="00AF2593" w:rsidP="0049252A">
      <w:pPr>
        <w:pStyle w:val="Header"/>
        <w:widowControl w:val="0"/>
        <w:spacing w:line="360" w:lineRule="auto"/>
        <w:rPr>
          <w:rFonts w:ascii="Verdana" w:hAnsi="Verdana"/>
          <w:lang w:val="ru-RU"/>
        </w:rPr>
      </w:pPr>
    </w:p>
    <w:p w:rsidR="004E68E5" w:rsidRPr="00A815B7" w:rsidRDefault="004E68E5" w:rsidP="0049252A">
      <w:pPr>
        <w:pStyle w:val="Header"/>
        <w:widowControl w:val="0"/>
        <w:spacing w:line="360" w:lineRule="auto"/>
        <w:rPr>
          <w:rFonts w:ascii="Verdana" w:hAnsi="Verdana"/>
          <w:lang w:val="ru-RU"/>
        </w:rPr>
      </w:pPr>
    </w:p>
    <w:p w:rsidR="007F1E30" w:rsidRPr="007F1E30" w:rsidRDefault="007F1E30" w:rsidP="0049252A">
      <w:pPr>
        <w:widowControl w:val="0"/>
        <w:tabs>
          <w:tab w:val="center" w:pos="4153"/>
          <w:tab w:val="right" w:pos="8306"/>
        </w:tabs>
        <w:spacing w:before="120" w:after="120" w:line="360" w:lineRule="auto"/>
        <w:rPr>
          <w:rFonts w:ascii="Verdana" w:hAnsi="Verdana" w:cs="Verdana"/>
          <w:sz w:val="20"/>
          <w:szCs w:val="20"/>
        </w:rPr>
      </w:pPr>
      <w:r w:rsidRPr="007F1E30">
        <w:rPr>
          <w:rFonts w:ascii="Verdana" w:hAnsi="Verdana" w:cs="Verdana"/>
          <w:sz w:val="20"/>
          <w:szCs w:val="20"/>
        </w:rPr>
        <w:t>………………………………………</w:t>
      </w:r>
    </w:p>
    <w:p w:rsidR="007F1E30" w:rsidRPr="007F1E30" w:rsidRDefault="007F1E30" w:rsidP="0049252A">
      <w:pPr>
        <w:widowControl w:val="0"/>
        <w:tabs>
          <w:tab w:val="center" w:pos="4153"/>
          <w:tab w:val="right" w:pos="8306"/>
        </w:tabs>
        <w:spacing w:line="360" w:lineRule="auto"/>
        <w:rPr>
          <w:rFonts w:ascii="Verdana" w:hAnsi="Verdana" w:cs="Verdana"/>
          <w:sz w:val="20"/>
          <w:szCs w:val="20"/>
        </w:rPr>
      </w:pPr>
      <w:r w:rsidRPr="007F1E30">
        <w:rPr>
          <w:rFonts w:ascii="Verdana" w:hAnsi="Verdana" w:cs="Verdana"/>
          <w:sz w:val="20"/>
          <w:szCs w:val="20"/>
        </w:rPr>
        <w:t>……………………………………… г.</w:t>
      </w:r>
    </w:p>
    <w:p w:rsidR="007F1E30" w:rsidRDefault="007F1E30" w:rsidP="0049252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val="en-US"/>
        </w:rPr>
      </w:pPr>
    </w:p>
    <w:p w:rsidR="004E68E5" w:rsidRPr="004E68E5" w:rsidRDefault="004E68E5" w:rsidP="0049252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  <w:lang w:val="en-US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7F1E30" w:rsidRPr="007F1E30" w:rsidTr="00BB2194">
        <w:tc>
          <w:tcPr>
            <w:tcW w:w="4503" w:type="dxa"/>
            <w:shd w:val="clear" w:color="auto" w:fill="auto"/>
          </w:tcPr>
          <w:p w:rsidR="007F1E30" w:rsidRPr="007F1E30" w:rsidRDefault="007F1E30" w:rsidP="0049252A">
            <w:pPr>
              <w:widowControl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1E30">
              <w:rPr>
                <w:rFonts w:ascii="Verdana" w:hAnsi="Verdana"/>
                <w:b/>
                <w:bCs/>
                <w:sz w:val="20"/>
                <w:szCs w:val="20"/>
              </w:rPr>
              <w:t>ДО</w:t>
            </w:r>
          </w:p>
          <w:p w:rsidR="007F1E30" w:rsidRPr="007F1E30" w:rsidRDefault="007F1E30" w:rsidP="0049252A">
            <w:pPr>
              <w:widowControl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1E30">
              <w:rPr>
                <w:rFonts w:ascii="Verdana" w:hAnsi="Verdana"/>
                <w:b/>
                <w:bCs/>
                <w:sz w:val="20"/>
                <w:szCs w:val="20"/>
              </w:rPr>
              <w:t>МИНИСТЪРА НА ЗЕМЕДЕЛИЕТО, ХРАНИТЕ И ГОРИТЕ</w:t>
            </w:r>
          </w:p>
          <w:p w:rsidR="007F1E30" w:rsidRPr="007F1E30" w:rsidRDefault="007F1E30" w:rsidP="0049252A">
            <w:pPr>
              <w:widowControl w:val="0"/>
              <w:spacing w:line="360" w:lineRule="auto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7F1E30">
              <w:rPr>
                <w:rFonts w:ascii="Verdana" w:hAnsi="Verdana"/>
                <w:b/>
                <w:bCs/>
                <w:caps/>
                <w:sz w:val="20"/>
                <w:szCs w:val="20"/>
              </w:rPr>
              <w:t>Г-жа Десислава Танева</w:t>
            </w:r>
          </w:p>
        </w:tc>
        <w:tc>
          <w:tcPr>
            <w:tcW w:w="4961" w:type="dxa"/>
            <w:shd w:val="clear" w:color="auto" w:fill="auto"/>
          </w:tcPr>
          <w:p w:rsidR="007F1E30" w:rsidRPr="007F1E30" w:rsidRDefault="007F1E30" w:rsidP="0049252A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F1E30">
              <w:rPr>
                <w:rFonts w:ascii="Verdana" w:hAnsi="Verdana"/>
                <w:b/>
                <w:sz w:val="20"/>
                <w:szCs w:val="20"/>
              </w:rPr>
              <w:t>ОДОБРИЛ,</w:t>
            </w:r>
          </w:p>
          <w:p w:rsidR="007F1E30" w:rsidRPr="007F1E30" w:rsidRDefault="007F1E30" w:rsidP="0049252A">
            <w:pPr>
              <w:widowControl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1E30">
              <w:rPr>
                <w:rFonts w:ascii="Verdana" w:hAnsi="Verdana"/>
                <w:b/>
                <w:sz w:val="20"/>
                <w:szCs w:val="20"/>
              </w:rPr>
              <w:t xml:space="preserve">МИНИСТЪР </w:t>
            </w:r>
            <w:r w:rsidRPr="007F1E30">
              <w:rPr>
                <w:rFonts w:ascii="Verdana" w:hAnsi="Verdana"/>
                <w:b/>
                <w:bCs/>
                <w:sz w:val="20"/>
                <w:szCs w:val="20"/>
              </w:rPr>
              <w:t xml:space="preserve">НА ЗЕМЕДЕЛИЕТО, </w:t>
            </w:r>
          </w:p>
          <w:p w:rsidR="007F1E30" w:rsidRPr="007F1E30" w:rsidRDefault="007F1E30" w:rsidP="0049252A">
            <w:pPr>
              <w:widowControl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1E30">
              <w:rPr>
                <w:rFonts w:ascii="Verdana" w:hAnsi="Verdana"/>
                <w:b/>
                <w:bCs/>
                <w:sz w:val="20"/>
                <w:szCs w:val="20"/>
              </w:rPr>
              <w:t>ХРАНИТЕ И ГОРИТЕ:</w:t>
            </w:r>
          </w:p>
          <w:p w:rsidR="007F1E30" w:rsidRPr="007F1E30" w:rsidRDefault="007F1E30" w:rsidP="0049252A">
            <w:pPr>
              <w:widowControl w:val="0"/>
              <w:spacing w:line="360" w:lineRule="auto"/>
              <w:ind w:left="2124"/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7F1E30">
              <w:rPr>
                <w:rFonts w:ascii="Verdana" w:hAnsi="Verdana"/>
                <w:b/>
                <w:bCs/>
                <w:caps/>
                <w:sz w:val="20"/>
                <w:szCs w:val="20"/>
              </w:rPr>
              <w:t xml:space="preserve">Десислава Танева </w:t>
            </w:r>
          </w:p>
        </w:tc>
      </w:tr>
    </w:tbl>
    <w:p w:rsidR="00102B25" w:rsidRDefault="00102B25" w:rsidP="0049252A">
      <w:pPr>
        <w:pStyle w:val="Heading1"/>
        <w:widowControl w:val="0"/>
        <w:spacing w:line="360" w:lineRule="auto"/>
        <w:rPr>
          <w:rFonts w:ascii="Verdana" w:hAnsi="Verdana"/>
          <w:spacing w:val="44"/>
          <w:sz w:val="20"/>
          <w:lang w:val="en-US"/>
        </w:rPr>
      </w:pPr>
    </w:p>
    <w:p w:rsidR="007F1E30" w:rsidRDefault="007F1E30" w:rsidP="0049252A">
      <w:pPr>
        <w:widowControl w:val="0"/>
        <w:spacing w:line="360" w:lineRule="auto"/>
        <w:rPr>
          <w:lang w:val="en-US"/>
        </w:rPr>
      </w:pPr>
    </w:p>
    <w:p w:rsidR="004E68E5" w:rsidRPr="007F1E30" w:rsidRDefault="004E68E5" w:rsidP="0049252A">
      <w:pPr>
        <w:widowControl w:val="0"/>
        <w:spacing w:line="360" w:lineRule="auto"/>
        <w:rPr>
          <w:lang w:val="en-US"/>
        </w:rPr>
      </w:pPr>
    </w:p>
    <w:p w:rsidR="00792167" w:rsidRPr="00A83A19" w:rsidRDefault="00C70E2A" w:rsidP="0049252A">
      <w:pPr>
        <w:pStyle w:val="Heading1"/>
        <w:widowControl w:val="0"/>
        <w:spacing w:line="360" w:lineRule="auto"/>
        <w:rPr>
          <w:rFonts w:ascii="Verdana" w:hAnsi="Verdana"/>
          <w:spacing w:val="44"/>
          <w:sz w:val="24"/>
          <w:szCs w:val="24"/>
          <w:lang w:val="ru-RU"/>
        </w:rPr>
      </w:pPr>
      <w:r w:rsidRPr="00A83A19">
        <w:rPr>
          <w:rFonts w:ascii="Verdana" w:hAnsi="Verdana"/>
          <w:spacing w:val="44"/>
          <w:sz w:val="24"/>
          <w:szCs w:val="24"/>
        </w:rPr>
        <w:t>ДОКЛАД</w:t>
      </w:r>
    </w:p>
    <w:p w:rsidR="00C70E2A" w:rsidRPr="007F1E30" w:rsidRDefault="007F1E30" w:rsidP="0049252A">
      <w:pPr>
        <w:widowControl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от</w:t>
      </w:r>
      <w:r w:rsidR="00E92C48" w:rsidRPr="007F1E3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Атанас Добрев</w:t>
      </w:r>
      <w:r w:rsidR="00E92C48" w:rsidRPr="007F1E3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–</w:t>
      </w:r>
      <w:r w:rsidR="00E92C48" w:rsidRPr="007F1E30">
        <w:rPr>
          <w:rFonts w:ascii="Verdana" w:hAnsi="Verdana"/>
          <w:b/>
          <w:sz w:val="20"/>
          <w:szCs w:val="20"/>
        </w:rPr>
        <w:t xml:space="preserve"> </w:t>
      </w:r>
      <w:r w:rsidRPr="007F1E30">
        <w:rPr>
          <w:rFonts w:ascii="Verdana" w:hAnsi="Verdana"/>
          <w:b/>
          <w:sz w:val="20"/>
          <w:szCs w:val="20"/>
        </w:rPr>
        <w:t>заместник-министър на земеделието, храните и горите</w:t>
      </w:r>
    </w:p>
    <w:p w:rsidR="00C70E2A" w:rsidRPr="007F1E30" w:rsidRDefault="00C70E2A" w:rsidP="0049252A">
      <w:pPr>
        <w:widowControl w:val="0"/>
        <w:spacing w:line="360" w:lineRule="auto"/>
        <w:rPr>
          <w:rFonts w:ascii="Verdana" w:hAnsi="Verdana"/>
          <w:sz w:val="20"/>
          <w:szCs w:val="20"/>
        </w:rPr>
      </w:pPr>
    </w:p>
    <w:p w:rsidR="003E2BAB" w:rsidRPr="007F1E30" w:rsidRDefault="007F1E30" w:rsidP="0049252A">
      <w:pPr>
        <w:widowControl w:val="0"/>
        <w:spacing w:line="360" w:lineRule="auto"/>
        <w:ind w:left="1134" w:hanging="1134"/>
        <w:jc w:val="both"/>
        <w:rPr>
          <w:rFonts w:ascii="Verdana" w:hAnsi="Verdana"/>
          <w:b/>
          <w:spacing w:val="-4"/>
          <w:sz w:val="20"/>
          <w:szCs w:val="20"/>
        </w:rPr>
      </w:pPr>
      <w:r w:rsidRPr="007F1E30">
        <w:rPr>
          <w:rFonts w:ascii="Verdana" w:hAnsi="Verdana"/>
          <w:b/>
          <w:sz w:val="20"/>
          <w:szCs w:val="20"/>
        </w:rPr>
        <w:t>Относно:</w:t>
      </w:r>
      <w:r w:rsidR="00C70E2A" w:rsidRPr="007F1E30">
        <w:rPr>
          <w:rFonts w:ascii="Verdana" w:hAnsi="Verdana"/>
          <w:sz w:val="20"/>
          <w:szCs w:val="20"/>
        </w:rPr>
        <w:t xml:space="preserve"> </w:t>
      </w:r>
      <w:r w:rsidR="00C70E2A" w:rsidRPr="007F1E30">
        <w:rPr>
          <w:rFonts w:ascii="Verdana" w:hAnsi="Verdana"/>
          <w:spacing w:val="-4"/>
          <w:sz w:val="20"/>
          <w:szCs w:val="20"/>
        </w:rPr>
        <w:t xml:space="preserve">Проект на </w:t>
      </w:r>
      <w:r w:rsidR="00AA5326" w:rsidRPr="007F1E30">
        <w:rPr>
          <w:rFonts w:ascii="Verdana" w:hAnsi="Verdana"/>
          <w:spacing w:val="-4"/>
          <w:sz w:val="20"/>
          <w:szCs w:val="20"/>
        </w:rPr>
        <w:t xml:space="preserve">Наредба </w:t>
      </w:r>
      <w:r w:rsidR="00C70E2A" w:rsidRPr="007F1E30">
        <w:rPr>
          <w:rFonts w:ascii="Verdana" w:hAnsi="Verdana"/>
          <w:spacing w:val="-4"/>
          <w:sz w:val="20"/>
          <w:szCs w:val="20"/>
        </w:rPr>
        <w:t xml:space="preserve">за </w:t>
      </w:r>
      <w:r w:rsidR="003E2BAB" w:rsidRPr="007F1E30">
        <w:rPr>
          <w:rFonts w:ascii="Verdana" w:hAnsi="Verdana"/>
          <w:spacing w:val="-4"/>
          <w:sz w:val="20"/>
          <w:szCs w:val="20"/>
        </w:rPr>
        <w:t xml:space="preserve">изменение и допълнение на Наредба № 8 от 2011 г. за </w:t>
      </w:r>
      <w:proofErr w:type="spellStart"/>
      <w:r w:rsidR="003E2BAB" w:rsidRPr="007F1E30">
        <w:rPr>
          <w:rFonts w:ascii="Verdana" w:hAnsi="Verdana"/>
          <w:spacing w:val="-4"/>
          <w:sz w:val="20"/>
          <w:szCs w:val="20"/>
        </w:rPr>
        <w:t>сечите</w:t>
      </w:r>
      <w:proofErr w:type="spellEnd"/>
      <w:r w:rsidR="003E2BAB" w:rsidRPr="007F1E30">
        <w:rPr>
          <w:rFonts w:ascii="Verdana" w:hAnsi="Verdana"/>
          <w:spacing w:val="-4"/>
          <w:sz w:val="20"/>
          <w:szCs w:val="20"/>
        </w:rPr>
        <w:t xml:space="preserve"> в гори</w:t>
      </w:r>
      <w:r w:rsidR="009B7D89" w:rsidRPr="007F1E30">
        <w:rPr>
          <w:rFonts w:ascii="Verdana" w:hAnsi="Verdana"/>
          <w:spacing w:val="-4"/>
          <w:sz w:val="20"/>
          <w:szCs w:val="20"/>
        </w:rPr>
        <w:t>те (</w:t>
      </w:r>
      <w:proofErr w:type="spellStart"/>
      <w:r w:rsidR="009B7D89" w:rsidRPr="007F1E30">
        <w:rPr>
          <w:rFonts w:ascii="Verdana" w:hAnsi="Verdana"/>
          <w:spacing w:val="-4"/>
          <w:sz w:val="20"/>
          <w:szCs w:val="20"/>
        </w:rPr>
        <w:t>обн</w:t>
      </w:r>
      <w:proofErr w:type="spellEnd"/>
      <w:r w:rsidR="009B7D89" w:rsidRPr="007F1E30">
        <w:rPr>
          <w:rFonts w:ascii="Verdana" w:hAnsi="Verdana"/>
          <w:spacing w:val="-4"/>
          <w:sz w:val="20"/>
          <w:szCs w:val="20"/>
        </w:rPr>
        <w:t>., ДВ, бр. 64 от 2011 г.,</w:t>
      </w:r>
      <w:r w:rsidR="003E2BAB" w:rsidRPr="007F1E30">
        <w:rPr>
          <w:rFonts w:ascii="Verdana" w:hAnsi="Verdana"/>
          <w:spacing w:val="-4"/>
          <w:sz w:val="20"/>
          <w:szCs w:val="20"/>
        </w:rPr>
        <w:t xml:space="preserve"> изм., бр. 63 от 2013 г.</w:t>
      </w:r>
      <w:r w:rsidR="00C000B7" w:rsidRPr="007F1E30">
        <w:rPr>
          <w:rFonts w:ascii="Verdana" w:hAnsi="Verdana"/>
          <w:spacing w:val="-4"/>
          <w:sz w:val="20"/>
          <w:szCs w:val="20"/>
        </w:rPr>
        <w:t>,</w:t>
      </w:r>
      <w:r w:rsidR="003E2BAB" w:rsidRPr="007F1E30">
        <w:rPr>
          <w:rFonts w:ascii="Verdana" w:hAnsi="Verdana"/>
          <w:spacing w:val="-4"/>
          <w:sz w:val="20"/>
          <w:szCs w:val="20"/>
        </w:rPr>
        <w:t xml:space="preserve"> бр. 72 от 2015 г.</w:t>
      </w:r>
      <w:r w:rsidR="00C000B7" w:rsidRPr="007F1E30">
        <w:rPr>
          <w:rFonts w:ascii="Verdana" w:hAnsi="Verdana"/>
          <w:spacing w:val="-4"/>
          <w:sz w:val="20"/>
          <w:szCs w:val="20"/>
        </w:rPr>
        <w:t xml:space="preserve"> и бр. 71 от 2017 г.</w:t>
      </w:r>
      <w:r w:rsidR="003E2BAB" w:rsidRPr="007F1E30">
        <w:rPr>
          <w:rFonts w:ascii="Verdana" w:hAnsi="Verdana"/>
          <w:spacing w:val="-4"/>
          <w:sz w:val="20"/>
          <w:szCs w:val="20"/>
        </w:rPr>
        <w:t>)</w:t>
      </w:r>
    </w:p>
    <w:p w:rsidR="00C70E2A" w:rsidRDefault="00C70E2A" w:rsidP="0049252A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F2593" w:rsidRPr="00A815B7" w:rsidRDefault="00AF2593" w:rsidP="0049252A">
      <w:pPr>
        <w:widowControl w:val="0"/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</w:p>
    <w:p w:rsidR="004E68E5" w:rsidRPr="00A815B7" w:rsidRDefault="004E68E5" w:rsidP="0049252A">
      <w:pPr>
        <w:widowControl w:val="0"/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</w:p>
    <w:p w:rsidR="003E2BAB" w:rsidRPr="007F1E30" w:rsidRDefault="00C70E2A" w:rsidP="0049252A">
      <w:pPr>
        <w:widowControl w:val="0"/>
        <w:spacing w:after="120" w:line="360" w:lineRule="auto"/>
        <w:rPr>
          <w:rFonts w:ascii="Verdana" w:hAnsi="Verdana"/>
          <w:strike/>
          <w:color w:val="FF0000"/>
          <w:sz w:val="20"/>
          <w:szCs w:val="20"/>
        </w:rPr>
      </w:pPr>
      <w:r w:rsidRPr="007F1E30">
        <w:rPr>
          <w:rFonts w:ascii="Verdana" w:hAnsi="Verdana"/>
          <w:b/>
          <w:sz w:val="20"/>
          <w:szCs w:val="20"/>
        </w:rPr>
        <w:t>УВАЖАЕМ</w:t>
      </w:r>
      <w:r w:rsidR="00537B99" w:rsidRPr="007F1E30">
        <w:rPr>
          <w:rFonts w:ascii="Verdana" w:hAnsi="Verdana"/>
          <w:b/>
          <w:sz w:val="20"/>
          <w:szCs w:val="20"/>
        </w:rPr>
        <w:t>А ГОСПОЖО</w:t>
      </w:r>
      <w:r w:rsidRPr="007F1E30">
        <w:rPr>
          <w:rFonts w:ascii="Verdana" w:hAnsi="Verdana"/>
          <w:b/>
          <w:sz w:val="20"/>
          <w:szCs w:val="20"/>
        </w:rPr>
        <w:t xml:space="preserve"> МИНИСТЪР,</w:t>
      </w:r>
      <w:r w:rsidR="00792167" w:rsidRPr="007F1E30">
        <w:rPr>
          <w:rFonts w:ascii="Verdana" w:hAnsi="Verdana"/>
          <w:strike/>
          <w:color w:val="FF0000"/>
          <w:sz w:val="20"/>
          <w:szCs w:val="20"/>
        </w:rPr>
        <w:t xml:space="preserve"> </w:t>
      </w:r>
    </w:p>
    <w:p w:rsidR="003D277C" w:rsidRPr="007F1E30" w:rsidRDefault="003E2BAB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>Съгласно чл. 101, ал. 3 от Закона за горите, министърът на земеделието</w:t>
      </w:r>
      <w:r w:rsidR="009B7D89" w:rsidRPr="007F1E30">
        <w:rPr>
          <w:rFonts w:ascii="Verdana" w:hAnsi="Verdana"/>
          <w:sz w:val="20"/>
          <w:szCs w:val="20"/>
        </w:rPr>
        <w:t>,</w:t>
      </w:r>
      <w:r w:rsidRPr="007F1E30">
        <w:rPr>
          <w:rFonts w:ascii="Verdana" w:hAnsi="Verdana"/>
          <w:sz w:val="20"/>
          <w:szCs w:val="20"/>
        </w:rPr>
        <w:t xml:space="preserve"> храните </w:t>
      </w:r>
      <w:r w:rsidR="009B7D89" w:rsidRPr="007F1E30">
        <w:rPr>
          <w:rFonts w:ascii="Verdana" w:hAnsi="Verdana"/>
          <w:sz w:val="20"/>
          <w:szCs w:val="20"/>
        </w:rPr>
        <w:t xml:space="preserve">и горите </w:t>
      </w:r>
      <w:r w:rsidRPr="007F1E30">
        <w:rPr>
          <w:rFonts w:ascii="Verdana" w:hAnsi="Verdana"/>
          <w:sz w:val="20"/>
          <w:szCs w:val="20"/>
        </w:rPr>
        <w:t xml:space="preserve">приема наредба, с която се определят: видовете сечи и методите за тяхното провеждане; условията и редът за провеждане на </w:t>
      </w:r>
      <w:proofErr w:type="spellStart"/>
      <w:r w:rsidRPr="007F1E30">
        <w:rPr>
          <w:rFonts w:ascii="Verdana" w:hAnsi="Verdana"/>
          <w:sz w:val="20"/>
          <w:szCs w:val="20"/>
        </w:rPr>
        <w:t>сечите</w:t>
      </w:r>
      <w:proofErr w:type="spellEnd"/>
      <w:r w:rsidRPr="007F1E30">
        <w:rPr>
          <w:rFonts w:ascii="Verdana" w:hAnsi="Verdana"/>
          <w:sz w:val="20"/>
          <w:szCs w:val="20"/>
        </w:rPr>
        <w:t xml:space="preserve">; правилата за маркиране на насажденията, предвидени за сеч; условията и редът за издаване на позволителното за сеч; системата от режими и мерки за стопанисване на типовете природни местообитания; условията и редът за провеждане на </w:t>
      </w:r>
      <w:proofErr w:type="spellStart"/>
      <w:r w:rsidRPr="007F1E30">
        <w:rPr>
          <w:rFonts w:ascii="Verdana" w:hAnsi="Verdana"/>
          <w:sz w:val="20"/>
          <w:szCs w:val="20"/>
        </w:rPr>
        <w:t>сечите</w:t>
      </w:r>
      <w:proofErr w:type="spellEnd"/>
      <w:r w:rsidRPr="007F1E30">
        <w:rPr>
          <w:rFonts w:ascii="Verdana" w:hAnsi="Verdana"/>
          <w:sz w:val="20"/>
          <w:szCs w:val="20"/>
        </w:rPr>
        <w:t xml:space="preserve"> в границите на корекции на реки и специфичните изисквания при провеждане на сечи в защитни горски територии. На основание посочената разпоредба е приета Наредба № 8 от 2011 г. за </w:t>
      </w:r>
      <w:proofErr w:type="spellStart"/>
      <w:r w:rsidRPr="007F1E30">
        <w:rPr>
          <w:rFonts w:ascii="Verdana" w:hAnsi="Verdana"/>
          <w:sz w:val="20"/>
          <w:szCs w:val="20"/>
        </w:rPr>
        <w:t>сечите</w:t>
      </w:r>
      <w:proofErr w:type="spellEnd"/>
      <w:r w:rsidRPr="007F1E30">
        <w:rPr>
          <w:rFonts w:ascii="Verdana" w:hAnsi="Verdana"/>
          <w:sz w:val="20"/>
          <w:szCs w:val="20"/>
        </w:rPr>
        <w:t xml:space="preserve"> в горите</w:t>
      </w:r>
      <w:r w:rsidR="009B7D89" w:rsidRPr="007F1E30">
        <w:rPr>
          <w:rFonts w:ascii="Verdana" w:hAnsi="Verdana"/>
          <w:sz w:val="20"/>
          <w:szCs w:val="20"/>
        </w:rPr>
        <w:t xml:space="preserve"> (</w:t>
      </w:r>
      <w:proofErr w:type="spellStart"/>
      <w:r w:rsidR="009B7D89" w:rsidRPr="007F1E30">
        <w:rPr>
          <w:rFonts w:ascii="Verdana" w:hAnsi="Verdana"/>
          <w:sz w:val="20"/>
          <w:szCs w:val="20"/>
        </w:rPr>
        <w:t>обн</w:t>
      </w:r>
      <w:proofErr w:type="spellEnd"/>
      <w:r w:rsidR="009B7D89" w:rsidRPr="007F1E30">
        <w:rPr>
          <w:rFonts w:ascii="Verdana" w:hAnsi="Verdana"/>
          <w:sz w:val="20"/>
          <w:szCs w:val="20"/>
        </w:rPr>
        <w:t>., ДВ, бр. 64 от 2011 г.).</w:t>
      </w:r>
      <w:r w:rsidR="003D277C" w:rsidRPr="007F1E30">
        <w:rPr>
          <w:rFonts w:ascii="Verdana" w:hAnsi="Verdana"/>
          <w:sz w:val="20"/>
          <w:szCs w:val="20"/>
        </w:rPr>
        <w:t xml:space="preserve"> С настоящия доклад приложено Ви представям проект на Наредба за изменение и допълнение на Наредба № 8 от 2011 г. за </w:t>
      </w:r>
      <w:proofErr w:type="spellStart"/>
      <w:r w:rsidR="003D277C" w:rsidRPr="007F1E30">
        <w:rPr>
          <w:rFonts w:ascii="Verdana" w:hAnsi="Verdana"/>
          <w:sz w:val="20"/>
          <w:szCs w:val="20"/>
        </w:rPr>
        <w:t>сечите</w:t>
      </w:r>
      <w:proofErr w:type="spellEnd"/>
      <w:r w:rsidR="003D277C" w:rsidRPr="007F1E30">
        <w:rPr>
          <w:rFonts w:ascii="Verdana" w:hAnsi="Verdana"/>
          <w:sz w:val="20"/>
          <w:szCs w:val="20"/>
        </w:rPr>
        <w:t xml:space="preserve"> в горите.</w:t>
      </w:r>
    </w:p>
    <w:p w:rsidR="0013625F" w:rsidRPr="007F1E30" w:rsidRDefault="003D277C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 xml:space="preserve"> </w:t>
      </w:r>
      <w:r w:rsidR="0013625F" w:rsidRPr="007F1E30">
        <w:rPr>
          <w:rFonts w:ascii="Verdana" w:hAnsi="Verdana"/>
          <w:sz w:val="20"/>
          <w:szCs w:val="20"/>
        </w:rPr>
        <w:t xml:space="preserve">Предложените изменения и допълнения са продиктувани от необходимостта за усъвършенстване на нормативния акт, с цел отстраняване на пропуски, </w:t>
      </w:r>
      <w:r w:rsidR="0013625F" w:rsidRPr="007F1E30">
        <w:rPr>
          <w:rFonts w:ascii="Verdana" w:hAnsi="Verdana"/>
          <w:sz w:val="20"/>
          <w:szCs w:val="20"/>
        </w:rPr>
        <w:lastRenderedPageBreak/>
        <w:t>установени при практическото му прилагане и внасяне на яснота при прилагането на отделни разпоредби, включване на заинтересованите страни при изготвяне на указанията и р</w:t>
      </w:r>
      <w:r w:rsidR="00E23DE6">
        <w:rPr>
          <w:rFonts w:ascii="Verdana" w:hAnsi="Verdana"/>
          <w:sz w:val="20"/>
          <w:szCs w:val="20"/>
        </w:rPr>
        <w:t>азработките, утвърждавани от Изпълнителна агенция по горите</w:t>
      </w:r>
      <w:r w:rsidR="0013625F" w:rsidRPr="007F1E30">
        <w:rPr>
          <w:rFonts w:ascii="Verdana" w:hAnsi="Verdana"/>
          <w:sz w:val="20"/>
          <w:szCs w:val="20"/>
        </w:rPr>
        <w:t xml:space="preserve"> относно провеждането на отделните видове сечи и други. С предложените промени се цели по-добро и ефективно стопанисването на горите.</w:t>
      </w:r>
      <w:r w:rsidR="0013625F" w:rsidRPr="007F1E30">
        <w:rPr>
          <w:rFonts w:ascii="Verdana" w:hAnsi="Verdana"/>
          <w:sz w:val="20"/>
          <w:szCs w:val="20"/>
          <w:lang w:val="ru-RU"/>
        </w:rPr>
        <w:t xml:space="preserve"> </w:t>
      </w:r>
      <w:r w:rsidR="0013625F" w:rsidRPr="007F1E30">
        <w:rPr>
          <w:rFonts w:ascii="Verdana" w:hAnsi="Verdana"/>
          <w:sz w:val="20"/>
          <w:szCs w:val="20"/>
        </w:rPr>
        <w:t xml:space="preserve">Една от основните цели на измененията и допълненията е да се внедрят в практиката резултатите от разработването на регионалните указания за стопанисване на </w:t>
      </w:r>
      <w:proofErr w:type="spellStart"/>
      <w:r w:rsidR="0013625F" w:rsidRPr="007F1E30">
        <w:rPr>
          <w:rFonts w:ascii="Verdana" w:hAnsi="Verdana"/>
          <w:sz w:val="20"/>
          <w:szCs w:val="20"/>
        </w:rPr>
        <w:t>издънковите</w:t>
      </w:r>
      <w:proofErr w:type="spellEnd"/>
      <w:r w:rsidR="0013625F" w:rsidRPr="007F1E30">
        <w:rPr>
          <w:rFonts w:ascii="Verdana" w:hAnsi="Verdana"/>
          <w:sz w:val="20"/>
          <w:szCs w:val="20"/>
        </w:rPr>
        <w:t xml:space="preserve"> дъбови гори, приети от експертен съвет на ИАГ. Предложените текстове адаптират наредбата към специфичните </w:t>
      </w:r>
      <w:proofErr w:type="spellStart"/>
      <w:r w:rsidR="0013625F" w:rsidRPr="007F1E30">
        <w:rPr>
          <w:rFonts w:ascii="Verdana" w:hAnsi="Verdana"/>
          <w:sz w:val="20"/>
          <w:szCs w:val="20"/>
        </w:rPr>
        <w:t>особенности</w:t>
      </w:r>
      <w:proofErr w:type="spellEnd"/>
      <w:r w:rsidR="0013625F" w:rsidRPr="007F1E30">
        <w:rPr>
          <w:rFonts w:ascii="Verdana" w:hAnsi="Verdana"/>
          <w:sz w:val="20"/>
          <w:szCs w:val="20"/>
        </w:rPr>
        <w:t xml:space="preserve"> на </w:t>
      </w:r>
      <w:proofErr w:type="spellStart"/>
      <w:r w:rsidR="0013625F" w:rsidRPr="007F1E30">
        <w:rPr>
          <w:rFonts w:ascii="Verdana" w:hAnsi="Verdana"/>
          <w:sz w:val="20"/>
          <w:szCs w:val="20"/>
        </w:rPr>
        <w:t>издънковите</w:t>
      </w:r>
      <w:proofErr w:type="spellEnd"/>
      <w:r w:rsidR="0013625F" w:rsidRPr="007F1E30">
        <w:rPr>
          <w:rFonts w:ascii="Verdana" w:hAnsi="Verdana"/>
          <w:sz w:val="20"/>
          <w:szCs w:val="20"/>
        </w:rPr>
        <w:t xml:space="preserve"> гори и дават по-големи възможности за прилагане на разнообразни лесовъдски подходи в различните райони на страната. Приетите с разработките системи за стопанисване, предоставят широк спектър от възможности, които произтичат от големия териториален обхват и разнообразие на тези гори. За въвеждането на резултатите в наредбата е следвана посока на намаляване на ограниченията и даване на по-голяма свобода при прилагането и. 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>Допълнителни текстове в наредбата (създаване на нов чл.</w:t>
      </w:r>
      <w:r w:rsidR="00E23DE6">
        <w:rPr>
          <w:rFonts w:ascii="Verdana" w:hAnsi="Verdana"/>
          <w:sz w:val="20"/>
          <w:szCs w:val="20"/>
        </w:rPr>
        <w:t xml:space="preserve"> 44</w:t>
      </w:r>
      <w:r w:rsidRPr="007F1E30">
        <w:rPr>
          <w:rFonts w:ascii="Verdana" w:hAnsi="Verdana"/>
          <w:sz w:val="20"/>
          <w:szCs w:val="20"/>
        </w:rPr>
        <w:t xml:space="preserve">а), са насочени към оценка на резултатите от изведените възобновителни сечи. Това е нов подход, който дава насока на промяна към оценка на постигнати резултати. Въвеждането на система за мониторинг на състоянието на възобновените площи за определен период след извеждане на </w:t>
      </w:r>
      <w:proofErr w:type="spellStart"/>
      <w:r w:rsidRPr="007F1E30">
        <w:rPr>
          <w:rFonts w:ascii="Verdana" w:hAnsi="Verdana"/>
          <w:sz w:val="20"/>
          <w:szCs w:val="20"/>
        </w:rPr>
        <w:t>сечите</w:t>
      </w:r>
      <w:proofErr w:type="spellEnd"/>
      <w:r w:rsidRPr="007F1E30">
        <w:rPr>
          <w:rFonts w:ascii="Verdana" w:hAnsi="Verdana"/>
          <w:sz w:val="20"/>
          <w:szCs w:val="20"/>
        </w:rPr>
        <w:t xml:space="preserve"> дава възможност за адекватна оценка на въздействието, което предизвиква лесовъдската намеса в гората и е база за взимане на бъдещи решения. </w:t>
      </w:r>
    </w:p>
    <w:p w:rsidR="009E7C9F" w:rsidRPr="004E68E5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  <w:lang w:val="ru-RU"/>
        </w:rPr>
      </w:pPr>
      <w:r w:rsidRPr="007F1E30">
        <w:rPr>
          <w:rFonts w:ascii="Verdana" w:hAnsi="Verdana"/>
          <w:sz w:val="20"/>
          <w:szCs w:val="20"/>
        </w:rPr>
        <w:t>Проектът е подготвен от работна група с участие на представители на Изпълнителна агенция по горите, Регионалните дирекции по горите, държавните предприятия по чл.</w:t>
      </w:r>
      <w:r w:rsidR="00E23DE6">
        <w:rPr>
          <w:rFonts w:ascii="Verdana" w:hAnsi="Verdana"/>
          <w:sz w:val="20"/>
          <w:szCs w:val="20"/>
        </w:rPr>
        <w:t xml:space="preserve"> </w:t>
      </w:r>
      <w:r w:rsidRPr="007F1E30">
        <w:rPr>
          <w:rFonts w:ascii="Verdana" w:hAnsi="Verdana"/>
          <w:sz w:val="20"/>
          <w:szCs w:val="20"/>
        </w:rPr>
        <w:t>163 от Закона за горите, Лесотехническия университет и широк кръг заинтересовани страни.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>С приемането на предложените изменения и допълнения в наредбата ще се постигнат следните резултати:</w:t>
      </w:r>
    </w:p>
    <w:p w:rsidR="0013625F" w:rsidRPr="009E7C9F" w:rsidRDefault="009E7C9F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9E7C9F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 xml:space="preserve"> </w:t>
      </w:r>
      <w:r w:rsidR="0013625F" w:rsidRPr="009E7C9F">
        <w:rPr>
          <w:rFonts w:ascii="Verdana" w:hAnsi="Verdana"/>
          <w:sz w:val="20"/>
          <w:szCs w:val="20"/>
        </w:rPr>
        <w:t xml:space="preserve">Усъвършенстване на реда за провеждане на </w:t>
      </w:r>
      <w:proofErr w:type="spellStart"/>
      <w:r w:rsidR="0013625F" w:rsidRPr="009E7C9F">
        <w:rPr>
          <w:rFonts w:ascii="Verdana" w:hAnsi="Verdana"/>
          <w:sz w:val="20"/>
          <w:szCs w:val="20"/>
        </w:rPr>
        <w:t>сечите</w:t>
      </w:r>
      <w:proofErr w:type="spellEnd"/>
      <w:r w:rsidR="0013625F" w:rsidRPr="009E7C9F">
        <w:rPr>
          <w:rFonts w:ascii="Verdana" w:hAnsi="Verdana"/>
          <w:sz w:val="20"/>
          <w:szCs w:val="20"/>
        </w:rPr>
        <w:t xml:space="preserve"> в горите с цел подобряване на видовия състав, качеството на насажденията</w:t>
      </w:r>
      <w:r w:rsidR="00E23DE6" w:rsidRPr="009E7C9F">
        <w:rPr>
          <w:rFonts w:ascii="Verdana" w:hAnsi="Verdana"/>
          <w:sz w:val="20"/>
          <w:szCs w:val="20"/>
        </w:rPr>
        <w:t xml:space="preserve"> и тяхната механична стабилност;</w:t>
      </w:r>
    </w:p>
    <w:p w:rsidR="0013625F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>2. Подпомагане процеса на трансформация на структурата в насажд</w:t>
      </w:r>
      <w:r w:rsidR="00E23DE6">
        <w:rPr>
          <w:rFonts w:ascii="Verdana" w:hAnsi="Verdana"/>
          <w:sz w:val="20"/>
          <w:szCs w:val="20"/>
        </w:rPr>
        <w:t>енията, в които протичат процеси</w:t>
      </w:r>
      <w:r w:rsidRPr="007F1E30">
        <w:rPr>
          <w:rFonts w:ascii="Verdana" w:hAnsi="Verdana"/>
          <w:sz w:val="20"/>
          <w:szCs w:val="20"/>
        </w:rPr>
        <w:t xml:space="preserve"> на смяна на пион</w:t>
      </w:r>
      <w:r w:rsidR="00E23DE6">
        <w:rPr>
          <w:rFonts w:ascii="Verdana" w:hAnsi="Verdana"/>
          <w:sz w:val="20"/>
          <w:szCs w:val="20"/>
        </w:rPr>
        <w:t xml:space="preserve">ерни със </w:t>
      </w:r>
      <w:proofErr w:type="spellStart"/>
      <w:r w:rsidR="00E23DE6">
        <w:rPr>
          <w:rFonts w:ascii="Verdana" w:hAnsi="Verdana"/>
          <w:sz w:val="20"/>
          <w:szCs w:val="20"/>
        </w:rPr>
        <w:t>сенкоиздръжливи</w:t>
      </w:r>
      <w:proofErr w:type="spellEnd"/>
      <w:r w:rsidR="00E23DE6">
        <w:rPr>
          <w:rFonts w:ascii="Verdana" w:hAnsi="Verdana"/>
          <w:sz w:val="20"/>
          <w:szCs w:val="20"/>
        </w:rPr>
        <w:t xml:space="preserve"> видове;</w:t>
      </w:r>
    </w:p>
    <w:p w:rsidR="009E7C9F" w:rsidRPr="004E68E5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  <w:lang w:val="ru-RU"/>
        </w:rPr>
      </w:pPr>
      <w:r w:rsidRPr="007F1E30">
        <w:rPr>
          <w:rFonts w:ascii="Verdana" w:hAnsi="Verdana"/>
          <w:sz w:val="20"/>
          <w:szCs w:val="20"/>
        </w:rPr>
        <w:t>3. Създаване на условия за възстановяване на видове, чийто брой е незначителен в насаждението или вече не съществуват.</w:t>
      </w:r>
    </w:p>
    <w:p w:rsidR="0013625F" w:rsidRPr="007F1E30" w:rsidRDefault="00E23DE6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По-</w:t>
      </w:r>
      <w:r w:rsidR="0013625F" w:rsidRPr="007F1E30">
        <w:rPr>
          <w:rFonts w:ascii="Verdana" w:hAnsi="Verdana"/>
          <w:sz w:val="20"/>
          <w:szCs w:val="20"/>
        </w:rPr>
        <w:t>важните изменения и допълнения в наредбата са следните:</w:t>
      </w:r>
    </w:p>
    <w:p w:rsidR="0013625F" w:rsidRPr="009E7C9F" w:rsidRDefault="009E7C9F" w:rsidP="00A815B7">
      <w:pPr>
        <w:widowControl w:val="0"/>
        <w:spacing w:line="360" w:lineRule="auto"/>
        <w:ind w:firstLine="709"/>
        <w:jc w:val="both"/>
        <w:rPr>
          <w:rFonts w:ascii="Verdana" w:hAnsi="Verdana"/>
          <w:spacing w:val="-4"/>
          <w:sz w:val="20"/>
          <w:szCs w:val="20"/>
        </w:rPr>
      </w:pPr>
      <w:r w:rsidRPr="009E7C9F">
        <w:rPr>
          <w:rFonts w:ascii="Verdana" w:hAnsi="Verdana"/>
          <w:spacing w:val="-4"/>
          <w:sz w:val="20"/>
          <w:szCs w:val="20"/>
        </w:rPr>
        <w:t>1.</w:t>
      </w:r>
      <w:r>
        <w:rPr>
          <w:rFonts w:ascii="Verdana" w:hAnsi="Verdana"/>
          <w:spacing w:val="-4"/>
          <w:sz w:val="20"/>
          <w:szCs w:val="20"/>
        </w:rPr>
        <w:t xml:space="preserve"> </w:t>
      </w:r>
      <w:r w:rsidR="0013625F" w:rsidRPr="009E7C9F">
        <w:rPr>
          <w:rFonts w:ascii="Verdana" w:hAnsi="Verdana"/>
          <w:spacing w:val="-4"/>
          <w:sz w:val="20"/>
          <w:szCs w:val="20"/>
        </w:rPr>
        <w:t>В чл. 6 се създава ал. 6, която ще даде възможно</w:t>
      </w:r>
      <w:r w:rsidR="00E23DE6" w:rsidRPr="009E7C9F">
        <w:rPr>
          <w:rFonts w:ascii="Verdana" w:hAnsi="Verdana"/>
          <w:spacing w:val="-4"/>
          <w:sz w:val="20"/>
          <w:szCs w:val="20"/>
        </w:rPr>
        <w:t xml:space="preserve">ст да се планират и провеждат </w:t>
      </w:r>
      <w:proofErr w:type="spellStart"/>
      <w:r w:rsidR="00E23DE6" w:rsidRPr="009E7C9F">
        <w:rPr>
          <w:rFonts w:ascii="Verdana" w:hAnsi="Verdana"/>
          <w:spacing w:val="-4"/>
          <w:sz w:val="20"/>
          <w:szCs w:val="20"/>
        </w:rPr>
        <w:t>от</w:t>
      </w:r>
      <w:r w:rsidR="0013625F" w:rsidRPr="009E7C9F">
        <w:rPr>
          <w:rFonts w:ascii="Verdana" w:hAnsi="Verdana"/>
          <w:spacing w:val="-4"/>
          <w:sz w:val="20"/>
          <w:szCs w:val="20"/>
        </w:rPr>
        <w:t>гледни</w:t>
      </w:r>
      <w:proofErr w:type="spellEnd"/>
      <w:r w:rsidR="0013625F" w:rsidRPr="009E7C9F">
        <w:rPr>
          <w:rFonts w:ascii="Verdana" w:hAnsi="Verdana"/>
          <w:spacing w:val="-4"/>
          <w:sz w:val="20"/>
          <w:szCs w:val="20"/>
        </w:rPr>
        <w:t xml:space="preserve"> сечи в насаждения с неравномерна групова структура, в които общата пълнота на насаждението е под нормата за съответната сеч. В културите на много места се създадоха такива структури, след преминаването на вълната от корояди </w:t>
      </w:r>
      <w:r w:rsidR="0013625F" w:rsidRPr="009E7C9F">
        <w:rPr>
          <w:rFonts w:ascii="Verdana" w:hAnsi="Verdana"/>
          <w:spacing w:val="-4"/>
          <w:sz w:val="20"/>
          <w:szCs w:val="20"/>
        </w:rPr>
        <w:lastRenderedPageBreak/>
        <w:t xml:space="preserve">и повреди от </w:t>
      </w:r>
      <w:proofErr w:type="spellStart"/>
      <w:r w:rsidR="0013625F" w:rsidRPr="009E7C9F">
        <w:rPr>
          <w:rFonts w:ascii="Verdana" w:hAnsi="Verdana"/>
          <w:spacing w:val="-4"/>
          <w:sz w:val="20"/>
          <w:szCs w:val="20"/>
        </w:rPr>
        <w:t>абиотични</w:t>
      </w:r>
      <w:proofErr w:type="spellEnd"/>
      <w:r w:rsidR="0013625F" w:rsidRPr="009E7C9F">
        <w:rPr>
          <w:rFonts w:ascii="Verdana" w:hAnsi="Verdana"/>
          <w:spacing w:val="-4"/>
          <w:sz w:val="20"/>
          <w:szCs w:val="20"/>
        </w:rPr>
        <w:t xml:space="preserve"> фактори. Включването на предложения текст в наредбата ще позволи да се извеждат </w:t>
      </w:r>
      <w:proofErr w:type="spellStart"/>
      <w:r w:rsidR="0013625F" w:rsidRPr="009E7C9F">
        <w:rPr>
          <w:rFonts w:ascii="Verdana" w:hAnsi="Verdana"/>
          <w:spacing w:val="-4"/>
          <w:sz w:val="20"/>
          <w:szCs w:val="20"/>
        </w:rPr>
        <w:t>отгледни</w:t>
      </w:r>
      <w:proofErr w:type="spellEnd"/>
      <w:r w:rsidR="0013625F" w:rsidRPr="009E7C9F">
        <w:rPr>
          <w:rFonts w:ascii="Verdana" w:hAnsi="Verdana"/>
          <w:spacing w:val="-4"/>
          <w:sz w:val="20"/>
          <w:szCs w:val="20"/>
        </w:rPr>
        <w:t xml:space="preserve"> сечи в </w:t>
      </w:r>
      <w:r w:rsidR="00E23DE6" w:rsidRPr="009E7C9F">
        <w:rPr>
          <w:rFonts w:ascii="Verdana" w:hAnsi="Verdana"/>
          <w:spacing w:val="-4"/>
          <w:sz w:val="20"/>
          <w:szCs w:val="20"/>
        </w:rPr>
        <w:t xml:space="preserve">гъстите групи и пълнота </w:t>
      </w:r>
      <w:r w:rsidR="00B57958" w:rsidRPr="009E7C9F">
        <w:rPr>
          <w:rFonts w:ascii="Verdana" w:hAnsi="Verdana"/>
          <w:sz w:val="20"/>
          <w:szCs w:val="20"/>
        </w:rPr>
        <w:t xml:space="preserve">по-голяма от изискващата се за провеждане на съответната </w:t>
      </w:r>
      <w:proofErr w:type="spellStart"/>
      <w:r w:rsidR="00B57958" w:rsidRPr="009E7C9F">
        <w:rPr>
          <w:rFonts w:ascii="Verdana" w:hAnsi="Verdana"/>
          <w:sz w:val="20"/>
          <w:szCs w:val="20"/>
        </w:rPr>
        <w:t>отгледна</w:t>
      </w:r>
      <w:proofErr w:type="spellEnd"/>
      <w:r w:rsidR="00B57958" w:rsidRPr="009E7C9F">
        <w:rPr>
          <w:rFonts w:ascii="Verdana" w:hAnsi="Verdana"/>
          <w:sz w:val="20"/>
          <w:szCs w:val="20"/>
        </w:rPr>
        <w:t xml:space="preserve"> сеч</w:t>
      </w:r>
      <w:r w:rsidR="00E23DE6" w:rsidRPr="009E7C9F">
        <w:rPr>
          <w:rFonts w:ascii="Verdana" w:hAnsi="Verdana"/>
          <w:spacing w:val="-4"/>
          <w:sz w:val="20"/>
          <w:szCs w:val="20"/>
        </w:rPr>
        <w:t>;</w:t>
      </w:r>
    </w:p>
    <w:p w:rsidR="0013625F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 xml:space="preserve">2. </w:t>
      </w:r>
      <w:proofErr w:type="spellStart"/>
      <w:r w:rsidRPr="007F1E30">
        <w:rPr>
          <w:rFonts w:ascii="Verdana" w:hAnsi="Verdana"/>
          <w:sz w:val="20"/>
          <w:szCs w:val="20"/>
        </w:rPr>
        <w:t>Tерминът</w:t>
      </w:r>
      <w:proofErr w:type="spellEnd"/>
      <w:r w:rsidRPr="007F1E30">
        <w:rPr>
          <w:rFonts w:ascii="Verdana" w:hAnsi="Verdana"/>
          <w:sz w:val="20"/>
          <w:szCs w:val="20"/>
        </w:rPr>
        <w:t xml:space="preserve"> „механична устойчивост“ се заменя с „ме</w:t>
      </w:r>
      <w:r w:rsidR="00E23DE6">
        <w:rPr>
          <w:rFonts w:ascii="Verdana" w:hAnsi="Verdana"/>
          <w:sz w:val="20"/>
          <w:szCs w:val="20"/>
        </w:rPr>
        <w:t>ханична стабилност“, който е по-коректен;</w:t>
      </w:r>
      <w:r w:rsidRPr="007F1E30">
        <w:rPr>
          <w:rFonts w:ascii="Verdana" w:hAnsi="Verdana"/>
          <w:sz w:val="20"/>
          <w:szCs w:val="20"/>
        </w:rPr>
        <w:t xml:space="preserve"> 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F1E30">
        <w:rPr>
          <w:rFonts w:ascii="Verdana" w:hAnsi="Verdana"/>
          <w:sz w:val="20"/>
          <w:szCs w:val="20"/>
          <w:lang w:val="ru-RU"/>
        </w:rPr>
        <w:t xml:space="preserve">3. </w:t>
      </w:r>
      <w:r w:rsidR="00E23DE6">
        <w:rPr>
          <w:rFonts w:ascii="Verdana" w:hAnsi="Verdana"/>
          <w:sz w:val="20"/>
          <w:szCs w:val="20"/>
        </w:rPr>
        <w:t>В чл. 9, ал. 3 отпада думата „</w:t>
      </w:r>
      <w:proofErr w:type="spellStart"/>
      <w:r w:rsidRPr="007F1E30">
        <w:rPr>
          <w:rFonts w:ascii="Verdana" w:hAnsi="Verdana"/>
          <w:sz w:val="20"/>
          <w:szCs w:val="20"/>
        </w:rPr>
        <w:t>склопеност</w:t>
      </w:r>
      <w:proofErr w:type="spellEnd"/>
      <w:r w:rsidRPr="007F1E30">
        <w:rPr>
          <w:rFonts w:ascii="Verdana" w:hAnsi="Verdana"/>
          <w:sz w:val="20"/>
          <w:szCs w:val="20"/>
        </w:rPr>
        <w:t xml:space="preserve">“ защото </w:t>
      </w:r>
      <w:proofErr w:type="spellStart"/>
      <w:r w:rsidRPr="007F1E30">
        <w:rPr>
          <w:rFonts w:ascii="Verdana" w:hAnsi="Verdana"/>
          <w:sz w:val="20"/>
          <w:szCs w:val="20"/>
        </w:rPr>
        <w:t>склопеността</w:t>
      </w:r>
      <w:proofErr w:type="spellEnd"/>
      <w:r w:rsidRPr="007F1E30">
        <w:rPr>
          <w:rFonts w:ascii="Verdana" w:hAnsi="Verdana"/>
          <w:sz w:val="20"/>
          <w:szCs w:val="20"/>
        </w:rPr>
        <w:t xml:space="preserve"> не е определящ фактор при извеждане</w:t>
      </w:r>
      <w:r w:rsidR="00E23DE6">
        <w:rPr>
          <w:rFonts w:ascii="Verdana" w:hAnsi="Verdana"/>
          <w:sz w:val="20"/>
          <w:szCs w:val="20"/>
        </w:rPr>
        <w:t xml:space="preserve"> на</w:t>
      </w:r>
      <w:r w:rsidRPr="007F1E30">
        <w:rPr>
          <w:rFonts w:ascii="Verdana" w:hAnsi="Verdana"/>
          <w:sz w:val="20"/>
          <w:szCs w:val="20"/>
        </w:rPr>
        <w:t xml:space="preserve"> </w:t>
      </w:r>
      <w:proofErr w:type="spellStart"/>
      <w:r w:rsidRPr="007F1E30">
        <w:rPr>
          <w:rFonts w:ascii="Verdana" w:hAnsi="Verdana"/>
          <w:sz w:val="20"/>
          <w:szCs w:val="20"/>
        </w:rPr>
        <w:t>отгледните</w:t>
      </w:r>
      <w:proofErr w:type="spellEnd"/>
      <w:r w:rsidRPr="007F1E30">
        <w:rPr>
          <w:rFonts w:ascii="Verdana" w:hAnsi="Verdana"/>
          <w:sz w:val="20"/>
          <w:szCs w:val="20"/>
        </w:rPr>
        <w:t xml:space="preserve"> сечи. Целта на </w:t>
      </w:r>
      <w:proofErr w:type="spellStart"/>
      <w:r w:rsidRPr="007F1E30">
        <w:rPr>
          <w:rFonts w:ascii="Verdana" w:hAnsi="Verdana"/>
          <w:sz w:val="20"/>
          <w:szCs w:val="20"/>
        </w:rPr>
        <w:t>отгледните</w:t>
      </w:r>
      <w:proofErr w:type="spellEnd"/>
      <w:r w:rsidRPr="007F1E30">
        <w:rPr>
          <w:rFonts w:ascii="Verdana" w:hAnsi="Verdana"/>
          <w:sz w:val="20"/>
          <w:szCs w:val="20"/>
        </w:rPr>
        <w:t xml:space="preserve"> сечи е осигуряването на максимален прираст и скъсяване срока за производството. Тези две основни цели зависят от пълнотата на насажденията. </w:t>
      </w:r>
      <w:proofErr w:type="spellStart"/>
      <w:r w:rsidRPr="007F1E30">
        <w:rPr>
          <w:rFonts w:ascii="Verdana" w:hAnsi="Verdana"/>
          <w:sz w:val="20"/>
          <w:szCs w:val="20"/>
        </w:rPr>
        <w:t>Склопеността</w:t>
      </w:r>
      <w:proofErr w:type="spellEnd"/>
      <w:r w:rsidRPr="007F1E30">
        <w:rPr>
          <w:rFonts w:ascii="Verdana" w:hAnsi="Verdana"/>
          <w:sz w:val="20"/>
          <w:szCs w:val="20"/>
        </w:rPr>
        <w:t xml:space="preserve"> определя светлинния режим под </w:t>
      </w:r>
      <w:proofErr w:type="spellStart"/>
      <w:r w:rsidRPr="007F1E30">
        <w:rPr>
          <w:rFonts w:ascii="Verdana" w:hAnsi="Verdana"/>
          <w:sz w:val="20"/>
          <w:szCs w:val="20"/>
        </w:rPr>
        <w:t>склопа</w:t>
      </w:r>
      <w:proofErr w:type="spellEnd"/>
      <w:r w:rsidRPr="007F1E30">
        <w:rPr>
          <w:rFonts w:ascii="Verdana" w:hAnsi="Verdana"/>
          <w:sz w:val="20"/>
          <w:szCs w:val="20"/>
        </w:rPr>
        <w:t xml:space="preserve"> и има пряко отношение върху процеса на естествено възобновяване, което е определяща цел при извеж</w:t>
      </w:r>
      <w:r w:rsidR="00E23DE6">
        <w:rPr>
          <w:rFonts w:ascii="Verdana" w:hAnsi="Verdana"/>
          <w:sz w:val="20"/>
          <w:szCs w:val="20"/>
        </w:rPr>
        <w:t>дане на възобновителните сечи;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 xml:space="preserve">4. </w:t>
      </w:r>
      <w:r w:rsidR="009A0019">
        <w:rPr>
          <w:rFonts w:ascii="Verdana" w:hAnsi="Verdana"/>
          <w:sz w:val="20"/>
          <w:szCs w:val="20"/>
        </w:rPr>
        <w:t>В</w:t>
      </w:r>
      <w:r w:rsidRPr="007F1E30">
        <w:rPr>
          <w:rFonts w:ascii="Verdana" w:hAnsi="Verdana"/>
          <w:sz w:val="20"/>
          <w:szCs w:val="20"/>
        </w:rPr>
        <w:t xml:space="preserve"> чл. 24</w:t>
      </w:r>
      <w:r w:rsidR="009A0019">
        <w:rPr>
          <w:rFonts w:ascii="Verdana" w:hAnsi="Verdana"/>
          <w:sz w:val="20"/>
          <w:szCs w:val="20"/>
        </w:rPr>
        <w:t xml:space="preserve"> се прави нова редакция</w:t>
      </w:r>
      <w:r w:rsidRPr="007F1E30">
        <w:rPr>
          <w:rFonts w:ascii="Verdana" w:hAnsi="Verdana"/>
          <w:sz w:val="20"/>
          <w:szCs w:val="20"/>
        </w:rPr>
        <w:t>: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 xml:space="preserve">а/ </w:t>
      </w:r>
      <w:r w:rsidR="009A0019">
        <w:rPr>
          <w:rFonts w:ascii="Verdana" w:hAnsi="Verdana"/>
          <w:sz w:val="20"/>
          <w:szCs w:val="20"/>
        </w:rPr>
        <w:t>в</w:t>
      </w:r>
      <w:r w:rsidRPr="007F1E30">
        <w:rPr>
          <w:rFonts w:ascii="Verdana" w:hAnsi="Verdana"/>
          <w:sz w:val="20"/>
          <w:szCs w:val="20"/>
        </w:rPr>
        <w:t xml:space="preserve"> ал. 2 </w:t>
      </w:r>
      <w:r w:rsidR="009A0019">
        <w:rPr>
          <w:rFonts w:ascii="Verdana" w:hAnsi="Verdana"/>
          <w:sz w:val="20"/>
          <w:szCs w:val="20"/>
        </w:rPr>
        <w:t>се уреждат</w:t>
      </w:r>
      <w:r w:rsidRPr="007F1E30">
        <w:rPr>
          <w:rFonts w:ascii="Verdana" w:hAnsi="Verdana"/>
          <w:sz w:val="20"/>
          <w:szCs w:val="20"/>
        </w:rPr>
        <w:t xml:space="preserve"> </w:t>
      </w:r>
      <w:proofErr w:type="spellStart"/>
      <w:r w:rsidRPr="007F1E30">
        <w:rPr>
          <w:rFonts w:ascii="Verdana" w:hAnsi="Verdana"/>
          <w:sz w:val="20"/>
          <w:szCs w:val="20"/>
        </w:rPr>
        <w:t>сечите</w:t>
      </w:r>
      <w:proofErr w:type="spellEnd"/>
      <w:r w:rsidRPr="007F1E30">
        <w:rPr>
          <w:rFonts w:ascii="Verdana" w:hAnsi="Verdana"/>
          <w:sz w:val="20"/>
          <w:szCs w:val="20"/>
        </w:rPr>
        <w:t xml:space="preserve"> в букови насаждения</w:t>
      </w:r>
      <w:r w:rsidR="009A0019">
        <w:rPr>
          <w:rFonts w:ascii="Verdana" w:hAnsi="Verdana"/>
          <w:sz w:val="20"/>
          <w:szCs w:val="20"/>
        </w:rPr>
        <w:t>, а</w:t>
      </w:r>
      <w:r w:rsidRPr="007F1E30">
        <w:rPr>
          <w:rFonts w:ascii="Verdana" w:hAnsi="Verdana"/>
          <w:sz w:val="20"/>
          <w:szCs w:val="20"/>
        </w:rPr>
        <w:t xml:space="preserve"> </w:t>
      </w:r>
      <w:r w:rsidR="009A0019">
        <w:rPr>
          <w:rFonts w:ascii="Verdana" w:hAnsi="Verdana"/>
          <w:sz w:val="20"/>
          <w:szCs w:val="20"/>
        </w:rPr>
        <w:t>п</w:t>
      </w:r>
      <w:r w:rsidRPr="007F1E30">
        <w:rPr>
          <w:rFonts w:ascii="Verdana" w:hAnsi="Verdana"/>
          <w:sz w:val="20"/>
          <w:szCs w:val="20"/>
        </w:rPr>
        <w:t>оради спецификата при извеждане на сечта в букови насаждения е включен текст, конкретизир</w:t>
      </w:r>
      <w:r w:rsidR="00E23DE6">
        <w:rPr>
          <w:rFonts w:ascii="Verdana" w:hAnsi="Verdana"/>
          <w:sz w:val="20"/>
          <w:szCs w:val="20"/>
        </w:rPr>
        <w:t>ащ размера на отделното сечище;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 xml:space="preserve">б/ </w:t>
      </w:r>
      <w:r w:rsidR="009E7C9F">
        <w:rPr>
          <w:rFonts w:ascii="Verdana" w:hAnsi="Verdana"/>
          <w:sz w:val="20"/>
          <w:szCs w:val="20"/>
        </w:rPr>
        <w:t>в</w:t>
      </w:r>
      <w:r w:rsidRPr="007F1E30">
        <w:rPr>
          <w:rFonts w:ascii="Verdana" w:hAnsi="Verdana"/>
          <w:sz w:val="20"/>
          <w:szCs w:val="20"/>
        </w:rPr>
        <w:t xml:space="preserve"> ал. 3 максималната продължителност на </w:t>
      </w:r>
      <w:r w:rsidRPr="007F1E30">
        <w:rPr>
          <w:rStyle w:val="ala16"/>
          <w:rFonts w:ascii="Verdana" w:hAnsi="Verdana"/>
          <w:color w:val="000000"/>
          <w:sz w:val="20"/>
          <w:szCs w:val="20"/>
        </w:rPr>
        <w:t>възобновителният период се намалява от 20 на 15 годин</w:t>
      </w:r>
      <w:r w:rsidR="00E23DE6">
        <w:rPr>
          <w:rStyle w:val="ala16"/>
          <w:rFonts w:ascii="Verdana" w:hAnsi="Verdana"/>
          <w:color w:val="000000"/>
          <w:sz w:val="20"/>
          <w:szCs w:val="20"/>
        </w:rPr>
        <w:t>и;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7F1E30">
        <w:rPr>
          <w:rFonts w:ascii="Verdana" w:hAnsi="Verdana"/>
          <w:color w:val="000000"/>
          <w:sz w:val="20"/>
          <w:szCs w:val="20"/>
        </w:rPr>
        <w:t xml:space="preserve">в/ </w:t>
      </w:r>
      <w:proofErr w:type="spellStart"/>
      <w:r w:rsidR="009E7C9F">
        <w:rPr>
          <w:rFonts w:ascii="Verdana" w:hAnsi="Verdana"/>
          <w:color w:val="000000"/>
          <w:sz w:val="20"/>
          <w:szCs w:val="20"/>
        </w:rPr>
        <w:t>в</w:t>
      </w:r>
      <w:proofErr w:type="spellEnd"/>
      <w:r w:rsidR="000404DA">
        <w:rPr>
          <w:rFonts w:ascii="Verdana" w:hAnsi="Verdana"/>
          <w:color w:val="000000"/>
          <w:sz w:val="20"/>
          <w:szCs w:val="20"/>
        </w:rPr>
        <w:t xml:space="preserve"> ал. 6</w:t>
      </w:r>
      <w:r w:rsidRPr="007F1E30">
        <w:rPr>
          <w:rFonts w:ascii="Verdana" w:hAnsi="Verdana"/>
          <w:color w:val="000000"/>
          <w:sz w:val="20"/>
          <w:szCs w:val="20"/>
        </w:rPr>
        <w:t xml:space="preserve"> интензивността на сечта при осветителната фаза се увеличава от 30 на 50 %, </w:t>
      </w:r>
      <w:r w:rsidR="009A0019">
        <w:rPr>
          <w:rFonts w:ascii="Verdana" w:hAnsi="Verdana"/>
          <w:color w:val="000000"/>
          <w:sz w:val="20"/>
          <w:szCs w:val="20"/>
        </w:rPr>
        <w:t>като т</w:t>
      </w:r>
      <w:r w:rsidRPr="007F1E30">
        <w:rPr>
          <w:rFonts w:ascii="Verdana" w:hAnsi="Verdana"/>
          <w:color w:val="000000"/>
          <w:sz w:val="20"/>
          <w:szCs w:val="20"/>
        </w:rPr>
        <w:t>ова ще бъде предпоставка за създаването на благоприятни условия за възобновяване, преди извеждане на окончателната фа</w:t>
      </w:r>
      <w:r w:rsidR="00E23DE6">
        <w:rPr>
          <w:rFonts w:ascii="Verdana" w:hAnsi="Verdana"/>
          <w:color w:val="000000"/>
          <w:sz w:val="20"/>
          <w:szCs w:val="20"/>
        </w:rPr>
        <w:t>за;</w:t>
      </w:r>
    </w:p>
    <w:p w:rsidR="0013625F" w:rsidRPr="004E68E5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  <w:lang w:val="ru-RU"/>
        </w:rPr>
      </w:pPr>
      <w:r w:rsidRPr="007F1E30">
        <w:rPr>
          <w:rFonts w:ascii="Verdana" w:hAnsi="Verdana"/>
          <w:color w:val="000000"/>
          <w:sz w:val="20"/>
          <w:szCs w:val="20"/>
        </w:rPr>
        <w:t xml:space="preserve">г/ </w:t>
      </w:r>
      <w:r w:rsidR="009A0019">
        <w:rPr>
          <w:rFonts w:ascii="Verdana" w:hAnsi="Verdana"/>
          <w:color w:val="000000"/>
          <w:sz w:val="20"/>
          <w:szCs w:val="20"/>
        </w:rPr>
        <w:t xml:space="preserve">в ал. 9 </w:t>
      </w:r>
      <w:r w:rsidRPr="007F1E30">
        <w:rPr>
          <w:rFonts w:ascii="Verdana" w:hAnsi="Verdana"/>
          <w:color w:val="000000"/>
          <w:sz w:val="20"/>
          <w:szCs w:val="20"/>
        </w:rPr>
        <w:t>се дава възможност в насаждения с площ до 2 ха включително, краткосрочно-постепенната сеч д</w:t>
      </w:r>
      <w:r w:rsidR="00E23DE6">
        <w:rPr>
          <w:rFonts w:ascii="Verdana" w:hAnsi="Verdana"/>
          <w:color w:val="000000"/>
          <w:sz w:val="20"/>
          <w:szCs w:val="20"/>
        </w:rPr>
        <w:t>а се провежда върху цялата площ.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>5. Предложените изменения в чл. 25 са следните: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>а/</w:t>
      </w:r>
      <w:r w:rsidR="00E23DE6">
        <w:rPr>
          <w:rFonts w:ascii="Verdana" w:hAnsi="Verdana"/>
          <w:sz w:val="20"/>
          <w:szCs w:val="20"/>
        </w:rPr>
        <w:t xml:space="preserve"> </w:t>
      </w:r>
      <w:r w:rsidRPr="007F1E30">
        <w:rPr>
          <w:rFonts w:ascii="Verdana" w:hAnsi="Verdana"/>
          <w:sz w:val="20"/>
          <w:szCs w:val="20"/>
        </w:rPr>
        <w:t xml:space="preserve">с предложените изменения в ал. 2 и 3 </w:t>
      </w:r>
      <w:r w:rsidRPr="007F1E30">
        <w:rPr>
          <w:rFonts w:ascii="Verdana" w:hAnsi="Verdana"/>
          <w:color w:val="000000"/>
          <w:sz w:val="20"/>
          <w:szCs w:val="20"/>
        </w:rPr>
        <w:t xml:space="preserve">се цели да се намали </w:t>
      </w:r>
      <w:proofErr w:type="spellStart"/>
      <w:r w:rsidRPr="007F1E30">
        <w:rPr>
          <w:rFonts w:ascii="Verdana" w:hAnsi="Verdana"/>
          <w:color w:val="000000"/>
          <w:sz w:val="20"/>
          <w:szCs w:val="20"/>
        </w:rPr>
        <w:t>склопеността</w:t>
      </w:r>
      <w:proofErr w:type="spellEnd"/>
      <w:r w:rsidRPr="007F1E30">
        <w:rPr>
          <w:rFonts w:ascii="Verdana" w:hAnsi="Verdana"/>
          <w:color w:val="000000"/>
          <w:sz w:val="20"/>
          <w:szCs w:val="20"/>
        </w:rPr>
        <w:t xml:space="preserve"> с цел поява на естествено възобновяване. Изискванията на ал. 2 и а</w:t>
      </w:r>
      <w:r w:rsidR="00E23DE6">
        <w:rPr>
          <w:rFonts w:ascii="Verdana" w:hAnsi="Verdana"/>
          <w:color w:val="000000"/>
          <w:sz w:val="20"/>
          <w:szCs w:val="20"/>
        </w:rPr>
        <w:t>л. 3 се обединяват в нова ал. 2;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7F1E30">
        <w:rPr>
          <w:rFonts w:ascii="Verdana" w:hAnsi="Verdana"/>
          <w:color w:val="000000"/>
          <w:sz w:val="20"/>
          <w:szCs w:val="20"/>
        </w:rPr>
        <w:t xml:space="preserve">б/ предлага се нова ал. 4, съгласно която  площта на котела ще се определя в зависимост от средната височина на насаждението. Направеното предложение е с оглед различните регионални особености на видовете, което ще даде възможност да се съобрази фактор като светлината, който е основен за развитието на подраста при светлолюбивите видове. Дава се и възможност на </w:t>
      </w:r>
      <w:proofErr w:type="spellStart"/>
      <w:r w:rsidRPr="007F1E30">
        <w:rPr>
          <w:rFonts w:ascii="Verdana" w:hAnsi="Verdana"/>
          <w:color w:val="000000"/>
          <w:sz w:val="20"/>
          <w:szCs w:val="20"/>
        </w:rPr>
        <w:t>дървостоя</w:t>
      </w:r>
      <w:proofErr w:type="spellEnd"/>
      <w:r w:rsidRPr="007F1E30">
        <w:rPr>
          <w:rFonts w:ascii="Verdana" w:hAnsi="Verdana"/>
          <w:color w:val="000000"/>
          <w:sz w:val="20"/>
          <w:szCs w:val="20"/>
        </w:rPr>
        <w:t xml:space="preserve"> около прозорците да се изрежда. 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7F1E30">
        <w:rPr>
          <w:rFonts w:ascii="Verdana" w:hAnsi="Verdana"/>
          <w:color w:val="000000"/>
          <w:sz w:val="20"/>
          <w:szCs w:val="20"/>
        </w:rPr>
        <w:t xml:space="preserve">6. С измененията в чл. 26 се дава възможност групово-постепенната сеч да се провежда не само във </w:t>
      </w:r>
      <w:proofErr w:type="spellStart"/>
      <w:r w:rsidRPr="007F1E30">
        <w:rPr>
          <w:rFonts w:ascii="Verdana" w:hAnsi="Verdana"/>
          <w:color w:val="000000"/>
          <w:sz w:val="20"/>
          <w:szCs w:val="20"/>
        </w:rPr>
        <w:t>високостъблени</w:t>
      </w:r>
      <w:proofErr w:type="spellEnd"/>
      <w:r w:rsidRPr="007F1E30">
        <w:rPr>
          <w:rFonts w:ascii="Verdana" w:hAnsi="Verdana"/>
          <w:color w:val="000000"/>
          <w:sz w:val="20"/>
          <w:szCs w:val="20"/>
        </w:rPr>
        <w:t xml:space="preserve"> насаждения. Това ще позволи формиране и поддържане на неравномерна възрастова, хоризонтална и вертикална структура във всички насажден</w:t>
      </w:r>
      <w:r w:rsidR="00E23DE6">
        <w:rPr>
          <w:rFonts w:ascii="Verdana" w:hAnsi="Verdana"/>
          <w:color w:val="000000"/>
          <w:sz w:val="20"/>
          <w:szCs w:val="20"/>
        </w:rPr>
        <w:t>ия, където има условия за това.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>7. В чл. 27: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Style w:val="ala20"/>
          <w:rFonts w:ascii="Verdana" w:hAnsi="Verdana"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>а/</w:t>
      </w:r>
      <w:r w:rsidR="00E23DE6">
        <w:rPr>
          <w:rFonts w:ascii="Verdana" w:hAnsi="Verdana"/>
          <w:sz w:val="20"/>
          <w:szCs w:val="20"/>
        </w:rPr>
        <w:t xml:space="preserve"> </w:t>
      </w:r>
      <w:r w:rsidRPr="007F1E30">
        <w:rPr>
          <w:rFonts w:ascii="Verdana" w:hAnsi="Verdana"/>
          <w:sz w:val="20"/>
          <w:szCs w:val="20"/>
        </w:rPr>
        <w:t>в ал. 1 е</w:t>
      </w:r>
      <w:r w:rsidRPr="007F1E30">
        <w:rPr>
          <w:rFonts w:ascii="Verdana" w:hAnsi="Verdana"/>
          <w:sz w:val="20"/>
          <w:szCs w:val="20"/>
          <w:lang w:val="ru-RU"/>
        </w:rPr>
        <w:t xml:space="preserve"> </w:t>
      </w:r>
      <w:r w:rsidRPr="007F1E30">
        <w:rPr>
          <w:rFonts w:ascii="Verdana" w:hAnsi="Verdana"/>
          <w:sz w:val="20"/>
          <w:szCs w:val="20"/>
        </w:rPr>
        <w:t xml:space="preserve">включен възобновителен период за </w:t>
      </w:r>
      <w:proofErr w:type="spellStart"/>
      <w:r w:rsidRPr="007F1E30">
        <w:rPr>
          <w:rStyle w:val="ala20"/>
          <w:rFonts w:ascii="Verdana" w:hAnsi="Verdana"/>
          <w:sz w:val="20"/>
          <w:szCs w:val="20"/>
        </w:rPr>
        <w:t>издънковите</w:t>
      </w:r>
      <w:proofErr w:type="spellEnd"/>
      <w:r w:rsidRPr="007F1E30">
        <w:rPr>
          <w:rStyle w:val="ala20"/>
          <w:rFonts w:ascii="Verdana" w:hAnsi="Verdana"/>
          <w:sz w:val="20"/>
          <w:szCs w:val="20"/>
        </w:rPr>
        <w:t xml:space="preserve"> светлолюбиви дървесни </w:t>
      </w:r>
      <w:r w:rsidR="00E23DE6">
        <w:rPr>
          <w:rStyle w:val="ala20"/>
          <w:rFonts w:ascii="Verdana" w:hAnsi="Verdana"/>
          <w:sz w:val="20"/>
          <w:szCs w:val="20"/>
        </w:rPr>
        <w:t>видове не по-малък от 25 години;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7F1E30">
        <w:rPr>
          <w:rStyle w:val="ala20"/>
          <w:rFonts w:ascii="Verdana" w:hAnsi="Verdana"/>
          <w:sz w:val="20"/>
          <w:szCs w:val="20"/>
        </w:rPr>
        <w:t>б/ в ал. 2 се включва единен технологичен план. Н</w:t>
      </w:r>
      <w:r w:rsidRPr="007F1E30">
        <w:rPr>
          <w:rFonts w:ascii="Verdana" w:hAnsi="Verdana"/>
          <w:color w:val="000000"/>
          <w:sz w:val="20"/>
          <w:szCs w:val="20"/>
        </w:rPr>
        <w:t xml:space="preserve">аличието на обща граница </w:t>
      </w:r>
      <w:r w:rsidRPr="007F1E30">
        <w:rPr>
          <w:rFonts w:ascii="Verdana" w:hAnsi="Verdana"/>
          <w:color w:val="000000"/>
          <w:sz w:val="20"/>
          <w:szCs w:val="20"/>
        </w:rPr>
        <w:lastRenderedPageBreak/>
        <w:t>на насажденията е основата за това групиране. Единният технологичен план ще позволи да се види наличието на отделните участъци по ал. 3 в цялата група насаждения, защото е възможно в отделното насаждение да има само един вид от участъците по ал.</w:t>
      </w:r>
      <w:r w:rsidR="00E23DE6">
        <w:rPr>
          <w:rFonts w:ascii="Verdana" w:hAnsi="Verdana"/>
          <w:color w:val="000000"/>
          <w:sz w:val="20"/>
          <w:szCs w:val="20"/>
        </w:rPr>
        <w:t xml:space="preserve"> </w:t>
      </w:r>
      <w:r w:rsidRPr="007F1E30">
        <w:rPr>
          <w:rFonts w:ascii="Verdana" w:hAnsi="Verdana"/>
          <w:color w:val="000000"/>
          <w:sz w:val="20"/>
          <w:szCs w:val="20"/>
        </w:rPr>
        <w:t>3.</w:t>
      </w:r>
      <w:r w:rsidR="00E23DE6">
        <w:rPr>
          <w:rFonts w:ascii="Verdana" w:hAnsi="Verdana"/>
          <w:color w:val="000000"/>
          <w:sz w:val="20"/>
          <w:szCs w:val="20"/>
        </w:rPr>
        <w:t xml:space="preserve"> </w:t>
      </w:r>
      <w:r w:rsidRPr="007F1E30">
        <w:rPr>
          <w:rFonts w:ascii="Verdana" w:hAnsi="Verdana"/>
          <w:color w:val="000000"/>
          <w:sz w:val="20"/>
          <w:szCs w:val="20"/>
        </w:rPr>
        <w:t>Включен е термина групи от насаждения. Коригирана е площта за извеждане на сечта от 5 на 10 ха, с цел оптимизиране на резултата. Отразяването на тези участъци на скици още при маркирането е важно за планиране на технологията, която ще се прил</w:t>
      </w:r>
      <w:r w:rsidR="00E23DE6">
        <w:rPr>
          <w:rFonts w:ascii="Verdana" w:hAnsi="Verdana"/>
          <w:color w:val="000000"/>
          <w:sz w:val="20"/>
          <w:szCs w:val="20"/>
        </w:rPr>
        <w:t>ага за усвояване на дървесината;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7F1E30">
        <w:rPr>
          <w:rFonts w:ascii="Verdana" w:hAnsi="Verdana"/>
          <w:color w:val="000000"/>
          <w:sz w:val="20"/>
          <w:szCs w:val="20"/>
        </w:rPr>
        <w:t>8. В чл. 32, ал. 6 ивица</w:t>
      </w:r>
      <w:r w:rsidR="009B7ED6">
        <w:rPr>
          <w:rFonts w:ascii="Verdana" w:hAnsi="Verdana"/>
          <w:color w:val="000000"/>
          <w:sz w:val="20"/>
          <w:szCs w:val="20"/>
        </w:rPr>
        <w:t>та</w:t>
      </w:r>
      <w:r w:rsidRPr="007F1E30">
        <w:rPr>
          <w:rFonts w:ascii="Verdana" w:hAnsi="Verdana"/>
          <w:color w:val="000000"/>
          <w:sz w:val="20"/>
          <w:szCs w:val="20"/>
        </w:rPr>
        <w:t xml:space="preserve"> между </w:t>
      </w:r>
      <w:proofErr w:type="spellStart"/>
      <w:r w:rsidRPr="007F1E30">
        <w:rPr>
          <w:rFonts w:ascii="Verdana" w:hAnsi="Verdana"/>
          <w:color w:val="000000"/>
          <w:sz w:val="20"/>
          <w:szCs w:val="20"/>
        </w:rPr>
        <w:t>площните</w:t>
      </w:r>
      <w:proofErr w:type="spellEnd"/>
      <w:r w:rsidRPr="007F1E30">
        <w:rPr>
          <w:rFonts w:ascii="Verdana" w:hAnsi="Verdana"/>
          <w:color w:val="000000"/>
          <w:sz w:val="20"/>
          <w:szCs w:val="20"/>
        </w:rPr>
        <w:t xml:space="preserve"> сечища с широчина не по-малка от 20 м., се коригира, </w:t>
      </w:r>
      <w:r w:rsidR="009B7ED6">
        <w:rPr>
          <w:rFonts w:ascii="Verdana" w:hAnsi="Verdana"/>
          <w:color w:val="000000"/>
          <w:sz w:val="20"/>
          <w:szCs w:val="20"/>
        </w:rPr>
        <w:t xml:space="preserve">като се въвежда изискването за </w:t>
      </w:r>
      <w:r w:rsidRPr="007F1E30">
        <w:rPr>
          <w:rFonts w:ascii="Verdana" w:hAnsi="Verdana"/>
          <w:color w:val="000000"/>
          <w:sz w:val="20"/>
          <w:szCs w:val="20"/>
        </w:rPr>
        <w:t>широчина не по-малка от два пъти височин</w:t>
      </w:r>
      <w:r w:rsidR="009B7ED6">
        <w:rPr>
          <w:rFonts w:ascii="Verdana" w:hAnsi="Verdana"/>
          <w:color w:val="000000"/>
          <w:sz w:val="20"/>
          <w:szCs w:val="20"/>
        </w:rPr>
        <w:t xml:space="preserve">ата на </w:t>
      </w:r>
      <w:proofErr w:type="spellStart"/>
      <w:r w:rsidR="009B7ED6">
        <w:rPr>
          <w:rFonts w:ascii="Verdana" w:hAnsi="Verdana"/>
          <w:color w:val="000000"/>
          <w:sz w:val="20"/>
          <w:szCs w:val="20"/>
        </w:rPr>
        <w:t>дървостоя</w:t>
      </w:r>
      <w:proofErr w:type="spellEnd"/>
      <w:r w:rsidR="009B7ED6">
        <w:rPr>
          <w:rFonts w:ascii="Verdana" w:hAnsi="Verdana"/>
          <w:color w:val="000000"/>
          <w:sz w:val="20"/>
          <w:szCs w:val="20"/>
        </w:rPr>
        <w:t>. Т</w:t>
      </w:r>
      <w:r w:rsidRPr="007F1E30">
        <w:rPr>
          <w:rFonts w:ascii="Verdana" w:hAnsi="Verdana"/>
          <w:color w:val="000000"/>
          <w:sz w:val="20"/>
          <w:szCs w:val="20"/>
        </w:rPr>
        <w:t xml:space="preserve">ази корекция </w:t>
      </w:r>
      <w:r w:rsidR="009B7ED6">
        <w:rPr>
          <w:rFonts w:ascii="Verdana" w:hAnsi="Verdana"/>
          <w:color w:val="000000"/>
          <w:sz w:val="20"/>
          <w:szCs w:val="20"/>
        </w:rPr>
        <w:t>се съобразява</w:t>
      </w:r>
      <w:r w:rsidRPr="007F1E30">
        <w:rPr>
          <w:rFonts w:ascii="Verdana" w:hAnsi="Verdana"/>
          <w:color w:val="000000"/>
          <w:sz w:val="20"/>
          <w:szCs w:val="20"/>
        </w:rPr>
        <w:t xml:space="preserve"> със спецификат</w:t>
      </w:r>
      <w:r w:rsidR="009B7ED6">
        <w:rPr>
          <w:rFonts w:ascii="Verdana" w:hAnsi="Verdana"/>
          <w:color w:val="000000"/>
          <w:sz w:val="20"/>
          <w:szCs w:val="20"/>
        </w:rPr>
        <w:t>а на различните дървесни видове;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>9. С изменението в чл. 35, който регламентира принудителните сечи, се въвежда изключение. Редът за провеждане на тези сечи няма да се</w:t>
      </w:r>
      <w:r w:rsidRPr="007F1E30">
        <w:rPr>
          <w:rFonts w:ascii="Verdana" w:hAnsi="Verdana"/>
          <w:color w:val="000000"/>
          <w:sz w:val="20"/>
          <w:szCs w:val="20"/>
        </w:rPr>
        <w:t xml:space="preserve"> прилага за зрели насаждения с планирани и нереализирани възобновителни сечи, както и в насажденията от изборния стопански клас. В действащата в момента наредба, одобряването на принудителни и санитарни</w:t>
      </w:r>
      <w:r w:rsidR="009B7ED6">
        <w:rPr>
          <w:rFonts w:ascii="Verdana" w:hAnsi="Verdana"/>
          <w:color w:val="000000"/>
          <w:sz w:val="20"/>
          <w:szCs w:val="20"/>
        </w:rPr>
        <w:t xml:space="preserve"> сечи става с предписание от Регионалните дирекции по горите,</w:t>
      </w:r>
      <w:r w:rsidRPr="007F1E30">
        <w:rPr>
          <w:rFonts w:ascii="Verdana" w:hAnsi="Verdana"/>
          <w:color w:val="000000"/>
          <w:sz w:val="20"/>
          <w:szCs w:val="20"/>
        </w:rPr>
        <w:t xml:space="preserve"> като процедурата е изключително облекчена и не </w:t>
      </w:r>
      <w:r w:rsidR="009B7ED6">
        <w:rPr>
          <w:rFonts w:ascii="Verdana" w:hAnsi="Verdana"/>
          <w:color w:val="000000"/>
          <w:sz w:val="20"/>
          <w:szCs w:val="20"/>
        </w:rPr>
        <w:t>подлежи на никакво съгласуване;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>10. В чл.</w:t>
      </w:r>
      <w:r w:rsidR="0007193F" w:rsidRPr="004E68E5">
        <w:rPr>
          <w:rFonts w:ascii="Verdana" w:hAnsi="Verdana"/>
          <w:sz w:val="20"/>
          <w:szCs w:val="20"/>
          <w:lang w:val="ru-RU"/>
        </w:rPr>
        <w:t xml:space="preserve"> </w:t>
      </w:r>
      <w:r w:rsidR="009E7C9F">
        <w:rPr>
          <w:rFonts w:ascii="Verdana" w:hAnsi="Verdana"/>
          <w:sz w:val="20"/>
          <w:szCs w:val="20"/>
        </w:rPr>
        <w:t>36: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7F1E30">
        <w:rPr>
          <w:rFonts w:ascii="Verdana" w:hAnsi="Verdana"/>
          <w:color w:val="000000"/>
          <w:sz w:val="20"/>
          <w:szCs w:val="20"/>
        </w:rPr>
        <w:t>а/</w:t>
      </w:r>
      <w:r w:rsidR="009B7ED6">
        <w:rPr>
          <w:rFonts w:ascii="Verdana" w:hAnsi="Verdana"/>
          <w:color w:val="000000"/>
          <w:sz w:val="20"/>
          <w:szCs w:val="20"/>
        </w:rPr>
        <w:t xml:space="preserve"> </w:t>
      </w:r>
      <w:r w:rsidRPr="007F1E30">
        <w:rPr>
          <w:rFonts w:ascii="Verdana" w:hAnsi="Verdana"/>
          <w:color w:val="000000"/>
          <w:sz w:val="20"/>
          <w:szCs w:val="20"/>
        </w:rPr>
        <w:t>в ал. 1, т. 7 отпада думата „трайни“ от разпоредбата за провеждане на сечи за просветляване на горски пътища. Голяма част от горските пътища, които служат за транспорт на дървесина не попадат в категорията трайни и този запис ограничав</w:t>
      </w:r>
      <w:r w:rsidR="009B7ED6">
        <w:rPr>
          <w:rFonts w:ascii="Verdana" w:hAnsi="Verdana"/>
          <w:color w:val="000000"/>
          <w:sz w:val="20"/>
          <w:szCs w:val="20"/>
        </w:rPr>
        <w:t>а приложението на сечта при тях;</w:t>
      </w:r>
      <w:r w:rsidRPr="007F1E30">
        <w:rPr>
          <w:rFonts w:ascii="Verdana" w:hAnsi="Verdana"/>
          <w:color w:val="000000"/>
          <w:sz w:val="20"/>
          <w:szCs w:val="20"/>
        </w:rPr>
        <w:t xml:space="preserve"> 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7F1E30">
        <w:rPr>
          <w:rFonts w:ascii="Verdana" w:hAnsi="Verdana"/>
          <w:color w:val="000000"/>
          <w:sz w:val="20"/>
          <w:szCs w:val="20"/>
        </w:rPr>
        <w:t>б/ в ал. 3 се прибавя нова т.</w:t>
      </w:r>
      <w:r w:rsidR="009B7ED6">
        <w:rPr>
          <w:rFonts w:ascii="Verdana" w:hAnsi="Verdana"/>
          <w:color w:val="000000"/>
          <w:sz w:val="20"/>
          <w:szCs w:val="20"/>
        </w:rPr>
        <w:t xml:space="preserve"> </w:t>
      </w:r>
      <w:r w:rsidRPr="007F1E30">
        <w:rPr>
          <w:rFonts w:ascii="Verdana" w:hAnsi="Verdana"/>
          <w:color w:val="000000"/>
          <w:sz w:val="20"/>
          <w:szCs w:val="20"/>
        </w:rPr>
        <w:t xml:space="preserve">4, като се добавят „пояси с преобладаващ дървесен вид от ясен, с </w:t>
      </w:r>
      <w:proofErr w:type="spellStart"/>
      <w:r w:rsidRPr="007F1E30">
        <w:rPr>
          <w:rFonts w:ascii="Verdana" w:hAnsi="Verdana"/>
          <w:color w:val="000000"/>
          <w:sz w:val="20"/>
          <w:szCs w:val="20"/>
        </w:rPr>
        <w:t>издънков</w:t>
      </w:r>
      <w:proofErr w:type="spellEnd"/>
      <w:r w:rsidRPr="007F1E30">
        <w:rPr>
          <w:rFonts w:ascii="Verdana" w:hAnsi="Verdana"/>
          <w:color w:val="000000"/>
          <w:sz w:val="20"/>
          <w:szCs w:val="20"/>
        </w:rPr>
        <w:t xml:space="preserve"> произход на възраст над 30 години“. Допълнението е направено поради наличието на полезащитните горски пояси</w:t>
      </w:r>
      <w:r w:rsidRPr="007F1E30">
        <w:rPr>
          <w:rFonts w:ascii="Verdana" w:hAnsi="Verdana"/>
          <w:sz w:val="20"/>
          <w:szCs w:val="20"/>
        </w:rPr>
        <w:t xml:space="preserve"> </w:t>
      </w:r>
      <w:r w:rsidRPr="007F1E30">
        <w:rPr>
          <w:rFonts w:ascii="Verdana" w:hAnsi="Verdana"/>
          <w:color w:val="000000"/>
          <w:sz w:val="20"/>
          <w:szCs w:val="20"/>
        </w:rPr>
        <w:t xml:space="preserve">с преобладаващи вид ясен, с </w:t>
      </w:r>
      <w:proofErr w:type="spellStart"/>
      <w:r w:rsidRPr="007F1E30">
        <w:rPr>
          <w:rFonts w:ascii="Verdana" w:hAnsi="Verdana"/>
          <w:color w:val="000000"/>
          <w:sz w:val="20"/>
          <w:szCs w:val="20"/>
        </w:rPr>
        <w:t>издънков</w:t>
      </w:r>
      <w:proofErr w:type="spellEnd"/>
      <w:r w:rsidRPr="007F1E30">
        <w:rPr>
          <w:rFonts w:ascii="Verdana" w:hAnsi="Verdana"/>
          <w:color w:val="000000"/>
          <w:sz w:val="20"/>
          <w:szCs w:val="20"/>
        </w:rPr>
        <w:t xml:space="preserve"> произход с възраст над 30 год</w:t>
      </w:r>
      <w:r w:rsidR="009B7ED6">
        <w:rPr>
          <w:rFonts w:ascii="Verdana" w:hAnsi="Verdana"/>
          <w:color w:val="000000"/>
          <w:sz w:val="20"/>
          <w:szCs w:val="20"/>
        </w:rPr>
        <w:t>ини и лошото състояние на места;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7F1E30">
        <w:rPr>
          <w:rFonts w:ascii="Verdana" w:hAnsi="Verdana"/>
          <w:color w:val="000000"/>
          <w:sz w:val="20"/>
          <w:szCs w:val="20"/>
        </w:rPr>
        <w:t xml:space="preserve">в/ </w:t>
      </w:r>
      <w:proofErr w:type="spellStart"/>
      <w:r w:rsidRPr="007F1E30">
        <w:rPr>
          <w:rFonts w:ascii="Verdana" w:hAnsi="Verdana"/>
          <w:color w:val="000000"/>
          <w:sz w:val="20"/>
          <w:szCs w:val="20"/>
        </w:rPr>
        <w:t>в</w:t>
      </w:r>
      <w:proofErr w:type="spellEnd"/>
      <w:r w:rsidRPr="007F1E30">
        <w:rPr>
          <w:rFonts w:ascii="Verdana" w:hAnsi="Verdana"/>
          <w:color w:val="000000"/>
          <w:sz w:val="20"/>
          <w:szCs w:val="20"/>
        </w:rPr>
        <w:t xml:space="preserve"> ал. 5 се регламентира, че </w:t>
      </w:r>
      <w:proofErr w:type="spellStart"/>
      <w:r w:rsidRPr="007F1E30">
        <w:rPr>
          <w:rFonts w:ascii="Verdana" w:hAnsi="Verdana"/>
          <w:color w:val="000000"/>
          <w:sz w:val="20"/>
          <w:szCs w:val="20"/>
        </w:rPr>
        <w:t>сечите</w:t>
      </w:r>
      <w:proofErr w:type="spellEnd"/>
      <w:r w:rsidRPr="007F1E30">
        <w:rPr>
          <w:rFonts w:ascii="Verdana" w:hAnsi="Verdana"/>
          <w:color w:val="000000"/>
          <w:sz w:val="20"/>
          <w:szCs w:val="20"/>
        </w:rPr>
        <w:t xml:space="preserve"> за просветляване на горски пътища не се прилагат за тракторни и коларски горски пътища. Поради необходимостта от конкретизиране на случаите за провеждането на сечи за просветляване на горски пътища, се пояснява, че при временните горски пътища (каквито са тракторни и коларски), тези сечи  не се прилагат.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 xml:space="preserve">11. Измененията в раздел </w:t>
      </w:r>
      <w:r w:rsidRPr="007F1E30">
        <w:rPr>
          <w:rFonts w:ascii="Verdana" w:hAnsi="Verdana"/>
          <w:sz w:val="20"/>
          <w:szCs w:val="20"/>
          <w:lang w:val="en-US"/>
        </w:rPr>
        <w:t>IV</w:t>
      </w:r>
      <w:r w:rsidRPr="007F1E30">
        <w:rPr>
          <w:rFonts w:ascii="Verdana" w:hAnsi="Verdana"/>
          <w:sz w:val="20"/>
          <w:szCs w:val="20"/>
        </w:rPr>
        <w:t xml:space="preserve"> „Трансформация на горските насаждения“ дават възможност за водене на сечи за трансформация на структурата в насаждения, в които протичат процеси на смяна на пион</w:t>
      </w:r>
      <w:r w:rsidR="009B7ED6">
        <w:rPr>
          <w:rFonts w:ascii="Verdana" w:hAnsi="Verdana"/>
          <w:sz w:val="20"/>
          <w:szCs w:val="20"/>
        </w:rPr>
        <w:t xml:space="preserve">ерни със </w:t>
      </w:r>
      <w:proofErr w:type="spellStart"/>
      <w:r w:rsidR="009B7ED6">
        <w:rPr>
          <w:rFonts w:ascii="Verdana" w:hAnsi="Verdana"/>
          <w:sz w:val="20"/>
          <w:szCs w:val="20"/>
        </w:rPr>
        <w:t>сенкоиздръжливи</w:t>
      </w:r>
      <w:proofErr w:type="spellEnd"/>
      <w:r w:rsidR="009B7ED6">
        <w:rPr>
          <w:rFonts w:ascii="Verdana" w:hAnsi="Verdana"/>
          <w:sz w:val="20"/>
          <w:szCs w:val="20"/>
        </w:rPr>
        <w:t xml:space="preserve"> видове;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7F1E30">
        <w:rPr>
          <w:rFonts w:ascii="Verdana" w:hAnsi="Verdana"/>
          <w:color w:val="000000"/>
          <w:sz w:val="20"/>
          <w:szCs w:val="20"/>
        </w:rPr>
        <w:t>12. Създава се чл.</w:t>
      </w:r>
      <w:r w:rsidR="009B7ED6">
        <w:rPr>
          <w:rFonts w:ascii="Verdana" w:hAnsi="Verdana"/>
          <w:color w:val="000000"/>
          <w:sz w:val="20"/>
          <w:szCs w:val="20"/>
        </w:rPr>
        <w:t xml:space="preserve"> </w:t>
      </w:r>
      <w:r w:rsidRPr="007F1E30">
        <w:rPr>
          <w:rFonts w:ascii="Verdana" w:hAnsi="Verdana"/>
          <w:color w:val="000000"/>
          <w:sz w:val="20"/>
          <w:szCs w:val="20"/>
        </w:rPr>
        <w:t>44а, с който се въвежда задължение за оценка на възобнов</w:t>
      </w:r>
      <w:r w:rsidR="0007193F">
        <w:rPr>
          <w:rFonts w:ascii="Verdana" w:hAnsi="Verdana"/>
          <w:color w:val="000000"/>
          <w:sz w:val="20"/>
          <w:szCs w:val="20"/>
        </w:rPr>
        <w:t>яването и развитието на подраст</w:t>
      </w:r>
      <w:r w:rsidRPr="007F1E30">
        <w:rPr>
          <w:rFonts w:ascii="Verdana" w:hAnsi="Verdana"/>
          <w:color w:val="000000"/>
          <w:sz w:val="20"/>
          <w:szCs w:val="20"/>
        </w:rPr>
        <w:t xml:space="preserve">а на освободените площи над 0.1 ха след извеждане на санитарни и принудителни сечи, както и на възобновените участъци при водене на възобновителни сечи с цел постоянен мониторинг на процесите на възобновяване и развитие на след извеждане на </w:t>
      </w:r>
      <w:proofErr w:type="spellStart"/>
      <w:r w:rsidRPr="007F1E30">
        <w:rPr>
          <w:rFonts w:ascii="Verdana" w:hAnsi="Verdana"/>
          <w:color w:val="000000"/>
          <w:sz w:val="20"/>
          <w:szCs w:val="20"/>
        </w:rPr>
        <w:t>сечите</w:t>
      </w:r>
      <w:proofErr w:type="spellEnd"/>
      <w:r w:rsidRPr="007F1E30">
        <w:rPr>
          <w:rFonts w:ascii="Verdana" w:hAnsi="Verdana"/>
          <w:color w:val="000000"/>
          <w:sz w:val="20"/>
          <w:szCs w:val="20"/>
        </w:rPr>
        <w:t xml:space="preserve">. Съгласно действащата </w:t>
      </w:r>
      <w:r w:rsidRPr="007F1E30">
        <w:rPr>
          <w:rFonts w:ascii="Verdana" w:hAnsi="Verdana"/>
          <w:color w:val="000000"/>
          <w:sz w:val="20"/>
          <w:szCs w:val="20"/>
        </w:rPr>
        <w:lastRenderedPageBreak/>
        <w:t>нормативна уредба всички залесени площи подлежат на инвентаризация до 3 години от създаването им, а възобновените участъци в насажденията не подлежат на никакво наблюдение. С въвеждането на системата</w:t>
      </w:r>
      <w:r w:rsidR="0007193F">
        <w:rPr>
          <w:rFonts w:ascii="Verdana" w:hAnsi="Verdana"/>
          <w:color w:val="000000"/>
          <w:sz w:val="20"/>
          <w:szCs w:val="20"/>
        </w:rPr>
        <w:t xml:space="preserve"> за оценка и отчитане на степен</w:t>
      </w:r>
      <w:r w:rsidRPr="007F1E30">
        <w:rPr>
          <w:rFonts w:ascii="Verdana" w:hAnsi="Verdana"/>
          <w:color w:val="000000"/>
          <w:sz w:val="20"/>
          <w:szCs w:val="20"/>
        </w:rPr>
        <w:t xml:space="preserve">та на възобновяване на площите ще може да се получи адекватна оценка за постигнатите със </w:t>
      </w:r>
      <w:proofErr w:type="spellStart"/>
      <w:r w:rsidRPr="007F1E30">
        <w:rPr>
          <w:rFonts w:ascii="Verdana" w:hAnsi="Verdana"/>
          <w:color w:val="000000"/>
          <w:sz w:val="20"/>
          <w:szCs w:val="20"/>
        </w:rPr>
        <w:t>сечите</w:t>
      </w:r>
      <w:proofErr w:type="spellEnd"/>
      <w:r w:rsidRPr="007F1E30">
        <w:rPr>
          <w:rFonts w:ascii="Verdana" w:hAnsi="Verdana"/>
          <w:color w:val="000000"/>
          <w:sz w:val="20"/>
          <w:szCs w:val="20"/>
        </w:rPr>
        <w:t xml:space="preserve"> резултати и да се планират мероприятия за подобряване на видовия състав и качество </w:t>
      </w:r>
      <w:r w:rsidR="009B7ED6">
        <w:rPr>
          <w:rFonts w:ascii="Verdana" w:hAnsi="Verdana"/>
          <w:color w:val="000000"/>
          <w:sz w:val="20"/>
          <w:szCs w:val="20"/>
        </w:rPr>
        <w:t>на насажденията;</w:t>
      </w:r>
      <w:r w:rsidRPr="007F1E30">
        <w:rPr>
          <w:rFonts w:ascii="Verdana" w:hAnsi="Verdana"/>
          <w:color w:val="000000"/>
          <w:sz w:val="20"/>
          <w:szCs w:val="20"/>
        </w:rPr>
        <w:t xml:space="preserve">  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>13. В чл. 48 се въвежда</w:t>
      </w:r>
      <w:r w:rsidRPr="007F1E30">
        <w:rPr>
          <w:rFonts w:ascii="Verdana" w:hAnsi="Verdana"/>
          <w:color w:val="000000"/>
          <w:sz w:val="20"/>
          <w:szCs w:val="20"/>
        </w:rPr>
        <w:t xml:space="preserve"> нов начин за почистване на сечищата чрез раздробяване на вършината</w:t>
      </w:r>
      <w:r w:rsidR="009B7ED6">
        <w:rPr>
          <w:rFonts w:ascii="Verdana" w:hAnsi="Verdana"/>
          <w:color w:val="000000"/>
          <w:sz w:val="20"/>
          <w:szCs w:val="20"/>
        </w:rPr>
        <w:t>, което</w:t>
      </w:r>
      <w:r w:rsidRPr="007F1E30">
        <w:rPr>
          <w:rFonts w:ascii="Verdana" w:hAnsi="Verdana"/>
          <w:color w:val="000000"/>
          <w:sz w:val="20"/>
          <w:szCs w:val="20"/>
        </w:rPr>
        <w:t xml:space="preserve"> съществува при меха</w:t>
      </w:r>
      <w:r w:rsidR="009B7ED6">
        <w:rPr>
          <w:rFonts w:ascii="Verdana" w:hAnsi="Verdana"/>
          <w:color w:val="000000"/>
          <w:sz w:val="20"/>
          <w:szCs w:val="20"/>
        </w:rPr>
        <w:t>низираното почистване на сечища;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7F1E30">
        <w:rPr>
          <w:rFonts w:ascii="Verdana" w:hAnsi="Verdana"/>
          <w:color w:val="000000"/>
          <w:sz w:val="20"/>
          <w:szCs w:val="20"/>
        </w:rPr>
        <w:t xml:space="preserve">14. Член 50, ал. 15 се допълва, като се посочва изрично кой одобрява карнет-описите за горите собственост на физически и юридически лица, което липсва в </w:t>
      </w:r>
      <w:r w:rsidR="009B7ED6">
        <w:rPr>
          <w:rFonts w:ascii="Verdana" w:hAnsi="Verdana"/>
          <w:color w:val="000000"/>
          <w:sz w:val="20"/>
          <w:szCs w:val="20"/>
        </w:rPr>
        <w:t>действащата наредба;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Style w:val="ala47"/>
          <w:rFonts w:ascii="Verdana" w:hAnsi="Verdana"/>
          <w:color w:val="000000"/>
          <w:sz w:val="20"/>
          <w:szCs w:val="20"/>
        </w:rPr>
      </w:pPr>
      <w:r w:rsidRPr="007F1E30">
        <w:rPr>
          <w:rStyle w:val="ala47"/>
          <w:rFonts w:ascii="Verdana" w:hAnsi="Verdana"/>
          <w:color w:val="000000"/>
          <w:sz w:val="20"/>
          <w:szCs w:val="20"/>
        </w:rPr>
        <w:t>15. В чл. 52а се включва текст, съгласно който не се допуска преминаването от дългосрочно-постепенна или изборна сеч към кратк</w:t>
      </w:r>
      <w:r w:rsidR="009B7ED6">
        <w:rPr>
          <w:rStyle w:val="ala47"/>
          <w:rFonts w:ascii="Verdana" w:hAnsi="Verdana"/>
          <w:color w:val="000000"/>
          <w:sz w:val="20"/>
          <w:szCs w:val="20"/>
        </w:rPr>
        <w:t>осрочно постепенна сеч;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7F1E30">
        <w:rPr>
          <w:rFonts w:ascii="Verdana" w:hAnsi="Verdana"/>
          <w:color w:val="000000"/>
          <w:sz w:val="20"/>
          <w:szCs w:val="20"/>
        </w:rPr>
        <w:t>16. Измененията в чл. 53, ал. 4 имат за цел да дадат свобода и да облекчават ползва</w:t>
      </w:r>
      <w:r w:rsidR="009B7ED6">
        <w:rPr>
          <w:rFonts w:ascii="Verdana" w:hAnsi="Verdana"/>
          <w:color w:val="000000"/>
          <w:sz w:val="20"/>
          <w:szCs w:val="20"/>
        </w:rPr>
        <w:t>телите при подвоза на дървесина;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F1E30">
        <w:rPr>
          <w:rFonts w:ascii="Verdana" w:hAnsi="Verdana"/>
          <w:color w:val="000000"/>
          <w:sz w:val="20"/>
          <w:szCs w:val="20"/>
        </w:rPr>
        <w:t xml:space="preserve">17. </w:t>
      </w:r>
      <w:r w:rsidR="009B7ED6">
        <w:rPr>
          <w:rFonts w:ascii="Verdana" w:hAnsi="Verdana"/>
          <w:color w:val="000000"/>
          <w:sz w:val="20"/>
          <w:szCs w:val="20"/>
        </w:rPr>
        <w:t>Член 72, т. 6, съгласно който „</w:t>
      </w:r>
      <w:r w:rsidRPr="007F1E30">
        <w:rPr>
          <w:rFonts w:ascii="Verdana" w:hAnsi="Verdana"/>
          <w:color w:val="000000"/>
          <w:sz w:val="20"/>
          <w:szCs w:val="20"/>
        </w:rPr>
        <w:t xml:space="preserve">не се допускат сечи в горите във фаза на старост с изключение на случаите на повреди над 50 на сто“ се допълва с текста „от площта на насаждението“. </w:t>
      </w:r>
      <w:r w:rsidRPr="007F1E30">
        <w:rPr>
          <w:rFonts w:ascii="Verdana" w:eastAsia="Calibri" w:hAnsi="Verdana"/>
          <w:sz w:val="20"/>
          <w:szCs w:val="20"/>
          <w:lang w:eastAsia="en-US"/>
        </w:rPr>
        <w:t>Мотивите са, че не е ясно повредите от 50 на сто от какво трябва да са – площ, запас и т</w:t>
      </w:r>
      <w:r w:rsidR="009B7ED6">
        <w:rPr>
          <w:rFonts w:ascii="Verdana" w:eastAsia="Calibri" w:hAnsi="Verdana"/>
          <w:sz w:val="20"/>
          <w:szCs w:val="20"/>
          <w:lang w:eastAsia="en-US"/>
        </w:rPr>
        <w:t>.н, поради което се налага да бъ</w:t>
      </w:r>
      <w:r w:rsidRPr="007F1E30">
        <w:rPr>
          <w:rFonts w:ascii="Verdana" w:eastAsia="Calibri" w:hAnsi="Verdana"/>
          <w:sz w:val="20"/>
          <w:szCs w:val="20"/>
          <w:lang w:eastAsia="en-US"/>
        </w:rPr>
        <w:t>де пояснено, че се има</w:t>
      </w:r>
      <w:r w:rsidR="009B7ED6">
        <w:rPr>
          <w:rFonts w:ascii="Verdana" w:eastAsia="Calibri" w:hAnsi="Verdana"/>
          <w:sz w:val="20"/>
          <w:szCs w:val="20"/>
          <w:lang w:eastAsia="en-US"/>
        </w:rPr>
        <w:t xml:space="preserve"> предвид площта на насаждението;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F1E30">
        <w:rPr>
          <w:rFonts w:ascii="Verdana" w:eastAsia="Calibri" w:hAnsi="Verdana"/>
          <w:sz w:val="20"/>
          <w:szCs w:val="20"/>
          <w:lang w:eastAsia="en-US"/>
        </w:rPr>
        <w:t>18. Във връзка с предложените промени в основната част на наредбата са направени и някои изменения н</w:t>
      </w:r>
      <w:r w:rsidR="009B7ED6">
        <w:rPr>
          <w:rFonts w:ascii="Verdana" w:eastAsia="Calibri" w:hAnsi="Verdana"/>
          <w:sz w:val="20"/>
          <w:szCs w:val="20"/>
          <w:lang w:eastAsia="en-US"/>
        </w:rPr>
        <w:t>а същ</w:t>
      </w:r>
      <w:r w:rsidR="00E762D0" w:rsidRPr="007F1E30">
        <w:rPr>
          <w:rFonts w:ascii="Verdana" w:eastAsia="Calibri" w:hAnsi="Verdana"/>
          <w:sz w:val="20"/>
          <w:szCs w:val="20"/>
          <w:lang w:eastAsia="en-US"/>
        </w:rPr>
        <w:t>ествуващите определения в д</w:t>
      </w:r>
      <w:r w:rsidRPr="007F1E30">
        <w:rPr>
          <w:rFonts w:ascii="Verdana" w:eastAsia="Calibri" w:hAnsi="Verdana"/>
          <w:sz w:val="20"/>
          <w:szCs w:val="20"/>
          <w:lang w:eastAsia="en-US"/>
        </w:rPr>
        <w:t>опълнителните разпоредби и с</w:t>
      </w:r>
      <w:r w:rsidR="009B7ED6">
        <w:rPr>
          <w:rFonts w:ascii="Verdana" w:eastAsia="Calibri" w:hAnsi="Verdana"/>
          <w:sz w:val="20"/>
          <w:szCs w:val="20"/>
          <w:lang w:eastAsia="en-US"/>
        </w:rPr>
        <w:t xml:space="preserve">а включени нови определения за </w:t>
      </w:r>
      <w:r w:rsidR="004C0593">
        <w:rPr>
          <w:rFonts w:ascii="Verdana" w:eastAsia="Calibri" w:hAnsi="Verdana"/>
          <w:sz w:val="20"/>
          <w:szCs w:val="20"/>
          <w:lang w:eastAsia="en-US"/>
        </w:rPr>
        <w:t xml:space="preserve">„интензивни култури“, </w:t>
      </w:r>
      <w:r w:rsidRPr="007F1E30">
        <w:rPr>
          <w:rFonts w:ascii="Verdana" w:eastAsia="Calibri" w:hAnsi="Verdana"/>
          <w:sz w:val="20"/>
          <w:szCs w:val="20"/>
          <w:lang w:eastAsia="en-US"/>
        </w:rPr>
        <w:t>„</w:t>
      </w:r>
      <w:proofErr w:type="spellStart"/>
      <w:r w:rsidRPr="007F1E30">
        <w:rPr>
          <w:rFonts w:ascii="Verdana" w:eastAsia="Calibri" w:hAnsi="Verdana"/>
          <w:sz w:val="20"/>
          <w:szCs w:val="20"/>
          <w:lang w:eastAsia="en-US"/>
        </w:rPr>
        <w:t>плюсо</w:t>
      </w:r>
      <w:r w:rsidR="004C0593">
        <w:rPr>
          <w:rFonts w:ascii="Verdana" w:eastAsia="Calibri" w:hAnsi="Verdana"/>
          <w:sz w:val="20"/>
          <w:szCs w:val="20"/>
          <w:lang w:eastAsia="en-US"/>
        </w:rPr>
        <w:t>ви</w:t>
      </w:r>
      <w:proofErr w:type="spellEnd"/>
      <w:r w:rsidR="004C0593">
        <w:rPr>
          <w:rFonts w:ascii="Verdana" w:eastAsia="Calibri" w:hAnsi="Verdana"/>
          <w:sz w:val="20"/>
          <w:szCs w:val="20"/>
          <w:lang w:eastAsia="en-US"/>
        </w:rPr>
        <w:t xml:space="preserve"> дървета“, „</w:t>
      </w:r>
      <w:proofErr w:type="spellStart"/>
      <w:r w:rsidR="004C0593">
        <w:rPr>
          <w:rFonts w:ascii="Verdana" w:eastAsia="Calibri" w:hAnsi="Verdana"/>
          <w:sz w:val="20"/>
          <w:szCs w:val="20"/>
          <w:lang w:eastAsia="en-US"/>
        </w:rPr>
        <w:t>минусови</w:t>
      </w:r>
      <w:proofErr w:type="spellEnd"/>
      <w:r w:rsidR="004C0593">
        <w:rPr>
          <w:rFonts w:ascii="Verdana" w:eastAsia="Calibri" w:hAnsi="Verdana"/>
          <w:sz w:val="20"/>
          <w:szCs w:val="20"/>
          <w:lang w:eastAsia="en-US"/>
        </w:rPr>
        <w:t xml:space="preserve"> дървета“ и</w:t>
      </w:r>
      <w:r w:rsidRPr="007F1E30">
        <w:rPr>
          <w:rFonts w:ascii="Verdana" w:eastAsia="Calibri" w:hAnsi="Verdana"/>
          <w:sz w:val="20"/>
          <w:szCs w:val="20"/>
          <w:lang w:eastAsia="en-US"/>
        </w:rPr>
        <w:t xml:space="preserve"> „отглеждане на </w:t>
      </w:r>
      <w:proofErr w:type="spellStart"/>
      <w:r w:rsidRPr="007F1E30">
        <w:rPr>
          <w:rFonts w:ascii="Verdana" w:eastAsia="Calibri" w:hAnsi="Verdana"/>
          <w:sz w:val="20"/>
          <w:szCs w:val="20"/>
          <w:lang w:eastAsia="en-US"/>
        </w:rPr>
        <w:t>подрастта</w:t>
      </w:r>
      <w:proofErr w:type="spellEnd"/>
      <w:r w:rsidRPr="007F1E30">
        <w:rPr>
          <w:rFonts w:ascii="Verdana" w:eastAsia="Calibri" w:hAnsi="Verdana"/>
          <w:sz w:val="20"/>
          <w:szCs w:val="20"/>
          <w:lang w:eastAsia="en-US"/>
        </w:rPr>
        <w:t>“.</w:t>
      </w:r>
    </w:p>
    <w:p w:rsidR="0013625F" w:rsidRPr="007F1E30" w:rsidRDefault="0013625F" w:rsidP="00A815B7">
      <w:pPr>
        <w:widowControl w:val="0"/>
        <w:spacing w:line="360" w:lineRule="auto"/>
        <w:ind w:firstLine="709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F1E30">
        <w:rPr>
          <w:rFonts w:ascii="Verdana" w:eastAsia="Calibri" w:hAnsi="Verdana"/>
          <w:sz w:val="20"/>
          <w:szCs w:val="20"/>
          <w:lang w:eastAsia="en-US"/>
        </w:rPr>
        <w:t>Извършените промени в Наредбата са съобразени с изготвените и пр</w:t>
      </w:r>
      <w:r w:rsidR="009B7ED6">
        <w:rPr>
          <w:rFonts w:ascii="Verdana" w:eastAsia="Calibri" w:hAnsi="Verdana"/>
          <w:sz w:val="20"/>
          <w:szCs w:val="20"/>
          <w:lang w:eastAsia="en-US"/>
        </w:rPr>
        <w:t>иети от експертния съвет на ИАГ</w:t>
      </w:r>
      <w:r w:rsidRPr="007F1E30">
        <w:rPr>
          <w:rFonts w:ascii="Verdana" w:eastAsia="Calibri" w:hAnsi="Verdana"/>
          <w:sz w:val="20"/>
          <w:szCs w:val="20"/>
          <w:lang w:eastAsia="en-US"/>
        </w:rPr>
        <w:t xml:space="preserve"> регионални лесовъдски системи за стопанисване на </w:t>
      </w:r>
      <w:proofErr w:type="spellStart"/>
      <w:r w:rsidRPr="007F1E30">
        <w:rPr>
          <w:rFonts w:ascii="Verdana" w:eastAsia="Calibri" w:hAnsi="Verdana"/>
          <w:sz w:val="20"/>
          <w:szCs w:val="20"/>
          <w:lang w:eastAsia="en-US"/>
        </w:rPr>
        <w:t>издънковите</w:t>
      </w:r>
      <w:proofErr w:type="spellEnd"/>
      <w:r w:rsidRPr="007F1E30">
        <w:rPr>
          <w:rFonts w:ascii="Verdana" w:eastAsia="Calibri" w:hAnsi="Verdana"/>
          <w:sz w:val="20"/>
          <w:szCs w:val="20"/>
          <w:lang w:eastAsia="en-US"/>
        </w:rPr>
        <w:t xml:space="preserve"> дъбови гори, както и със съответните регионални специфики.</w:t>
      </w:r>
    </w:p>
    <w:p w:rsidR="007A43F2" w:rsidRPr="007A43F2" w:rsidRDefault="007A43F2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A43F2">
        <w:rPr>
          <w:rFonts w:ascii="Verdana" w:hAnsi="Verdana"/>
          <w:sz w:val="20"/>
          <w:szCs w:val="20"/>
        </w:rPr>
        <w:t xml:space="preserve">Предложеният проект не води до въздействие върху държавния бюджет. За приемането на проекта на акт не са необходими допълнителни разходи/трансфери/други плащания по бюджета на Министерството на земеделието, храните и горите. </w:t>
      </w:r>
    </w:p>
    <w:p w:rsidR="007A43F2" w:rsidRPr="007A43F2" w:rsidRDefault="007A43F2" w:rsidP="00A815B7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A43F2">
        <w:rPr>
          <w:rFonts w:ascii="Verdana" w:hAnsi="Verdana"/>
          <w:sz w:val="20"/>
          <w:szCs w:val="20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7A43F2" w:rsidRPr="007A43F2" w:rsidRDefault="007A43F2" w:rsidP="00A815B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A43F2">
        <w:rPr>
          <w:rFonts w:ascii="Verdana" w:hAnsi="Verdana"/>
          <w:sz w:val="20"/>
          <w:szCs w:val="20"/>
        </w:rPr>
        <w:t xml:space="preserve">На основание чл. 26, ал. 3 и 4 от Закона за нормативните актове проектите на наредба и доклад </w:t>
      </w:r>
      <w:r w:rsidRPr="007A43F2">
        <w:rPr>
          <w:rFonts w:ascii="Verdana" w:hAnsi="Verdana"/>
          <w:sz w:val="20"/>
          <w:szCs w:val="20"/>
          <w:lang w:val="ru-RU"/>
        </w:rPr>
        <w:t>(</w:t>
      </w:r>
      <w:r w:rsidRPr="007A43F2">
        <w:rPr>
          <w:rFonts w:ascii="Verdana" w:hAnsi="Verdana"/>
          <w:sz w:val="20"/>
          <w:szCs w:val="20"/>
        </w:rPr>
        <w:t>мотиви</w:t>
      </w:r>
      <w:r w:rsidRPr="007A43F2">
        <w:rPr>
          <w:rFonts w:ascii="Verdana" w:hAnsi="Verdana"/>
          <w:sz w:val="20"/>
          <w:szCs w:val="20"/>
          <w:lang w:val="ru-RU"/>
        </w:rPr>
        <w:t>)</w:t>
      </w:r>
      <w:r w:rsidRPr="007A43F2">
        <w:rPr>
          <w:rFonts w:ascii="Verdana" w:hAnsi="Verdana"/>
          <w:sz w:val="20"/>
          <w:szCs w:val="20"/>
        </w:rPr>
        <w:t xml:space="preserve"> са публикувани на интернет страницата на Министерството на земеделието, храните и горите и на Портала за обществени консултации за срок от 30 дни.</w:t>
      </w:r>
      <w:r>
        <w:rPr>
          <w:rFonts w:ascii="Verdana" w:hAnsi="Verdana"/>
          <w:sz w:val="20"/>
          <w:szCs w:val="20"/>
        </w:rPr>
        <w:t xml:space="preserve"> </w:t>
      </w:r>
      <w:r w:rsidRPr="007A43F2">
        <w:rPr>
          <w:rFonts w:ascii="Verdana" w:hAnsi="Verdana" w:cs="Verdana"/>
          <w:sz w:val="20"/>
          <w:szCs w:val="20"/>
        </w:rPr>
        <w:t>Направените целесъобразни бележки и предложения</w:t>
      </w:r>
      <w:r>
        <w:rPr>
          <w:rFonts w:ascii="Verdana" w:hAnsi="Verdana" w:cs="Verdana"/>
          <w:sz w:val="20"/>
          <w:szCs w:val="20"/>
        </w:rPr>
        <w:t xml:space="preserve"> от проведената обществена консултация</w:t>
      </w:r>
      <w:r w:rsidRPr="007A43F2">
        <w:rPr>
          <w:rFonts w:ascii="Verdana" w:hAnsi="Verdana" w:cs="Verdana"/>
          <w:sz w:val="20"/>
          <w:szCs w:val="20"/>
        </w:rPr>
        <w:t xml:space="preserve"> са отразени.</w:t>
      </w:r>
    </w:p>
    <w:p w:rsidR="007A43F2" w:rsidRPr="007A43F2" w:rsidRDefault="007A43F2" w:rsidP="0049252A">
      <w:pPr>
        <w:widowControl w:val="0"/>
        <w:tabs>
          <w:tab w:val="center" w:pos="4153"/>
          <w:tab w:val="right" w:pos="8306"/>
        </w:tabs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7A43F2">
        <w:rPr>
          <w:rFonts w:ascii="Verdana" w:hAnsi="Verdana"/>
          <w:sz w:val="20"/>
          <w:szCs w:val="20"/>
        </w:rPr>
        <w:lastRenderedPageBreak/>
        <w:tab/>
        <w:t>Съгласно чл. 26, ал. 5 от Закона за нормативните актове справката за проведената обществена консултация,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7A43F2" w:rsidRPr="007A43F2" w:rsidRDefault="007A43F2" w:rsidP="0049252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sz w:val="20"/>
          <w:szCs w:val="20"/>
        </w:rPr>
      </w:pPr>
      <w:r w:rsidRPr="007A43F2">
        <w:rPr>
          <w:rFonts w:ascii="Verdana" w:hAnsi="Verdana" w:cs="Verdana"/>
          <w:sz w:val="20"/>
          <w:szCs w:val="20"/>
        </w:rPr>
        <w:t>Проектът на Наредба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537B99" w:rsidRPr="007F1E30" w:rsidRDefault="00537B99" w:rsidP="0049252A">
      <w:pPr>
        <w:widowControl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C70E2A" w:rsidRPr="007F1E30" w:rsidRDefault="00C70E2A" w:rsidP="0049252A">
      <w:pPr>
        <w:widowControl w:val="0"/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7F1E30">
        <w:rPr>
          <w:rFonts w:ascii="Verdana" w:hAnsi="Verdana"/>
          <w:b/>
          <w:sz w:val="20"/>
          <w:szCs w:val="20"/>
        </w:rPr>
        <w:t>УВАЖАЕМ</w:t>
      </w:r>
      <w:r w:rsidR="00537B99" w:rsidRPr="007F1E30">
        <w:rPr>
          <w:rFonts w:ascii="Verdana" w:hAnsi="Verdana"/>
          <w:b/>
          <w:sz w:val="20"/>
          <w:szCs w:val="20"/>
        </w:rPr>
        <w:t>А</w:t>
      </w:r>
      <w:r w:rsidR="00D50174" w:rsidRPr="007F1E30">
        <w:rPr>
          <w:rFonts w:ascii="Verdana" w:hAnsi="Verdana"/>
          <w:b/>
          <w:sz w:val="20"/>
          <w:szCs w:val="20"/>
        </w:rPr>
        <w:t xml:space="preserve"> ГОСПО</w:t>
      </w:r>
      <w:r w:rsidR="00537B99" w:rsidRPr="007F1E30">
        <w:rPr>
          <w:rFonts w:ascii="Verdana" w:hAnsi="Verdana"/>
          <w:b/>
          <w:sz w:val="20"/>
          <w:szCs w:val="20"/>
        </w:rPr>
        <w:t>ЖО</w:t>
      </w:r>
      <w:r w:rsidRPr="007F1E30">
        <w:rPr>
          <w:rFonts w:ascii="Verdana" w:hAnsi="Verdana"/>
          <w:b/>
          <w:sz w:val="20"/>
          <w:szCs w:val="20"/>
        </w:rPr>
        <w:t xml:space="preserve"> МИНИСТЪР,</w:t>
      </w:r>
    </w:p>
    <w:p w:rsidR="003E2BAB" w:rsidRPr="007F1E30" w:rsidRDefault="00C70E2A" w:rsidP="0049252A">
      <w:pPr>
        <w:widowControl w:val="0"/>
        <w:spacing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>Във връзка с гореизложеното и на основание чл.</w:t>
      </w:r>
      <w:r w:rsidR="00871923" w:rsidRPr="007F1E30">
        <w:rPr>
          <w:rFonts w:ascii="Verdana" w:hAnsi="Verdana"/>
          <w:sz w:val="20"/>
          <w:szCs w:val="20"/>
        </w:rPr>
        <w:t xml:space="preserve"> </w:t>
      </w:r>
      <w:r w:rsidR="003E2BAB" w:rsidRPr="007F1E30">
        <w:rPr>
          <w:rFonts w:ascii="Verdana" w:hAnsi="Verdana"/>
          <w:sz w:val="20"/>
          <w:szCs w:val="20"/>
        </w:rPr>
        <w:t>101, ал. 3 от Закона за горите, предлагам да одобрите</w:t>
      </w:r>
      <w:r w:rsidR="009A5B88">
        <w:rPr>
          <w:rFonts w:ascii="Verdana" w:hAnsi="Verdana"/>
          <w:sz w:val="20"/>
          <w:szCs w:val="20"/>
        </w:rPr>
        <w:t xml:space="preserve"> прил</w:t>
      </w:r>
      <w:r w:rsidR="007A43F2">
        <w:rPr>
          <w:rFonts w:ascii="Verdana" w:hAnsi="Verdana"/>
          <w:sz w:val="20"/>
          <w:szCs w:val="20"/>
        </w:rPr>
        <w:t>ожения</w:t>
      </w:r>
      <w:r w:rsidR="003E2BAB" w:rsidRPr="007F1E30">
        <w:rPr>
          <w:rFonts w:ascii="Verdana" w:hAnsi="Verdana"/>
          <w:sz w:val="20"/>
          <w:szCs w:val="20"/>
        </w:rPr>
        <w:t xml:space="preserve"> проект на Наредба за изменение и допълнение на Наредба № </w:t>
      </w:r>
      <w:r w:rsidR="00DD5CF3" w:rsidRPr="007F1E30">
        <w:rPr>
          <w:rFonts w:ascii="Verdana" w:hAnsi="Verdana"/>
          <w:sz w:val="20"/>
          <w:szCs w:val="20"/>
        </w:rPr>
        <w:t xml:space="preserve">8 от 2011 г. за </w:t>
      </w:r>
      <w:proofErr w:type="spellStart"/>
      <w:r w:rsidR="00DD5CF3" w:rsidRPr="007F1E30">
        <w:rPr>
          <w:rFonts w:ascii="Verdana" w:hAnsi="Verdana"/>
          <w:sz w:val="20"/>
          <w:szCs w:val="20"/>
        </w:rPr>
        <w:t>сечите</w:t>
      </w:r>
      <w:proofErr w:type="spellEnd"/>
      <w:r w:rsidR="00DD5CF3" w:rsidRPr="007F1E30">
        <w:rPr>
          <w:rFonts w:ascii="Verdana" w:hAnsi="Verdana"/>
          <w:sz w:val="20"/>
          <w:szCs w:val="20"/>
        </w:rPr>
        <w:t xml:space="preserve"> в горите.</w:t>
      </w:r>
    </w:p>
    <w:p w:rsidR="00C70E2A" w:rsidRDefault="00C70E2A" w:rsidP="0049252A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7F1E30" w:rsidRPr="007F1E30" w:rsidTr="00BB2194">
        <w:tc>
          <w:tcPr>
            <w:tcW w:w="1781" w:type="dxa"/>
          </w:tcPr>
          <w:p w:rsidR="007F1E30" w:rsidRPr="007F1E30" w:rsidRDefault="007F1E30" w:rsidP="0049252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 w:rsidRPr="007F1E30">
              <w:rPr>
                <w:rFonts w:ascii="Verdana" w:hAnsi="Verdana" w:cs="Verdana"/>
                <w:b/>
                <w:bCs/>
                <w:sz w:val="20"/>
                <w:szCs w:val="20"/>
              </w:rPr>
              <w:t>Приложениe</w:t>
            </w:r>
            <w:proofErr w:type="spellEnd"/>
            <w:r w:rsidRPr="007F1E3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731" w:type="dxa"/>
          </w:tcPr>
          <w:p w:rsidR="007F1E30" w:rsidRPr="007F1E30" w:rsidRDefault="007F1E30" w:rsidP="0049252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F1E30">
              <w:rPr>
                <w:rFonts w:ascii="Verdana" w:hAnsi="Verdana" w:cs="Verdana"/>
                <w:sz w:val="20"/>
                <w:szCs w:val="20"/>
              </w:rPr>
              <w:t>Проект на Наредба;</w:t>
            </w:r>
          </w:p>
          <w:p w:rsidR="007F1E30" w:rsidRPr="007F1E30" w:rsidRDefault="007F1E30" w:rsidP="0049252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F1E30">
              <w:rPr>
                <w:rFonts w:ascii="Verdana" w:hAnsi="Verdana" w:cs="Verdana"/>
                <w:sz w:val="20"/>
                <w:szCs w:val="20"/>
              </w:rPr>
              <w:t>Справка за отразяване на постъпилите становища;</w:t>
            </w:r>
          </w:p>
          <w:p w:rsidR="007F1E30" w:rsidRPr="007F1E30" w:rsidRDefault="007F1E30" w:rsidP="0049252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F1E30">
              <w:rPr>
                <w:rFonts w:ascii="Verdana" w:hAnsi="Verdana" w:cs="Verdana"/>
                <w:sz w:val="20"/>
                <w:szCs w:val="20"/>
              </w:rPr>
              <w:t>Постъпили становища;</w:t>
            </w:r>
          </w:p>
          <w:p w:rsidR="007F1E30" w:rsidRPr="007F1E30" w:rsidRDefault="007F1E30" w:rsidP="0049252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F1E30">
              <w:rPr>
                <w:rFonts w:ascii="Verdana" w:hAnsi="Verdana" w:cs="Verdana"/>
                <w:sz w:val="20"/>
                <w:szCs w:val="20"/>
              </w:rPr>
              <w:t>Справка за проведената обществена консултация;</w:t>
            </w:r>
          </w:p>
          <w:p w:rsidR="007F1E30" w:rsidRPr="007F1E30" w:rsidRDefault="007F1E30" w:rsidP="0049252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F1E30">
              <w:rPr>
                <w:rFonts w:ascii="Verdana" w:hAnsi="Verdana" w:cs="Verdana"/>
                <w:sz w:val="20"/>
                <w:szCs w:val="20"/>
              </w:rPr>
              <w:t>Предложения и становища получени от проведената обществена консултация.</w:t>
            </w:r>
          </w:p>
        </w:tc>
      </w:tr>
    </w:tbl>
    <w:p w:rsidR="007F1E30" w:rsidRDefault="007F1E30" w:rsidP="0049252A">
      <w:pPr>
        <w:widowControl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70E2A" w:rsidRPr="007F1E30" w:rsidRDefault="00C70E2A" w:rsidP="0049252A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7F1E30">
        <w:rPr>
          <w:rFonts w:ascii="Verdana" w:hAnsi="Verdana"/>
          <w:sz w:val="20"/>
          <w:szCs w:val="20"/>
        </w:rPr>
        <w:t>С уважение,</w:t>
      </w:r>
    </w:p>
    <w:p w:rsidR="00E92C48" w:rsidRPr="007F1E30" w:rsidRDefault="00E92C48" w:rsidP="0049252A">
      <w:pPr>
        <w:widowControl w:val="0"/>
        <w:spacing w:line="360" w:lineRule="auto"/>
        <w:rPr>
          <w:rFonts w:ascii="Verdana" w:hAnsi="Verdana"/>
          <w:b/>
          <w:caps/>
          <w:sz w:val="20"/>
          <w:szCs w:val="20"/>
        </w:rPr>
      </w:pPr>
    </w:p>
    <w:p w:rsidR="00E92C48" w:rsidRDefault="00E92C48" w:rsidP="0049252A">
      <w:pPr>
        <w:widowControl w:val="0"/>
        <w:spacing w:line="360" w:lineRule="auto"/>
        <w:rPr>
          <w:rFonts w:ascii="Verdana" w:hAnsi="Verdana"/>
          <w:b/>
          <w:caps/>
          <w:sz w:val="20"/>
          <w:szCs w:val="20"/>
        </w:rPr>
      </w:pPr>
    </w:p>
    <w:p w:rsidR="00C70E2A" w:rsidRPr="007F1E30" w:rsidRDefault="003E2BAB" w:rsidP="0049252A">
      <w:pPr>
        <w:widowControl w:val="0"/>
        <w:spacing w:line="360" w:lineRule="auto"/>
        <w:rPr>
          <w:rFonts w:ascii="Verdana" w:hAnsi="Verdana"/>
          <w:b/>
          <w:caps/>
          <w:sz w:val="20"/>
          <w:szCs w:val="20"/>
        </w:rPr>
      </w:pPr>
      <w:r w:rsidRPr="007F1E30">
        <w:rPr>
          <w:rFonts w:ascii="Verdana" w:hAnsi="Verdana"/>
          <w:b/>
          <w:caps/>
          <w:sz w:val="20"/>
          <w:szCs w:val="20"/>
        </w:rPr>
        <w:t>АТАНАС ДОБРЕВ</w:t>
      </w:r>
    </w:p>
    <w:p w:rsidR="005A7A70" w:rsidRPr="007F1E30" w:rsidRDefault="00C70E2A" w:rsidP="0049252A">
      <w:pPr>
        <w:pStyle w:val="BodyText"/>
        <w:widowControl w:val="0"/>
        <w:spacing w:line="360" w:lineRule="auto"/>
        <w:rPr>
          <w:rFonts w:ascii="Verdana" w:hAnsi="Verdana"/>
          <w:b w:val="0"/>
          <w:i/>
          <w:caps/>
          <w:sz w:val="20"/>
        </w:rPr>
      </w:pPr>
      <w:r w:rsidRPr="007F1E30">
        <w:rPr>
          <w:rFonts w:ascii="Verdana" w:hAnsi="Verdana"/>
          <w:b w:val="0"/>
          <w:i/>
          <w:sz w:val="20"/>
        </w:rPr>
        <w:t>Заместник-министър</w:t>
      </w:r>
      <w:r w:rsidR="00D34CF8">
        <w:rPr>
          <w:rFonts w:ascii="Verdana" w:hAnsi="Verdana"/>
          <w:b w:val="0"/>
          <w:i/>
          <w:sz w:val="20"/>
        </w:rPr>
        <w:t xml:space="preserve"> на земеделието, храните и горите</w:t>
      </w:r>
      <w:r w:rsidRPr="007F1E30">
        <w:rPr>
          <w:rFonts w:ascii="Verdana" w:hAnsi="Verdana"/>
          <w:b w:val="0"/>
          <w:i/>
          <w:caps/>
          <w:sz w:val="20"/>
        </w:rPr>
        <w:tab/>
      </w:r>
    </w:p>
    <w:p w:rsidR="00A44AD7" w:rsidRDefault="00A44AD7" w:rsidP="0049252A">
      <w:pPr>
        <w:widowControl w:val="0"/>
        <w:autoSpaceDE w:val="0"/>
        <w:autoSpaceDN w:val="0"/>
        <w:adjustRightInd w:val="0"/>
        <w:rPr>
          <w:rFonts w:ascii="Verdana" w:hAnsi="Verdana"/>
          <w:i/>
          <w:caps/>
          <w:sz w:val="20"/>
          <w:szCs w:val="20"/>
        </w:rPr>
      </w:pPr>
      <w:bookmarkStart w:id="0" w:name="_GoBack"/>
      <w:bookmarkEnd w:id="0"/>
    </w:p>
    <w:sectPr w:rsidR="00A44AD7" w:rsidSect="004E68E5">
      <w:footerReference w:type="defaul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EE" w:rsidRDefault="006547EE" w:rsidP="005A7A70">
      <w:r>
        <w:separator/>
      </w:r>
    </w:p>
  </w:endnote>
  <w:endnote w:type="continuationSeparator" w:id="0">
    <w:p w:rsidR="006547EE" w:rsidRDefault="006547EE" w:rsidP="005A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622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B37BDC" w:rsidRPr="00B37BDC" w:rsidRDefault="00B37BDC" w:rsidP="00B37BDC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B37BDC">
          <w:rPr>
            <w:rFonts w:ascii="Verdana" w:hAnsi="Verdana"/>
            <w:sz w:val="16"/>
            <w:szCs w:val="16"/>
          </w:rPr>
          <w:fldChar w:fldCharType="begin"/>
        </w:r>
        <w:r w:rsidRPr="00B37BD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B37BDC">
          <w:rPr>
            <w:rFonts w:ascii="Verdana" w:hAnsi="Verdana"/>
            <w:sz w:val="16"/>
            <w:szCs w:val="16"/>
          </w:rPr>
          <w:fldChar w:fldCharType="separate"/>
        </w:r>
        <w:r w:rsidR="00B34980">
          <w:rPr>
            <w:rFonts w:ascii="Verdana" w:hAnsi="Verdana"/>
            <w:noProof/>
            <w:sz w:val="16"/>
            <w:szCs w:val="16"/>
          </w:rPr>
          <w:t>6</w:t>
        </w:r>
        <w:r w:rsidRPr="00B37BDC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EE" w:rsidRDefault="006547EE" w:rsidP="005A7A70">
      <w:r>
        <w:separator/>
      </w:r>
    </w:p>
  </w:footnote>
  <w:footnote w:type="continuationSeparator" w:id="0">
    <w:p w:rsidR="006547EE" w:rsidRDefault="006547EE" w:rsidP="005A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747"/>
    <w:multiLevelType w:val="hybridMultilevel"/>
    <w:tmpl w:val="C994E63A"/>
    <w:lvl w:ilvl="0" w:tplc="07E67B3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45D1E"/>
    <w:multiLevelType w:val="hybridMultilevel"/>
    <w:tmpl w:val="5980DF66"/>
    <w:lvl w:ilvl="0" w:tplc="49B8A13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A27015"/>
    <w:multiLevelType w:val="hybridMultilevel"/>
    <w:tmpl w:val="9306D616"/>
    <w:lvl w:ilvl="0" w:tplc="C52EFD64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5203FD"/>
    <w:multiLevelType w:val="multilevel"/>
    <w:tmpl w:val="F160861C"/>
    <w:lvl w:ilvl="0">
      <w:start w:val="1"/>
      <w:numFmt w:val="decimal"/>
      <w:suff w:val="space"/>
      <w:lvlText w:val="%1."/>
      <w:lvlJc w:val="right"/>
      <w:pPr>
        <w:ind w:left="284"/>
      </w:pPr>
      <w:rPr>
        <w:rFonts w:ascii="Verdana" w:eastAsia="Times New Roman" w:hAnsi="Verdana" w:cs="Times New Roman" w:hint="default"/>
        <w:sz w:val="20"/>
        <w:szCs w:val="20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>
    <w:nsid w:val="5BB46102"/>
    <w:multiLevelType w:val="hybridMultilevel"/>
    <w:tmpl w:val="AF26E8E2"/>
    <w:lvl w:ilvl="0" w:tplc="347E225C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B64AE3"/>
    <w:multiLevelType w:val="hybridMultilevel"/>
    <w:tmpl w:val="1B1C7546"/>
    <w:lvl w:ilvl="0" w:tplc="AD5AD7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A123F3"/>
    <w:multiLevelType w:val="multilevel"/>
    <w:tmpl w:val="3E2C8466"/>
    <w:lvl w:ilvl="0">
      <w:start w:val="1"/>
      <w:numFmt w:val="upperRoman"/>
      <w:suff w:val="space"/>
      <w:lvlText w:val="%1."/>
      <w:lvlJc w:val="right"/>
      <w:pPr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7">
    <w:nsid w:val="6AA62F4A"/>
    <w:multiLevelType w:val="hybridMultilevel"/>
    <w:tmpl w:val="4AD0A26E"/>
    <w:lvl w:ilvl="0" w:tplc="8DE63660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D0"/>
    <w:rsid w:val="00011BA2"/>
    <w:rsid w:val="00024B23"/>
    <w:rsid w:val="00037C3E"/>
    <w:rsid w:val="000404DA"/>
    <w:rsid w:val="0005710F"/>
    <w:rsid w:val="0007055E"/>
    <w:rsid w:val="0007193F"/>
    <w:rsid w:val="00077D2F"/>
    <w:rsid w:val="000A7E93"/>
    <w:rsid w:val="00102B25"/>
    <w:rsid w:val="0011518F"/>
    <w:rsid w:val="00121E50"/>
    <w:rsid w:val="0013625F"/>
    <w:rsid w:val="00151862"/>
    <w:rsid w:val="00165E5D"/>
    <w:rsid w:val="00170083"/>
    <w:rsid w:val="00192932"/>
    <w:rsid w:val="00196973"/>
    <w:rsid w:val="001A278B"/>
    <w:rsid w:val="001A3399"/>
    <w:rsid w:val="001B3779"/>
    <w:rsid w:val="001C0897"/>
    <w:rsid w:val="001F539E"/>
    <w:rsid w:val="001F7BC0"/>
    <w:rsid w:val="00234C77"/>
    <w:rsid w:val="00237CD7"/>
    <w:rsid w:val="00263ACB"/>
    <w:rsid w:val="00275B98"/>
    <w:rsid w:val="00290802"/>
    <w:rsid w:val="002C332A"/>
    <w:rsid w:val="002D1D22"/>
    <w:rsid w:val="002D5862"/>
    <w:rsid w:val="002F664E"/>
    <w:rsid w:val="003326DE"/>
    <w:rsid w:val="00354CD7"/>
    <w:rsid w:val="00361DB0"/>
    <w:rsid w:val="0038506C"/>
    <w:rsid w:val="00396E34"/>
    <w:rsid w:val="003C4AAA"/>
    <w:rsid w:val="003D277C"/>
    <w:rsid w:val="003E2BAB"/>
    <w:rsid w:val="004276D0"/>
    <w:rsid w:val="004347BF"/>
    <w:rsid w:val="004669AB"/>
    <w:rsid w:val="0047633A"/>
    <w:rsid w:val="0049252A"/>
    <w:rsid w:val="0049735A"/>
    <w:rsid w:val="004B1D30"/>
    <w:rsid w:val="004B1ECC"/>
    <w:rsid w:val="004C0593"/>
    <w:rsid w:val="004C685B"/>
    <w:rsid w:val="004E68E5"/>
    <w:rsid w:val="004F33FF"/>
    <w:rsid w:val="0050310A"/>
    <w:rsid w:val="00512E2D"/>
    <w:rsid w:val="00526142"/>
    <w:rsid w:val="00537B99"/>
    <w:rsid w:val="005A7A70"/>
    <w:rsid w:val="005C7FD0"/>
    <w:rsid w:val="005D3C24"/>
    <w:rsid w:val="005F69D3"/>
    <w:rsid w:val="00603BBB"/>
    <w:rsid w:val="00646D19"/>
    <w:rsid w:val="00652DB5"/>
    <w:rsid w:val="006547EE"/>
    <w:rsid w:val="006805D3"/>
    <w:rsid w:val="00684282"/>
    <w:rsid w:val="0069470D"/>
    <w:rsid w:val="006B2795"/>
    <w:rsid w:val="006B3394"/>
    <w:rsid w:val="006D7A64"/>
    <w:rsid w:val="00700FC8"/>
    <w:rsid w:val="00736659"/>
    <w:rsid w:val="00747A67"/>
    <w:rsid w:val="007750D3"/>
    <w:rsid w:val="0078041C"/>
    <w:rsid w:val="00792167"/>
    <w:rsid w:val="007A2147"/>
    <w:rsid w:val="007A43F2"/>
    <w:rsid w:val="007E5D44"/>
    <w:rsid w:val="007F0EC7"/>
    <w:rsid w:val="007F1E30"/>
    <w:rsid w:val="007F79B8"/>
    <w:rsid w:val="00826C11"/>
    <w:rsid w:val="00834A56"/>
    <w:rsid w:val="00871923"/>
    <w:rsid w:val="008A3EEE"/>
    <w:rsid w:val="008B1766"/>
    <w:rsid w:val="008F073E"/>
    <w:rsid w:val="00957D47"/>
    <w:rsid w:val="00990CAC"/>
    <w:rsid w:val="009A0019"/>
    <w:rsid w:val="009A5B88"/>
    <w:rsid w:val="009B289E"/>
    <w:rsid w:val="009B36AA"/>
    <w:rsid w:val="009B6074"/>
    <w:rsid w:val="009B7D89"/>
    <w:rsid w:val="009B7ED6"/>
    <w:rsid w:val="009E7C9F"/>
    <w:rsid w:val="00A20FC6"/>
    <w:rsid w:val="00A30D54"/>
    <w:rsid w:val="00A44AD7"/>
    <w:rsid w:val="00A743FC"/>
    <w:rsid w:val="00A815B7"/>
    <w:rsid w:val="00A83A19"/>
    <w:rsid w:val="00A96981"/>
    <w:rsid w:val="00AA2A46"/>
    <w:rsid w:val="00AA5326"/>
    <w:rsid w:val="00AC6E4C"/>
    <w:rsid w:val="00AF2593"/>
    <w:rsid w:val="00B02CBC"/>
    <w:rsid w:val="00B10E37"/>
    <w:rsid w:val="00B152FE"/>
    <w:rsid w:val="00B205A4"/>
    <w:rsid w:val="00B34980"/>
    <w:rsid w:val="00B37BDC"/>
    <w:rsid w:val="00B57958"/>
    <w:rsid w:val="00BA0822"/>
    <w:rsid w:val="00BA68AB"/>
    <w:rsid w:val="00BD11F9"/>
    <w:rsid w:val="00BE7931"/>
    <w:rsid w:val="00C000B7"/>
    <w:rsid w:val="00C16B67"/>
    <w:rsid w:val="00C17FAB"/>
    <w:rsid w:val="00C2716D"/>
    <w:rsid w:val="00C409FD"/>
    <w:rsid w:val="00C470BA"/>
    <w:rsid w:val="00C70E2A"/>
    <w:rsid w:val="00C94C6B"/>
    <w:rsid w:val="00CA149B"/>
    <w:rsid w:val="00CD10AF"/>
    <w:rsid w:val="00D34CF8"/>
    <w:rsid w:val="00D50174"/>
    <w:rsid w:val="00D522A2"/>
    <w:rsid w:val="00D910F0"/>
    <w:rsid w:val="00D92FA0"/>
    <w:rsid w:val="00DA6BA8"/>
    <w:rsid w:val="00DD5CF3"/>
    <w:rsid w:val="00DD70A9"/>
    <w:rsid w:val="00DE2AD9"/>
    <w:rsid w:val="00DE7244"/>
    <w:rsid w:val="00DF156E"/>
    <w:rsid w:val="00DF2F3F"/>
    <w:rsid w:val="00E2057B"/>
    <w:rsid w:val="00E2197E"/>
    <w:rsid w:val="00E22B80"/>
    <w:rsid w:val="00E23DE6"/>
    <w:rsid w:val="00E55763"/>
    <w:rsid w:val="00E762D0"/>
    <w:rsid w:val="00E92C48"/>
    <w:rsid w:val="00EC4F05"/>
    <w:rsid w:val="00ED4AB5"/>
    <w:rsid w:val="00ED6C65"/>
    <w:rsid w:val="00EF4A45"/>
    <w:rsid w:val="00F21F38"/>
    <w:rsid w:val="00F238CE"/>
    <w:rsid w:val="00F347A5"/>
    <w:rsid w:val="00F936E1"/>
    <w:rsid w:val="00F9677F"/>
    <w:rsid w:val="00FA59C8"/>
    <w:rsid w:val="00FC694C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C70E2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E2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C70E2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70E2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">
    <w:name w:val="Body Text"/>
    <w:basedOn w:val="Normal"/>
    <w:link w:val="BodyTextChar"/>
    <w:rsid w:val="00C70E2A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70E2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C70E2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70E2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Subtitle">
    <w:name w:val="Subtitle"/>
    <w:basedOn w:val="Normal"/>
    <w:next w:val="Normal"/>
    <w:link w:val="SubtitleChar"/>
    <w:qFormat/>
    <w:rsid w:val="00C70E2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70E2A"/>
    <w:rPr>
      <w:rFonts w:ascii="Cambria" w:eastAsia="Times New Roman" w:hAnsi="Cambria" w:cs="Times New Roman"/>
      <w:sz w:val="24"/>
      <w:szCs w:val="24"/>
      <w:lang w:val="bg-BG" w:eastAsia="bg-BG"/>
    </w:rPr>
  </w:style>
  <w:style w:type="paragraph" w:customStyle="1" w:styleId="Default">
    <w:name w:val="Default"/>
    <w:rsid w:val="00C70E2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rsid w:val="0007055E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5A7A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A7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CharCharCharCharCharCharChar0">
    <w:name w:val="Знак Char Char Знак Знак Char Char Знак Знак Char Char Char Char Char Знак"/>
    <w:basedOn w:val="Normal"/>
    <w:rsid w:val="00C16B67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8F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C000B7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96981"/>
    <w:pPr>
      <w:ind w:left="720"/>
      <w:contextualSpacing/>
    </w:pPr>
  </w:style>
  <w:style w:type="paragraph" w:customStyle="1" w:styleId="Style13">
    <w:name w:val="Style13"/>
    <w:basedOn w:val="Normal"/>
    <w:uiPriority w:val="99"/>
    <w:rsid w:val="006B3394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50">
    <w:name w:val="Font Style50"/>
    <w:uiPriority w:val="99"/>
    <w:rsid w:val="006B3394"/>
    <w:rPr>
      <w:rFonts w:ascii="Verdana" w:hAnsi="Verdana"/>
      <w:b/>
      <w:sz w:val="34"/>
    </w:rPr>
  </w:style>
  <w:style w:type="character" w:customStyle="1" w:styleId="ala16">
    <w:name w:val="al_a16"/>
    <w:rsid w:val="0013625F"/>
    <w:rPr>
      <w:rFonts w:cs="Times New Roman"/>
    </w:rPr>
  </w:style>
  <w:style w:type="character" w:customStyle="1" w:styleId="ala20">
    <w:name w:val="al_a20"/>
    <w:rsid w:val="0013625F"/>
    <w:rPr>
      <w:rFonts w:cs="Times New Roman"/>
    </w:rPr>
  </w:style>
  <w:style w:type="character" w:customStyle="1" w:styleId="ala47">
    <w:name w:val="al_a47"/>
    <w:rsid w:val="001362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C70E2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E2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C70E2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70E2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">
    <w:name w:val="Body Text"/>
    <w:basedOn w:val="Normal"/>
    <w:link w:val="BodyTextChar"/>
    <w:rsid w:val="00C70E2A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70E2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C70E2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70E2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Subtitle">
    <w:name w:val="Subtitle"/>
    <w:basedOn w:val="Normal"/>
    <w:next w:val="Normal"/>
    <w:link w:val="SubtitleChar"/>
    <w:qFormat/>
    <w:rsid w:val="00C70E2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C70E2A"/>
    <w:rPr>
      <w:rFonts w:ascii="Cambria" w:eastAsia="Times New Roman" w:hAnsi="Cambria" w:cs="Times New Roman"/>
      <w:sz w:val="24"/>
      <w:szCs w:val="24"/>
      <w:lang w:val="bg-BG" w:eastAsia="bg-BG"/>
    </w:rPr>
  </w:style>
  <w:style w:type="paragraph" w:customStyle="1" w:styleId="Default">
    <w:name w:val="Default"/>
    <w:rsid w:val="00C70E2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rsid w:val="0007055E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5A7A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A7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rCharCharCharCharCharCharCharChar0">
    <w:name w:val="Знак Char Char Знак Знак Char Char Знак Знак Char Char Char Char Char Знак"/>
    <w:basedOn w:val="Normal"/>
    <w:rsid w:val="00C16B67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8F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C000B7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96981"/>
    <w:pPr>
      <w:ind w:left="720"/>
      <w:contextualSpacing/>
    </w:pPr>
  </w:style>
  <w:style w:type="paragraph" w:customStyle="1" w:styleId="Style13">
    <w:name w:val="Style13"/>
    <w:basedOn w:val="Normal"/>
    <w:uiPriority w:val="99"/>
    <w:rsid w:val="006B3394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FontStyle50">
    <w:name w:val="Font Style50"/>
    <w:uiPriority w:val="99"/>
    <w:rsid w:val="006B3394"/>
    <w:rPr>
      <w:rFonts w:ascii="Verdana" w:hAnsi="Verdana"/>
      <w:b/>
      <w:sz w:val="34"/>
    </w:rPr>
  </w:style>
  <w:style w:type="character" w:customStyle="1" w:styleId="ala16">
    <w:name w:val="al_a16"/>
    <w:rsid w:val="0013625F"/>
    <w:rPr>
      <w:rFonts w:cs="Times New Roman"/>
    </w:rPr>
  </w:style>
  <w:style w:type="character" w:customStyle="1" w:styleId="ala20">
    <w:name w:val="al_a20"/>
    <w:rsid w:val="0013625F"/>
    <w:rPr>
      <w:rFonts w:cs="Times New Roman"/>
    </w:rPr>
  </w:style>
  <w:style w:type="character" w:customStyle="1" w:styleId="ala47">
    <w:name w:val="al_a47"/>
    <w:rsid w:val="001362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46C0-2A33-4BFD-8F99-07D1797A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Evstatiy Evstatiev</cp:lastModifiedBy>
  <cp:revision>8</cp:revision>
  <cp:lastPrinted>2020-07-02T12:48:00Z</cp:lastPrinted>
  <dcterms:created xsi:type="dcterms:W3CDTF">2020-07-02T11:09:00Z</dcterms:created>
  <dcterms:modified xsi:type="dcterms:W3CDTF">2020-07-03T08:56:00Z</dcterms:modified>
</cp:coreProperties>
</file>