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0A" w:rsidRPr="0000221A" w:rsidRDefault="00D1680A" w:rsidP="00D1680A">
      <w:pPr>
        <w:shd w:val="clear" w:color="auto" w:fill="FFFFFF"/>
        <w:overflowPunct w:val="0"/>
        <w:spacing w:line="360" w:lineRule="auto"/>
        <w:jc w:val="center"/>
        <w:textAlignment w:val="baseline"/>
        <w:rPr>
          <w:rFonts w:ascii="Verdana" w:hAnsi="Verdana"/>
          <w:b/>
          <w:caps/>
          <w:sz w:val="28"/>
          <w:szCs w:val="28"/>
          <w:lang w:val="bg-BG"/>
        </w:rPr>
      </w:pPr>
      <w:r w:rsidRPr="0000221A">
        <w:rPr>
          <w:rFonts w:ascii="Verdana" w:hAnsi="Verdana"/>
          <w:b/>
          <w:sz w:val="28"/>
          <w:szCs w:val="28"/>
          <w:lang w:val="bg-BG"/>
        </w:rPr>
        <w:t>МИНИСТЕРСТВО НА ЗЕМЕДЕЛИЕТО, ХРАНИТЕ И ГОРИТЕ</w:t>
      </w:r>
    </w:p>
    <w:p w:rsidR="00D1680A" w:rsidRPr="0000221A" w:rsidRDefault="008D0127" w:rsidP="004A1365">
      <w:pPr>
        <w:spacing w:line="360" w:lineRule="auto"/>
        <w:jc w:val="right"/>
        <w:rPr>
          <w:rFonts w:ascii="Verdana" w:hAnsi="Verdana"/>
          <w:bCs/>
          <w:sz w:val="20"/>
          <w:szCs w:val="20"/>
          <w:highlight w:val="white"/>
          <w:shd w:val="clear" w:color="auto" w:fill="FEFEFE"/>
          <w:lang w:val="bg-BG"/>
        </w:rPr>
      </w:pPr>
      <w:r w:rsidRPr="0000221A">
        <w:rPr>
          <w:rFonts w:ascii="Verdana" w:hAnsi="Verdana"/>
          <w:bCs/>
          <w:sz w:val="20"/>
          <w:szCs w:val="20"/>
          <w:highlight w:val="white"/>
          <w:shd w:val="clear" w:color="auto" w:fill="FEFEFE"/>
          <w:lang w:val="bg-BG"/>
        </w:rPr>
        <w:t>Проект</w:t>
      </w:r>
    </w:p>
    <w:p w:rsidR="00D1680A" w:rsidRPr="0000221A" w:rsidRDefault="00D1680A" w:rsidP="004A1365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  <w:lang w:val="bg-BG"/>
        </w:rPr>
      </w:pPr>
    </w:p>
    <w:p w:rsidR="004D51DD" w:rsidRDefault="004D51DD" w:rsidP="004A1365">
      <w:pPr>
        <w:spacing w:line="360" w:lineRule="auto"/>
        <w:jc w:val="center"/>
        <w:rPr>
          <w:rFonts w:ascii="Verdana" w:hAnsi="Verdana"/>
          <w:b/>
          <w:bCs/>
          <w:highlight w:val="white"/>
          <w:shd w:val="clear" w:color="auto" w:fill="FEFEFE"/>
          <w:lang w:val="en-US"/>
        </w:rPr>
      </w:pPr>
    </w:p>
    <w:p w:rsidR="00D1680A" w:rsidRPr="0000221A" w:rsidRDefault="0000221A" w:rsidP="004A1365">
      <w:pPr>
        <w:spacing w:line="360" w:lineRule="auto"/>
        <w:jc w:val="center"/>
        <w:rPr>
          <w:rFonts w:ascii="Verdana" w:hAnsi="Verdana"/>
          <w:b/>
          <w:bCs/>
          <w:highlight w:val="white"/>
          <w:shd w:val="clear" w:color="auto" w:fill="FEFEFE"/>
          <w:lang w:val="bg-BG"/>
        </w:rPr>
      </w:pPr>
      <w:r w:rsidRPr="0000221A">
        <w:rPr>
          <w:rFonts w:ascii="Verdana" w:hAnsi="Verdana"/>
          <w:b/>
          <w:bCs/>
          <w:highlight w:val="white"/>
          <w:shd w:val="clear" w:color="auto" w:fill="FEFEFE"/>
          <w:lang w:val="bg-BG"/>
        </w:rPr>
        <w:t>НАРЕДБА № ……………………</w:t>
      </w:r>
    </w:p>
    <w:p w:rsidR="00D1680A" w:rsidRPr="0000221A" w:rsidRDefault="00D1680A" w:rsidP="004A1365">
      <w:pPr>
        <w:spacing w:line="360" w:lineRule="auto"/>
        <w:jc w:val="center"/>
        <w:rPr>
          <w:rFonts w:ascii="Verdana" w:hAnsi="Verdana"/>
          <w:b/>
          <w:bCs/>
          <w:highlight w:val="white"/>
          <w:shd w:val="clear" w:color="auto" w:fill="FEFEFE"/>
          <w:lang w:val="bg-BG"/>
        </w:rPr>
      </w:pPr>
      <w:r w:rsidRPr="0000221A">
        <w:rPr>
          <w:rFonts w:ascii="Verdana" w:hAnsi="Verdana"/>
          <w:b/>
          <w:bCs/>
          <w:highlight w:val="white"/>
          <w:shd w:val="clear" w:color="auto" w:fill="FEFEFE"/>
          <w:lang w:val="bg-BG"/>
        </w:rPr>
        <w:t>от ………………………………. г.</w:t>
      </w:r>
    </w:p>
    <w:p w:rsidR="00D1680A" w:rsidRPr="0000221A" w:rsidRDefault="00D1680A" w:rsidP="004A1365">
      <w:pPr>
        <w:pStyle w:val="Style"/>
        <w:tabs>
          <w:tab w:val="left" w:pos="9356"/>
        </w:tabs>
        <w:spacing w:line="360" w:lineRule="auto"/>
        <w:ind w:left="0" w:firstLine="0"/>
        <w:jc w:val="center"/>
        <w:outlineLvl w:val="0"/>
        <w:rPr>
          <w:rFonts w:ascii="Verdana" w:hAnsi="Verdana"/>
          <w:bCs/>
          <w:sz w:val="20"/>
          <w:szCs w:val="20"/>
          <w:lang w:val="bg-BG"/>
        </w:rPr>
      </w:pPr>
      <w:r w:rsidRPr="0000221A">
        <w:rPr>
          <w:rFonts w:ascii="Verdana" w:hAnsi="Verdana"/>
          <w:b/>
          <w:sz w:val="20"/>
          <w:szCs w:val="20"/>
          <w:lang w:val="bg-BG"/>
        </w:rPr>
        <w:t>за разрешаване пускането на пазара и употребата на продукти за растителна защита</w:t>
      </w:r>
    </w:p>
    <w:p w:rsidR="00551A1E" w:rsidRPr="0000221A" w:rsidRDefault="00551A1E" w:rsidP="004A1365">
      <w:pPr>
        <w:spacing w:line="360" w:lineRule="auto"/>
        <w:jc w:val="center"/>
        <w:rPr>
          <w:rFonts w:ascii="Verdana" w:eastAsia="Calibri" w:hAnsi="Verdana"/>
          <w:b/>
          <w:spacing w:val="80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pacing w:val="80"/>
          <w:sz w:val="20"/>
          <w:szCs w:val="20"/>
          <w:lang w:val="bg-BG" w:eastAsia="en-US"/>
        </w:rPr>
        <w:t xml:space="preserve"> </w:t>
      </w:r>
    </w:p>
    <w:p w:rsidR="004D51DD" w:rsidRDefault="004D51DD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Cs/>
          <w:spacing w:val="80"/>
          <w:sz w:val="20"/>
          <w:szCs w:val="20"/>
          <w:highlight w:val="white"/>
          <w:shd w:val="clear" w:color="auto" w:fill="FEFEFE"/>
          <w:lang w:val="en-US" w:eastAsia="en-US"/>
        </w:rPr>
      </w:pPr>
    </w:p>
    <w:p w:rsidR="00E95A06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Cs/>
          <w:sz w:val="20"/>
          <w:szCs w:val="20"/>
          <w:highlight w:val="white"/>
          <w:shd w:val="clear" w:color="auto" w:fill="FEFEFE"/>
          <w:lang w:val="bg-BG" w:eastAsia="en-US"/>
        </w:rPr>
      </w:pPr>
      <w:r w:rsidRPr="0000221A">
        <w:rPr>
          <w:rFonts w:ascii="Verdana" w:eastAsia="Times New Roman" w:hAnsi="Verdana"/>
          <w:bCs/>
          <w:spacing w:val="80"/>
          <w:sz w:val="20"/>
          <w:szCs w:val="20"/>
          <w:highlight w:val="white"/>
          <w:shd w:val="clear" w:color="auto" w:fill="FEFEFE"/>
          <w:lang w:val="bg-BG" w:eastAsia="en-US"/>
        </w:rPr>
        <w:t>Глава първа</w:t>
      </w:r>
      <w:r w:rsidRPr="0000221A">
        <w:rPr>
          <w:rFonts w:ascii="Verdana" w:eastAsia="Times New Roman" w:hAnsi="Verdana"/>
          <w:bCs/>
          <w:spacing w:val="80"/>
          <w:sz w:val="20"/>
          <w:szCs w:val="20"/>
          <w:highlight w:val="white"/>
          <w:shd w:val="clear" w:color="auto" w:fill="FEFEFE"/>
          <w:lang w:val="bg-BG" w:eastAsia="en-US"/>
        </w:rPr>
        <w:br/>
      </w:r>
      <w:r w:rsidR="004415F8" w:rsidRPr="0000221A">
        <w:rPr>
          <w:rFonts w:ascii="Verdana" w:eastAsia="Times New Roman" w:hAnsi="Verdana"/>
          <w:bCs/>
          <w:sz w:val="20"/>
          <w:szCs w:val="20"/>
          <w:highlight w:val="white"/>
          <w:shd w:val="clear" w:color="auto" w:fill="FEFEFE"/>
          <w:lang w:val="bg-BG" w:eastAsia="en-US"/>
        </w:rPr>
        <w:t>ОБЩИ ПОЛОЖЕНИЯ</w:t>
      </w:r>
    </w:p>
    <w:p w:rsidR="000E59F0" w:rsidRPr="0000221A" w:rsidRDefault="000E59F0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Cs/>
          <w:spacing w:val="80"/>
          <w:sz w:val="20"/>
          <w:szCs w:val="20"/>
          <w:highlight w:val="white"/>
          <w:shd w:val="clear" w:color="auto" w:fill="FEFEFE"/>
          <w:lang w:val="bg-BG" w:eastAsia="en-US"/>
        </w:rPr>
      </w:pPr>
    </w:p>
    <w:p w:rsidR="00551A1E" w:rsidRPr="0000221A" w:rsidRDefault="00551A1E" w:rsidP="004A1365">
      <w:pPr>
        <w:spacing w:line="360" w:lineRule="auto"/>
        <w:ind w:firstLine="709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Чл. 1.</w:t>
      </w:r>
      <w:r w:rsidRPr="0000221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С тази наредба се уреждат условията и редът за:</w:t>
      </w:r>
    </w:p>
    <w:p w:rsidR="001A6904" w:rsidRPr="0000221A" w:rsidRDefault="00FE0FCC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1. </w:t>
      </w:r>
      <w:r w:rsidR="001A6904" w:rsidRPr="0000221A">
        <w:rPr>
          <w:rFonts w:ascii="Verdana" w:eastAsia="Calibri" w:hAnsi="Verdana"/>
          <w:sz w:val="20"/>
          <w:szCs w:val="20"/>
          <w:lang w:val="bg-BG" w:eastAsia="en-US"/>
        </w:rPr>
        <w:t>разрешаване за пускане на пазара и употреба на продукти за растителна защита (ПРЗ);</w:t>
      </w:r>
    </w:p>
    <w:p w:rsidR="00551A1E" w:rsidRPr="0000221A" w:rsidRDefault="00FE0FCC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2.</w:t>
      </w:r>
      <w:r w:rsidR="001A6904" w:rsidRPr="0000221A" w:rsidDel="001A6904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551A1E" w:rsidRPr="0000221A">
        <w:rPr>
          <w:rFonts w:ascii="Verdana" w:eastAsia="Calibri" w:hAnsi="Verdana"/>
          <w:sz w:val="20"/>
          <w:szCs w:val="20"/>
          <w:lang w:val="bg-BG" w:eastAsia="en-US"/>
        </w:rPr>
        <w:t>подновяване на разрешение за пускане на пазара и употреба на ПРЗ;</w:t>
      </w:r>
    </w:p>
    <w:p w:rsidR="001C7584" w:rsidRPr="0000221A" w:rsidRDefault="007C7709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3. изменение, отнемане или прекратяване на разрешение за пускане на пазара и употреба на ПРЗ.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Чл. 2.</w:t>
      </w:r>
      <w:r w:rsidRPr="0000221A">
        <w:rPr>
          <w:rFonts w:ascii="Verdana" w:hAnsi="Verdana"/>
          <w:sz w:val="20"/>
          <w:szCs w:val="20"/>
          <w:lang w:val="bg-BG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(1) Българската агенция по безопасност на храните</w:t>
      </w:r>
      <w:r w:rsidR="007C7709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(БАБХ)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осъществява дейностите по разрешаване на ПРЗ, с изключение на извършването на оценка с доклад за оценка на продуктите.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(2) Центърът за оценка на риска по хранителната верига </w:t>
      </w:r>
      <w:r w:rsidR="001306AD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(ЦОРХВ)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извършва оценка с доклад за оценка на ПРЗ.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(3) За осъществяване на дейностите по ал. 1</w:t>
      </w:r>
      <w:r w:rsidR="00BA10A3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изпълнителният директор на </w:t>
      </w:r>
      <w:r w:rsidR="001306AD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1306AD" w:rsidRPr="0000221A" w:rsidDel="001306AD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дава задължителни указания и утвърждава образци на заявления, декларации, доклади, разрешения и други</w:t>
      </w:r>
      <w:r w:rsidR="00073DCB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BF6E08" w:rsidRPr="00A252A1">
        <w:rPr>
          <w:rFonts w:ascii="Verdana" w:eastAsia="Calibri" w:hAnsi="Verdana"/>
          <w:sz w:val="20"/>
          <w:szCs w:val="20"/>
          <w:lang w:val="bg-BG" w:eastAsia="en-US"/>
        </w:rPr>
        <w:t>документи</w:t>
      </w:r>
      <w:r w:rsidR="00BF6E08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по тази наредба, които се публикуват на интернет страницата на </w:t>
      </w:r>
      <w:r w:rsidR="001306AD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(4) За дейностите по ал. 1 се заплащат такси</w:t>
      </w:r>
      <w:r w:rsidR="00705D16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тарифата по чл. 3, ал. 4 от Закона за Българската агенция по безопасност на храните.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(5) За дейностите по ал. 2 се заплащат такси</w:t>
      </w:r>
      <w:r w:rsidR="00705D16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тарифата по чл. 6, ал. 4 от Закона за Център</w:t>
      </w:r>
      <w:r w:rsidR="00842A75" w:rsidRPr="0000221A">
        <w:rPr>
          <w:rFonts w:ascii="Verdana" w:eastAsia="Calibri" w:hAnsi="Verdana"/>
          <w:sz w:val="20"/>
          <w:szCs w:val="20"/>
          <w:lang w:val="bg-BG" w:eastAsia="en-US"/>
        </w:rPr>
        <w:t>а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за оценка на риска по хранителната верига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 (ЗЦОРХВ)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</w:p>
    <w:p w:rsidR="008D0127" w:rsidRPr="0000221A" w:rsidRDefault="00551A1E" w:rsidP="004A1365">
      <w:pPr>
        <w:tabs>
          <w:tab w:val="left" w:pos="2776"/>
        </w:tabs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Чл. 3.</w:t>
      </w:r>
      <w:r w:rsidRPr="0000221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При осъществяване на дейностите по разрешаване се прилагат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относимите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ръководства на Европейската комисия, Европейския орган за безопасност на храните и на Европейската и средиземноморска организация по растителна защита (ЕРРО), които са в сила към момента на подаване на заявление.</w:t>
      </w:r>
    </w:p>
    <w:p w:rsidR="004F0455" w:rsidRPr="0000221A" w:rsidRDefault="00B55255" w:rsidP="00643AEE">
      <w:pPr>
        <w:tabs>
          <w:tab w:val="left" w:pos="2776"/>
        </w:tabs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Чл. 4.</w:t>
      </w:r>
      <w:r w:rsidRPr="0000221A">
        <w:rPr>
          <w:rFonts w:ascii="Verdana" w:hAnsi="Verdana"/>
          <w:sz w:val="20"/>
          <w:szCs w:val="20"/>
          <w:lang w:val="bg-BG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Лицата, които имат достъп до конфиденциална информация, свързана с дейностите по разрешаване на ПРЗ, </w:t>
      </w:r>
      <w:r w:rsidRPr="008C1B39">
        <w:rPr>
          <w:rFonts w:ascii="Verdana" w:eastAsia="Calibri" w:hAnsi="Verdana"/>
          <w:sz w:val="20"/>
          <w:szCs w:val="20"/>
          <w:lang w:val="bg-BG" w:eastAsia="en-US"/>
        </w:rPr>
        <w:t xml:space="preserve">подписват декларация за </w:t>
      </w:r>
      <w:proofErr w:type="spellStart"/>
      <w:r w:rsidRPr="008C1B39">
        <w:rPr>
          <w:rFonts w:ascii="Verdana" w:eastAsia="Calibri" w:hAnsi="Verdana"/>
          <w:sz w:val="20"/>
          <w:szCs w:val="20"/>
          <w:lang w:val="bg-BG" w:eastAsia="en-US"/>
        </w:rPr>
        <w:t>конфиденциалност</w:t>
      </w:r>
      <w:proofErr w:type="spellEnd"/>
      <w:r w:rsidR="00186EA4" w:rsidRPr="008C1B39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063960" w:rsidRPr="008C1B39">
        <w:rPr>
          <w:rFonts w:ascii="Verdana" w:eastAsia="Calibri" w:hAnsi="Verdana"/>
          <w:sz w:val="20"/>
          <w:szCs w:val="20"/>
          <w:lang w:val="bg-BG" w:eastAsia="en-US"/>
        </w:rPr>
        <w:t xml:space="preserve">– </w:t>
      </w:r>
      <w:r w:rsidR="006207D1" w:rsidRPr="008C1B39">
        <w:rPr>
          <w:rFonts w:ascii="Verdana" w:eastAsia="Calibri" w:hAnsi="Verdana"/>
          <w:sz w:val="20"/>
          <w:szCs w:val="20"/>
          <w:lang w:val="bg-BG" w:eastAsia="en-US"/>
        </w:rPr>
        <w:t>длъжностните лица</w:t>
      </w:r>
      <w:r w:rsidR="00063960" w:rsidRPr="008C1B39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A252A1" w:rsidRPr="008C1B39">
        <w:rPr>
          <w:rFonts w:ascii="Verdana" w:eastAsia="Calibri" w:hAnsi="Verdana"/>
          <w:sz w:val="20"/>
          <w:szCs w:val="20"/>
          <w:lang w:val="bg-BG" w:eastAsia="en-US"/>
        </w:rPr>
        <w:t xml:space="preserve">на </w:t>
      </w:r>
      <w:r w:rsidR="006207D1" w:rsidRPr="008C1B39">
        <w:rPr>
          <w:rFonts w:ascii="Verdana" w:eastAsia="Calibri" w:hAnsi="Verdana"/>
          <w:sz w:val="20"/>
          <w:szCs w:val="20"/>
          <w:lang w:val="bg-BG" w:eastAsia="en-US"/>
        </w:rPr>
        <w:t>ЦОРХВ</w:t>
      </w:r>
      <w:r w:rsidR="00A252A1" w:rsidRPr="008C1B39">
        <w:rPr>
          <w:rFonts w:ascii="Verdana" w:eastAsia="Calibri" w:hAnsi="Verdana"/>
          <w:sz w:val="20"/>
          <w:szCs w:val="20"/>
          <w:lang w:val="bg-BG" w:eastAsia="en-US"/>
        </w:rPr>
        <w:t xml:space="preserve"> в съответствие с чл. 9, ал. 3 от</w:t>
      </w:r>
      <w:r w:rsidR="005B07F8" w:rsidRPr="005B07F8">
        <w:t xml:space="preserve"> </w:t>
      </w:r>
      <w:r w:rsidR="005B07F8" w:rsidRPr="005B07F8">
        <w:rPr>
          <w:rFonts w:ascii="Verdana" w:eastAsia="Calibri" w:hAnsi="Verdana"/>
          <w:sz w:val="20"/>
          <w:szCs w:val="20"/>
          <w:lang w:val="bg-BG" w:eastAsia="en-US"/>
        </w:rPr>
        <w:t>ЗЦОРХВ</w:t>
      </w:r>
      <w:r w:rsidR="00A252A1" w:rsidRPr="008C1B39">
        <w:rPr>
          <w:rFonts w:ascii="Verdana" w:eastAsia="Calibri" w:hAnsi="Verdana"/>
          <w:sz w:val="20"/>
          <w:szCs w:val="20"/>
          <w:lang w:val="bg-BG" w:eastAsia="en-US"/>
        </w:rPr>
        <w:t xml:space="preserve">, </w:t>
      </w:r>
      <w:r w:rsidR="00063960" w:rsidRPr="008C1B39">
        <w:rPr>
          <w:rFonts w:ascii="Verdana" w:eastAsia="Calibri" w:hAnsi="Verdana"/>
          <w:sz w:val="20"/>
          <w:szCs w:val="20"/>
          <w:lang w:val="bg-BG" w:eastAsia="en-US"/>
        </w:rPr>
        <w:t xml:space="preserve">а </w:t>
      </w:r>
      <w:r w:rsidR="006207D1" w:rsidRPr="008C1B39">
        <w:rPr>
          <w:rFonts w:ascii="Verdana" w:eastAsia="Calibri" w:hAnsi="Verdana"/>
          <w:sz w:val="20"/>
          <w:szCs w:val="20"/>
          <w:lang w:val="bg-BG" w:eastAsia="en-US"/>
        </w:rPr>
        <w:t>длъжностните лица</w:t>
      </w:r>
      <w:r w:rsidR="00063960" w:rsidRPr="008C1B39">
        <w:rPr>
          <w:rFonts w:ascii="Verdana" w:eastAsia="Calibri" w:hAnsi="Verdana"/>
          <w:sz w:val="20"/>
          <w:szCs w:val="20"/>
          <w:lang w:val="bg-BG" w:eastAsia="en-US"/>
        </w:rPr>
        <w:t xml:space="preserve"> на </w:t>
      </w:r>
      <w:r w:rsidR="006207D1" w:rsidRPr="008C1B39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A252A1" w:rsidRPr="008C1B39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186EA4" w:rsidRPr="008C1B39">
        <w:rPr>
          <w:rFonts w:ascii="Verdana" w:eastAsia="Calibri" w:hAnsi="Verdana"/>
          <w:sz w:val="20"/>
          <w:szCs w:val="20"/>
          <w:lang w:val="bg-BG" w:eastAsia="en-US"/>
        </w:rPr>
        <w:t xml:space="preserve">по образец, одобрен от </w:t>
      </w:r>
      <w:r w:rsidR="001B1739">
        <w:rPr>
          <w:rFonts w:ascii="Verdana" w:eastAsia="Calibri" w:hAnsi="Verdana"/>
          <w:sz w:val="20"/>
          <w:szCs w:val="20"/>
          <w:lang w:val="bg-BG" w:eastAsia="en-US"/>
        </w:rPr>
        <w:t>изпълнителния</w:t>
      </w:r>
      <w:r w:rsidR="00186EA4" w:rsidRPr="008C1B39">
        <w:rPr>
          <w:rFonts w:ascii="Verdana" w:eastAsia="Calibri" w:hAnsi="Verdana"/>
          <w:sz w:val="20"/>
          <w:szCs w:val="20"/>
          <w:lang w:val="bg-BG" w:eastAsia="en-US"/>
        </w:rPr>
        <w:t xml:space="preserve"> директор на </w:t>
      </w:r>
      <w:r w:rsidR="00186EA4" w:rsidRPr="008C1B39">
        <w:rPr>
          <w:rFonts w:ascii="Verdana" w:eastAsia="Calibri" w:hAnsi="Verdana"/>
          <w:sz w:val="20"/>
          <w:szCs w:val="20"/>
          <w:lang w:val="bg-BG" w:eastAsia="en-US"/>
        </w:rPr>
        <w:lastRenderedPageBreak/>
        <w:t>БАБХ</w:t>
      </w:r>
      <w:r w:rsidR="00A252A1">
        <w:rPr>
          <w:rFonts w:ascii="Verdana" w:eastAsia="Calibri" w:hAnsi="Verdana"/>
          <w:sz w:val="20"/>
          <w:szCs w:val="20"/>
          <w:lang w:val="bg-BG" w:eastAsia="en-US"/>
        </w:rPr>
        <w:t xml:space="preserve">, </w:t>
      </w:r>
      <w:r w:rsidR="00063960">
        <w:rPr>
          <w:rFonts w:ascii="Verdana" w:eastAsia="Calibri" w:hAnsi="Verdana"/>
          <w:sz w:val="20"/>
          <w:szCs w:val="20"/>
          <w:lang w:val="bg-BG" w:eastAsia="en-US"/>
        </w:rPr>
        <w:t>с която се задължават</w:t>
      </w:r>
      <w:r w:rsidR="00A252A1" w:rsidRPr="00A252A1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A252A1" w:rsidRPr="00E008EE">
        <w:rPr>
          <w:rFonts w:ascii="Verdana" w:eastAsia="Calibri" w:hAnsi="Verdana"/>
          <w:sz w:val="20"/>
          <w:szCs w:val="20"/>
          <w:lang w:val="bg-BG" w:eastAsia="en-US"/>
        </w:rPr>
        <w:t>да не разпространяват представената им информация и да не я използват в своя полза или в полза на трети лица</w:t>
      </w:r>
      <w:r w:rsidR="00A252A1">
        <w:rPr>
          <w:rFonts w:ascii="Verdana" w:eastAsia="Calibri" w:hAnsi="Verdana"/>
          <w:sz w:val="20"/>
          <w:szCs w:val="20"/>
          <w:lang w:val="bg-BG" w:eastAsia="en-US"/>
        </w:rPr>
        <w:t>.</w:t>
      </w:r>
    </w:p>
    <w:p w:rsidR="002F4EE4" w:rsidRPr="0000221A" w:rsidRDefault="002F4EE4" w:rsidP="004A1365">
      <w:pPr>
        <w:spacing w:line="360" w:lineRule="auto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Cs/>
          <w:spacing w:val="80"/>
          <w:sz w:val="20"/>
          <w:szCs w:val="20"/>
          <w:highlight w:val="white"/>
          <w:shd w:val="clear" w:color="auto" w:fill="FEFEFE"/>
          <w:lang w:val="bg-BG" w:eastAsia="en-US"/>
        </w:rPr>
      </w:pPr>
      <w:r w:rsidRPr="0000221A">
        <w:rPr>
          <w:rFonts w:ascii="Verdana" w:eastAsia="Times New Roman" w:hAnsi="Verdana"/>
          <w:bCs/>
          <w:spacing w:val="80"/>
          <w:sz w:val="20"/>
          <w:szCs w:val="20"/>
          <w:highlight w:val="white"/>
          <w:shd w:val="clear" w:color="auto" w:fill="FEFEFE"/>
          <w:lang w:val="bg-BG" w:eastAsia="en-US"/>
        </w:rPr>
        <w:t>Глава втора</w:t>
      </w: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Cs/>
          <w:sz w:val="20"/>
          <w:szCs w:val="20"/>
          <w:highlight w:val="white"/>
          <w:shd w:val="clear" w:color="auto" w:fill="FEFEFE"/>
          <w:lang w:val="bg-BG" w:eastAsia="en-US"/>
        </w:rPr>
      </w:pPr>
      <w:r w:rsidRPr="0000221A">
        <w:rPr>
          <w:rFonts w:ascii="Verdana" w:eastAsia="Times New Roman" w:hAnsi="Verdana"/>
          <w:bCs/>
          <w:sz w:val="20"/>
          <w:szCs w:val="20"/>
          <w:highlight w:val="white"/>
          <w:shd w:val="clear" w:color="auto" w:fill="FEFEFE"/>
          <w:lang w:val="bg-BG" w:eastAsia="en-US"/>
        </w:rPr>
        <w:t>РАЗРЕШАВАНЕ ПУСКАНЕТО НА ПАЗАРА И УПОТРЕБАТА НА ПРОДУКТИ ЗА РАСТИТЕЛНА ЗАЩИТА</w:t>
      </w:r>
    </w:p>
    <w:p w:rsidR="00551A1E" w:rsidRPr="0000221A" w:rsidRDefault="00551A1E" w:rsidP="004A1365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Cs/>
          <w:sz w:val="20"/>
          <w:szCs w:val="20"/>
          <w:shd w:val="clear" w:color="auto" w:fill="FEFEFE"/>
          <w:lang w:val="bg-BG" w:eastAsia="en-US"/>
        </w:rPr>
      </w:pPr>
      <w:r w:rsidRPr="0000221A">
        <w:rPr>
          <w:rFonts w:ascii="Verdana" w:eastAsia="Times New Roman" w:hAnsi="Verdana"/>
          <w:bCs/>
          <w:sz w:val="20"/>
          <w:szCs w:val="20"/>
          <w:shd w:val="clear" w:color="auto" w:fill="FEFEFE"/>
          <w:lang w:val="bg-BG" w:eastAsia="en-US"/>
        </w:rPr>
        <w:t>Раздел I</w:t>
      </w: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/>
          <w:bCs/>
          <w:sz w:val="20"/>
          <w:szCs w:val="20"/>
          <w:shd w:val="clear" w:color="auto" w:fill="FEFEFE"/>
          <w:lang w:val="bg-BG" w:eastAsia="en-US"/>
        </w:rPr>
      </w:pPr>
      <w:r w:rsidRPr="0000221A">
        <w:rPr>
          <w:rFonts w:ascii="Verdana" w:eastAsia="Times New Roman" w:hAnsi="Verdana"/>
          <w:b/>
          <w:bCs/>
          <w:sz w:val="20"/>
          <w:szCs w:val="20"/>
          <w:shd w:val="clear" w:color="auto" w:fill="FEFEFE"/>
          <w:lang w:val="bg-BG" w:eastAsia="en-US"/>
        </w:rPr>
        <w:t>Изисквания за пускане на пазара и употреба на продукти за растителна защита</w:t>
      </w:r>
    </w:p>
    <w:p w:rsidR="004F0455" w:rsidRPr="0000221A" w:rsidRDefault="004F0455" w:rsidP="004A1365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692444" w:rsidRPr="0000221A" w:rsidRDefault="004F0455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5. </w:t>
      </w:r>
      <w:r w:rsidR="00692444" w:rsidRPr="0000221A">
        <w:rPr>
          <w:rFonts w:ascii="Verdana" w:eastAsia="Calibri" w:hAnsi="Verdana"/>
          <w:sz w:val="20"/>
          <w:szCs w:val="20"/>
          <w:lang w:val="bg-BG" w:eastAsia="en-US"/>
        </w:rPr>
        <w:t>(1)</w:t>
      </w:r>
      <w:r w:rsidR="00692444" w:rsidRPr="0000221A">
        <w:rPr>
          <w:rFonts w:ascii="Verdana" w:hAnsi="Verdana"/>
          <w:sz w:val="20"/>
          <w:szCs w:val="20"/>
          <w:lang w:val="bg-BG"/>
        </w:rPr>
        <w:t xml:space="preserve"> </w:t>
      </w:r>
      <w:r w:rsidR="00BF6E08" w:rsidRPr="008C1B39">
        <w:rPr>
          <w:rFonts w:ascii="Verdana" w:eastAsia="Calibri" w:hAnsi="Verdana"/>
          <w:sz w:val="20"/>
          <w:szCs w:val="20"/>
          <w:lang w:val="bg-BG" w:eastAsia="en-US"/>
        </w:rPr>
        <w:t>Лицата, които желаят да получат разрешение</w:t>
      </w:r>
      <w:r w:rsidR="00BF6E08">
        <w:rPr>
          <w:rFonts w:ascii="Verdana" w:hAnsi="Verdana"/>
          <w:sz w:val="20"/>
          <w:szCs w:val="20"/>
          <w:lang w:val="bg-BG"/>
        </w:rPr>
        <w:t xml:space="preserve"> </w:t>
      </w:r>
      <w:r w:rsidR="00692444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за пускане на пазара и употреба на ПРЗ, подновяване или изменение на разрешение за пускане на пазара и употреба, подават </w:t>
      </w:r>
      <w:r w:rsidR="00385B4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в Централно управление на БАБХ </w:t>
      </w:r>
      <w:r w:rsidR="00692444" w:rsidRPr="0000221A">
        <w:rPr>
          <w:rFonts w:ascii="Verdana" w:eastAsia="Calibri" w:hAnsi="Verdana"/>
          <w:sz w:val="20"/>
          <w:szCs w:val="20"/>
          <w:lang w:val="bg-BG" w:eastAsia="en-US"/>
        </w:rPr>
        <w:t>заявление по образец</w:t>
      </w:r>
      <w:r w:rsidR="00385B42" w:rsidRPr="0000221A">
        <w:rPr>
          <w:rFonts w:ascii="Verdana" w:eastAsia="Calibri" w:hAnsi="Verdana"/>
          <w:sz w:val="20"/>
          <w:szCs w:val="20"/>
          <w:lang w:val="bg-BG" w:eastAsia="en-US"/>
        </w:rPr>
        <w:t>, утвърден от изпълнителния директор на БАБХ</w:t>
      </w:r>
      <w:r w:rsidR="00692444"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</w:p>
    <w:p w:rsidR="00C054D7" w:rsidRPr="004A1365" w:rsidRDefault="00C054D7" w:rsidP="00C054D7">
      <w:pPr>
        <w:spacing w:line="360" w:lineRule="auto"/>
        <w:ind w:firstLine="709"/>
        <w:jc w:val="both"/>
        <w:rPr>
          <w:rFonts w:ascii="Verdana" w:eastAsia="Calibri" w:hAnsi="Verdana"/>
          <w:b/>
          <w:sz w:val="20"/>
          <w:szCs w:val="20"/>
          <w:lang w:val="bg-BG" w:eastAsia="en-US"/>
        </w:rPr>
      </w:pPr>
      <w:r w:rsidRPr="004A1365">
        <w:rPr>
          <w:rFonts w:ascii="Verdana" w:eastAsia="Calibri" w:hAnsi="Verdana"/>
          <w:sz w:val="20"/>
          <w:szCs w:val="20"/>
          <w:lang w:val="bg-BG" w:eastAsia="en-US"/>
        </w:rPr>
        <w:t>(2)</w:t>
      </w:r>
      <w:r w:rsidRPr="004A1365">
        <w:rPr>
          <w:rFonts w:ascii="Verdana" w:eastAsia="Calibri" w:hAnsi="Verdana"/>
          <w:b/>
          <w:sz w:val="20"/>
          <w:szCs w:val="20"/>
          <w:lang w:val="bg-BG" w:eastAsia="en-US"/>
        </w:rPr>
        <w:t xml:space="preserve"> </w:t>
      </w:r>
      <w:r w:rsidR="007E006C" w:rsidRPr="008C1B39">
        <w:rPr>
          <w:rFonts w:ascii="Verdana" w:eastAsia="Calibri" w:hAnsi="Verdana"/>
          <w:sz w:val="20"/>
          <w:szCs w:val="20"/>
          <w:lang w:val="bg-BG" w:eastAsia="en-US"/>
        </w:rPr>
        <w:t xml:space="preserve">Длъжностни лица </w:t>
      </w:r>
      <w:r w:rsidR="000A70AA">
        <w:rPr>
          <w:rFonts w:ascii="Verdana" w:eastAsia="Calibri" w:hAnsi="Verdana"/>
          <w:sz w:val="20"/>
          <w:szCs w:val="20"/>
          <w:lang w:val="bg-BG" w:eastAsia="en-US"/>
        </w:rPr>
        <w:t>от</w:t>
      </w:r>
      <w:r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4A1365">
        <w:rPr>
          <w:rFonts w:ascii="Verdana" w:eastAsia="Calibri" w:hAnsi="Verdana"/>
          <w:sz w:val="20"/>
          <w:szCs w:val="20"/>
          <w:lang w:val="bg-BG" w:eastAsia="en-US"/>
        </w:rPr>
        <w:t>Българската агенция по безопасност на храните</w:t>
      </w:r>
      <w:r w:rsidR="007E006C">
        <w:rPr>
          <w:rFonts w:ascii="Verdana" w:eastAsia="Calibri" w:hAnsi="Verdana"/>
          <w:sz w:val="20"/>
          <w:szCs w:val="20"/>
          <w:lang w:val="bg-BG" w:eastAsia="en-US"/>
        </w:rPr>
        <w:t xml:space="preserve"> извършват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административна </w:t>
      </w:r>
      <w:r w:rsidR="007E006C">
        <w:rPr>
          <w:rFonts w:ascii="Verdana" w:eastAsia="Calibri" w:hAnsi="Verdana"/>
          <w:sz w:val="20"/>
          <w:szCs w:val="20"/>
          <w:lang w:val="bg-BG" w:eastAsia="en-US"/>
        </w:rPr>
        <w:t>проверка за допустимост на заявленията</w:t>
      </w:r>
      <w:r w:rsidRPr="004A1365">
        <w:rPr>
          <w:rFonts w:ascii="Verdana" w:eastAsia="Calibri" w:hAnsi="Verdana"/>
          <w:sz w:val="20"/>
          <w:szCs w:val="20"/>
          <w:lang w:val="bg-BG" w:eastAsia="en-US"/>
        </w:rPr>
        <w:t>.</w:t>
      </w:r>
      <w:r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</w:p>
    <w:p w:rsidR="00901141" w:rsidRPr="0000221A" w:rsidRDefault="004F0455" w:rsidP="00C054D7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(3)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При установяване на непълноти, </w:t>
      </w:r>
      <w:r w:rsidR="00315B2C" w:rsidRPr="008C1B39">
        <w:rPr>
          <w:rFonts w:ascii="Verdana" w:eastAsia="Calibri" w:hAnsi="Verdana"/>
          <w:sz w:val="20"/>
          <w:szCs w:val="20"/>
          <w:lang w:val="bg-BG" w:eastAsia="en-US"/>
        </w:rPr>
        <w:t>изпълнителният директор на</w:t>
      </w:r>
      <w:r w:rsidR="00C054D7" w:rsidRPr="008C1B39">
        <w:rPr>
          <w:rFonts w:ascii="Verdana" w:eastAsia="Calibri" w:hAnsi="Verdana"/>
          <w:sz w:val="20"/>
          <w:szCs w:val="20"/>
          <w:lang w:val="bg-BG" w:eastAsia="en-US"/>
        </w:rPr>
        <w:t xml:space="preserve"> БАБХ или </w:t>
      </w:r>
      <w:r w:rsidR="000A70AA">
        <w:rPr>
          <w:rFonts w:ascii="Verdana" w:eastAsia="Calibri" w:hAnsi="Verdana"/>
          <w:sz w:val="20"/>
          <w:szCs w:val="20"/>
          <w:lang w:val="bg-BG" w:eastAsia="en-US"/>
        </w:rPr>
        <w:t xml:space="preserve">определено </w:t>
      </w:r>
      <w:r w:rsidR="00C054D7" w:rsidRPr="008C1B39">
        <w:rPr>
          <w:rFonts w:ascii="Verdana" w:eastAsia="Calibri" w:hAnsi="Verdana"/>
          <w:sz w:val="20"/>
          <w:szCs w:val="20"/>
          <w:lang w:val="bg-BG" w:eastAsia="en-US"/>
        </w:rPr>
        <w:t>от него длъжностно лице</w:t>
      </w:r>
      <w:r w:rsidR="00315B2C" w:rsidRPr="008C1B39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писмено уведомява заявителя, като определя срок за отстраняването им</w:t>
      </w:r>
      <w:r w:rsidR="00F10F0C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90114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чл. 37, параграф 1 от Регламент (ЕО) № 1107/2009 на Европейския парламент и на Съвета от 21 октомври 2009 г. относно пускането на пазара на продукти за растителна защита и за отмяна на директиви 79/117/ЕИО и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>91/414/ЕИО на Съвета (ОВ, L 309</w:t>
      </w:r>
      <w:r w:rsidR="0090114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от 24 ноември 2009 г.), наричан по-нататък </w:t>
      </w:r>
      <w:r w:rsidR="004A1365" w:rsidRPr="0000221A">
        <w:rPr>
          <w:rFonts w:ascii="Verdana" w:eastAsia="Calibri" w:hAnsi="Verdana"/>
          <w:sz w:val="20"/>
          <w:szCs w:val="20"/>
          <w:lang w:val="bg-BG" w:eastAsia="en-US"/>
        </w:rPr>
        <w:t>„</w:t>
      </w:r>
      <w:r w:rsidR="00901141" w:rsidRPr="0000221A">
        <w:rPr>
          <w:rFonts w:ascii="Verdana" w:eastAsia="Calibri" w:hAnsi="Verdana"/>
          <w:sz w:val="20"/>
          <w:szCs w:val="20"/>
          <w:lang w:val="bg-BG" w:eastAsia="en-US"/>
        </w:rPr>
        <w:t>Регламент (ЕО) № 1107/2009”.</w:t>
      </w:r>
    </w:p>
    <w:p w:rsidR="00F72361" w:rsidRDefault="00F72361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4A1365">
        <w:rPr>
          <w:rFonts w:ascii="Verdana" w:eastAsia="Calibri" w:hAnsi="Verdana"/>
          <w:sz w:val="20"/>
          <w:szCs w:val="20"/>
          <w:lang w:val="bg-BG" w:eastAsia="en-US"/>
        </w:rPr>
        <w:t>(4)</w:t>
      </w:r>
      <w:r w:rsidRPr="004A1365">
        <w:rPr>
          <w:rFonts w:ascii="Verdana" w:eastAsia="Calibri" w:hAnsi="Verdana"/>
          <w:b/>
          <w:sz w:val="20"/>
          <w:szCs w:val="20"/>
          <w:lang w:val="bg-BG" w:eastAsia="en-US"/>
        </w:rPr>
        <w:t xml:space="preserve"> </w:t>
      </w:r>
      <w:r w:rsidRPr="004A1365">
        <w:rPr>
          <w:rFonts w:ascii="Verdana" w:eastAsia="Calibri" w:hAnsi="Verdana"/>
          <w:sz w:val="20"/>
          <w:szCs w:val="20"/>
          <w:lang w:val="bg-BG" w:eastAsia="en-US"/>
        </w:rPr>
        <w:t xml:space="preserve">При неотстраняване на непълнотите по ал. 3, </w:t>
      </w:r>
      <w:r w:rsidR="00F80E22" w:rsidRPr="008C1B39">
        <w:rPr>
          <w:rFonts w:ascii="Verdana" w:eastAsia="Calibri" w:hAnsi="Verdana"/>
          <w:sz w:val="20"/>
          <w:szCs w:val="20"/>
          <w:lang w:val="bg-BG" w:eastAsia="en-US"/>
        </w:rPr>
        <w:t xml:space="preserve">заявителят се информира, че </w:t>
      </w:r>
      <w:r w:rsidRPr="008C1B39">
        <w:rPr>
          <w:rFonts w:ascii="Verdana" w:eastAsia="Calibri" w:hAnsi="Verdana"/>
          <w:sz w:val="20"/>
          <w:szCs w:val="20"/>
          <w:lang w:val="bg-BG" w:eastAsia="en-US"/>
        </w:rPr>
        <w:t>заявлението</w:t>
      </w:r>
      <w:r w:rsidR="00F80E22">
        <w:rPr>
          <w:rFonts w:ascii="Verdana" w:eastAsia="Calibri" w:hAnsi="Verdana"/>
          <w:sz w:val="20"/>
          <w:szCs w:val="20"/>
          <w:lang w:val="bg-BG" w:eastAsia="en-US"/>
        </w:rPr>
        <w:t xml:space="preserve"> му е недопустимо</w:t>
      </w:r>
      <w:r w:rsidRPr="004A1365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F80E22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4A1365">
        <w:rPr>
          <w:rFonts w:ascii="Verdana" w:eastAsia="Calibri" w:hAnsi="Verdana"/>
          <w:sz w:val="20"/>
          <w:szCs w:val="20"/>
          <w:lang w:val="bg-BG" w:eastAsia="en-US"/>
        </w:rPr>
        <w:t>съгласно чл. 37, параграф 1 от Регламент (ЕО) № 1107/2009</w:t>
      </w:r>
      <w:r w:rsidR="000A70AA">
        <w:rPr>
          <w:rFonts w:ascii="Verdana" w:eastAsia="Calibri" w:hAnsi="Verdana"/>
          <w:sz w:val="20"/>
          <w:szCs w:val="20"/>
          <w:lang w:val="bg-BG" w:eastAsia="en-US"/>
        </w:rPr>
        <w:t>, а производството се прекратява със заповед на изпълнителния директор на БАБХ.</w:t>
      </w:r>
    </w:p>
    <w:p w:rsidR="004C25BF" w:rsidRPr="0000221A" w:rsidRDefault="004F0455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(5)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 </w:t>
      </w:r>
      <w:r w:rsidR="000A70AA" w:rsidRPr="000A70AA">
        <w:rPr>
          <w:rFonts w:ascii="Verdana" w:eastAsia="Calibri" w:hAnsi="Verdana"/>
          <w:sz w:val="20"/>
          <w:szCs w:val="20"/>
          <w:lang w:val="bg-BG" w:eastAsia="en-US"/>
        </w:rPr>
        <w:t>Когато</w:t>
      </w:r>
      <w:r w:rsidR="000A70AA">
        <w:rPr>
          <w:rFonts w:ascii="Verdana" w:eastAsia="Calibri" w:hAnsi="Verdana"/>
          <w:sz w:val="20"/>
          <w:szCs w:val="20"/>
          <w:lang w:val="bg-BG" w:eastAsia="en-US"/>
        </w:rPr>
        <w:t xml:space="preserve"> се установи, че</w:t>
      </w:r>
      <w:r w:rsidR="000A70AA" w:rsidRPr="000A70AA">
        <w:rPr>
          <w:rFonts w:ascii="Verdana" w:eastAsia="Calibri" w:hAnsi="Verdana"/>
          <w:sz w:val="20"/>
          <w:szCs w:val="20"/>
          <w:lang w:val="bg-BG" w:eastAsia="en-US"/>
        </w:rPr>
        <w:t xml:space="preserve"> заявлението</w:t>
      </w:r>
      <w:r w:rsidR="000A70AA">
        <w:rPr>
          <w:rFonts w:ascii="Verdana" w:eastAsia="Calibri" w:hAnsi="Verdana"/>
          <w:sz w:val="20"/>
          <w:szCs w:val="20"/>
          <w:lang w:val="bg-BG" w:eastAsia="en-US"/>
        </w:rPr>
        <w:t xml:space="preserve"> е допустимо</w:t>
      </w:r>
      <w:r w:rsidR="00F10F0C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1306AD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085397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предава екземпляр от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документите за разрешаване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на </w:t>
      </w:r>
      <w:r w:rsidR="001306AD" w:rsidRPr="0000221A">
        <w:rPr>
          <w:rFonts w:ascii="Verdana" w:eastAsia="Calibri" w:hAnsi="Verdana"/>
          <w:sz w:val="20"/>
          <w:szCs w:val="20"/>
          <w:lang w:val="bg-BG" w:eastAsia="en-US"/>
        </w:rPr>
        <w:t>ЦОРХВ</w:t>
      </w:r>
      <w:r w:rsidR="00392AE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1B4817" w:rsidRPr="0000221A">
        <w:rPr>
          <w:rFonts w:ascii="Verdana" w:eastAsia="Calibri" w:hAnsi="Verdana"/>
          <w:sz w:val="20"/>
          <w:szCs w:val="20"/>
          <w:lang w:val="bg-BG" w:eastAsia="en-US"/>
        </w:rPr>
        <w:t>по служебен път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  <w:r w:rsidR="00073DCB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</w:p>
    <w:p w:rsidR="00F72361" w:rsidRPr="00A36E23" w:rsidRDefault="00F72361" w:rsidP="00F72361">
      <w:pPr>
        <w:spacing w:line="360" w:lineRule="auto"/>
        <w:ind w:firstLine="709"/>
        <w:jc w:val="both"/>
        <w:rPr>
          <w:rFonts w:ascii="Verdana" w:eastAsia="Calibri" w:hAnsi="Verdana"/>
          <w:b/>
          <w:color w:val="FF0000"/>
          <w:sz w:val="20"/>
          <w:szCs w:val="20"/>
          <w:lang w:val="bg-BG" w:eastAsia="en-US"/>
        </w:rPr>
      </w:pPr>
      <w:r w:rsidRPr="004A1365">
        <w:rPr>
          <w:rFonts w:ascii="Verdana" w:eastAsia="Calibri" w:hAnsi="Verdana"/>
          <w:sz w:val="20"/>
          <w:szCs w:val="20"/>
          <w:lang w:val="bg-BG" w:eastAsia="en-US"/>
        </w:rPr>
        <w:t>(6)</w:t>
      </w:r>
      <w:r w:rsidRPr="004A1365">
        <w:rPr>
          <w:rFonts w:ascii="Verdana" w:eastAsia="Calibri" w:hAnsi="Verdana"/>
          <w:b/>
          <w:sz w:val="20"/>
          <w:szCs w:val="20"/>
          <w:lang w:val="bg-BG" w:eastAsia="en-US"/>
        </w:rPr>
        <w:t xml:space="preserve"> </w:t>
      </w:r>
      <w:r w:rsidRPr="004A1365">
        <w:rPr>
          <w:rFonts w:ascii="Verdana" w:eastAsia="Calibri" w:hAnsi="Verdana"/>
          <w:sz w:val="20"/>
          <w:szCs w:val="20"/>
          <w:lang w:val="bg-BG" w:eastAsia="en-US"/>
        </w:rPr>
        <w:t>Центърът за оценка на риска по хранителната верига извършва оценка с доклад за оценка на ПРЗ.</w:t>
      </w:r>
      <w:r w:rsidRPr="00B2080C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B2080C" w:rsidRPr="00791899">
        <w:rPr>
          <w:rFonts w:ascii="Verdana" w:eastAsia="Calibri" w:hAnsi="Verdana"/>
          <w:sz w:val="20"/>
          <w:szCs w:val="20"/>
          <w:lang w:val="bg-BG" w:eastAsia="en-US"/>
        </w:rPr>
        <w:t xml:space="preserve">В случаите, когато за извършване на оценката с доклад за оценка е необходима допълнителна информация,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директорът на </w:t>
      </w:r>
      <w:r w:rsidR="00B2080C" w:rsidRPr="00791899">
        <w:rPr>
          <w:rFonts w:ascii="Verdana" w:eastAsia="Calibri" w:hAnsi="Verdana"/>
          <w:sz w:val="20"/>
          <w:szCs w:val="20"/>
          <w:lang w:val="bg-BG" w:eastAsia="en-US"/>
        </w:rPr>
        <w:t>ЦОРХВ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 или определено от него длъжностно лице</w:t>
      </w:r>
      <w:r w:rsidR="00B2080C" w:rsidRPr="00791899">
        <w:rPr>
          <w:rFonts w:ascii="Verdana" w:eastAsia="Calibri" w:hAnsi="Verdana"/>
          <w:sz w:val="20"/>
          <w:szCs w:val="20"/>
          <w:lang w:val="bg-BG" w:eastAsia="en-US"/>
        </w:rPr>
        <w:t xml:space="preserve"> писмено уведомява заявителя</w:t>
      </w:r>
      <w:r w:rsidR="005B07F8" w:rsidRPr="005B07F8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 и </w:t>
      </w:r>
      <w:r w:rsidR="005B07F8" w:rsidRPr="005B07F8">
        <w:rPr>
          <w:rFonts w:ascii="Verdana" w:eastAsia="Calibri" w:hAnsi="Verdana"/>
          <w:sz w:val="20"/>
          <w:szCs w:val="20"/>
          <w:lang w:val="bg-BG" w:eastAsia="en-US"/>
        </w:rPr>
        <w:t>определя срок за представянето ѝ</w:t>
      </w:r>
      <w:r w:rsidR="00B2080C" w:rsidRPr="00791899">
        <w:rPr>
          <w:rFonts w:ascii="Verdana" w:eastAsia="Calibri" w:hAnsi="Verdana"/>
          <w:sz w:val="20"/>
          <w:szCs w:val="20"/>
          <w:lang w:val="bg-BG" w:eastAsia="en-US"/>
        </w:rPr>
        <w:t xml:space="preserve">, съгласно чл. 11, ал. 1 от </w:t>
      </w:r>
      <w:r w:rsidR="005B07F8" w:rsidRPr="005B07F8">
        <w:rPr>
          <w:rFonts w:ascii="Verdana" w:eastAsia="Calibri" w:hAnsi="Verdana"/>
          <w:sz w:val="20"/>
          <w:szCs w:val="20"/>
          <w:lang w:val="bg-BG" w:eastAsia="en-US"/>
        </w:rPr>
        <w:t>ЗЦОРХВ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>.</w:t>
      </w:r>
    </w:p>
    <w:p w:rsidR="00F72361" w:rsidRPr="004A1365" w:rsidRDefault="00F72361" w:rsidP="00F72361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4A1365">
        <w:rPr>
          <w:rFonts w:ascii="Verdana" w:eastAsia="Calibri" w:hAnsi="Verdana"/>
          <w:sz w:val="20"/>
          <w:szCs w:val="20"/>
          <w:lang w:val="bg-BG" w:eastAsia="en-US"/>
        </w:rPr>
        <w:t>(7)</w:t>
      </w:r>
      <w:r w:rsidRPr="004A1365">
        <w:rPr>
          <w:rFonts w:ascii="Verdana" w:eastAsia="Calibri" w:hAnsi="Verdana"/>
          <w:b/>
          <w:sz w:val="20"/>
          <w:szCs w:val="20"/>
          <w:lang w:val="bg-BG" w:eastAsia="en-US"/>
        </w:rPr>
        <w:t xml:space="preserve"> </w:t>
      </w:r>
      <w:r w:rsidRPr="004A1365">
        <w:rPr>
          <w:rFonts w:ascii="Verdana" w:eastAsia="Calibri" w:hAnsi="Verdana"/>
          <w:sz w:val="20"/>
          <w:szCs w:val="20"/>
          <w:lang w:val="bg-BG" w:eastAsia="en-US"/>
        </w:rPr>
        <w:t xml:space="preserve">За извършване на оценката, </w:t>
      </w:r>
      <w:r w:rsidR="00A36E23" w:rsidRPr="00791899">
        <w:rPr>
          <w:rFonts w:ascii="Verdana" w:eastAsia="Calibri" w:hAnsi="Verdana"/>
          <w:sz w:val="20"/>
          <w:szCs w:val="20"/>
          <w:lang w:val="bg-BG" w:eastAsia="en-US"/>
        </w:rPr>
        <w:t>директорът</w:t>
      </w:r>
      <w:r w:rsidR="00A40779" w:rsidRPr="00791899">
        <w:rPr>
          <w:rFonts w:ascii="Verdana" w:eastAsia="Calibri" w:hAnsi="Verdana"/>
          <w:sz w:val="20"/>
          <w:szCs w:val="20"/>
          <w:lang w:val="bg-BG" w:eastAsia="en-US"/>
        </w:rPr>
        <w:t xml:space="preserve"> на </w:t>
      </w:r>
      <w:r w:rsidRPr="00791899">
        <w:rPr>
          <w:rFonts w:ascii="Verdana" w:eastAsia="Calibri" w:hAnsi="Verdana"/>
          <w:sz w:val="20"/>
          <w:szCs w:val="20"/>
          <w:lang w:val="bg-BG" w:eastAsia="en-US"/>
        </w:rPr>
        <w:t xml:space="preserve">ЦОРХВ </w:t>
      </w:r>
      <w:r w:rsidR="00A36E23" w:rsidRPr="00791899">
        <w:rPr>
          <w:rFonts w:ascii="Verdana" w:eastAsia="Calibri" w:hAnsi="Verdana"/>
          <w:sz w:val="20"/>
          <w:szCs w:val="20"/>
          <w:lang w:val="bg-BG" w:eastAsia="en-US"/>
        </w:rPr>
        <w:t xml:space="preserve">или упълномощено от него длъжностно лице </w:t>
      </w:r>
      <w:r w:rsidRPr="004A1365">
        <w:rPr>
          <w:rFonts w:ascii="Verdana" w:eastAsia="Calibri" w:hAnsi="Verdana"/>
          <w:sz w:val="20"/>
          <w:szCs w:val="20"/>
          <w:lang w:val="bg-BG" w:eastAsia="en-US"/>
        </w:rPr>
        <w:t>уведомява заявителя за дължимата такса, съгласно тарифата по чл. 6, ал. 4 от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5B07F8" w:rsidRPr="005B07F8">
        <w:rPr>
          <w:rFonts w:ascii="Verdana" w:eastAsia="Calibri" w:hAnsi="Verdana"/>
          <w:sz w:val="20"/>
          <w:szCs w:val="20"/>
          <w:lang w:val="bg-BG" w:eastAsia="en-US"/>
        </w:rPr>
        <w:t>ЗЦОРХВ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>. В 7</w:t>
      </w:r>
      <w:r w:rsidRPr="004A1365">
        <w:rPr>
          <w:rFonts w:ascii="Verdana" w:eastAsia="Calibri" w:hAnsi="Verdana"/>
          <w:sz w:val="20"/>
          <w:szCs w:val="20"/>
          <w:lang w:val="bg-BG" w:eastAsia="en-US"/>
        </w:rPr>
        <w:t>-дневен срок от уведомлението, заявителят представя в ЦОРХВ документ за платена такса</w:t>
      </w:r>
      <w:r w:rsidR="00A63DE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A63DEA" w:rsidRPr="00A63DEA">
        <w:t xml:space="preserve"> </w:t>
      </w:r>
      <w:r w:rsidR="00A63DEA" w:rsidRPr="00A63DEA">
        <w:rPr>
          <w:rFonts w:ascii="Verdana" w:eastAsia="Calibri" w:hAnsi="Verdana"/>
          <w:sz w:val="20"/>
          <w:szCs w:val="20"/>
          <w:lang w:val="bg-BG" w:eastAsia="en-US"/>
        </w:rPr>
        <w:t>когато плащането не е извършено по електронен път.</w:t>
      </w:r>
    </w:p>
    <w:p w:rsidR="004F0455" w:rsidRPr="0000221A" w:rsidRDefault="004F0455" w:rsidP="00F72361">
      <w:pPr>
        <w:spacing w:line="360" w:lineRule="auto"/>
        <w:ind w:firstLine="709"/>
        <w:jc w:val="both"/>
        <w:rPr>
          <w:rFonts w:ascii="Verdana" w:eastAsia="Calibri" w:hAnsi="Verdana"/>
          <w:b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lastRenderedPageBreak/>
        <w:t>(8)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В </w:t>
      </w:r>
      <w:r w:rsidR="002021DF" w:rsidRPr="0000221A">
        <w:rPr>
          <w:rFonts w:ascii="Verdana" w:eastAsia="Calibri" w:hAnsi="Verdana"/>
          <w:sz w:val="20"/>
          <w:szCs w:val="20"/>
          <w:lang w:val="bg-BG" w:eastAsia="en-US"/>
        </w:rPr>
        <w:t>случаите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2021DF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когато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1306AD" w:rsidRPr="0000221A">
        <w:rPr>
          <w:rFonts w:ascii="Verdana" w:eastAsia="Calibri" w:hAnsi="Verdana"/>
          <w:sz w:val="20"/>
          <w:szCs w:val="20"/>
          <w:lang w:val="bg-BG" w:eastAsia="en-US"/>
        </w:rPr>
        <w:t>ЦОРХВ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уведоми </w:t>
      </w:r>
      <w:r w:rsidR="001306AD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085397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че заявителят не е представил допълнителна информация за извършване на оценката в срока по чл. 11, ал. 1 от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 ЗЦОРХВ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,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изпълнителния директор на </w:t>
      </w:r>
      <w:r w:rsidR="001306AD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1306AD" w:rsidRPr="0000221A" w:rsidDel="001306AD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>прекратява със заповед</w:t>
      </w:r>
      <w:r w:rsidR="00B93AF9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административното производство</w:t>
      </w:r>
      <w:r w:rsidR="009B15D7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4E5FAB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чл. 37, параграф 1 от Регламент (ЕО) № 1107/2009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  <w:r w:rsidR="004C25BF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</w:p>
    <w:p w:rsidR="002021DF" w:rsidRDefault="004F0455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(9)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Центърът за оценка на риска по хранителната верига предава </w:t>
      </w:r>
      <w:r w:rsidR="005B07F8" w:rsidRPr="005B07F8">
        <w:rPr>
          <w:rFonts w:ascii="Verdana" w:eastAsia="Calibri" w:hAnsi="Verdana"/>
          <w:sz w:val="20"/>
          <w:szCs w:val="20"/>
          <w:lang w:val="bg-BG" w:eastAsia="en-US"/>
        </w:rPr>
        <w:t xml:space="preserve">по служебен път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на </w:t>
      </w:r>
      <w:r w:rsidR="001306AD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1306AD" w:rsidRPr="0000221A" w:rsidDel="001306AD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доклада за оценка на ПРЗ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 в срока по</w:t>
      </w:r>
      <w:r w:rsidR="00CC7E9E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>чл. 10 от ЗЦОРХВ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</w:p>
    <w:p w:rsidR="005B07F8" w:rsidRPr="005B07F8" w:rsidRDefault="005B07F8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5B07F8">
        <w:rPr>
          <w:rFonts w:ascii="Verdana" w:eastAsia="Calibri" w:hAnsi="Verdana"/>
          <w:sz w:val="20"/>
          <w:szCs w:val="20"/>
          <w:lang w:val="bg-BG" w:eastAsia="en-US"/>
        </w:rPr>
        <w:t>(10) Документите за разрешаване и докладът за оценка на ПРЗ се представят за разглеждане на</w:t>
      </w:r>
      <w:r w:rsidRPr="005B07F8">
        <w:t xml:space="preserve"> </w:t>
      </w:r>
      <w:r w:rsidRPr="005B07F8">
        <w:rPr>
          <w:rFonts w:ascii="Verdana" w:eastAsia="Calibri" w:hAnsi="Verdana"/>
          <w:sz w:val="20"/>
          <w:szCs w:val="20"/>
          <w:lang w:val="bg-BG" w:eastAsia="en-US"/>
        </w:rPr>
        <w:t xml:space="preserve">Съвета по продукти за растителна защита </w:t>
      </w:r>
      <w:r>
        <w:rPr>
          <w:rFonts w:ascii="Verdana" w:eastAsia="Calibri" w:hAnsi="Verdana"/>
          <w:sz w:val="20"/>
          <w:szCs w:val="20"/>
          <w:lang w:val="bg-BG" w:eastAsia="en-US"/>
        </w:rPr>
        <w:t>(</w:t>
      </w:r>
      <w:r w:rsidRPr="005B07F8">
        <w:rPr>
          <w:rFonts w:ascii="Verdana" w:eastAsia="Calibri" w:hAnsi="Verdana"/>
          <w:sz w:val="20"/>
          <w:szCs w:val="20"/>
          <w:lang w:val="bg-BG" w:eastAsia="en-US"/>
        </w:rPr>
        <w:t>СПРЗ</w:t>
      </w:r>
      <w:r>
        <w:rPr>
          <w:rFonts w:ascii="Verdana" w:eastAsia="Calibri" w:hAnsi="Verdana"/>
          <w:sz w:val="20"/>
          <w:szCs w:val="20"/>
          <w:lang w:val="bg-BG" w:eastAsia="en-US"/>
        </w:rPr>
        <w:t>)</w:t>
      </w:r>
      <w:r w:rsidRPr="005B07F8">
        <w:rPr>
          <w:rFonts w:ascii="Verdana" w:eastAsia="Calibri" w:hAnsi="Verdana"/>
          <w:sz w:val="20"/>
          <w:szCs w:val="20"/>
          <w:lang w:val="bg-BG" w:eastAsia="en-US"/>
        </w:rPr>
        <w:t>.</w:t>
      </w:r>
    </w:p>
    <w:p w:rsidR="00F72361" w:rsidRPr="004A1365" w:rsidRDefault="00F72361" w:rsidP="00F72361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4A1365">
        <w:rPr>
          <w:rFonts w:ascii="Verdana" w:eastAsia="Calibri" w:hAnsi="Verdana"/>
          <w:sz w:val="20"/>
          <w:szCs w:val="20"/>
          <w:lang w:val="bg-BG" w:eastAsia="en-US"/>
        </w:rPr>
        <w:t>(10)</w:t>
      </w:r>
      <w:r w:rsidRPr="004A1365">
        <w:rPr>
          <w:rFonts w:ascii="Verdana" w:eastAsia="Calibri" w:hAnsi="Verdana"/>
          <w:b/>
          <w:sz w:val="20"/>
          <w:szCs w:val="20"/>
          <w:lang w:val="bg-BG" w:eastAsia="en-US"/>
        </w:rPr>
        <w:t xml:space="preserve"> </w:t>
      </w:r>
      <w:r w:rsidRPr="004A1365">
        <w:rPr>
          <w:rFonts w:ascii="Verdana" w:eastAsia="Calibri" w:hAnsi="Verdana"/>
          <w:sz w:val="20"/>
          <w:szCs w:val="20"/>
          <w:lang w:val="bg-BG" w:eastAsia="en-US"/>
        </w:rPr>
        <w:t xml:space="preserve">За разглеждане на доклада за оценка на ПРЗ от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>СПРЗ</w:t>
      </w:r>
      <w:r w:rsidRPr="004A1365">
        <w:rPr>
          <w:rFonts w:ascii="Verdana" w:eastAsia="Calibri" w:hAnsi="Verdana"/>
          <w:sz w:val="20"/>
          <w:szCs w:val="20"/>
          <w:lang w:val="bg-BG" w:eastAsia="en-US"/>
        </w:rPr>
        <w:t xml:space="preserve">, </w:t>
      </w:r>
      <w:r w:rsidR="00677CF1" w:rsidRPr="00791899">
        <w:rPr>
          <w:rFonts w:ascii="Verdana" w:eastAsia="Calibri" w:hAnsi="Verdana"/>
          <w:sz w:val="20"/>
          <w:szCs w:val="20"/>
          <w:lang w:val="bg-BG" w:eastAsia="en-US"/>
        </w:rPr>
        <w:t>длъжностни лица на</w:t>
      </w:r>
      <w:r w:rsidRPr="00A36E23">
        <w:rPr>
          <w:rFonts w:ascii="Verdana" w:eastAsia="Calibri" w:hAnsi="Verdana"/>
          <w:color w:val="FF0000"/>
          <w:sz w:val="20"/>
          <w:szCs w:val="20"/>
          <w:lang w:val="bg-BG" w:eastAsia="en-US"/>
        </w:rPr>
        <w:t xml:space="preserve"> </w:t>
      </w:r>
      <w:r w:rsidRPr="004A1365">
        <w:rPr>
          <w:rFonts w:ascii="Verdana" w:eastAsia="Calibri" w:hAnsi="Verdana"/>
          <w:sz w:val="20"/>
          <w:szCs w:val="20"/>
          <w:lang w:val="bg-BG" w:eastAsia="en-US"/>
        </w:rPr>
        <w:t>БАБХ</w:t>
      </w:r>
      <w:r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4A1365">
        <w:rPr>
          <w:rFonts w:ascii="Verdana" w:eastAsia="Calibri" w:hAnsi="Verdana"/>
          <w:sz w:val="20"/>
          <w:szCs w:val="20"/>
          <w:lang w:val="bg-BG" w:eastAsia="en-US"/>
        </w:rPr>
        <w:t>уведомява</w:t>
      </w:r>
      <w:r w:rsidR="00677CF1">
        <w:rPr>
          <w:rFonts w:ascii="Verdana" w:eastAsia="Calibri" w:hAnsi="Verdana"/>
          <w:sz w:val="20"/>
          <w:szCs w:val="20"/>
          <w:lang w:val="bg-BG" w:eastAsia="en-US"/>
        </w:rPr>
        <w:t>т</w:t>
      </w:r>
      <w:r w:rsidRPr="004A1365">
        <w:rPr>
          <w:rFonts w:ascii="Verdana" w:eastAsia="Calibri" w:hAnsi="Verdana"/>
          <w:sz w:val="20"/>
          <w:szCs w:val="20"/>
          <w:lang w:val="bg-BG" w:eastAsia="en-US"/>
        </w:rPr>
        <w:t xml:space="preserve"> заявителя за дължимата такса, съгласно чл. 3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, ал. 4 от Закона за Българската </w:t>
      </w:r>
      <w:proofErr w:type="spellStart"/>
      <w:r w:rsidR="005B07F8">
        <w:rPr>
          <w:rFonts w:ascii="Verdana" w:eastAsia="Calibri" w:hAnsi="Verdana"/>
          <w:sz w:val="20"/>
          <w:szCs w:val="20"/>
          <w:lang w:val="bg-BG" w:eastAsia="en-US"/>
        </w:rPr>
        <w:t>ганеция</w:t>
      </w:r>
      <w:proofErr w:type="spellEnd"/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 по безопасност на храните. В 7</w:t>
      </w:r>
      <w:r w:rsidRPr="004A1365">
        <w:rPr>
          <w:rFonts w:ascii="Verdana" w:eastAsia="Calibri" w:hAnsi="Verdana"/>
          <w:sz w:val="20"/>
          <w:szCs w:val="20"/>
          <w:lang w:val="bg-BG" w:eastAsia="en-US"/>
        </w:rPr>
        <w:t>-дневен срок от уведомлението, заявителят представя в БАБХ</w:t>
      </w:r>
      <w:r w:rsidRPr="004A1365" w:rsidDel="00D31A30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4A1365">
        <w:rPr>
          <w:rFonts w:ascii="Verdana" w:eastAsia="Calibri" w:hAnsi="Verdana"/>
          <w:sz w:val="20"/>
          <w:szCs w:val="20"/>
          <w:lang w:val="bg-BG" w:eastAsia="en-US"/>
        </w:rPr>
        <w:t>документ за платена такса</w:t>
      </w:r>
      <w:r w:rsidR="00A63DE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A63DEA" w:rsidRPr="00A63DEA">
        <w:t xml:space="preserve"> </w:t>
      </w:r>
      <w:r w:rsidR="00A63DEA" w:rsidRPr="00A63DEA">
        <w:rPr>
          <w:rFonts w:ascii="Verdana" w:eastAsia="Calibri" w:hAnsi="Verdana"/>
          <w:sz w:val="20"/>
          <w:szCs w:val="20"/>
          <w:lang w:val="bg-BG" w:eastAsia="en-US"/>
        </w:rPr>
        <w:t>когато плащането не е извършено по електронен път.</w:t>
      </w:r>
    </w:p>
    <w:p w:rsidR="004F0455" w:rsidRPr="0000221A" w:rsidRDefault="005B07F8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8241CF" w:rsidRPr="0000221A">
        <w:rPr>
          <w:rFonts w:ascii="Verdana" w:eastAsia="Calibri" w:hAnsi="Verdana"/>
          <w:sz w:val="20"/>
          <w:szCs w:val="20"/>
          <w:lang w:val="bg-BG" w:eastAsia="en-US"/>
        </w:rPr>
        <w:t>(12</w:t>
      </w:r>
      <w:r w:rsidR="004F0455" w:rsidRPr="0000221A">
        <w:rPr>
          <w:rFonts w:ascii="Verdana" w:eastAsia="Calibri" w:hAnsi="Verdana"/>
          <w:sz w:val="20"/>
          <w:szCs w:val="20"/>
          <w:lang w:val="bg-BG" w:eastAsia="en-US"/>
        </w:rPr>
        <w:t>)</w:t>
      </w:r>
      <w:r w:rsidR="004F0455"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 </w:t>
      </w:r>
      <w:r w:rsidR="004F045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Съветът по продукти за растителна защита прави предложение до изпълнителния директор на </w:t>
      </w:r>
      <w:r w:rsidR="00D31A30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FA4F45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4F045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</w:t>
      </w:r>
      <w:r>
        <w:rPr>
          <w:rFonts w:ascii="Verdana" w:eastAsia="Calibri" w:hAnsi="Verdana"/>
          <w:sz w:val="20"/>
          <w:szCs w:val="20"/>
          <w:lang w:val="bg-BG" w:eastAsia="en-US"/>
        </w:rPr>
        <w:t xml:space="preserve"> за разрешаване или за отказ съгласно</w:t>
      </w:r>
      <w:r w:rsidR="004F045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чл. 54 от ЗЗР.</w:t>
      </w:r>
    </w:p>
    <w:p w:rsidR="004F0455" w:rsidRPr="0000221A" w:rsidRDefault="008241CF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(13</w:t>
      </w:r>
      <w:r w:rsidR="004F0455" w:rsidRPr="0000221A">
        <w:rPr>
          <w:rFonts w:ascii="Verdana" w:eastAsia="Calibri" w:hAnsi="Verdana"/>
          <w:sz w:val="20"/>
          <w:szCs w:val="20"/>
          <w:lang w:val="bg-BG" w:eastAsia="en-US"/>
        </w:rPr>
        <w:t>)</w:t>
      </w:r>
      <w:r w:rsidR="004F0455"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 </w:t>
      </w:r>
      <w:r w:rsidR="004F0455" w:rsidRPr="0000221A">
        <w:rPr>
          <w:rFonts w:ascii="Verdana" w:eastAsia="Calibri" w:hAnsi="Verdana"/>
          <w:sz w:val="20"/>
          <w:szCs w:val="20"/>
          <w:lang w:val="bg-BG" w:eastAsia="en-US"/>
        </w:rPr>
        <w:t>В 14-дневен срок от получаване на предложението от СПРЗ</w:t>
      </w:r>
      <w:r w:rsidR="00FA4F45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4F045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изпълнителният директор на </w:t>
      </w:r>
      <w:r w:rsidR="00D31A30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D31A30" w:rsidRPr="0000221A" w:rsidDel="00D31A30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4F045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със заповед разрешава пускането на пазара и употребата на ПРЗ и издава разрешение по образец или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със заповед </w:t>
      </w:r>
      <w:r w:rsidR="004F0455" w:rsidRPr="0000221A">
        <w:rPr>
          <w:rFonts w:ascii="Verdana" w:eastAsia="Calibri" w:hAnsi="Verdana"/>
          <w:sz w:val="20"/>
          <w:szCs w:val="20"/>
          <w:lang w:val="bg-BG" w:eastAsia="en-US"/>
        </w:rPr>
        <w:t>отказва разрешаването на продукта</w:t>
      </w:r>
      <w:r w:rsidR="00D75326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4F045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при условията и по реда на чл. 55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-69</w:t>
      </w:r>
      <w:r w:rsidR="004F045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от Закона за защита на растенията.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210A8A" w:rsidRPr="0000221A">
        <w:rPr>
          <w:rFonts w:ascii="Verdana" w:eastAsia="Calibri" w:hAnsi="Verdana"/>
          <w:b/>
          <w:sz w:val="20"/>
          <w:szCs w:val="20"/>
          <w:lang w:val="bg-BG" w:eastAsia="en-US"/>
        </w:rPr>
        <w:t>6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.</w:t>
      </w:r>
      <w:r w:rsidRPr="0000221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Продуктите за растителна защита се разрешават за пускане на пазара и употреба, когато отговарят на изискванията на глава III, раздел 1 от Регламент (ЕО) № 1107/2009.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210A8A" w:rsidRPr="0000221A">
        <w:rPr>
          <w:rFonts w:ascii="Verdana" w:eastAsia="Calibri" w:hAnsi="Verdana"/>
          <w:b/>
          <w:sz w:val="20"/>
          <w:szCs w:val="20"/>
          <w:lang w:val="bg-BG" w:eastAsia="en-US"/>
        </w:rPr>
        <w:t>7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.</w:t>
      </w:r>
      <w:r w:rsidRPr="0000221A">
        <w:rPr>
          <w:rFonts w:ascii="Verdana" w:hAnsi="Verdana"/>
          <w:sz w:val="20"/>
          <w:szCs w:val="20"/>
          <w:lang w:val="bg-BG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(1) Продуктите за растителна защита се категоризират в професионална или непрофесионална категория на употреба</w:t>
      </w:r>
      <w:r w:rsidR="00157503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чл. 80 от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 ЗЗР</w:t>
      </w:r>
      <w:r w:rsidR="00157503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по следните критерии:</w:t>
      </w:r>
    </w:p>
    <w:p w:rsidR="00551A1E" w:rsidRPr="0000221A" w:rsidRDefault="0083685D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1. </w:t>
      </w:r>
      <w:r w:rsidR="00392AE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професионална </w:t>
      </w:r>
      <w:r w:rsidR="00551A1E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категория на употреба са ПРЗ, които: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а) са класифицирани в съответствие с Регламент (ЕО) № 1272/2008 на Европейския парламент и на Съвета от 16 декември 2008 г. относно класифицирането, етикетирането и опаковането на вещества и смеси, за изменение и за отмяна на директиви 67/548/ЕИО и 1999/45/ЕО и за изменение на Регламе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>нт (ЕО) № 1907/2006 (ОВ, L 353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от 31 декември 2008 г.), наричан по-нататък </w:t>
      </w:r>
      <w:r w:rsidR="004A1365" w:rsidRPr="0000221A">
        <w:rPr>
          <w:rFonts w:ascii="Verdana" w:eastAsia="Calibri" w:hAnsi="Verdana"/>
          <w:sz w:val="20"/>
          <w:szCs w:val="20"/>
          <w:lang w:val="bg-BG" w:eastAsia="en-US"/>
        </w:rPr>
        <w:t>„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Регламент (ЕО) № 1272/2008 (CLP)</w:t>
      </w:r>
      <w:r w:rsidR="004A1365" w:rsidRPr="0000221A">
        <w:rPr>
          <w:rFonts w:ascii="Verdana" w:eastAsia="Calibri" w:hAnsi="Verdana"/>
          <w:sz w:val="20"/>
          <w:szCs w:val="20"/>
          <w:lang w:val="bg-BG" w:eastAsia="en-US"/>
        </w:rPr>
        <w:t>“</w:t>
      </w:r>
      <w:r w:rsidR="0083685D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в някой от класовете </w:t>
      </w:r>
      <w:r w:rsidR="00180E6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и съответните категории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на опасност: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аа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>) остра токсичност, категория на опасност 1, 2 или 3;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бб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>) корозия на кожата, категория на опасност 1;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вв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) </w:t>
      </w:r>
      <w:r w:rsidR="0011098F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сериозно увреждане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на очите, категория на опасност 1;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гг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) респираторна или кожна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сенсибилизация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>, категория на опасност 1</w:t>
      </w:r>
      <w:r w:rsidR="0008733A" w:rsidRPr="0000221A">
        <w:rPr>
          <w:rFonts w:ascii="Verdana" w:eastAsia="Calibri" w:hAnsi="Verdana"/>
          <w:sz w:val="20"/>
          <w:szCs w:val="20"/>
          <w:lang w:val="bg-BG" w:eastAsia="en-US"/>
        </w:rPr>
        <w:t>А или 1В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lastRenderedPageBreak/>
        <w:t>дд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)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мутагенност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за зародишни клетки, категория на опасност 1</w:t>
      </w:r>
      <w:r w:rsidR="0008733A" w:rsidRPr="0000221A">
        <w:rPr>
          <w:rFonts w:ascii="Verdana" w:eastAsia="Calibri" w:hAnsi="Verdana"/>
          <w:sz w:val="20"/>
          <w:szCs w:val="20"/>
          <w:lang w:val="bg-BG" w:eastAsia="en-US"/>
        </w:rPr>
        <w:t>А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, </w:t>
      </w:r>
      <w:r w:rsidR="0008733A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1В или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2;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ее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)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канцерогенност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>, категория на опасност 1</w:t>
      </w:r>
      <w:r w:rsidR="003C7317" w:rsidRPr="0000221A">
        <w:rPr>
          <w:rFonts w:ascii="Verdana" w:eastAsia="Calibri" w:hAnsi="Verdana"/>
          <w:sz w:val="20"/>
          <w:szCs w:val="20"/>
          <w:lang w:val="bg-BG" w:eastAsia="en-US"/>
        </w:rPr>
        <w:t>А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, </w:t>
      </w:r>
      <w:r w:rsidR="003C7317" w:rsidRPr="0000221A">
        <w:rPr>
          <w:rFonts w:ascii="Verdana" w:eastAsia="Calibri" w:hAnsi="Verdana"/>
          <w:sz w:val="20"/>
          <w:szCs w:val="20"/>
          <w:lang w:val="bg-BG" w:eastAsia="en-US"/>
        </w:rPr>
        <w:t>1В или 2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жж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>) токсичност за репродукцията, категория на опасност 1</w:t>
      </w:r>
      <w:r w:rsidR="003C7317" w:rsidRPr="0000221A">
        <w:rPr>
          <w:rFonts w:ascii="Verdana" w:eastAsia="Calibri" w:hAnsi="Verdana"/>
          <w:sz w:val="20"/>
          <w:szCs w:val="20"/>
          <w:lang w:val="bg-BG" w:eastAsia="en-US"/>
        </w:rPr>
        <w:t>А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3C7317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1В  или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2;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зз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>) опасност при вдишване, категория на опасност 1;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ии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) специфична токсичност за определени органи – еднократна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експозиция, категория на опасност 1;</w:t>
      </w:r>
    </w:p>
    <w:p w:rsidR="00551A1E" w:rsidRPr="0000221A" w:rsidRDefault="00760B83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йй</w:t>
      </w:r>
      <w:proofErr w:type="spellEnd"/>
      <w:r w:rsidR="00551A1E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) специфична токсичност за определени органи – повтаряща се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експозиция, категория на опасност 1;</w:t>
      </w:r>
    </w:p>
    <w:p w:rsidR="00551A1E" w:rsidRPr="0000221A" w:rsidRDefault="00C82A5F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кк</w:t>
      </w:r>
      <w:proofErr w:type="spellEnd"/>
      <w:r w:rsidR="00551A1E" w:rsidRPr="0000221A">
        <w:rPr>
          <w:rFonts w:ascii="Verdana" w:eastAsia="Calibri" w:hAnsi="Verdana"/>
          <w:sz w:val="20"/>
          <w:szCs w:val="20"/>
          <w:lang w:val="bg-BG" w:eastAsia="en-US"/>
        </w:rPr>
        <w:t>) експлозиви от подкласове 1.1 - 1.5;</w:t>
      </w:r>
    </w:p>
    <w:p w:rsidR="00551A1E" w:rsidRPr="0000221A" w:rsidRDefault="00C82A5F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лл</w:t>
      </w:r>
      <w:proofErr w:type="spellEnd"/>
      <w:r w:rsidR="00551A1E" w:rsidRPr="0000221A">
        <w:rPr>
          <w:rFonts w:ascii="Verdana" w:eastAsia="Calibri" w:hAnsi="Verdana"/>
          <w:sz w:val="20"/>
          <w:szCs w:val="20"/>
          <w:lang w:val="bg-BG" w:eastAsia="en-US"/>
        </w:rPr>
        <w:t>) корозивни за метали, категория на опасност 1.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б) при оценката на риска за оператора и/или работника са показали, че опасността без използване на лични предпазни средства надвишава допустимите нива на експозиция на въздействие на активните вещества в състава на продукта, посочени в заключението на Органа по чл. 12, параграф 4 от Регламент (ЕО) № 1107/2009;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в) притежават свойства, нарушаващи функциите на ендокринната система;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г) съдържат вещество</w:t>
      </w:r>
      <w:r w:rsidR="00A91FBC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считано за устойчиво,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биокумулиращо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 токсично (РВТ)</w:t>
      </w:r>
      <w:r w:rsidR="003C7317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, съгласно </w:t>
      </w:r>
      <w:r w:rsidR="002F174E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точка 3.7. от </w:t>
      </w:r>
      <w:r w:rsidR="003C7317" w:rsidRPr="0000221A">
        <w:rPr>
          <w:rFonts w:ascii="Verdana" w:eastAsia="Calibri" w:hAnsi="Verdana"/>
          <w:sz w:val="20"/>
          <w:szCs w:val="20"/>
          <w:lang w:val="bg-BG" w:eastAsia="en-US"/>
        </w:rPr>
        <w:t>Приложение II</w:t>
      </w:r>
      <w:r w:rsidR="002F174E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от Регламент (ЕО) № 1107/2009</w:t>
      </w:r>
      <w:r w:rsidR="00592D29"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2. </w:t>
      </w:r>
      <w:r w:rsidR="00392AE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непрофесионална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категория на употреба са ПРЗ, които не отговарят на нито един от критериите по т. 1.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(2) </w:t>
      </w:r>
      <w:r w:rsidR="0099492B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Продуктите за растителна защита </w:t>
      </w:r>
      <w:r w:rsidR="00A37A38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от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професионална категория </w:t>
      </w:r>
      <w:r w:rsidR="00A37A38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се категоризират в </w:t>
      </w:r>
      <w:proofErr w:type="spellStart"/>
      <w:r w:rsidR="00A37A38" w:rsidRPr="0000221A">
        <w:rPr>
          <w:rFonts w:ascii="Verdana" w:eastAsia="Calibri" w:hAnsi="Verdana"/>
          <w:sz w:val="20"/>
          <w:szCs w:val="20"/>
          <w:lang w:val="bg-BG" w:eastAsia="en-US"/>
        </w:rPr>
        <w:t>подкатегории</w:t>
      </w:r>
      <w:proofErr w:type="spellEnd"/>
      <w:r w:rsidR="00A37A38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по следните критерии: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1. в първа професионална категория на употреба са продукти, които се прилагат при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фумигация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и/или са класифицирани в съответствие с Регламент (ЕО) № 1272/2008 (CLP) в някой от класовете </w:t>
      </w:r>
      <w:r w:rsidR="000C0DE8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и съответните категории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на опасност: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а) остра токсичност, категория на опасност 1 и 2;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б)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мутагенност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за зародишни клетки, категория на опасност 1;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в)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канцерогенност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, категория на опасност 1;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г) токсичност за репродукцията, категория на опасност 1</w:t>
      </w:r>
      <w:r w:rsidR="006E6FFC" w:rsidRPr="0000221A">
        <w:rPr>
          <w:rFonts w:ascii="Verdana" w:eastAsia="Calibri" w:hAnsi="Verdana"/>
          <w:sz w:val="20"/>
          <w:szCs w:val="20"/>
          <w:lang w:val="bg-BG" w:eastAsia="en-US"/>
        </w:rPr>
        <w:t>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д) експлозиви от подкласове 1.1 - 1.3;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2. във втора професионална категория на употреба са продукти, които не отговарят на </w:t>
      </w:r>
      <w:r w:rsidR="00453D07" w:rsidRPr="0000221A">
        <w:rPr>
          <w:rFonts w:ascii="Verdana" w:eastAsia="Calibri" w:hAnsi="Verdana"/>
          <w:sz w:val="20"/>
          <w:szCs w:val="20"/>
          <w:lang w:val="bg-BG" w:eastAsia="en-US"/>
        </w:rPr>
        <w:t>нито един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от критериите по т. 1.</w:t>
      </w:r>
    </w:p>
    <w:p w:rsidR="005B07F8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8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.</w:t>
      </w:r>
      <w:r w:rsidRPr="0000221A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(1) Продуктите за растителна защита</w:t>
      </w:r>
      <w:r w:rsidRPr="00B45B75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заявени от различни лица, се разрешават с различни търговски наименования</w:t>
      </w:r>
      <w:r w:rsidR="00B45B75">
        <w:rPr>
          <w:rFonts w:ascii="Verdana" w:eastAsia="Calibri" w:hAnsi="Verdana"/>
          <w:sz w:val="20"/>
          <w:szCs w:val="20"/>
          <w:lang w:val="bg-BG" w:eastAsia="en-US"/>
        </w:rPr>
        <w:t xml:space="preserve">, </w:t>
      </w:r>
      <w:r w:rsidR="00B45B75" w:rsidRPr="00600871">
        <w:rPr>
          <w:rFonts w:ascii="Verdana" w:eastAsia="Calibri" w:hAnsi="Verdana"/>
          <w:sz w:val="20"/>
          <w:szCs w:val="20"/>
          <w:lang w:val="bg-BG" w:eastAsia="en-US"/>
        </w:rPr>
        <w:t xml:space="preserve">съгласно чл. 44, ал. 4 от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>ЗЗР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(2) Вече използвано или заявено</w:t>
      </w:r>
      <w:r w:rsidR="00CD2B71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търговско наименовани</w:t>
      </w:r>
      <w:r w:rsidR="00CD2B71" w:rsidRPr="0000221A">
        <w:rPr>
          <w:rFonts w:ascii="Verdana" w:eastAsia="Calibri" w:hAnsi="Verdana"/>
          <w:sz w:val="20"/>
          <w:szCs w:val="20"/>
          <w:lang w:val="bg-BG" w:eastAsia="en-US"/>
        </w:rPr>
        <w:t>е на ПРЗ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може отново да бъде заявено при разрешаване на друг продукт на друго лице, включително и в 5 годишния срок по чл. 44, ал. 5 на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 ЗЗР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, само в случаите когато се представя писмено съгласие или споразумение с предходния заявител/притежателя на разрешението за пускане на пазара и употреба на ПРЗ.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9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.</w:t>
      </w:r>
      <w:r w:rsidRPr="0000221A">
        <w:rPr>
          <w:rFonts w:ascii="Verdana" w:hAnsi="Verdana"/>
          <w:b/>
          <w:sz w:val="20"/>
          <w:szCs w:val="20"/>
          <w:lang w:val="bg-BG" w:eastAsia="bg-BG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(1) Етикетът за пускане на пазара и/или употреба на ПРЗ съдържа съответната информация, посочена в Регламент (ЕС) № 547/2011</w:t>
      </w:r>
      <w:r w:rsidR="00FF4A8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D2508F" w:rsidRPr="0000221A">
        <w:rPr>
          <w:rFonts w:ascii="Verdana" w:eastAsia="Calibri" w:hAnsi="Verdana"/>
          <w:sz w:val="20"/>
          <w:szCs w:val="20"/>
          <w:lang w:val="bg-BG" w:eastAsia="en-US"/>
        </w:rPr>
        <w:t>на Комисията</w:t>
      </w:r>
      <w:r w:rsidR="00FF4A8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от 8 </w:t>
      </w:r>
      <w:r w:rsidR="00FF4A85" w:rsidRPr="0000221A">
        <w:rPr>
          <w:rFonts w:ascii="Verdana" w:eastAsia="Calibri" w:hAnsi="Verdana"/>
          <w:sz w:val="20"/>
          <w:szCs w:val="20"/>
          <w:lang w:val="bg-BG" w:eastAsia="en-US"/>
        </w:rPr>
        <w:lastRenderedPageBreak/>
        <w:t>юни</w:t>
      </w:r>
      <w:r w:rsidR="00D2508F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FF4A85" w:rsidRPr="0000221A">
        <w:rPr>
          <w:rFonts w:ascii="Verdana" w:eastAsia="Calibri" w:hAnsi="Verdana"/>
          <w:sz w:val="20"/>
          <w:szCs w:val="20"/>
          <w:lang w:val="bg-BG" w:eastAsia="en-US"/>
        </w:rPr>
        <w:t>2011</w:t>
      </w:r>
      <w:r w:rsidR="00D2508F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FF4A85" w:rsidRPr="0000221A">
        <w:rPr>
          <w:rFonts w:ascii="Verdana" w:eastAsia="Calibri" w:hAnsi="Verdana"/>
          <w:sz w:val="20"/>
          <w:szCs w:val="20"/>
          <w:lang w:val="bg-BG" w:eastAsia="en-US"/>
        </w:rPr>
        <w:t>година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FF4A8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за прилагане на Регламент (ЕО) № 1107/2009 на Европейския парламент и на Съвета по отношение на изискванията за етикетиране на продукти за растителна защита </w:t>
      </w:r>
      <w:r w:rsidR="000C156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(ОВ, L </w:t>
      </w:r>
      <w:r w:rsidR="00B14ABB" w:rsidRPr="0000221A">
        <w:rPr>
          <w:rFonts w:ascii="Verdana" w:eastAsia="Calibri" w:hAnsi="Verdana"/>
          <w:sz w:val="20"/>
          <w:szCs w:val="20"/>
          <w:lang w:val="bg-BG" w:eastAsia="en-US"/>
        </w:rPr>
        <w:t>155</w:t>
      </w:r>
      <w:r w:rsidR="000C156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от </w:t>
      </w:r>
      <w:r w:rsidR="00B14ABB" w:rsidRPr="0000221A">
        <w:rPr>
          <w:rFonts w:ascii="Verdana" w:eastAsia="Calibri" w:hAnsi="Verdana"/>
          <w:sz w:val="20"/>
          <w:szCs w:val="20"/>
          <w:lang w:val="bg-BG" w:eastAsia="en-US"/>
        </w:rPr>
        <w:t>1</w:t>
      </w:r>
      <w:r w:rsidR="000C156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1 </w:t>
      </w:r>
      <w:r w:rsidR="00B14ABB" w:rsidRPr="0000221A">
        <w:rPr>
          <w:rFonts w:ascii="Verdana" w:eastAsia="Calibri" w:hAnsi="Verdana"/>
          <w:sz w:val="20"/>
          <w:szCs w:val="20"/>
          <w:lang w:val="bg-BG" w:eastAsia="en-US"/>
        </w:rPr>
        <w:t>юни</w:t>
      </w:r>
      <w:r w:rsidR="000C156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20</w:t>
      </w:r>
      <w:r w:rsidR="00B14ABB" w:rsidRPr="0000221A">
        <w:rPr>
          <w:rFonts w:ascii="Verdana" w:eastAsia="Calibri" w:hAnsi="Verdana"/>
          <w:sz w:val="20"/>
          <w:szCs w:val="20"/>
          <w:lang w:val="bg-BG" w:eastAsia="en-US"/>
        </w:rPr>
        <w:t>11</w:t>
      </w:r>
      <w:r w:rsidR="000C156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г.)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и Регламент (ЕО) № 1272/2008 (CLP).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(2) Информацията по ал. 1 трябва да е в съответствие с разрешението за пускане на пазара и употреба на ПРЗ. </w:t>
      </w:r>
    </w:p>
    <w:p w:rsidR="009F4EF9" w:rsidRPr="0000221A" w:rsidRDefault="009F4EF9" w:rsidP="004A1365">
      <w:pPr>
        <w:spacing w:line="360" w:lineRule="auto"/>
        <w:ind w:firstLine="720"/>
        <w:jc w:val="both"/>
        <w:rPr>
          <w:rFonts w:ascii="Verdana" w:eastAsia="Calibri" w:hAnsi="Verdana"/>
          <w:sz w:val="20"/>
          <w:szCs w:val="20"/>
          <w:lang w:val="bg-BG" w:eastAsia="en-US"/>
        </w:rPr>
      </w:pP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Cs/>
          <w:sz w:val="20"/>
          <w:szCs w:val="20"/>
          <w:shd w:val="clear" w:color="auto" w:fill="FEFEFE"/>
          <w:lang w:val="bg-BG" w:eastAsia="en-US"/>
        </w:rPr>
      </w:pPr>
      <w:r w:rsidRPr="0000221A">
        <w:rPr>
          <w:rFonts w:ascii="Verdana" w:eastAsia="Times New Roman" w:hAnsi="Verdana"/>
          <w:bCs/>
          <w:sz w:val="20"/>
          <w:szCs w:val="20"/>
          <w:shd w:val="clear" w:color="auto" w:fill="FEFEFE"/>
          <w:lang w:val="bg-BG" w:eastAsia="en-US"/>
        </w:rPr>
        <w:t>Раздел II</w:t>
      </w: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/>
          <w:bCs/>
          <w:sz w:val="20"/>
          <w:szCs w:val="20"/>
          <w:shd w:val="clear" w:color="auto" w:fill="FEFEFE"/>
          <w:lang w:val="bg-BG" w:eastAsia="en-US"/>
        </w:rPr>
      </w:pPr>
      <w:r w:rsidRPr="0000221A">
        <w:rPr>
          <w:rFonts w:ascii="Verdana" w:eastAsia="Times New Roman" w:hAnsi="Verdana"/>
          <w:b/>
          <w:bCs/>
          <w:sz w:val="20"/>
          <w:szCs w:val="20"/>
          <w:shd w:val="clear" w:color="auto" w:fill="FEFEFE"/>
          <w:lang w:val="bg-BG" w:eastAsia="en-US"/>
        </w:rPr>
        <w:t>Оценка на продуктите за растителна защита</w:t>
      </w: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Cs/>
          <w:sz w:val="20"/>
          <w:szCs w:val="20"/>
          <w:shd w:val="clear" w:color="auto" w:fill="FEFEFE"/>
          <w:lang w:val="bg-BG" w:eastAsia="en-US"/>
        </w:rPr>
      </w:pP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10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.</w:t>
      </w:r>
      <w:r w:rsidRPr="0000221A">
        <w:rPr>
          <w:rFonts w:ascii="Verdana" w:hAnsi="Verdana"/>
          <w:sz w:val="20"/>
          <w:szCs w:val="20"/>
          <w:lang w:val="bg-BG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(1) Съответствието на ПРЗ с изискванията на раздел I се установява с извършване на оценка на продукта и на активното вещество, включено в него.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(2) Оценката по ал. 1 се извършва съгласно Регламент (ЕО) № 1107/2009</w:t>
      </w:r>
      <w:r w:rsidR="00B711BE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от </w:t>
      </w:r>
      <w:r w:rsidR="00085397" w:rsidRPr="0000221A">
        <w:rPr>
          <w:rFonts w:ascii="Verdana" w:eastAsia="Calibri" w:hAnsi="Verdana"/>
          <w:sz w:val="20"/>
          <w:szCs w:val="20"/>
          <w:lang w:val="bg-BG" w:eastAsia="en-US"/>
        </w:rPr>
        <w:t>Центъра за оценка на риска по хранителната верига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(3) Оценката по ал. 1 обхваща: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1. идентичност, еквивалентност, физични, химични и технически свойства и аналитични методи на активни вещества и ПРЗ;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2. токсикологични характеристики на активни вещества и ПРЗ;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3. остатъчни вещества от ПРЗ;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4. съществуване и поведение в околната среда на активни вещества и ПРЗ;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5.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екотоксикологични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характеристики на активни вещества и ПРЗ;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6. биологични характеристики на ПРЗ.</w:t>
      </w:r>
    </w:p>
    <w:p w:rsidR="00C7010B" w:rsidRPr="0000221A" w:rsidRDefault="00C7010B" w:rsidP="004A1365">
      <w:pPr>
        <w:spacing w:line="360" w:lineRule="auto"/>
        <w:ind w:firstLine="720"/>
        <w:jc w:val="both"/>
        <w:rPr>
          <w:rFonts w:ascii="Verdana" w:eastAsia="Calibri" w:hAnsi="Verdana"/>
          <w:sz w:val="20"/>
          <w:szCs w:val="20"/>
          <w:lang w:val="bg-BG" w:eastAsia="en-US"/>
        </w:rPr>
      </w:pP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Cs/>
          <w:sz w:val="20"/>
          <w:szCs w:val="20"/>
          <w:shd w:val="clear" w:color="auto" w:fill="FEFEFE"/>
          <w:lang w:val="bg-BG" w:eastAsia="en-US"/>
        </w:rPr>
      </w:pPr>
      <w:r w:rsidRPr="0000221A">
        <w:rPr>
          <w:rFonts w:ascii="Verdana" w:eastAsia="Times New Roman" w:hAnsi="Verdana"/>
          <w:bCs/>
          <w:sz w:val="20"/>
          <w:szCs w:val="20"/>
          <w:shd w:val="clear" w:color="auto" w:fill="FEFEFE"/>
          <w:lang w:val="bg-BG" w:eastAsia="en-US"/>
        </w:rPr>
        <w:t>Раздел III</w:t>
      </w: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/>
          <w:bCs/>
          <w:sz w:val="20"/>
          <w:szCs w:val="20"/>
          <w:shd w:val="clear" w:color="auto" w:fill="FEFEFE"/>
          <w:lang w:val="bg-BG" w:eastAsia="en-US"/>
        </w:rPr>
      </w:pPr>
      <w:r w:rsidRPr="0000221A">
        <w:rPr>
          <w:rFonts w:ascii="Verdana" w:eastAsia="Times New Roman" w:hAnsi="Verdana"/>
          <w:b/>
          <w:bCs/>
          <w:sz w:val="20"/>
          <w:szCs w:val="20"/>
          <w:shd w:val="clear" w:color="auto" w:fill="FEFEFE"/>
          <w:lang w:val="bg-BG" w:eastAsia="en-US"/>
        </w:rPr>
        <w:t>Разрешение за пускане на пазара и употреба на продукти за растителна защита</w:t>
      </w: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/>
          <w:sz w:val="20"/>
          <w:szCs w:val="20"/>
          <w:lang w:val="bg-BG" w:eastAsia="bg-BG"/>
        </w:rPr>
      </w:pPr>
    </w:p>
    <w:p w:rsidR="00B55255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11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="00B55255" w:rsidRPr="0000221A">
        <w:rPr>
          <w:rFonts w:ascii="Verdana" w:eastAsia="Calibri" w:hAnsi="Verdana"/>
          <w:sz w:val="20"/>
          <w:szCs w:val="20"/>
          <w:lang w:val="bg-BG" w:eastAsia="en-US"/>
        </w:rPr>
        <w:t>Най-малко в 6-месечен срок преди подаване на заявление за разрешаване пускането на пазара и употребата на ПРЗ, съд</w:t>
      </w:r>
      <w:r w:rsidR="00B711BE" w:rsidRPr="0000221A">
        <w:rPr>
          <w:rFonts w:ascii="Verdana" w:eastAsia="Calibri" w:hAnsi="Verdana"/>
          <w:sz w:val="20"/>
          <w:szCs w:val="20"/>
          <w:lang w:val="bg-BG" w:eastAsia="en-US"/>
        </w:rPr>
        <w:t>ържащ одобрено активно вещество</w:t>
      </w:r>
      <w:r w:rsidR="00B5525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чл. 33-39 от Регламент (ЕО) № 1107/2009, лицата по чл. 5, ал. 1 подават в Централно управление (ЦУ) на </w:t>
      </w:r>
      <w:r w:rsidR="00C27807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B5525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 в </w:t>
      </w:r>
      <w:r w:rsidR="00C27807" w:rsidRPr="0000221A">
        <w:rPr>
          <w:rFonts w:ascii="Verdana" w:eastAsia="Calibri" w:hAnsi="Verdana"/>
          <w:sz w:val="20"/>
          <w:szCs w:val="20"/>
          <w:lang w:val="bg-BG" w:eastAsia="en-US"/>
        </w:rPr>
        <w:t>ЦОРХВ</w:t>
      </w:r>
      <w:r w:rsidR="00B5525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уведомление по образец по електронен път, на български език и/или английски език.</w:t>
      </w:r>
      <w:r w:rsidR="00B55255" w:rsidRPr="0000221A" w:rsidDel="00B55255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12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(1) </w:t>
      </w:r>
      <w:r w:rsidR="00F80D65" w:rsidRPr="00022A05">
        <w:rPr>
          <w:rFonts w:ascii="Verdana" w:eastAsia="Calibri" w:hAnsi="Verdana"/>
          <w:sz w:val="20"/>
          <w:szCs w:val="20"/>
          <w:lang w:val="bg-BG" w:eastAsia="en-US"/>
        </w:rPr>
        <w:t>Лицата, които желаят да получат разрешение з</w:t>
      </w:r>
      <w:r w:rsidRPr="00022A05">
        <w:rPr>
          <w:rFonts w:ascii="Verdana" w:eastAsia="Calibri" w:hAnsi="Verdana"/>
          <w:sz w:val="20"/>
          <w:szCs w:val="20"/>
          <w:lang w:val="bg-BG" w:eastAsia="en-US"/>
        </w:rPr>
        <w:t>а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F80D65">
        <w:rPr>
          <w:rFonts w:ascii="Verdana" w:eastAsia="Calibri" w:hAnsi="Verdana"/>
          <w:sz w:val="20"/>
          <w:szCs w:val="20"/>
          <w:lang w:val="bg-BG" w:eastAsia="en-US"/>
        </w:rPr>
        <w:t>пускане на пазара и употреба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на ПРЗ, съдържащ одобрено активно вещество, съгласно чл. 33-39 от Регламент (ЕО) № 1107/2009</w:t>
      </w:r>
      <w:r w:rsidR="0014486D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подава</w:t>
      </w:r>
      <w:r w:rsidR="00600871">
        <w:rPr>
          <w:rFonts w:ascii="Verdana" w:eastAsia="Calibri" w:hAnsi="Verdana"/>
          <w:sz w:val="20"/>
          <w:szCs w:val="20"/>
          <w:lang w:val="bg-BG" w:eastAsia="en-US"/>
        </w:rPr>
        <w:t>т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в ЦУ на </w:t>
      </w:r>
      <w:r w:rsidR="0048453D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заявление по образец</w:t>
      </w:r>
      <w:r w:rsidR="0014486D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2F174E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утвърден от изпълнителния директор на </w:t>
      </w:r>
      <w:r w:rsidR="0048453D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, към което прилага</w:t>
      </w:r>
      <w:r w:rsidR="00600871">
        <w:rPr>
          <w:rFonts w:ascii="Verdana" w:eastAsia="Calibri" w:hAnsi="Verdana"/>
          <w:sz w:val="20"/>
          <w:szCs w:val="20"/>
          <w:lang w:val="bg-BG" w:eastAsia="en-US"/>
        </w:rPr>
        <w:t>т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: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1. документите по чл. 33, параграф 3 и 4 от Регламент (ЕО) № 1107/2009, на три електронни носителя на български език и/или английски език, като проектът на етикет за пускане на пазара и употреба е на български език;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lastRenderedPageBreak/>
        <w:t>2. писмо за достъп до доклади за изпитвания и изследвания по чл. 33, параграф 3 от Регламент (ЕО) № 1107/2009, когато тези доклади не се представят, с официален превод на български език, на хартиен носител;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3. документите по чл. 34, параграф 2 от Регламент (ЕО) № 1107/2009, когато ПРЗ е заявен като идентичен с разрешен ПРЗ по спецификация и съдържание на активни вещества, антидоти и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синергисти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, вид на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формулация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 съдържа същите или еквивалентни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коформуланти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;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4. документ за платена такса</w:t>
      </w:r>
      <w:r w:rsidR="007A0451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</w:t>
      </w:r>
      <w:r w:rsidR="00A43BE0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чл. 3, ал. 4, от Закона за </w:t>
      </w:r>
      <w:r w:rsidR="00C27807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A63DE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A63DEA" w:rsidRPr="00A63DEA">
        <w:rPr>
          <w:rFonts w:ascii="Verdana" w:eastAsia="Calibri" w:hAnsi="Verdana"/>
          <w:sz w:val="20"/>
          <w:szCs w:val="20"/>
          <w:lang w:val="bg-BG" w:eastAsia="en-US"/>
        </w:rPr>
        <w:t>когато плащането не е извършено по електронен път.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(2) Продукт за растителна защита по ал. 1 може да се заяви за разрешаване и когато съдържа все още неодобрено активно вещество, при условие, че за това активно вещество е започната процедура на одобрение</w:t>
      </w:r>
      <w:r w:rsidR="00932243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чл. 7 от Регламент (ЕО) № 1107/2009.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(3) В процедурата по разрешаване на ПРЗ</w:t>
      </w:r>
      <w:r w:rsidR="0014486D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Република България е държавата </w:t>
      </w:r>
      <w:r w:rsidR="00B14E96" w:rsidRPr="0000221A">
        <w:rPr>
          <w:rFonts w:ascii="Verdana" w:eastAsia="Calibri" w:hAnsi="Verdana"/>
          <w:sz w:val="20"/>
          <w:szCs w:val="20"/>
          <w:lang w:val="bg-BG" w:eastAsia="en-US"/>
        </w:rPr>
        <w:t>членка, разглеждаща заявлението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или заинтересована държава членка</w:t>
      </w:r>
      <w:r w:rsidR="00B14E96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по смисъла на Регламент (ЕО) № 1107/2009.</w:t>
      </w:r>
    </w:p>
    <w:p w:rsidR="00292DB4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13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(1) Когато Република България е държавата членка, разглеждаща заявлението, </w:t>
      </w:r>
      <w:r w:rsidR="0048453D" w:rsidRPr="0000221A">
        <w:rPr>
          <w:rFonts w:ascii="Verdana" w:eastAsia="Calibri" w:hAnsi="Verdana"/>
          <w:sz w:val="20"/>
          <w:szCs w:val="20"/>
          <w:lang w:val="bg-BG" w:eastAsia="en-US"/>
        </w:rPr>
        <w:t>ЦОРХВ</w:t>
      </w:r>
      <w:r w:rsidR="00085397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предава на </w:t>
      </w:r>
      <w:r w:rsidR="0048453D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085397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доклада за оценка на ПРЗ</w:t>
      </w:r>
      <w:r w:rsidR="00292DB4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като в срока за оценка</w:t>
      </w:r>
      <w:r w:rsidR="00B14E96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252CD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чл. 10, ал. 1, т. 1 от </w:t>
      </w:r>
      <w:r w:rsidR="00AF599E" w:rsidRPr="0000221A">
        <w:rPr>
          <w:rFonts w:ascii="Verdana" w:eastAsia="Calibri" w:hAnsi="Verdana"/>
          <w:sz w:val="20"/>
          <w:szCs w:val="20"/>
          <w:lang w:val="bg-BG" w:eastAsia="en-US"/>
        </w:rPr>
        <w:t>З</w:t>
      </w:r>
      <w:r w:rsidR="003F424D" w:rsidRPr="0000221A">
        <w:rPr>
          <w:rFonts w:ascii="Verdana" w:eastAsia="Calibri" w:hAnsi="Verdana"/>
          <w:sz w:val="20"/>
          <w:szCs w:val="20"/>
          <w:lang w:val="bg-BG" w:eastAsia="en-US"/>
        </w:rPr>
        <w:t>ЦОРХВ</w:t>
      </w:r>
      <w:r w:rsidR="00085397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: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1. изготвя проект на доклад за оценка на ПРЗ;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2. представя проекта на доклад за оценка на ПРЗ </w:t>
      </w:r>
      <w:r w:rsidR="00252CD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по т. 1 </w:t>
      </w:r>
      <w:r w:rsidR="00B14E96" w:rsidRPr="0000221A">
        <w:rPr>
          <w:rFonts w:ascii="Verdana" w:eastAsia="Calibri" w:hAnsi="Verdana"/>
          <w:sz w:val="20"/>
          <w:szCs w:val="20"/>
          <w:lang w:val="bg-BG" w:eastAsia="en-US"/>
        </w:rPr>
        <w:t>и таблица за коментари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за период до 45 дни, на: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а) останалите държави членки в Южната зона, а когато ПРЗ е заявен за употреба в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култивационни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съоръжения, при третиране след прибиране на реколтата, при третиране на празни складови помещения и при третиране на семена - на всички държави членки;</w:t>
      </w:r>
    </w:p>
    <w:p w:rsidR="00551A1E" w:rsidRPr="0000221A" w:rsidRDefault="00CD13D9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б) заявителя, като</w:t>
      </w:r>
      <w:r w:rsidR="00551A1E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hAnsi="Verdana"/>
          <w:sz w:val="20"/>
          <w:szCs w:val="20"/>
          <w:lang w:val="bg-BG"/>
        </w:rPr>
        <w:t>в случаите</w:t>
      </w:r>
      <w:r w:rsidR="00262929" w:rsidRPr="0000221A">
        <w:rPr>
          <w:rFonts w:ascii="Verdana" w:hAnsi="Verdana"/>
          <w:sz w:val="20"/>
          <w:szCs w:val="20"/>
          <w:lang w:val="bg-BG"/>
        </w:rPr>
        <w:t>,</w:t>
      </w:r>
      <w:r w:rsidRPr="0000221A">
        <w:rPr>
          <w:rFonts w:ascii="Verdana" w:hAnsi="Verdana"/>
          <w:sz w:val="20"/>
          <w:szCs w:val="20"/>
          <w:lang w:val="bg-BG"/>
        </w:rPr>
        <w:t xml:space="preserve"> когато заявителят е представил писмо за достъп до данни, докладът не включва посочените изпитвания и изследвания;</w:t>
      </w:r>
    </w:p>
    <w:p w:rsidR="00AC66E6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3. отразява в проекта на доклад за оценка на ПРЗ получените по т. 2 коментари.</w:t>
      </w:r>
    </w:p>
    <w:p w:rsidR="00D52F04" w:rsidRDefault="00AC66E6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(2) </w:t>
      </w:r>
      <w:r w:rsidR="00277B3C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Изпълнителният директор на </w:t>
      </w:r>
      <w:r w:rsidR="003F424D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085397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B3099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издава разрешение или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със заповед </w:t>
      </w:r>
      <w:r w:rsidR="00B30991" w:rsidRPr="0000221A">
        <w:rPr>
          <w:rFonts w:ascii="Verdana" w:eastAsia="Calibri" w:hAnsi="Verdana"/>
          <w:sz w:val="20"/>
          <w:szCs w:val="20"/>
          <w:lang w:val="bg-BG" w:eastAsia="en-US"/>
        </w:rPr>
        <w:t>отказва разрешаването на продукта за растителна защита</w:t>
      </w:r>
      <w:r w:rsidR="00F53DE4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B3099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в срок до 12 месеца</w:t>
      </w:r>
      <w:r w:rsidR="00B3099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от получаване на заявлението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  <w:r w:rsidR="00A80488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5B07F8" w:rsidRPr="005B07F8">
        <w:rPr>
          <w:rFonts w:ascii="Verdana" w:eastAsia="Calibri" w:hAnsi="Verdana"/>
          <w:sz w:val="20"/>
          <w:szCs w:val="20"/>
          <w:lang w:val="bg-BG" w:eastAsia="en-US"/>
        </w:rPr>
        <w:t xml:space="preserve">Заповедта за отказ се съобщава на заявителя и може да се обжалва по реда на </w:t>
      </w:r>
      <w:proofErr w:type="spellStart"/>
      <w:r w:rsidR="005B07F8" w:rsidRPr="005B07F8">
        <w:rPr>
          <w:rFonts w:ascii="Verdana" w:eastAsia="Calibri" w:hAnsi="Verdana"/>
          <w:sz w:val="20"/>
          <w:szCs w:val="20"/>
          <w:lang w:val="bg-BG" w:eastAsia="en-US"/>
        </w:rPr>
        <w:t>Административнопроцесуалния</w:t>
      </w:r>
      <w:proofErr w:type="spellEnd"/>
      <w:r w:rsidR="005B07F8" w:rsidRPr="005B07F8">
        <w:rPr>
          <w:rFonts w:ascii="Verdana" w:eastAsia="Calibri" w:hAnsi="Verdana"/>
          <w:sz w:val="20"/>
          <w:szCs w:val="20"/>
          <w:lang w:val="bg-BG" w:eastAsia="en-US"/>
        </w:rPr>
        <w:t xml:space="preserve"> кодекс.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</w:t>
      </w:r>
      <w:r w:rsidR="00AC66E6" w:rsidRPr="0000221A">
        <w:rPr>
          <w:rFonts w:ascii="Verdana" w:eastAsia="Calibri" w:hAnsi="Verdana"/>
          <w:sz w:val="20"/>
          <w:szCs w:val="20"/>
          <w:lang w:val="bg-BG" w:eastAsia="en-US"/>
        </w:rPr>
        <w:t>3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) Когато заявеният ПРЗ съдържа все още неодобрено активно вещество, срокът за извършване на оценката по ал. 1 започва да тече от получаване и на проект на доклад за оценка по чл. 12, параграф 1 от Регламент (ЕО) № 1107/2009.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14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(1) Когато Република България е заинтересована държава членка, </w:t>
      </w:r>
      <w:r w:rsidR="00F53DE4" w:rsidRPr="0000221A">
        <w:rPr>
          <w:rFonts w:ascii="Verdana" w:eastAsia="Calibri" w:hAnsi="Verdana"/>
          <w:sz w:val="20"/>
          <w:szCs w:val="20"/>
          <w:lang w:val="bg-BG" w:eastAsia="en-US"/>
        </w:rPr>
        <w:t>ЦОРХВ</w:t>
      </w:r>
      <w:r w:rsidR="00085397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при получаване на проект на доклад за оценка на ПРЗ, изготвен от компетентния орган на държавата членка, разглеждаща заявлението, може да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lastRenderedPageBreak/>
        <w:t>представи на същия компетентен орган коментарите си по проекта на доклад във формата на таблица за коментари.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(2) След разрешаване на ПРЗ за пускане на пазара и употреба в държавата членка, разглеждаща заявлението, заявителят представя в ЦУ на </w:t>
      </w:r>
      <w:r w:rsidR="00F53DE4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085397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заверено копие от разрешението на продукта с официален превод на български език, на три електронни и един хартиен носител.</w:t>
      </w:r>
    </w:p>
    <w:p w:rsidR="00AC66E6" w:rsidRPr="0000221A" w:rsidRDefault="00AC66E6" w:rsidP="00A80488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(3) </w:t>
      </w:r>
      <w:r w:rsidR="00B3099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Изпълнителният директор на </w:t>
      </w:r>
      <w:r w:rsidR="00F53DE4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B3099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издава разрешение или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отказва  със заповед </w:t>
      </w:r>
      <w:r w:rsidR="00B30991" w:rsidRPr="0000221A">
        <w:rPr>
          <w:rFonts w:ascii="Verdana" w:eastAsia="Calibri" w:hAnsi="Verdana"/>
          <w:sz w:val="20"/>
          <w:szCs w:val="20"/>
          <w:lang w:val="bg-BG" w:eastAsia="en-US"/>
        </w:rPr>
        <w:t>разрешаването на продукта за растителна защита</w:t>
      </w:r>
      <w:r w:rsidR="00F53DE4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B3099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в срок до 120 дни от получаване на доклада за оценка</w:t>
      </w:r>
      <w:r w:rsidRPr="0000221A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и на копието на разрешението от държавата членка, разглеждаща заявлението.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Заповедта за отказ </w:t>
      </w:r>
      <w:r w:rsidR="00A80488" w:rsidRPr="00022A05">
        <w:rPr>
          <w:rFonts w:ascii="Verdana" w:eastAsia="Calibri" w:hAnsi="Verdana"/>
          <w:sz w:val="20"/>
          <w:szCs w:val="20"/>
          <w:lang w:val="bg-BG" w:eastAsia="en-US"/>
        </w:rPr>
        <w:t xml:space="preserve">се съобщава на заявителя и може да се обжалва по реда на </w:t>
      </w:r>
      <w:proofErr w:type="spellStart"/>
      <w:r w:rsidR="00A80488" w:rsidRPr="00022A05">
        <w:rPr>
          <w:rFonts w:ascii="Verdana" w:eastAsia="Calibri" w:hAnsi="Verdana"/>
          <w:sz w:val="20"/>
          <w:szCs w:val="20"/>
          <w:lang w:val="bg-BG" w:eastAsia="en-US"/>
        </w:rPr>
        <w:t>Административнопроцесуалния</w:t>
      </w:r>
      <w:proofErr w:type="spellEnd"/>
      <w:r w:rsidR="00A80488" w:rsidRPr="00022A05">
        <w:rPr>
          <w:rFonts w:ascii="Verdana" w:eastAsia="Calibri" w:hAnsi="Verdana"/>
          <w:sz w:val="20"/>
          <w:szCs w:val="20"/>
          <w:lang w:val="bg-BG" w:eastAsia="en-US"/>
        </w:rPr>
        <w:t xml:space="preserve"> кодекс.</w:t>
      </w:r>
      <w:r w:rsidR="00A80488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</w:p>
    <w:p w:rsidR="00AB6F2A" w:rsidRPr="004A1365" w:rsidRDefault="00551A1E" w:rsidP="00AB6F2A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15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.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Когато ПРЗ съдържа все още неодобрено активно вещество, докладът за оценка се представя на СПРЗ</w:t>
      </w:r>
      <w:r w:rsidR="00985D3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AB6F2A" w:rsidRPr="004A1365">
        <w:rPr>
          <w:rFonts w:ascii="Verdana" w:eastAsia="Calibri" w:hAnsi="Verdana"/>
          <w:sz w:val="20"/>
          <w:szCs w:val="20"/>
          <w:lang w:val="bg-BG" w:eastAsia="en-US"/>
        </w:rPr>
        <w:t xml:space="preserve">след одобряване на активното вещество с регламент за одобрение по чл. 13, параграф 2, буква „а” от Регламент (ЕО) № 1107/2009.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16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.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AF2F3C" w:rsidRPr="0000221A">
        <w:rPr>
          <w:rFonts w:ascii="Verdana" w:eastAsia="Calibri" w:hAnsi="Verdana"/>
          <w:sz w:val="20"/>
          <w:szCs w:val="20"/>
          <w:lang w:val="bg-BG" w:eastAsia="en-US"/>
        </w:rPr>
        <w:t>Когато Република България е държава членка</w:t>
      </w:r>
      <w:r w:rsidR="00DE0E81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AF2F3C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разглеждаща заявлението</w:t>
      </w:r>
      <w:r w:rsidR="00DE0E81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AF2F3C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F53DE4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085397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AF2F3C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предава </w:t>
      </w:r>
      <w:r w:rsidR="00B45B75" w:rsidRPr="008933D4">
        <w:rPr>
          <w:rFonts w:ascii="Verdana" w:eastAsia="Calibri" w:hAnsi="Verdana"/>
          <w:sz w:val="20"/>
          <w:szCs w:val="20"/>
          <w:lang w:val="bg-BG" w:eastAsia="en-US"/>
        </w:rPr>
        <w:t>на притежателя на разрешението</w:t>
      </w:r>
      <w:r w:rsidR="00B45B7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AF2F3C" w:rsidRPr="0000221A">
        <w:rPr>
          <w:rFonts w:ascii="Verdana" w:eastAsia="Calibri" w:hAnsi="Verdana"/>
          <w:sz w:val="20"/>
          <w:szCs w:val="20"/>
          <w:lang w:val="bg-BG" w:eastAsia="en-US"/>
        </w:rPr>
        <w:t>екземпляр от доклада за оценка на ПРЗ</w:t>
      </w:r>
      <w:r w:rsidR="00DE0E81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AF2F3C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 изключение на частите от доклада, за които заявителят е представил писмо за достъп</w:t>
      </w:r>
      <w:r w:rsidR="00DE0E81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AF2F3C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 таблицата за коментари.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17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(1) За разрешаване пускането на пазара и употребата на ПРЗ, разрешен в друга държава членка (референтна държава членка), чрез взаимно признаване на разрешения</w:t>
      </w:r>
      <w:r w:rsidR="00802421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чл. 40-42 от Регламент (ЕО) № 1107/2009</w:t>
      </w:r>
      <w:r w:rsidR="00802421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притежателят на разрешението на ПРЗ подава в ЦУ на </w:t>
      </w:r>
      <w:r w:rsidR="00DB5904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085397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заявление по образец, </w:t>
      </w:r>
      <w:r w:rsidR="002F174E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утвърден от изпълнителния директор на </w:t>
      </w:r>
      <w:r w:rsidR="00DB5904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F0408C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,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към което прилага: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1. документите по чл. 42, параграф 1, букви </w:t>
      </w:r>
      <w:r w:rsidR="004A1365" w:rsidRPr="0000221A">
        <w:rPr>
          <w:rFonts w:ascii="Verdana" w:eastAsia="Calibri" w:hAnsi="Verdana"/>
          <w:sz w:val="20"/>
          <w:szCs w:val="20"/>
          <w:lang w:val="bg-BG" w:eastAsia="en-US"/>
        </w:rPr>
        <w:t>„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а”, </w:t>
      </w:r>
      <w:r w:rsidR="004A1365" w:rsidRPr="0000221A">
        <w:rPr>
          <w:rFonts w:ascii="Verdana" w:eastAsia="Calibri" w:hAnsi="Verdana"/>
          <w:sz w:val="20"/>
          <w:szCs w:val="20"/>
          <w:lang w:val="bg-BG" w:eastAsia="en-US"/>
        </w:rPr>
        <w:t>„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б” и </w:t>
      </w:r>
      <w:r w:rsidR="004A1365" w:rsidRPr="0000221A">
        <w:rPr>
          <w:rFonts w:ascii="Verdana" w:eastAsia="Calibri" w:hAnsi="Verdana"/>
          <w:sz w:val="20"/>
          <w:szCs w:val="20"/>
          <w:lang w:val="bg-BG" w:eastAsia="en-US"/>
        </w:rPr>
        <w:t>„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г” от Регламент (ЕО) № 1107/2009, на три електронни носителя, на български и/или на английски език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>; к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опието на разрешението е</w:t>
      </w:r>
      <w:r w:rsidR="0027367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на хартиен носител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с официален превод на български език;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2. проект на етикет за пускане на пазара и употреба на ПРЗ, на три електронни носителя, на български език;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3. документ за платена такса</w:t>
      </w:r>
      <w:r w:rsidR="00802421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</w:t>
      </w:r>
      <w:r w:rsidR="00DC2F0E" w:rsidRPr="0000221A">
        <w:rPr>
          <w:rFonts w:ascii="Verdana" w:eastAsia="Calibri" w:hAnsi="Verdana"/>
          <w:sz w:val="20"/>
          <w:szCs w:val="20"/>
          <w:lang w:val="bg-BG" w:eastAsia="en-US"/>
        </w:rPr>
        <w:t>чл. 3, ал. 4</w:t>
      </w:r>
      <w:r w:rsidR="00730231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 от З</w:t>
      </w:r>
      <w:r w:rsidR="00C27807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A63DE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5720D0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A63DEA" w:rsidRPr="00A63DEA">
        <w:rPr>
          <w:rFonts w:ascii="Verdana" w:eastAsia="Calibri" w:hAnsi="Verdana"/>
          <w:sz w:val="20"/>
          <w:szCs w:val="20"/>
          <w:lang w:val="bg-BG" w:eastAsia="en-US"/>
        </w:rPr>
        <w:t>когато плащането н</w:t>
      </w:r>
      <w:r w:rsidR="00A63DEA">
        <w:rPr>
          <w:rFonts w:ascii="Verdana" w:eastAsia="Calibri" w:hAnsi="Verdana"/>
          <w:sz w:val="20"/>
          <w:szCs w:val="20"/>
          <w:lang w:val="bg-BG" w:eastAsia="en-US"/>
        </w:rPr>
        <w:t>е е извършено по електронен път;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</w:t>
      </w:r>
      <w:r w:rsidR="00210A8A" w:rsidRPr="0000221A">
        <w:rPr>
          <w:rFonts w:ascii="Verdana" w:eastAsia="Calibri" w:hAnsi="Verdana"/>
          <w:sz w:val="20"/>
          <w:szCs w:val="20"/>
          <w:lang w:val="bg-BG" w:eastAsia="en-US"/>
        </w:rPr>
        <w:t>2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) Когато заявителят не разполага с документите по чл. 42, параграф 1, буква </w:t>
      </w:r>
      <w:r w:rsidR="004A1365" w:rsidRPr="0000221A">
        <w:rPr>
          <w:rFonts w:ascii="Verdana" w:eastAsia="Calibri" w:hAnsi="Verdana"/>
          <w:sz w:val="20"/>
          <w:szCs w:val="20"/>
          <w:lang w:val="bg-BG" w:eastAsia="en-US"/>
        </w:rPr>
        <w:t>„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г” от Регламент (ЕО) № 1107/2009, </w:t>
      </w:r>
      <w:r w:rsidR="00DB5904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ги изисква от референтна</w:t>
      </w:r>
      <w:r w:rsidR="00A749DB" w:rsidRPr="0000221A">
        <w:rPr>
          <w:rFonts w:ascii="Verdana" w:eastAsia="Calibri" w:hAnsi="Verdana"/>
          <w:sz w:val="20"/>
          <w:szCs w:val="20"/>
          <w:lang w:val="bg-BG" w:eastAsia="en-US"/>
        </w:rPr>
        <w:t>та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държава</w:t>
      </w:r>
      <w:r w:rsidR="008A53ED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A749DB" w:rsidRPr="0000221A">
        <w:rPr>
          <w:rFonts w:ascii="Verdana" w:eastAsia="Calibri" w:hAnsi="Verdana"/>
          <w:sz w:val="20"/>
          <w:szCs w:val="20"/>
          <w:lang w:val="bg-BG" w:eastAsia="en-US"/>
        </w:rPr>
        <w:t>членка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по служебен път.</w:t>
      </w:r>
    </w:p>
    <w:p w:rsidR="00772E54" w:rsidRPr="0000221A" w:rsidRDefault="00551A1E" w:rsidP="004A1365">
      <w:pPr>
        <w:spacing w:line="360" w:lineRule="auto"/>
        <w:ind w:firstLine="709"/>
        <w:jc w:val="both"/>
        <w:rPr>
          <w:rFonts w:ascii="Verdana" w:hAnsi="Verdana"/>
          <w:color w:val="1F497D"/>
          <w:sz w:val="20"/>
          <w:szCs w:val="20"/>
          <w:lang w:val="bg-BG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</w:t>
      </w:r>
      <w:r w:rsidR="00210A8A" w:rsidRPr="0000221A">
        <w:rPr>
          <w:rFonts w:ascii="Verdana" w:eastAsia="Calibri" w:hAnsi="Verdana"/>
          <w:sz w:val="20"/>
          <w:szCs w:val="20"/>
          <w:lang w:val="bg-BG" w:eastAsia="en-US"/>
        </w:rPr>
        <w:t>3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) Когато ПРЗ по ал. 1 се заявява съгласно чл. 40, параграф 1, буква </w:t>
      </w:r>
      <w:r w:rsidR="004A1365" w:rsidRPr="0000221A">
        <w:rPr>
          <w:rFonts w:ascii="Verdana" w:eastAsia="Calibri" w:hAnsi="Verdana"/>
          <w:sz w:val="20"/>
          <w:szCs w:val="20"/>
          <w:lang w:val="bg-BG" w:eastAsia="en-US"/>
        </w:rPr>
        <w:t>„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б” от Регламент (ЕО) № 1107/2009, към заявлението се прилага</w:t>
      </w:r>
      <w:r w:rsidR="00772E54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предварително становище от </w:t>
      </w:r>
      <w:r w:rsidR="00DB5904" w:rsidRPr="0000221A">
        <w:rPr>
          <w:rFonts w:ascii="Verdana" w:eastAsia="Calibri" w:hAnsi="Verdana"/>
          <w:sz w:val="20"/>
          <w:szCs w:val="20"/>
          <w:lang w:val="bg-BG" w:eastAsia="en-US"/>
        </w:rPr>
        <w:t>ЦОРХВ,</w:t>
      </w:r>
      <w:r w:rsidR="00772E54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относно възможността за извършване на оценка на ПРЗ по горепосочения ред</w:t>
      </w:r>
      <w:r w:rsidR="00DB5904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772E54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и:</w:t>
      </w:r>
    </w:p>
    <w:p w:rsidR="004A3BFC" w:rsidRPr="0000221A" w:rsidRDefault="00C752B5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1. </w:t>
      </w:r>
      <w:r w:rsidR="00772E54" w:rsidRPr="0000221A">
        <w:rPr>
          <w:rFonts w:ascii="Verdana" w:eastAsia="Calibri" w:hAnsi="Verdana"/>
          <w:sz w:val="20"/>
          <w:szCs w:val="20"/>
          <w:lang w:val="bg-BG" w:eastAsia="en-US"/>
        </w:rPr>
        <w:t>документите по чл. 33, параграф 3 и 4 от Регламент (ЕО) № 1107/2009 на три електронни носителя, на български и/или на английски език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772E54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в следните области: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lastRenderedPageBreak/>
        <w:t>а) остатъчни вещества от ПРЗ, проведени в държава от зона Южна Европа и Средиземноморието;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б) съществуване и поведение в околната среда и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екотоксикологични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характеристики на активни вещества и ПРЗ, проведени в държава членка от Южната зона;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в) биологични характеристики на ПРЗ, проведени в държава членка от Южната зона и/или Югоизточната зона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или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2. научна обосновка за съпоставимост на селскостопанските практики,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фитосанитарните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 екологичните (включително климатичните) условия в България и референтната държава членка, при които е изпитван заявеният ПРЗ, изготвена от научен колектив от хабилитирани лица.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</w:t>
      </w:r>
      <w:r w:rsidR="00210A8A" w:rsidRPr="0000221A">
        <w:rPr>
          <w:rFonts w:ascii="Verdana" w:eastAsia="Calibri" w:hAnsi="Verdana"/>
          <w:sz w:val="20"/>
          <w:szCs w:val="20"/>
          <w:lang w:val="bg-BG" w:eastAsia="en-US"/>
        </w:rPr>
        <w:t>4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) Документите по ал. </w:t>
      </w:r>
      <w:r w:rsidR="00210A8A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3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се представят на три електронни носителя, на български и/или на английски език.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</w:t>
      </w:r>
      <w:r w:rsidR="00210A8A" w:rsidRPr="0000221A">
        <w:rPr>
          <w:rFonts w:ascii="Verdana" w:eastAsia="Calibri" w:hAnsi="Verdana"/>
          <w:sz w:val="20"/>
          <w:szCs w:val="20"/>
          <w:lang w:val="bg-BG" w:eastAsia="en-US"/>
        </w:rPr>
        <w:t>5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) </w:t>
      </w:r>
      <w:r w:rsidR="00B3099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Изпълнителният директор на </w:t>
      </w:r>
      <w:r w:rsidR="008F58B7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6009BC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B3099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издава разрешение или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със заповед </w:t>
      </w:r>
      <w:r w:rsidR="00B30991" w:rsidRPr="0000221A">
        <w:rPr>
          <w:rFonts w:ascii="Verdana" w:eastAsia="Calibri" w:hAnsi="Verdana"/>
          <w:sz w:val="20"/>
          <w:szCs w:val="20"/>
          <w:lang w:val="bg-BG" w:eastAsia="en-US"/>
        </w:rPr>
        <w:t>отказва разрешаването на продукта за растителна защита</w:t>
      </w:r>
      <w:r w:rsidR="00C27807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в срок до 120 дни.</w:t>
      </w:r>
      <w:r w:rsidR="00985D35" w:rsidRPr="0000221A">
        <w:rPr>
          <w:lang w:val="bg-BG"/>
        </w:rPr>
        <w:t xml:space="preserve"> </w:t>
      </w:r>
      <w:r w:rsidR="005B07F8" w:rsidRPr="005B07F8">
        <w:rPr>
          <w:rFonts w:ascii="Verdana" w:hAnsi="Verdana"/>
          <w:sz w:val="20"/>
          <w:szCs w:val="20"/>
          <w:lang w:val="bg-BG"/>
        </w:rPr>
        <w:t xml:space="preserve">Заповедта за отказ </w:t>
      </w:r>
      <w:r w:rsidR="004975AB" w:rsidRPr="005B07F8">
        <w:rPr>
          <w:rFonts w:ascii="Verdana" w:eastAsia="Calibri" w:hAnsi="Verdana"/>
          <w:sz w:val="20"/>
          <w:szCs w:val="20"/>
          <w:lang w:val="bg-BG" w:eastAsia="en-US"/>
        </w:rPr>
        <w:t>се съобщава</w:t>
      </w:r>
      <w:r w:rsidR="004975AB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 на заявителя и може да се обжалва по реда на </w:t>
      </w:r>
      <w:proofErr w:type="spellStart"/>
      <w:r w:rsidR="004975AB" w:rsidRPr="008933D4">
        <w:rPr>
          <w:rFonts w:ascii="Verdana" w:eastAsia="Calibri" w:hAnsi="Verdana"/>
          <w:sz w:val="20"/>
          <w:szCs w:val="20"/>
          <w:lang w:val="bg-BG" w:eastAsia="en-US"/>
        </w:rPr>
        <w:t>Административнопроцесуалния</w:t>
      </w:r>
      <w:proofErr w:type="spellEnd"/>
      <w:r w:rsidR="004975AB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 кодекс.</w:t>
      </w:r>
      <w:r w:rsidR="004975AB" w:rsidRPr="004975AB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</w:p>
    <w:p w:rsidR="001B0978" w:rsidRPr="0000221A" w:rsidRDefault="001B0978" w:rsidP="004A1365">
      <w:pPr>
        <w:spacing w:line="360" w:lineRule="auto"/>
        <w:jc w:val="both"/>
        <w:rPr>
          <w:rFonts w:ascii="Verdana" w:eastAsia="Calibri" w:hAnsi="Verdana"/>
          <w:sz w:val="20"/>
          <w:szCs w:val="20"/>
          <w:lang w:val="bg-BG" w:eastAsia="en-US"/>
        </w:rPr>
      </w:pP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Cs/>
          <w:sz w:val="20"/>
          <w:szCs w:val="20"/>
          <w:shd w:val="clear" w:color="auto" w:fill="FEFEFE"/>
          <w:lang w:val="bg-BG" w:eastAsia="en-US"/>
        </w:rPr>
      </w:pPr>
      <w:r w:rsidRPr="0000221A">
        <w:rPr>
          <w:rFonts w:ascii="Verdana" w:eastAsia="Times New Roman" w:hAnsi="Verdana"/>
          <w:bCs/>
          <w:sz w:val="20"/>
          <w:szCs w:val="20"/>
          <w:shd w:val="clear" w:color="auto" w:fill="FEFEFE"/>
          <w:lang w:val="bg-BG" w:eastAsia="en-US"/>
        </w:rPr>
        <w:t>Раздел IV</w:t>
      </w:r>
    </w:p>
    <w:p w:rsidR="00551A1E" w:rsidRPr="0000221A" w:rsidRDefault="00B20FA5" w:rsidP="004A136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Verdana" w:eastAsia="Times New Roman" w:hAnsi="Verdana"/>
          <w:b/>
          <w:bCs/>
          <w:sz w:val="20"/>
          <w:szCs w:val="20"/>
          <w:shd w:val="clear" w:color="auto" w:fill="FEFEFE"/>
          <w:lang w:val="bg-BG" w:eastAsia="en-US"/>
        </w:rPr>
      </w:pPr>
      <w:r w:rsidRPr="0000221A">
        <w:rPr>
          <w:rFonts w:ascii="Verdana" w:eastAsia="Times New Roman" w:hAnsi="Verdana"/>
          <w:b/>
          <w:bCs/>
          <w:sz w:val="20"/>
          <w:szCs w:val="20"/>
          <w:shd w:val="clear" w:color="auto" w:fill="FEFEFE"/>
          <w:lang w:val="bg-BG" w:eastAsia="en-US"/>
        </w:rPr>
        <w:tab/>
      </w:r>
      <w:r w:rsidR="00551A1E" w:rsidRPr="0000221A">
        <w:rPr>
          <w:rFonts w:ascii="Verdana" w:eastAsia="Times New Roman" w:hAnsi="Verdana"/>
          <w:b/>
          <w:bCs/>
          <w:sz w:val="20"/>
          <w:szCs w:val="20"/>
          <w:shd w:val="clear" w:color="auto" w:fill="FEFEFE"/>
          <w:lang w:val="bg-BG" w:eastAsia="en-US"/>
        </w:rPr>
        <w:t>Особени случаи на разрешаване</w:t>
      </w:r>
      <w:r w:rsidRPr="0000221A">
        <w:rPr>
          <w:rFonts w:ascii="Verdana" w:eastAsia="Times New Roman" w:hAnsi="Verdana"/>
          <w:b/>
          <w:bCs/>
          <w:sz w:val="20"/>
          <w:szCs w:val="20"/>
          <w:shd w:val="clear" w:color="auto" w:fill="FEFEFE"/>
          <w:lang w:val="bg-BG" w:eastAsia="en-US"/>
        </w:rPr>
        <w:tab/>
      </w:r>
    </w:p>
    <w:p w:rsidR="00551A1E" w:rsidRPr="0000221A" w:rsidRDefault="00551A1E" w:rsidP="004A1365">
      <w:pPr>
        <w:spacing w:line="360" w:lineRule="auto"/>
        <w:jc w:val="center"/>
        <w:rPr>
          <w:rFonts w:ascii="Verdana" w:eastAsia="Times New Roman" w:hAnsi="Verdana"/>
          <w:b/>
          <w:sz w:val="20"/>
          <w:szCs w:val="20"/>
          <w:lang w:val="bg-BG" w:eastAsia="bg-BG"/>
        </w:rPr>
      </w:pPr>
    </w:p>
    <w:p w:rsidR="00A632F2" w:rsidRPr="0000221A" w:rsidRDefault="007D2D6F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>
        <w:rPr>
          <w:rFonts w:ascii="Verdana" w:eastAsia="Calibri" w:hAnsi="Verdana"/>
          <w:b/>
          <w:sz w:val="20"/>
          <w:szCs w:val="20"/>
          <w:lang w:val="bg-BG" w:eastAsia="en-US"/>
        </w:rPr>
        <w:t>Чл. 18</w:t>
      </w:r>
      <w:r w:rsidR="00A632F2" w:rsidRPr="0000221A">
        <w:rPr>
          <w:rFonts w:ascii="Verdana" w:eastAsia="Calibri" w:hAnsi="Verdana"/>
          <w:b/>
          <w:sz w:val="20"/>
          <w:szCs w:val="20"/>
          <w:lang w:val="bg-BG" w:eastAsia="en-US"/>
        </w:rPr>
        <w:t>.</w:t>
      </w:r>
      <w:r w:rsidR="00A632F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(1) За разрешаване пускането на пазара и употребата на ПРЗ с нисък риск, съгласно чл. 47 от Регламент (ЕО) № 1107/2009, заявителят подава в ЦУ на БАБХ</w:t>
      </w:r>
      <w:r w:rsidR="00A632F2" w:rsidRPr="0000221A" w:rsidDel="00A632F2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A632F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заявление по образец, </w:t>
      </w:r>
      <w:r w:rsidR="00502333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утвърден от изпълнителния директор на БАБХ, </w:t>
      </w:r>
      <w:r w:rsidR="00A632F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към което прилага: </w:t>
      </w:r>
    </w:p>
    <w:p w:rsidR="00A632F2" w:rsidRPr="0000221A" w:rsidRDefault="00A632F2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1. документите по чл. 33, параграф 3 от Регламент (ЕО) № 1107/2009, на три електронни носителя на български и/или на английски език, като проектът на етикет за пускане на пазара и употреба е на български език;</w:t>
      </w:r>
    </w:p>
    <w:p w:rsidR="00A632F2" w:rsidRPr="0000221A" w:rsidRDefault="00A632F2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2. писмо за достъп до доклади за изпитвания и изследвания по чл. 33, параграф 3 от Регламент (ЕО) № 1107/2009, когато тези доклади не се представят, с официален превод на български език, на хартиен носител;</w:t>
      </w:r>
    </w:p>
    <w:p w:rsidR="00A632F2" w:rsidRPr="0000221A" w:rsidRDefault="00A632F2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3. документ за платена такса, съгласно чл. 3, ал. 4, от Закона за Българската аг</w:t>
      </w:r>
      <w:r w:rsidR="00A63DEA">
        <w:rPr>
          <w:rFonts w:ascii="Verdana" w:eastAsia="Calibri" w:hAnsi="Verdana"/>
          <w:sz w:val="20"/>
          <w:szCs w:val="20"/>
          <w:lang w:val="bg-BG" w:eastAsia="en-US"/>
        </w:rPr>
        <w:t xml:space="preserve">енция по безопасност на храните, </w:t>
      </w:r>
      <w:r w:rsidR="00A63DEA" w:rsidRPr="00A63DEA">
        <w:t xml:space="preserve"> </w:t>
      </w:r>
      <w:r w:rsidR="00A63DEA" w:rsidRPr="00A63DEA">
        <w:rPr>
          <w:rFonts w:ascii="Verdana" w:eastAsia="Calibri" w:hAnsi="Verdana"/>
          <w:sz w:val="20"/>
          <w:szCs w:val="20"/>
          <w:lang w:val="bg-BG" w:eastAsia="en-US"/>
        </w:rPr>
        <w:t>когато плащането н</w:t>
      </w:r>
      <w:r w:rsidR="00A63DEA">
        <w:rPr>
          <w:rFonts w:ascii="Verdana" w:eastAsia="Calibri" w:hAnsi="Verdana"/>
          <w:sz w:val="20"/>
          <w:szCs w:val="20"/>
          <w:lang w:val="bg-BG" w:eastAsia="en-US"/>
        </w:rPr>
        <w:t>е е извършено по електронен път.</w:t>
      </w:r>
    </w:p>
    <w:p w:rsidR="00A632F2" w:rsidRPr="0000221A" w:rsidRDefault="00A632F2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(2) За разрешаване пускането на пазара и употребата на ПРЗ, разрешен като ПРЗ с нисък риск в друга държава членка (референтна) от Южната зона, заявителят подава в ЦУ на БАБХ</w:t>
      </w:r>
      <w:r w:rsidRPr="0000221A" w:rsidDel="00A632F2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заявление по образец, </w:t>
      </w:r>
      <w:r w:rsidR="000F624A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утвърден от изпълнителния директор на БАБХ,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към което прилага: </w:t>
      </w:r>
    </w:p>
    <w:p w:rsidR="00A632F2" w:rsidRPr="0000221A" w:rsidRDefault="00A632F2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1. копие на разрешението от референтната държава членка с официален превод на български език;</w:t>
      </w:r>
    </w:p>
    <w:p w:rsidR="00A632F2" w:rsidRPr="0000221A" w:rsidRDefault="00A632F2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lastRenderedPageBreak/>
        <w:t>2. проект на етикет за пускане на пазара и употреба на ПРЗ, на електронен носител, на български език;</w:t>
      </w:r>
    </w:p>
    <w:p w:rsidR="00A632F2" w:rsidRPr="0000221A" w:rsidRDefault="00A632F2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3. доклад за оценка от референтната държава членка, съдържащ информация за оц</w:t>
      </w:r>
      <w:r w:rsidR="00985D35" w:rsidRPr="0000221A">
        <w:rPr>
          <w:rFonts w:ascii="Verdana" w:eastAsia="Calibri" w:hAnsi="Verdana"/>
          <w:sz w:val="20"/>
          <w:szCs w:val="20"/>
          <w:lang w:val="bg-BG" w:eastAsia="en-US"/>
        </w:rPr>
        <w:t>енката и решението относно ПРЗ; к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огато заявителят не разполага с него, БАБХ го изисква от референтната държава членка по служебен път.</w:t>
      </w:r>
    </w:p>
    <w:p w:rsidR="00985D35" w:rsidRPr="0000221A" w:rsidRDefault="00A632F2" w:rsidP="004975AB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(3)</w:t>
      </w:r>
      <w:r w:rsidRPr="0000221A">
        <w:rPr>
          <w:rFonts w:ascii="Verdana" w:eastAsia="Calibri" w:hAnsi="Verdana"/>
          <w:color w:val="FF0000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В случаите по ал. 2</w:t>
      </w:r>
      <w:r w:rsidR="00A9639F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документите не се изпращат в ЦОРХВ за изготвяне на оценка с доклад за оценка. Изпълнителният директор на БАБХ издава разрешение или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със заповед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отказва разрешаването на продукта за растителна защита</w:t>
      </w:r>
      <w:r w:rsidR="00932409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в срок до 60 дни от подаването на заявление</w:t>
      </w:r>
      <w:r w:rsidR="004E1EAB" w:rsidRPr="0000221A">
        <w:rPr>
          <w:rFonts w:ascii="Verdana" w:eastAsia="Calibri" w:hAnsi="Verdana"/>
          <w:sz w:val="20"/>
          <w:szCs w:val="20"/>
          <w:lang w:val="bg-BG" w:eastAsia="en-US"/>
        </w:rPr>
        <w:t>то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 Заповедта за отказ</w:t>
      </w:r>
      <w:r w:rsidR="004975AB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 се съобщава на заявителя и може да се обжалва по реда на </w:t>
      </w:r>
      <w:proofErr w:type="spellStart"/>
      <w:r w:rsidR="004975AB" w:rsidRPr="008933D4">
        <w:rPr>
          <w:rFonts w:ascii="Verdana" w:eastAsia="Calibri" w:hAnsi="Verdana"/>
          <w:sz w:val="20"/>
          <w:szCs w:val="20"/>
          <w:lang w:val="bg-BG" w:eastAsia="en-US"/>
        </w:rPr>
        <w:t>Административнопроцесуалния</w:t>
      </w:r>
      <w:proofErr w:type="spellEnd"/>
      <w:r w:rsidR="004975AB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 кодекс.</w:t>
      </w:r>
      <w:r w:rsidR="004975AB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</w:p>
    <w:p w:rsidR="0002340B" w:rsidRPr="0000221A" w:rsidRDefault="00985D35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A632F2" w:rsidRPr="0000221A">
        <w:rPr>
          <w:rFonts w:ascii="Verdana" w:eastAsia="Calibri" w:hAnsi="Verdana"/>
          <w:sz w:val="20"/>
          <w:szCs w:val="20"/>
          <w:lang w:val="bg-BG" w:eastAsia="en-US"/>
        </w:rPr>
        <w:t>(4) За разрешаване пускането на пазара и употребата на ПРЗ с нисък риск по ал. 2, такси не се заплащат.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19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(1) За разширяване на обхвата на издадено разрешение за пускане на пазара и употреба на ПРЗ за минимална употреба</w:t>
      </w:r>
      <w:r w:rsidR="00F83F09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чл. 51 от Регламент (ЕО) № 1107/2009</w:t>
      </w:r>
      <w:r w:rsidR="00F83F09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притежателят на разрешението подава в ЦУ на </w:t>
      </w:r>
      <w:r w:rsidR="00112A91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6009BC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заявление по образец, </w:t>
      </w:r>
      <w:r w:rsidR="000F624A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утвърден от изпълнителния директор на БАБХ,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към което прилага: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1. доклади за изпитвания и изследвания в област остатъчни вещества от ПРЗ, проведени в държава от зона Южна Европа и Средиземноморието, когато минималната употреба се отнася за растения и растителни продукти, които могат да бъдат използвани за храни или фуражи, на три електронни носителя, на български и/или на английски език;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2. доклади за изпитвания и изследвания в област биологични характеристики на ПРЗ, проведени в държава членка от Южната зона и Югоизточната зона, ако такива са налични, на три електронни носителя, на български и/или на английски език;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3. писмо за достъп до докладите по т. 1 и 2, когато докладите не се представят, с официален превод на български език, на хартиен носител;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4. оценка на риска за оператора, работника и случайните лица за заявената минимална употреба на ПРЗ, при необходимост, на три електронни носителя, на български и/или на английски език;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5. проект на етикет за пускане на пазара и употреба на ПРЗ, на три електронни носителя, на български език.</w:t>
      </w:r>
    </w:p>
    <w:p w:rsidR="00E0689C" w:rsidRPr="0000221A" w:rsidRDefault="000B5A0F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(2) Минималните употреби по ал. 1 се определят</w:t>
      </w:r>
      <w:r w:rsidR="00895492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заповед на министъра на земеделието, храните и горите.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(3) Документите по ал. 1 се прилагат в съответствие със заявената минимална употреба.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(4) Заявлението по ал.</w:t>
      </w:r>
      <w:r w:rsidR="009B649A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1 може да се подаде и от официални или научни органи, участващи в селскостопански дейности, професионални селскостопански организации или професионални потребители.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(5) В случая по ал. 4</w:t>
      </w:r>
      <w:r w:rsidR="00895492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6105CC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изпълнителният директор на БАБХ </w:t>
      </w:r>
      <w:r w:rsidR="008E1C85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или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определено </w:t>
      </w:r>
      <w:r w:rsidR="008E1C85" w:rsidRPr="008933D4">
        <w:rPr>
          <w:rFonts w:ascii="Verdana" w:eastAsia="Calibri" w:hAnsi="Verdana"/>
          <w:sz w:val="20"/>
          <w:szCs w:val="20"/>
          <w:lang w:val="bg-BG" w:eastAsia="en-US"/>
        </w:rPr>
        <w:t>от него длъжностно лице</w:t>
      </w:r>
      <w:r w:rsidR="006009BC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писмено уведомява притежателя на разрешението за пускане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lastRenderedPageBreak/>
        <w:t xml:space="preserve">на пазара и употреба на ПРЗ и определя срок за представяне на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>документите по ал. 1, т.1-5, ако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са налични.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(6) За разширяване на обхвата на издадено разрешение за пускане на пазара и употреба на ПРЗ за минимална употреба чрез взаимно признаване на разрешения</w:t>
      </w:r>
      <w:r w:rsidR="00895492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към заявлението по ал. 1 се прилагат документите по чл. </w:t>
      </w:r>
      <w:r w:rsidR="00122937" w:rsidRPr="008E3ACC">
        <w:rPr>
          <w:rFonts w:ascii="Verdana" w:eastAsia="Calibri" w:hAnsi="Verdana"/>
          <w:sz w:val="20"/>
          <w:szCs w:val="20"/>
          <w:lang w:eastAsia="en-US"/>
        </w:rPr>
        <w:t>19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.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(7) За разширяване на обхвата на издадено разрешение за пускане на пазара и употреба на ПРЗ за минимална употреба</w:t>
      </w:r>
      <w:r w:rsidR="00895492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такси не се заплащат.</w:t>
      </w:r>
    </w:p>
    <w:p w:rsidR="00551A1E" w:rsidRPr="0000221A" w:rsidRDefault="00551A1E" w:rsidP="006105CC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(8) </w:t>
      </w:r>
      <w:r w:rsidR="001D6C5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Изпълнителният директор на </w:t>
      </w:r>
      <w:r w:rsidR="00112A91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6009BC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1D6C5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издава разрешение или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със заповед </w:t>
      </w:r>
      <w:r w:rsidR="001D6C55" w:rsidRPr="0000221A">
        <w:rPr>
          <w:rFonts w:ascii="Verdana" w:eastAsia="Calibri" w:hAnsi="Verdana"/>
          <w:sz w:val="20"/>
          <w:szCs w:val="20"/>
          <w:lang w:val="bg-BG" w:eastAsia="en-US"/>
        </w:rPr>
        <w:t>отказва разрешаването на продукта за растителна защита</w:t>
      </w:r>
      <w:r w:rsidR="00112A91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1D6C5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в срок до 120 дни.</w:t>
      </w:r>
      <w:r w:rsidR="006105CC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>Заповедта за отказ</w:t>
      </w:r>
      <w:r w:rsidR="006105CC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 се съобщава на заявителя и може да се обжалва по реда на </w:t>
      </w:r>
      <w:proofErr w:type="spellStart"/>
      <w:r w:rsidR="006105CC" w:rsidRPr="008933D4">
        <w:rPr>
          <w:rFonts w:ascii="Verdana" w:eastAsia="Calibri" w:hAnsi="Verdana"/>
          <w:sz w:val="20"/>
          <w:szCs w:val="20"/>
          <w:lang w:val="bg-BG" w:eastAsia="en-US"/>
        </w:rPr>
        <w:t>Административнопроцесуалния</w:t>
      </w:r>
      <w:proofErr w:type="spellEnd"/>
      <w:r w:rsidR="006105CC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 кодекс.</w:t>
      </w:r>
      <w:r w:rsidR="006105CC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</w:p>
    <w:p w:rsidR="002F174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20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(1) За разрешаване пускането на пазара и употребата на ПРЗ за паралелна търговия</w:t>
      </w:r>
      <w:r w:rsidR="004C6E88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чл. 52 от Регламент (ЕО) № 1107/2009</w:t>
      </w:r>
      <w:r w:rsidR="004C6E88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заявителят подава в ЦУ на </w:t>
      </w:r>
      <w:r w:rsidR="00583530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6009BC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заявление по образец,</w:t>
      </w:r>
      <w:r w:rsidR="002F174E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утвърдено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2F174E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от изпълнителния директор на </w:t>
      </w:r>
      <w:r w:rsidR="00583530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6009BC"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(2) Не се разрешава ПРЗ за паралелна търговия, ако ПРЗ в държавата членка по произход е разрешен за ограничена и контролирана употреба, за извършване на научноизследователска и развойна дейност или за паралелна търговия.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(3) В етикета за пускане на пазара и употреба на продукта по ал. 1 се включва текстът </w:t>
      </w:r>
      <w:r w:rsidR="004A1365" w:rsidRPr="0000221A">
        <w:rPr>
          <w:rFonts w:ascii="Verdana" w:eastAsia="Calibri" w:hAnsi="Verdana"/>
          <w:sz w:val="20"/>
          <w:szCs w:val="20"/>
          <w:lang w:val="bg-BG" w:eastAsia="en-US"/>
        </w:rPr>
        <w:t>„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Продукт от паралелна търговия”.</w:t>
      </w:r>
    </w:p>
    <w:p w:rsidR="00551A1E" w:rsidRPr="0000221A" w:rsidRDefault="00551A1E" w:rsidP="006105CC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</w:t>
      </w:r>
      <w:r w:rsidR="00210A8A" w:rsidRPr="0000221A">
        <w:rPr>
          <w:rFonts w:ascii="Verdana" w:eastAsia="Calibri" w:hAnsi="Verdana"/>
          <w:sz w:val="20"/>
          <w:szCs w:val="20"/>
          <w:lang w:val="bg-BG" w:eastAsia="en-US"/>
        </w:rPr>
        <w:t>4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) </w:t>
      </w:r>
      <w:r w:rsidR="001D6C5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Изпълнителният директор на </w:t>
      </w:r>
      <w:r w:rsidR="00583530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085397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1D6C5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издава разрешение или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със заповед </w:t>
      </w:r>
      <w:r w:rsidR="001D6C55" w:rsidRPr="0000221A">
        <w:rPr>
          <w:rFonts w:ascii="Verdana" w:eastAsia="Calibri" w:hAnsi="Verdana"/>
          <w:sz w:val="20"/>
          <w:szCs w:val="20"/>
          <w:lang w:val="bg-BG" w:eastAsia="en-US"/>
        </w:rPr>
        <w:t>отказва разрешаването на продукта за растителна защита</w:t>
      </w:r>
      <w:r w:rsidR="00583530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в срок до 45 дни.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>Заповедта за отказ</w:t>
      </w:r>
      <w:r w:rsidR="006105CC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 се съобщава на заявителя и може да се обжалва по реда на </w:t>
      </w:r>
      <w:proofErr w:type="spellStart"/>
      <w:r w:rsidR="006105CC" w:rsidRPr="008933D4">
        <w:rPr>
          <w:rFonts w:ascii="Verdana" w:eastAsia="Calibri" w:hAnsi="Verdana"/>
          <w:sz w:val="20"/>
          <w:szCs w:val="20"/>
          <w:lang w:val="bg-BG" w:eastAsia="en-US"/>
        </w:rPr>
        <w:t>Административнопроцесуалния</w:t>
      </w:r>
      <w:proofErr w:type="spellEnd"/>
      <w:r w:rsidR="006105CC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 кодекс.</w:t>
      </w:r>
      <w:r w:rsidR="006105CC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</w:t>
      </w:r>
      <w:r w:rsidR="00210A8A" w:rsidRPr="0000221A">
        <w:rPr>
          <w:rFonts w:ascii="Verdana" w:eastAsia="Calibri" w:hAnsi="Verdana"/>
          <w:sz w:val="20"/>
          <w:szCs w:val="20"/>
          <w:lang w:val="bg-BG" w:eastAsia="en-US"/>
        </w:rPr>
        <w:t>5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) При разрешаване на ПРЗ за паралелна търговия</w:t>
      </w:r>
      <w:r w:rsidR="00A01C9A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305EF8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085397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уведомява едновременно притежателя на разрешение за пускане на пазара и употреба на референтния продукт и притежателя на разрешение за пускане на пазара и употреба на продукт</w:t>
      </w:r>
      <w:r w:rsidR="00A01C9A" w:rsidRPr="0000221A">
        <w:rPr>
          <w:rFonts w:ascii="Verdana" w:eastAsia="Calibri" w:hAnsi="Verdana"/>
          <w:sz w:val="20"/>
          <w:szCs w:val="20"/>
          <w:lang w:val="bg-BG" w:eastAsia="en-US"/>
        </w:rPr>
        <w:t>а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за паралелна търговия.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hAnsi="Verdana"/>
          <w:b/>
          <w:sz w:val="20"/>
          <w:szCs w:val="20"/>
          <w:lang w:val="bg-BG"/>
        </w:rPr>
        <w:t xml:space="preserve">Чл. </w:t>
      </w:r>
      <w:r w:rsidR="007D2D6F">
        <w:rPr>
          <w:rFonts w:ascii="Verdana" w:hAnsi="Verdana"/>
          <w:b/>
          <w:sz w:val="20"/>
          <w:szCs w:val="20"/>
          <w:lang w:val="bg-BG"/>
        </w:rPr>
        <w:t>21</w:t>
      </w:r>
      <w:r w:rsidRPr="0000221A"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(1) Продукт за растителна защита може да се разреши за пускане на пазара за ограничена и контролирана употреба</w:t>
      </w:r>
      <w:r w:rsidR="00C656F9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чл. 53 от Регламент (ЕО) № 1107/2009, когато е налице опасност за растенията и растителните продукти, която не може да бъде овладяна чрез </w:t>
      </w:r>
      <w:r w:rsidR="003809D1" w:rsidRPr="0000221A">
        <w:rPr>
          <w:rFonts w:ascii="Verdana" w:eastAsia="Calibri" w:hAnsi="Verdana"/>
          <w:sz w:val="20"/>
          <w:szCs w:val="20"/>
          <w:lang w:val="bg-BG" w:eastAsia="en-US"/>
        </w:rPr>
        <w:t>други разумни средства.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(2) За разрешаване пускането на пазара за ограничена и контролирана употреба на ПРЗ, заявителят подава в ЦУ на </w:t>
      </w:r>
      <w:r w:rsidR="00305EF8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085397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заявление по образец, </w:t>
      </w:r>
      <w:r w:rsidR="002F174E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утвърдено от изпълнителния директор на </w:t>
      </w:r>
      <w:r w:rsidR="00305EF8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9A5391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085397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към което прилага: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1. обосновка от официални или научни органи, участващи в селскостопански дейности и/или професионални селскостопански организации</w:t>
      </w:r>
      <w:r w:rsidR="009A5391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за наличието на опасност за растенията и растителните продукти по административно</w:t>
      </w:r>
      <w:r w:rsidR="00CF1180" w:rsidRPr="0000221A">
        <w:rPr>
          <w:rFonts w:ascii="Verdana" w:eastAsia="Calibri" w:hAnsi="Verdana"/>
          <w:sz w:val="20"/>
          <w:szCs w:val="20"/>
          <w:lang w:val="bg-BG" w:eastAsia="en-US"/>
        </w:rPr>
        <w:t>-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териториални единици - области, на три електронни и един хартиен носител, на български език;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lastRenderedPageBreak/>
        <w:t>2. заверено копие на разрешението на ПРЗ, издадено в държава членка, когато заявеният ПРЗ е разрешен в държава членка, с официален превод на български език, на три електронни и един хартиен носител;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3. заверено копие на етикета на ПРЗ, с който продуктът се пуска на пазара в държава членка, когато заявеният ПРЗ е разрешен в държава членка, с официален превод на български език, на три електронни и един хартиен носител;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4. информационен лист за безопасност на ПРЗ</w:t>
      </w:r>
      <w:r w:rsidR="009A5391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в съответствие с чл. 31 от Регламент (ЕО) № 1907/2006 на Европейския парламент и на Съвета от 18 декември 2006 г. относно регистрацията, оценката, разрешаването и ограничаването на химикали (REACH), за създаване на Европейска агенция по химикали, за изменение на </w:t>
      </w:r>
      <w:hyperlink r:id="rId9" w:tgtFrame="_blank" w:history="1">
        <w:r w:rsidRPr="0000221A">
          <w:rPr>
            <w:rFonts w:ascii="Verdana" w:eastAsia="Calibri" w:hAnsi="Verdana"/>
            <w:sz w:val="20"/>
            <w:szCs w:val="20"/>
            <w:lang w:val="bg-BG" w:eastAsia="en-US"/>
          </w:rPr>
          <w:t>Директива 1999/45/ЕО</w:t>
        </w:r>
      </w:hyperlink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 за отмяна на </w:t>
      </w:r>
      <w:hyperlink r:id="rId10" w:tgtFrame="_blank" w:history="1">
        <w:r w:rsidRPr="0000221A">
          <w:rPr>
            <w:rFonts w:ascii="Verdana" w:eastAsia="Calibri" w:hAnsi="Verdana"/>
            <w:sz w:val="20"/>
            <w:szCs w:val="20"/>
            <w:lang w:val="bg-BG" w:eastAsia="en-US"/>
          </w:rPr>
          <w:t>Регламент (ЕИО) № 793/93 на Съвета</w:t>
        </w:r>
      </w:hyperlink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 </w:t>
      </w:r>
      <w:hyperlink r:id="rId11" w:tgtFrame="_blank" w:history="1">
        <w:r w:rsidRPr="0000221A">
          <w:rPr>
            <w:rFonts w:ascii="Verdana" w:eastAsia="Calibri" w:hAnsi="Verdana"/>
            <w:sz w:val="20"/>
            <w:szCs w:val="20"/>
            <w:lang w:val="bg-BG" w:eastAsia="en-US"/>
          </w:rPr>
          <w:t>Регламент (ЕО) № 1488/94</w:t>
        </w:r>
      </w:hyperlink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на Комисията, както и на </w:t>
      </w:r>
      <w:hyperlink r:id="rId12" w:tgtFrame="_blank" w:history="1">
        <w:r w:rsidRPr="0000221A">
          <w:rPr>
            <w:rFonts w:ascii="Verdana" w:eastAsia="Calibri" w:hAnsi="Verdana"/>
            <w:sz w:val="20"/>
            <w:szCs w:val="20"/>
            <w:lang w:val="bg-BG" w:eastAsia="en-US"/>
          </w:rPr>
          <w:t>Директива 76/769/ЕИО</w:t>
        </w:r>
      </w:hyperlink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на Съвета и </w:t>
      </w:r>
      <w:hyperlink r:id="rId13" w:tgtFrame="_blank" w:history="1">
        <w:r w:rsidRPr="0000221A">
          <w:rPr>
            <w:rFonts w:ascii="Verdana" w:eastAsia="Calibri" w:hAnsi="Verdana"/>
            <w:sz w:val="20"/>
            <w:szCs w:val="20"/>
            <w:lang w:val="bg-BG" w:eastAsia="en-US"/>
          </w:rPr>
          <w:t>директиви 91/155/ЕИО</w:t>
        </w:r>
      </w:hyperlink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, </w:t>
      </w:r>
      <w:hyperlink r:id="rId14" w:tgtFrame="_blank" w:history="1">
        <w:r w:rsidRPr="0000221A">
          <w:rPr>
            <w:rFonts w:ascii="Verdana" w:eastAsia="Calibri" w:hAnsi="Verdana"/>
            <w:sz w:val="20"/>
            <w:szCs w:val="20"/>
            <w:lang w:val="bg-BG" w:eastAsia="en-US"/>
          </w:rPr>
          <w:t>93/67/ЕИО</w:t>
        </w:r>
      </w:hyperlink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, </w:t>
      </w:r>
      <w:hyperlink r:id="rId15" w:tgtFrame="_blank" w:history="1">
        <w:r w:rsidRPr="0000221A">
          <w:rPr>
            <w:rFonts w:ascii="Verdana" w:eastAsia="Calibri" w:hAnsi="Verdana"/>
            <w:sz w:val="20"/>
            <w:szCs w:val="20"/>
            <w:lang w:val="bg-BG" w:eastAsia="en-US"/>
          </w:rPr>
          <w:t>93/105/ЕО</w:t>
        </w:r>
      </w:hyperlink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 </w:t>
      </w:r>
      <w:hyperlink r:id="rId16" w:tgtFrame="_blank" w:history="1">
        <w:r w:rsidRPr="0000221A">
          <w:rPr>
            <w:rFonts w:ascii="Verdana" w:eastAsia="Calibri" w:hAnsi="Verdana"/>
            <w:sz w:val="20"/>
            <w:szCs w:val="20"/>
            <w:lang w:val="bg-BG" w:eastAsia="en-US"/>
          </w:rPr>
          <w:t>2000/21/ЕО</w:t>
        </w:r>
      </w:hyperlink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на Комисията, наричан по-нататък </w:t>
      </w:r>
      <w:r w:rsidR="004A1365" w:rsidRPr="0000221A">
        <w:rPr>
          <w:rFonts w:ascii="Verdana" w:eastAsia="Calibri" w:hAnsi="Verdana"/>
          <w:sz w:val="20"/>
          <w:szCs w:val="20"/>
          <w:lang w:val="bg-BG" w:eastAsia="en-US"/>
        </w:rPr>
        <w:t>„</w:t>
      </w:r>
      <w:hyperlink r:id="rId17" w:tgtFrame="_blank" w:history="1">
        <w:r w:rsidRPr="0000221A">
          <w:rPr>
            <w:rFonts w:ascii="Verdana" w:eastAsia="Calibri" w:hAnsi="Verdana"/>
            <w:sz w:val="20"/>
            <w:szCs w:val="20"/>
            <w:lang w:val="bg-BG" w:eastAsia="en-US"/>
          </w:rPr>
          <w:t>Регламент (ЕО) № 1907/2006 (REACH)</w:t>
        </w:r>
      </w:hyperlink>
      <w:r w:rsidR="00566489" w:rsidRPr="0000221A">
        <w:rPr>
          <w:rFonts w:ascii="Verdana" w:eastAsia="Calibri" w:hAnsi="Verdana"/>
          <w:sz w:val="20"/>
          <w:szCs w:val="20"/>
          <w:lang w:val="bg-BG" w:eastAsia="en-US"/>
        </w:rPr>
        <w:t>“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, на три електронни носителя, на български език;</w:t>
      </w:r>
    </w:p>
    <w:p w:rsidR="00B7685F" w:rsidRPr="0000221A" w:rsidRDefault="000077A3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5. д</w:t>
      </w:r>
      <w:r w:rsidR="00B7685F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екларация, че при заявената употреба не се надвишават максималните граници на остатъчни вещества, определени в съответствие с Регламент (ЕО) № 396/2005 на Европейския парламент и на Съвета от 23 февруари 2005 г. относно максимално допустимите граници на остатъчни вещества от пестициди във и върху храни или фуражи от растителен или животински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>произход (ОВ L 70, 16.3.2005 г.</w:t>
      </w:r>
      <w:r w:rsidR="00B7685F" w:rsidRPr="0000221A">
        <w:rPr>
          <w:rFonts w:ascii="Verdana" w:eastAsia="Calibri" w:hAnsi="Verdana"/>
          <w:sz w:val="20"/>
          <w:szCs w:val="20"/>
          <w:lang w:val="bg-BG" w:eastAsia="en-US"/>
        </w:rPr>
        <w:t>);</w:t>
      </w:r>
    </w:p>
    <w:p w:rsidR="00551A1E" w:rsidRPr="0000221A" w:rsidRDefault="00B7685F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6</w:t>
      </w:r>
      <w:r w:rsidR="00551A1E" w:rsidRPr="0000221A">
        <w:rPr>
          <w:rFonts w:ascii="Verdana" w:eastAsia="Calibri" w:hAnsi="Verdana"/>
          <w:sz w:val="20"/>
          <w:szCs w:val="20"/>
          <w:lang w:val="bg-BG" w:eastAsia="en-US"/>
        </w:rPr>
        <w:t>. документ за платена такса</w:t>
      </w:r>
      <w:r w:rsidR="00CB11DB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551A1E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A43BE0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съгласно чл. 3, ал. 4, от Закона за </w:t>
      </w:r>
      <w:r w:rsidR="000077A3" w:rsidRPr="0000221A">
        <w:rPr>
          <w:rFonts w:ascii="Verdana" w:eastAsia="Calibri" w:hAnsi="Verdana"/>
          <w:sz w:val="20"/>
          <w:szCs w:val="20"/>
          <w:lang w:val="bg-BG" w:eastAsia="en-US"/>
        </w:rPr>
        <w:t>Българската агенция по безопасност на храните</w:t>
      </w:r>
      <w:r w:rsidR="00A63DE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A63DEA" w:rsidRPr="00A63DEA">
        <w:t xml:space="preserve"> </w:t>
      </w:r>
      <w:r w:rsidR="00A63DEA" w:rsidRPr="00A63DEA">
        <w:rPr>
          <w:rFonts w:ascii="Verdana" w:eastAsia="Calibri" w:hAnsi="Verdana"/>
          <w:sz w:val="20"/>
          <w:szCs w:val="20"/>
          <w:lang w:val="bg-BG" w:eastAsia="en-US"/>
        </w:rPr>
        <w:t>когато плащането не е извършено по електронен път.</w:t>
      </w:r>
    </w:p>
    <w:p w:rsidR="00551A1E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(3) Разрешен ПРЗ може да се разреши за ограничена и контролирана употреба по ал. 1, когато употребата, за която ще се прилага, не е включена в разрешението на продукта. В този </w:t>
      </w:r>
      <w:r w:rsidR="00A053A6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случай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употребата може да се разреши и по инициатива на </w:t>
      </w:r>
      <w:r w:rsidR="00305EF8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. </w:t>
      </w:r>
    </w:p>
    <w:p w:rsidR="006105CC" w:rsidRPr="0000221A" w:rsidRDefault="006105CC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8933D4">
        <w:rPr>
          <w:rFonts w:ascii="Verdana" w:eastAsia="Calibri" w:hAnsi="Verdana"/>
          <w:sz w:val="20"/>
          <w:szCs w:val="20"/>
          <w:lang w:val="bg-BG" w:eastAsia="en-US"/>
        </w:rPr>
        <w:t>(4) Производството по издаване на разрешението по ал. 1 приключва в срок от 45 дни от подаване на заявлението по ал. 2.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22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.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При допустимост на заявлението по чл. </w:t>
      </w:r>
      <w:r w:rsidR="00210A8A" w:rsidRPr="0000221A">
        <w:rPr>
          <w:rFonts w:ascii="Verdana" w:eastAsia="Calibri" w:hAnsi="Verdana"/>
          <w:sz w:val="20"/>
          <w:szCs w:val="20"/>
          <w:lang w:val="bg-BG" w:eastAsia="en-US"/>
        </w:rPr>
        <w:t>2</w:t>
      </w:r>
      <w:r w:rsidR="00C45B65" w:rsidRPr="008E3ACC">
        <w:rPr>
          <w:rFonts w:ascii="Verdana" w:eastAsia="Calibri" w:hAnsi="Verdana"/>
          <w:sz w:val="20"/>
          <w:szCs w:val="20"/>
          <w:lang w:eastAsia="en-US"/>
        </w:rPr>
        <w:t>1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: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1. Българската агенция по безопасност на храните събира данни</w:t>
      </w:r>
      <w:r w:rsidR="00C919FA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относно опасността за растенията и растителните продукти и съответните ПРЗ, средства и методи, необходими за овладяването на опасността;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2. Центърът за оценка на риска по хранителната верига извършва научна оценка </w:t>
      </w:r>
      <w:r w:rsidR="00764D3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на необходимостта от прилагането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на ПРЗ</w:t>
      </w:r>
      <w:r w:rsidR="00C919FA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D02296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чл. 3, ал. 1, от Закона за </w:t>
      </w:r>
      <w:r w:rsidR="00FE4D23" w:rsidRPr="0000221A">
        <w:rPr>
          <w:rFonts w:ascii="Verdana" w:eastAsia="Calibri" w:hAnsi="Verdana"/>
          <w:sz w:val="20"/>
          <w:szCs w:val="20"/>
          <w:lang w:val="bg-BG" w:eastAsia="en-US"/>
        </w:rPr>
        <w:t>ЦОРХВ</w:t>
      </w:r>
      <w:r w:rsidR="00CD6C31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323D18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323D18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в срок от 15 дни от датата на постъпване в ЦОРХВ на </w:t>
      </w:r>
      <w:r w:rsidR="008933D4">
        <w:rPr>
          <w:rFonts w:ascii="Verdana" w:eastAsia="Calibri" w:hAnsi="Verdana"/>
          <w:sz w:val="20"/>
          <w:szCs w:val="20"/>
          <w:lang w:val="bg-BG" w:eastAsia="en-US"/>
        </w:rPr>
        <w:t>цялостната документация з</w:t>
      </w:r>
      <w:r w:rsidR="00CD6C31" w:rsidRPr="008933D4">
        <w:rPr>
          <w:rFonts w:ascii="Verdana" w:eastAsia="Calibri" w:hAnsi="Verdana"/>
          <w:sz w:val="20"/>
          <w:szCs w:val="20"/>
          <w:lang w:val="bg-BG" w:eastAsia="en-US"/>
        </w:rPr>
        <w:t>а ПРЗ.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23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.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Центърът за оценка на риска по хранителната верига предава на </w:t>
      </w:r>
      <w:r w:rsidR="00085397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Българската агенция по безопасност на храните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научната оценка на ПРЗ</w:t>
      </w:r>
      <w:r w:rsidR="007F2028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D02BB9">
        <w:rPr>
          <w:rFonts w:ascii="Verdana" w:eastAsia="Calibri" w:hAnsi="Verdana"/>
          <w:sz w:val="20"/>
          <w:szCs w:val="20"/>
          <w:lang w:val="bg-BG" w:eastAsia="en-US"/>
        </w:rPr>
        <w:t>в срока по чл. 2</w:t>
      </w:r>
      <w:r w:rsidR="00D02BB9" w:rsidRPr="008E3ACC">
        <w:rPr>
          <w:rFonts w:ascii="Verdana" w:eastAsia="Calibri" w:hAnsi="Verdana"/>
          <w:sz w:val="20"/>
          <w:szCs w:val="20"/>
          <w:lang w:eastAsia="en-US"/>
        </w:rPr>
        <w:t>2</w:t>
      </w:r>
      <w:r w:rsidR="007F2028" w:rsidRPr="008933D4">
        <w:rPr>
          <w:rFonts w:ascii="Verdana" w:eastAsia="Calibri" w:hAnsi="Verdana"/>
          <w:sz w:val="20"/>
          <w:szCs w:val="20"/>
          <w:lang w:val="bg-BG" w:eastAsia="en-US"/>
        </w:rPr>
        <w:t>, ал. 2.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lastRenderedPageBreak/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24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Pr="008933D4">
        <w:rPr>
          <w:rFonts w:ascii="Verdana" w:eastAsia="Calibri" w:hAnsi="Verdana"/>
          <w:sz w:val="20"/>
          <w:szCs w:val="20"/>
          <w:lang w:val="bg-BG" w:eastAsia="en-US"/>
        </w:rPr>
        <w:t>В тридневен срок от п</w:t>
      </w:r>
      <w:r w:rsidR="00323D18" w:rsidRPr="008933D4">
        <w:rPr>
          <w:rFonts w:ascii="Verdana" w:eastAsia="Calibri" w:hAnsi="Verdana"/>
          <w:sz w:val="20"/>
          <w:szCs w:val="20"/>
          <w:lang w:val="bg-BG" w:eastAsia="en-US"/>
        </w:rPr>
        <w:t>редставяне</w:t>
      </w:r>
      <w:r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 на предложението </w:t>
      </w:r>
      <w:r w:rsidR="00323D18" w:rsidRPr="008933D4">
        <w:rPr>
          <w:rFonts w:ascii="Verdana" w:eastAsia="Calibri" w:hAnsi="Verdana"/>
          <w:sz w:val="20"/>
          <w:szCs w:val="20"/>
          <w:lang w:val="bg-BG" w:eastAsia="en-US"/>
        </w:rPr>
        <w:t>на</w:t>
      </w:r>
      <w:r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 СПРЗ</w:t>
      </w:r>
      <w:r w:rsidR="000820C6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изпълнителният директор на БАБХ със заповед разрешава пускането на пазара за ограничена и контролирана употреба на ПРЗ или мотивирано отказва разрешаването на продукта за ограничена и контролирана употреба</w:t>
      </w:r>
      <w:r w:rsidR="000820C6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при условията и по реда на чл. 62, ал. 2 - 6 от Закона за защита на растенията.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25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.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Употреба на ПРЗ при извършване на научноизследователска и/или развойна дейност</w:t>
      </w:r>
      <w:r w:rsidR="000820C6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чл. 54 от Регламент (ЕО) № 1107/2009</w:t>
      </w:r>
      <w:r w:rsidR="000820C6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се разрешава на площ на територията на страната</w:t>
      </w:r>
      <w:r w:rsidR="000820C6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не по-голяма от 25 декара.</w:t>
      </w:r>
      <w:r w:rsidR="00533C3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Заявителят подава в ЦУ на БАБХ заявление по образец, </w:t>
      </w:r>
      <w:r w:rsidR="002F174E" w:rsidRPr="0000221A">
        <w:rPr>
          <w:rFonts w:ascii="Verdana" w:eastAsia="Calibri" w:hAnsi="Verdana"/>
          <w:sz w:val="20"/>
          <w:szCs w:val="20"/>
          <w:lang w:val="bg-BG" w:eastAsia="en-US"/>
        </w:rPr>
        <w:t>утвърдено от изпълнителния директор на БАБХ</w:t>
      </w:r>
      <w:r w:rsidR="00FE4D23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2F174E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533C35" w:rsidRPr="0000221A">
        <w:rPr>
          <w:rFonts w:ascii="Verdana" w:eastAsia="Calibri" w:hAnsi="Verdana"/>
          <w:sz w:val="20"/>
          <w:szCs w:val="20"/>
          <w:lang w:val="bg-BG" w:eastAsia="en-US"/>
        </w:rPr>
        <w:t>към което прилага: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1. документи</w:t>
      </w:r>
      <w:r w:rsidR="00392AE2" w:rsidRPr="0000221A">
        <w:rPr>
          <w:rFonts w:ascii="Verdana" w:eastAsia="Calibri" w:hAnsi="Verdana"/>
          <w:sz w:val="20"/>
          <w:szCs w:val="20"/>
          <w:lang w:val="bg-BG" w:eastAsia="en-US"/>
        </w:rPr>
        <w:t>те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по чл. 33, параграф 3, букви </w:t>
      </w:r>
      <w:r w:rsidR="004A1365" w:rsidRPr="0000221A">
        <w:rPr>
          <w:rFonts w:ascii="Verdana" w:eastAsia="Calibri" w:hAnsi="Verdana"/>
          <w:sz w:val="20"/>
          <w:szCs w:val="20"/>
          <w:lang w:val="bg-BG" w:eastAsia="en-US"/>
        </w:rPr>
        <w:t>„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а” и </w:t>
      </w:r>
      <w:r w:rsidR="004A1365" w:rsidRPr="0000221A">
        <w:rPr>
          <w:rFonts w:ascii="Verdana" w:eastAsia="Calibri" w:hAnsi="Verdana"/>
          <w:sz w:val="20"/>
          <w:szCs w:val="20"/>
          <w:lang w:val="bg-BG" w:eastAsia="en-US"/>
        </w:rPr>
        <w:t>„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б” от Регламент (ЕО) № 1107/2009 на три електронни носителя, на български и/или на английски език;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2. информационен лист за безопасност на ПРЗ</w:t>
      </w:r>
      <w:r w:rsidR="00A053A6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в съответствие с чл. 31 от </w:t>
      </w:r>
      <w:hyperlink r:id="rId18" w:tgtFrame="_blank" w:history="1">
        <w:r w:rsidRPr="0000221A">
          <w:rPr>
            <w:rFonts w:ascii="Verdana" w:eastAsia="Calibri" w:hAnsi="Verdana"/>
            <w:sz w:val="20"/>
            <w:szCs w:val="20"/>
            <w:lang w:val="bg-BG" w:eastAsia="en-US"/>
          </w:rPr>
          <w:t>Регламент (ЕО) № 1907/2006 (REACH)</w:t>
        </w:r>
      </w:hyperlink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, </w:t>
      </w:r>
      <w:r w:rsidR="000820C6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на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три електронни носителя, на български и/или на английски език;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3. информация за опита, серията от опити или програмата от опити, при която ще се употребява ПРЗ;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4. списък на лицата, с които научноизследователската и/или развойната дейност се провежда в сътрудничество, включително техните имена и адреси;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5. документ за платена такса</w:t>
      </w:r>
      <w:r w:rsidR="000820C6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</w:t>
      </w:r>
      <w:r w:rsidR="00A43BE0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с чл. 3, ал. 4, от Закона за </w:t>
      </w:r>
      <w:r w:rsidR="00A63DEA">
        <w:rPr>
          <w:rFonts w:ascii="Verdana" w:eastAsia="Calibri" w:hAnsi="Verdana"/>
          <w:sz w:val="20"/>
          <w:szCs w:val="20"/>
          <w:lang w:val="bg-BG" w:eastAsia="en-US"/>
        </w:rPr>
        <w:t>БАБХ,</w:t>
      </w:r>
      <w:r w:rsidR="00A63DEA" w:rsidRPr="00A63DEA">
        <w:t xml:space="preserve"> </w:t>
      </w:r>
      <w:r w:rsidR="00A63DEA" w:rsidRPr="00A63DEA">
        <w:rPr>
          <w:rFonts w:ascii="Verdana" w:eastAsia="Calibri" w:hAnsi="Verdana"/>
          <w:sz w:val="20"/>
          <w:szCs w:val="20"/>
          <w:lang w:val="bg-BG" w:eastAsia="en-US"/>
        </w:rPr>
        <w:t>когато плащането не е извършено по електронен път.</w:t>
      </w:r>
    </w:p>
    <w:p w:rsidR="00551A1E" w:rsidRPr="0000221A" w:rsidRDefault="00551A1E" w:rsidP="00CF5551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26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(1) Изпълнителният директор на </w:t>
      </w:r>
      <w:r w:rsidR="00527C80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0F1149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издава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заповед </w:t>
      </w:r>
      <w:r w:rsidR="000F1149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за разрешение или заповед за отказ за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употреба на ПРЗ при извършване на научноизследователска и/или развойна дейност</w:t>
      </w:r>
      <w:r w:rsidR="00527C80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в срок до 120 дни от получаване на заявлението по чл. </w:t>
      </w:r>
      <w:r w:rsidR="00B26F6A">
        <w:rPr>
          <w:rFonts w:ascii="Verdana" w:eastAsia="Calibri" w:hAnsi="Verdana"/>
          <w:sz w:val="20"/>
          <w:szCs w:val="20"/>
          <w:lang w:val="bg-BG" w:eastAsia="en-US"/>
        </w:rPr>
        <w:t>2</w:t>
      </w:r>
      <w:r w:rsidR="00B26F6A" w:rsidRPr="008E3ACC">
        <w:rPr>
          <w:rFonts w:ascii="Verdana" w:eastAsia="Calibri" w:hAnsi="Verdana"/>
          <w:sz w:val="20"/>
          <w:szCs w:val="20"/>
          <w:lang w:eastAsia="en-US"/>
        </w:rPr>
        <w:t>5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  <w:r w:rsidR="00CF5551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CF5551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Заповедта за отказ се съобщава на заявителя и може да се обжалва по реда на </w:t>
      </w:r>
      <w:proofErr w:type="spellStart"/>
      <w:r w:rsidR="00CF5551" w:rsidRPr="008933D4">
        <w:rPr>
          <w:rFonts w:ascii="Verdana" w:eastAsia="Calibri" w:hAnsi="Verdana"/>
          <w:sz w:val="20"/>
          <w:szCs w:val="20"/>
          <w:lang w:val="bg-BG" w:eastAsia="en-US"/>
        </w:rPr>
        <w:t>Административнопроцесуалния</w:t>
      </w:r>
      <w:proofErr w:type="spellEnd"/>
      <w:r w:rsidR="00CF5551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 кодекс.</w:t>
      </w:r>
    </w:p>
    <w:p w:rsidR="00551A1E" w:rsidRPr="0000221A" w:rsidRDefault="00551A1E" w:rsidP="00CF5551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(2) Заповедта </w:t>
      </w:r>
      <w:r w:rsidR="00CF5551" w:rsidRPr="00CF5551">
        <w:rPr>
          <w:rFonts w:ascii="Verdana" w:eastAsia="Calibri" w:hAnsi="Verdana"/>
          <w:sz w:val="20"/>
          <w:szCs w:val="20"/>
          <w:lang w:val="bg-BG" w:eastAsia="en-US"/>
        </w:rPr>
        <w:t>за разрешение</w:t>
      </w:r>
      <w:r w:rsidR="00CF5551" w:rsidRPr="00C75244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по ал. 1 се вписва в регистъра по чл. 6, ал. 1, т. 1 от Закона за защита на растенията.</w:t>
      </w:r>
      <w:r w:rsidR="000077A3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27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(1) Продукт за растителна защита, чиято употреба е разрешена при извършване на научноизследователска и/или развойна дейност, може да се внесе или въведе само от лицата, които притежават разрешение по чл. </w:t>
      </w:r>
      <w:r w:rsidR="00FF3AB8">
        <w:rPr>
          <w:rFonts w:ascii="Verdana" w:eastAsia="Calibri" w:hAnsi="Verdana"/>
          <w:sz w:val="20"/>
          <w:szCs w:val="20"/>
          <w:lang w:val="bg-BG" w:eastAsia="en-US"/>
        </w:rPr>
        <w:t>2</w:t>
      </w:r>
      <w:r w:rsidR="00FF3AB8" w:rsidRPr="008E3ACC">
        <w:rPr>
          <w:rFonts w:ascii="Verdana" w:eastAsia="Calibri" w:hAnsi="Verdana"/>
          <w:sz w:val="20"/>
          <w:szCs w:val="20"/>
          <w:lang w:eastAsia="en-US"/>
        </w:rPr>
        <w:t>6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, ал. 1.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(2) При внос или въвеждане</w:t>
      </w:r>
      <w:r w:rsidR="00A053A6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ПРЗ се придружава от заповедта по чл. </w:t>
      </w:r>
      <w:r w:rsidR="00FF3AB8">
        <w:rPr>
          <w:rFonts w:ascii="Verdana" w:eastAsia="Calibri" w:hAnsi="Verdana"/>
          <w:sz w:val="20"/>
          <w:szCs w:val="20"/>
          <w:lang w:val="bg-BG" w:eastAsia="en-US"/>
        </w:rPr>
        <w:t>2</w:t>
      </w:r>
      <w:r w:rsidR="00FF3AB8" w:rsidRPr="008E3ACC">
        <w:rPr>
          <w:rFonts w:ascii="Verdana" w:eastAsia="Calibri" w:hAnsi="Verdana"/>
          <w:sz w:val="20"/>
          <w:szCs w:val="20"/>
          <w:lang w:eastAsia="en-US"/>
        </w:rPr>
        <w:t>6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, ал. 1.</w:t>
      </w:r>
    </w:p>
    <w:p w:rsidR="00022D1F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28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="00022D1F" w:rsidRPr="0000221A">
        <w:rPr>
          <w:rFonts w:ascii="Verdana" w:eastAsia="Calibri" w:hAnsi="Verdana"/>
          <w:sz w:val="20"/>
          <w:szCs w:val="20"/>
          <w:lang w:val="bg-BG" w:eastAsia="en-US"/>
        </w:rPr>
        <w:t>(1) Третираните растения и растителни продукти при извършването на научноизследователска и/или развойна дейност, които могат да бъдат използвани за храни или фуражи, се унищожават за сметка на лицата, които</w:t>
      </w:r>
      <w:r w:rsidR="00F15A91">
        <w:rPr>
          <w:rFonts w:ascii="Verdana" w:eastAsia="Calibri" w:hAnsi="Verdana"/>
          <w:sz w:val="20"/>
          <w:szCs w:val="20"/>
          <w:lang w:val="bg-BG" w:eastAsia="en-US"/>
        </w:rPr>
        <w:t xml:space="preserve"> притежават разрешение по чл. 2</w:t>
      </w:r>
      <w:r w:rsidR="00F15A91" w:rsidRPr="008E3ACC">
        <w:rPr>
          <w:rFonts w:ascii="Verdana" w:eastAsia="Calibri" w:hAnsi="Verdana"/>
          <w:sz w:val="20"/>
          <w:szCs w:val="20"/>
          <w:lang w:eastAsia="en-US"/>
        </w:rPr>
        <w:t>6</w:t>
      </w:r>
      <w:r w:rsidR="00022D1F" w:rsidRPr="0000221A">
        <w:rPr>
          <w:rFonts w:ascii="Verdana" w:eastAsia="Calibri" w:hAnsi="Verdana"/>
          <w:sz w:val="20"/>
          <w:szCs w:val="20"/>
          <w:lang w:val="bg-BG" w:eastAsia="en-US"/>
        </w:rPr>
        <w:t>, ал. 1, по разработена от тях методика, одобрена от изпълнителния директор на БАБХ.</w:t>
      </w:r>
    </w:p>
    <w:p w:rsidR="00022D1F" w:rsidRPr="0000221A" w:rsidRDefault="00022D1F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(2) За унищожаването на растенията и растителните продукти се съставя протокол от лицата, които</w:t>
      </w:r>
      <w:r w:rsidR="00F15A91">
        <w:rPr>
          <w:rFonts w:ascii="Verdana" w:eastAsia="Calibri" w:hAnsi="Verdana"/>
          <w:sz w:val="20"/>
          <w:szCs w:val="20"/>
          <w:lang w:val="bg-BG" w:eastAsia="en-US"/>
        </w:rPr>
        <w:t xml:space="preserve"> притежават разрешение по чл. 2</w:t>
      </w:r>
      <w:r w:rsidR="00F15A91" w:rsidRPr="008E3ACC">
        <w:rPr>
          <w:rFonts w:ascii="Verdana" w:eastAsia="Calibri" w:hAnsi="Verdana"/>
          <w:sz w:val="20"/>
          <w:szCs w:val="20"/>
          <w:lang w:eastAsia="en-US"/>
        </w:rPr>
        <w:t>6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, ал. 1, в присъствието на инспектор по растителна защита от съответната областна дирекция по безопасност на храните, копие от който се представя в ЦУ на БАБХ.</w:t>
      </w:r>
    </w:p>
    <w:p w:rsidR="009712BB" w:rsidRPr="0000221A" w:rsidRDefault="00022D1F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lastRenderedPageBreak/>
        <w:t>(3) След приключване на дейността по ал. 1, останалите количества от ПРЗ се обезвреждат, съгласно Закона за управление на отпадъците, от и за сметка на лицата, които</w:t>
      </w:r>
      <w:r w:rsidR="00F15A91">
        <w:rPr>
          <w:rFonts w:ascii="Verdana" w:eastAsia="Calibri" w:hAnsi="Verdana"/>
          <w:sz w:val="20"/>
          <w:szCs w:val="20"/>
          <w:lang w:val="bg-BG" w:eastAsia="en-US"/>
        </w:rPr>
        <w:t xml:space="preserve"> притежават разрешение по чл. 2</w:t>
      </w:r>
      <w:r w:rsidR="00F15A91" w:rsidRPr="008E3ACC">
        <w:rPr>
          <w:rFonts w:ascii="Verdana" w:eastAsia="Calibri" w:hAnsi="Verdana"/>
          <w:sz w:val="20"/>
          <w:szCs w:val="20"/>
          <w:lang w:eastAsia="en-US"/>
        </w:rPr>
        <w:t>6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, ал. 1.</w:t>
      </w:r>
    </w:p>
    <w:p w:rsidR="00A2634B" w:rsidRPr="0000221A" w:rsidRDefault="00A2634B" w:rsidP="004A1365">
      <w:pPr>
        <w:spacing w:line="360" w:lineRule="auto"/>
        <w:jc w:val="both"/>
        <w:rPr>
          <w:rFonts w:ascii="Verdana" w:eastAsia="Calibri" w:hAnsi="Verdana"/>
          <w:sz w:val="20"/>
          <w:szCs w:val="20"/>
          <w:lang w:val="bg-BG" w:eastAsia="en-US"/>
        </w:rPr>
      </w:pP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Cs/>
          <w:sz w:val="20"/>
          <w:szCs w:val="20"/>
          <w:shd w:val="clear" w:color="auto" w:fill="FEFEFE"/>
          <w:lang w:val="bg-BG" w:eastAsia="en-US"/>
        </w:rPr>
      </w:pPr>
      <w:r w:rsidRPr="0000221A">
        <w:rPr>
          <w:rFonts w:ascii="Verdana" w:eastAsia="Times New Roman" w:hAnsi="Verdana"/>
          <w:bCs/>
          <w:sz w:val="20"/>
          <w:szCs w:val="20"/>
          <w:shd w:val="clear" w:color="auto" w:fill="FEFEFE"/>
          <w:lang w:val="bg-BG" w:eastAsia="en-US"/>
        </w:rPr>
        <w:t>Раздел V</w:t>
      </w: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/>
          <w:bCs/>
          <w:sz w:val="20"/>
          <w:szCs w:val="20"/>
          <w:shd w:val="clear" w:color="auto" w:fill="FEFEFE"/>
          <w:lang w:val="bg-BG" w:eastAsia="en-US"/>
        </w:rPr>
      </w:pPr>
      <w:r w:rsidRPr="0000221A">
        <w:rPr>
          <w:rFonts w:ascii="Verdana" w:eastAsia="Times New Roman" w:hAnsi="Verdana"/>
          <w:b/>
          <w:bCs/>
          <w:sz w:val="20"/>
          <w:szCs w:val="20"/>
          <w:shd w:val="clear" w:color="auto" w:fill="FEFEFE"/>
          <w:lang w:val="bg-BG" w:eastAsia="en-US"/>
        </w:rPr>
        <w:t>Подновяване на разрешение за пускане на пазара и употреба на продукти за растителна защита</w:t>
      </w: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/>
          <w:sz w:val="20"/>
          <w:szCs w:val="20"/>
          <w:lang w:val="bg-BG" w:eastAsia="bg-BG"/>
        </w:rPr>
      </w:pP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29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Разрешението за пускане на пазара и употреба на ПРЗ, съдържащо одобрено активно вещество, се подновява съгласно чл. 43 от Регламент (ЕО) № 1107/2009</w:t>
      </w:r>
      <w:r w:rsidR="006E6495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след подновяване на одобрението на активното вещество с регламент за подновяване по чл. 20, параграф 1, буква </w:t>
      </w:r>
      <w:r w:rsidR="004A1365" w:rsidRPr="0000221A">
        <w:rPr>
          <w:rFonts w:ascii="Verdana" w:eastAsia="Calibri" w:hAnsi="Verdana"/>
          <w:sz w:val="20"/>
          <w:szCs w:val="20"/>
          <w:lang w:val="bg-BG" w:eastAsia="en-US"/>
        </w:rPr>
        <w:t>„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а” от Регламент (ЕО) № 1107/2009.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30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(1) За подновяване на разрешение за пускане на пазара и употреба на ПРЗ, в тримесечен срок от датата на подновяване на одобрението на активното вещество</w:t>
      </w:r>
      <w:r w:rsidR="00C91D17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притежателят на разрешението подава в ЦУ на </w:t>
      </w:r>
      <w:r w:rsidR="006E6495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заявление по образец,</w:t>
      </w:r>
      <w:r w:rsidR="0074083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утвърдено от изпълнителния директор на БАБХ</w:t>
      </w:r>
      <w:r w:rsidR="00992FA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,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към което прилага: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1. документите по чл. 43, параграф 2 от Регламент (ЕО) № 1107/2009, на три електронни носителя, на български и/или на английски език;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2. проект на етикет за пускане на пазара и употреба на ПРЗ;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3. писмо за достъп до доклади за изпитвания и изследвания по т. 1, когато тези доклади не се представят, с официален превод на български език, на хартиен носител;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4. документ за платена такса</w:t>
      </w:r>
      <w:r w:rsidR="00C91D17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A43BE0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съгласно чл. 3, ал. 4, от Закона за </w:t>
      </w:r>
      <w:r w:rsidR="000077A3" w:rsidRPr="0000221A">
        <w:rPr>
          <w:rFonts w:ascii="Verdana" w:eastAsia="Calibri" w:hAnsi="Verdana"/>
          <w:sz w:val="20"/>
          <w:szCs w:val="20"/>
          <w:lang w:val="bg-BG" w:eastAsia="en-US"/>
        </w:rPr>
        <w:t>Българската агенция по безопасност на храните</w:t>
      </w:r>
      <w:r w:rsidR="00A63DE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A63DEA" w:rsidRPr="00A63DEA">
        <w:rPr>
          <w:rFonts w:ascii="Verdana" w:eastAsia="Calibri" w:hAnsi="Verdana"/>
          <w:sz w:val="20"/>
          <w:szCs w:val="20"/>
          <w:lang w:val="bg-BG" w:eastAsia="en-US"/>
        </w:rPr>
        <w:t>когато плащането не е извършено по електронен път.</w:t>
      </w:r>
    </w:p>
    <w:p w:rsidR="00EA51BD" w:rsidRPr="0000221A" w:rsidRDefault="00EA51BD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(2) В случай, че притежателят на разрешение не е подал заявление за подновяване на продукт за растителна защита 3 месеца след подновяване на одобрението на активното вещество в продукта, разрешението се прекратява една година след датата на подновяване на одобрението на активното вещество</w:t>
      </w:r>
      <w:r w:rsidR="00C91D17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като се определят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гратисни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периоди по чл. 46 от Регламент (ЕО) № 1107/2009.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</w:t>
      </w:r>
      <w:r w:rsidR="00EA51BD" w:rsidRPr="0000221A">
        <w:rPr>
          <w:rFonts w:ascii="Verdana" w:eastAsia="Calibri" w:hAnsi="Verdana"/>
          <w:sz w:val="20"/>
          <w:szCs w:val="20"/>
          <w:lang w:val="bg-BG" w:eastAsia="en-US"/>
        </w:rPr>
        <w:t>3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) Когато ПРЗ по ал. 1 съдържа и активно вещество, одобрението, на което изтича до 12 месеца от подновяване на одобрението на активното вещество по чл. 33, ал. 1, документите по ал. 1, т.</w:t>
      </w:r>
      <w:r w:rsidR="006E649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1-3 се прилагат в тримесечен срок от датата на подновяване на одобрението на последното активно вещество и заявлението се актуализира. </w:t>
      </w:r>
    </w:p>
    <w:p w:rsidR="002C6616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</w:t>
      </w:r>
      <w:r w:rsidR="00EA51BD" w:rsidRPr="0000221A">
        <w:rPr>
          <w:rFonts w:ascii="Verdana" w:eastAsia="Calibri" w:hAnsi="Verdana"/>
          <w:sz w:val="20"/>
          <w:szCs w:val="20"/>
          <w:lang w:val="bg-BG" w:eastAsia="en-US"/>
        </w:rPr>
        <w:t>4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) В процедурата по подновяване на разрешението</w:t>
      </w:r>
      <w:r w:rsidR="00992FA5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Република България е държавата членка, разглеждаща заявлението, или заинтересована държава членка по смисъла на Регламент (ЕО) № 1107/2009.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31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="0078331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(1)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Когато Република България е държавата членка, разглеждаща заявлението, </w:t>
      </w:r>
      <w:r w:rsidR="006E6495" w:rsidRPr="0000221A">
        <w:rPr>
          <w:rFonts w:ascii="Verdana" w:eastAsia="Calibri" w:hAnsi="Verdana"/>
          <w:sz w:val="20"/>
          <w:szCs w:val="20"/>
          <w:lang w:val="bg-BG" w:eastAsia="en-US"/>
        </w:rPr>
        <w:t>ЦОРХВ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: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1. изготвя проект на доклад за оценка на ПРЗ;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lastRenderedPageBreak/>
        <w:t>2. представя проекта на доклад за оценка на ПРЗ и таблица за коментари на: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а) останали</w:t>
      </w:r>
      <w:r w:rsidR="000077A3" w:rsidRPr="0000221A">
        <w:rPr>
          <w:rFonts w:ascii="Verdana" w:eastAsia="Calibri" w:hAnsi="Verdana"/>
          <w:sz w:val="20"/>
          <w:szCs w:val="20"/>
          <w:lang w:val="bg-BG" w:eastAsia="en-US"/>
        </w:rPr>
        <w:t>те държави членки в Южната зона; к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огато ПРЗ е заявен за употреба в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култивационни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съоръжения, при третиране след прибиране на реколтата, при третиране на празни складови помещения и при третиране на семена, проектът на доклад за оценка се предоставя на всички държави членки;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б) притежателя на разрешението</w:t>
      </w:r>
      <w:r w:rsidR="006E6495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 изключение на частите от доклада, за кои</w:t>
      </w:r>
      <w:r w:rsidR="00822AA0" w:rsidRPr="0000221A">
        <w:rPr>
          <w:rFonts w:ascii="Verdana" w:eastAsia="Calibri" w:hAnsi="Verdana"/>
          <w:sz w:val="20"/>
          <w:szCs w:val="20"/>
          <w:lang w:val="bg-BG" w:eastAsia="en-US"/>
        </w:rPr>
        <w:t>то е представил писмо за достъп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3. отразява в проекта на доклад за оценка на ПРЗ получените по т. 2 коментари. </w:t>
      </w:r>
    </w:p>
    <w:p w:rsidR="00C8662E" w:rsidRPr="0000221A" w:rsidRDefault="00C8662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(2) Изпълнителният директор на БАБХ подновява разрешението или </w:t>
      </w:r>
      <w:r w:rsidR="0019365A">
        <w:rPr>
          <w:rFonts w:ascii="Verdana" w:eastAsia="Calibri" w:hAnsi="Verdana"/>
          <w:sz w:val="20"/>
          <w:szCs w:val="20"/>
          <w:lang w:val="bg-BG" w:eastAsia="en-US"/>
        </w:rPr>
        <w:t xml:space="preserve">със заповед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отказва подновяването на продукта за растителна защита</w:t>
      </w:r>
      <w:r w:rsidR="006E6495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в срок до 3 месеца от приключване на оценката.</w:t>
      </w:r>
      <w:r w:rsidR="000077A3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19365A">
        <w:rPr>
          <w:rFonts w:ascii="Verdana" w:eastAsia="Calibri" w:hAnsi="Verdana"/>
          <w:sz w:val="20"/>
          <w:szCs w:val="20"/>
          <w:lang w:val="bg-BG" w:eastAsia="en-US"/>
        </w:rPr>
        <w:t>Заповедта за отказ</w:t>
      </w:r>
      <w:r w:rsidR="00CF5551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 се съобщава на заявителя и може да се обжалва по реда на </w:t>
      </w:r>
      <w:proofErr w:type="spellStart"/>
      <w:r w:rsidR="00CF5551" w:rsidRPr="008933D4">
        <w:rPr>
          <w:rFonts w:ascii="Verdana" w:eastAsia="Calibri" w:hAnsi="Verdana"/>
          <w:sz w:val="20"/>
          <w:szCs w:val="20"/>
          <w:lang w:val="bg-BG" w:eastAsia="en-US"/>
        </w:rPr>
        <w:t>Административнопроцесуалния</w:t>
      </w:r>
      <w:proofErr w:type="spellEnd"/>
      <w:r w:rsidR="00CF5551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 кодекс.</w:t>
      </w:r>
      <w:r w:rsidR="00CF5551" w:rsidRPr="00CF5551">
        <w:rPr>
          <w:rFonts w:ascii="Verdana" w:eastAsia="Calibri" w:hAnsi="Verdana"/>
          <w:sz w:val="20"/>
          <w:szCs w:val="20"/>
          <w:lang w:val="bg-BG" w:eastAsia="en-US"/>
        </w:rPr>
        <w:t xml:space="preserve">  </w:t>
      </w:r>
    </w:p>
    <w:p w:rsidR="00783311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32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="0078331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(1)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Когато Република България е заинтересована държава членка</w:t>
      </w:r>
      <w:r w:rsidR="008F5324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при получаване на проект на доклад за оценка на ПРЗ, изготвен от компетентния орган на държавата членка, разглеждаща заявлението, </w:t>
      </w:r>
      <w:r w:rsidR="00493B75" w:rsidRPr="0000221A">
        <w:rPr>
          <w:rFonts w:ascii="Verdana" w:eastAsia="Calibri" w:hAnsi="Verdana"/>
          <w:sz w:val="20"/>
          <w:szCs w:val="20"/>
          <w:lang w:val="bg-BG" w:eastAsia="en-US"/>
        </w:rPr>
        <w:t>ЦОРХВ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представя на същия компетентен орган коментарите си по проекта във формата на таблица за коментари.</w:t>
      </w:r>
    </w:p>
    <w:p w:rsidR="008F5324" w:rsidRPr="0000221A" w:rsidRDefault="00783311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(2) Изпълнителният директор на БАБХ </w:t>
      </w:r>
      <w:r w:rsidR="007D4629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подновява разрешението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или </w:t>
      </w:r>
      <w:r w:rsidR="0019365A">
        <w:rPr>
          <w:rFonts w:ascii="Verdana" w:eastAsia="Calibri" w:hAnsi="Verdana"/>
          <w:sz w:val="20"/>
          <w:szCs w:val="20"/>
          <w:lang w:val="bg-BG" w:eastAsia="en-US"/>
        </w:rPr>
        <w:t xml:space="preserve">със заповед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отказва </w:t>
      </w:r>
      <w:r w:rsidR="007D4629" w:rsidRPr="0000221A">
        <w:rPr>
          <w:rFonts w:ascii="Verdana" w:eastAsia="Calibri" w:hAnsi="Verdana"/>
          <w:sz w:val="20"/>
          <w:szCs w:val="20"/>
          <w:lang w:val="bg-BG" w:eastAsia="en-US"/>
        </w:rPr>
        <w:t>подновяването на продукта за растителна защита</w:t>
      </w:r>
      <w:r w:rsidR="00493B75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в срок до </w:t>
      </w:r>
      <w:r w:rsidR="0074083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3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месеца</w:t>
      </w:r>
      <w:r w:rsidR="0074083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от приключване на оценката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  <w:r w:rsidR="00332714" w:rsidRPr="0000221A">
        <w:rPr>
          <w:lang w:val="bg-BG"/>
        </w:rPr>
        <w:t xml:space="preserve"> </w:t>
      </w:r>
      <w:r w:rsidR="0019365A" w:rsidRPr="0019365A">
        <w:rPr>
          <w:rFonts w:ascii="Verdana" w:hAnsi="Verdana"/>
          <w:sz w:val="20"/>
          <w:szCs w:val="20"/>
          <w:lang w:val="bg-BG"/>
        </w:rPr>
        <w:t xml:space="preserve">Заповедта за </w:t>
      </w:r>
      <w:r w:rsidR="0019365A" w:rsidRPr="0019365A">
        <w:rPr>
          <w:rFonts w:ascii="Verdana" w:eastAsia="Calibri" w:hAnsi="Verdana"/>
          <w:sz w:val="20"/>
          <w:szCs w:val="20"/>
          <w:lang w:val="bg-BG" w:eastAsia="en-US"/>
        </w:rPr>
        <w:t>отказ</w:t>
      </w:r>
      <w:r w:rsidR="00CF5551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 се съобщава на заявителя и може да се обжалва по реда на </w:t>
      </w:r>
      <w:proofErr w:type="spellStart"/>
      <w:r w:rsidR="00CF5551" w:rsidRPr="008933D4">
        <w:rPr>
          <w:rFonts w:ascii="Verdana" w:eastAsia="Calibri" w:hAnsi="Verdana"/>
          <w:sz w:val="20"/>
          <w:szCs w:val="20"/>
          <w:lang w:val="bg-BG" w:eastAsia="en-US"/>
        </w:rPr>
        <w:t>Административнопроцесуалния</w:t>
      </w:r>
      <w:proofErr w:type="spellEnd"/>
      <w:r w:rsidR="00CF5551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 кодекс.</w:t>
      </w:r>
      <w:r w:rsidR="00CF5551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33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.</w:t>
      </w:r>
      <w:r w:rsidR="008F5324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Когато Република България е държава членка</w:t>
      </w:r>
      <w:r w:rsidR="00493B75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разглеждаща заявлението</w:t>
      </w:r>
      <w:r w:rsidR="008F5324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БАБХ </w:t>
      </w:r>
      <w:r w:rsidR="00EA51BD" w:rsidRPr="0000221A">
        <w:rPr>
          <w:rFonts w:ascii="Verdana" w:eastAsia="Calibri" w:hAnsi="Verdana"/>
          <w:sz w:val="20"/>
          <w:szCs w:val="20"/>
          <w:lang w:val="bg-BG" w:eastAsia="en-US"/>
        </w:rPr>
        <w:t>предава екземпляр от доклада за оценка на ПРЗ</w:t>
      </w:r>
      <w:r w:rsidR="008F5324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EA51BD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 изключение на частите от доклада, за които заявителят е представил писмо за достъп</w:t>
      </w:r>
      <w:r w:rsidR="008F5324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EA51BD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 таблицата за коментари на притежателя на разрешението.</w:t>
      </w:r>
    </w:p>
    <w:p w:rsidR="008F5324" w:rsidRPr="0000221A" w:rsidRDefault="008F5324" w:rsidP="004A1365">
      <w:pPr>
        <w:spacing w:line="360" w:lineRule="auto"/>
        <w:ind w:firstLine="851"/>
        <w:jc w:val="both"/>
        <w:rPr>
          <w:rFonts w:ascii="Verdana" w:eastAsia="Calibri" w:hAnsi="Verdana"/>
          <w:sz w:val="20"/>
          <w:szCs w:val="20"/>
          <w:lang w:val="bg-BG" w:eastAsia="en-US"/>
        </w:rPr>
      </w:pP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Cs/>
          <w:sz w:val="20"/>
          <w:szCs w:val="20"/>
          <w:shd w:val="clear" w:color="auto" w:fill="FEFEFE"/>
          <w:lang w:val="bg-BG" w:eastAsia="en-US"/>
        </w:rPr>
      </w:pPr>
      <w:r w:rsidRPr="0000221A">
        <w:rPr>
          <w:rFonts w:ascii="Verdana" w:eastAsia="Times New Roman" w:hAnsi="Verdana"/>
          <w:bCs/>
          <w:sz w:val="20"/>
          <w:szCs w:val="20"/>
          <w:shd w:val="clear" w:color="auto" w:fill="FEFEFE"/>
          <w:lang w:val="bg-BG" w:eastAsia="en-US"/>
        </w:rPr>
        <w:t>Раздел VI</w:t>
      </w: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/>
          <w:bCs/>
          <w:sz w:val="20"/>
          <w:szCs w:val="20"/>
          <w:shd w:val="clear" w:color="auto" w:fill="FEFEFE"/>
          <w:lang w:val="bg-BG" w:eastAsia="en-US"/>
        </w:rPr>
      </w:pPr>
      <w:r w:rsidRPr="0000221A">
        <w:rPr>
          <w:rFonts w:ascii="Verdana" w:eastAsia="Times New Roman" w:hAnsi="Verdana"/>
          <w:b/>
          <w:bCs/>
          <w:sz w:val="20"/>
          <w:szCs w:val="20"/>
          <w:shd w:val="clear" w:color="auto" w:fill="FEFEFE"/>
          <w:lang w:val="bg-BG" w:eastAsia="en-US"/>
        </w:rPr>
        <w:t xml:space="preserve">Изменение, отнемане </w:t>
      </w:r>
      <w:r w:rsidR="00E010C7" w:rsidRPr="0000221A">
        <w:rPr>
          <w:rFonts w:ascii="Verdana" w:eastAsia="Times New Roman" w:hAnsi="Verdana"/>
          <w:b/>
          <w:bCs/>
          <w:sz w:val="20"/>
          <w:szCs w:val="20"/>
          <w:shd w:val="clear" w:color="auto" w:fill="FEFEFE"/>
          <w:lang w:val="bg-BG" w:eastAsia="en-US"/>
        </w:rPr>
        <w:t xml:space="preserve">или </w:t>
      </w:r>
      <w:r w:rsidRPr="0000221A">
        <w:rPr>
          <w:rFonts w:ascii="Verdana" w:eastAsia="Times New Roman" w:hAnsi="Verdana"/>
          <w:b/>
          <w:bCs/>
          <w:sz w:val="20"/>
          <w:szCs w:val="20"/>
          <w:shd w:val="clear" w:color="auto" w:fill="FEFEFE"/>
          <w:lang w:val="bg-BG" w:eastAsia="en-US"/>
        </w:rPr>
        <w:t>прекратяване на разрешение за пускане на пазара и употреба на продукти за растителна защита</w:t>
      </w: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/>
          <w:sz w:val="20"/>
          <w:szCs w:val="20"/>
          <w:lang w:val="bg-BG" w:eastAsia="bg-BG"/>
        </w:rPr>
      </w:pP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34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(1) Когато са налице данни, че ПРЗ не отговаря на някое от изискванията по глава III, раздел 1 от Регламент (ЕО) № 1107/2009, </w:t>
      </w:r>
      <w:r w:rsidR="00CF5551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изпълнителният директор на </w:t>
      </w:r>
      <w:r w:rsidR="00493B75" w:rsidRPr="008933D4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8E1C85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 или упълномощено от него длъжностно лице</w:t>
      </w:r>
      <w:r w:rsidR="00332714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писмено уведомява притежателя на разрешението за пускане на пазара и употреба на продукта, че започва процедура за изменение или отнемане на разрешението</w:t>
      </w:r>
      <w:r w:rsidR="00F176AA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чл. 44 от Регламент (ЕО) № 1107/2009.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(2) В уведомлението по ал. 1</w:t>
      </w:r>
      <w:r w:rsidR="001960AA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CF5551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изпълнителният директор на </w:t>
      </w:r>
      <w:r w:rsidR="00493B75" w:rsidRPr="008933D4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332714" w:rsidRPr="008933D4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8E1C85" w:rsidRPr="008933D4">
        <w:rPr>
          <w:rFonts w:ascii="Verdana" w:eastAsia="Calibri" w:hAnsi="Verdana"/>
          <w:sz w:val="20"/>
          <w:szCs w:val="20"/>
          <w:lang w:val="bg-BG" w:eastAsia="en-US"/>
        </w:rPr>
        <w:t>или упълномощено от него длъжностно лице</w:t>
      </w:r>
      <w:r w:rsidR="008E1C8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определя на притежателя на разрешението срок за представяне </w:t>
      </w:r>
      <w:r w:rsidR="00F84DBA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на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допълнителна информация</w:t>
      </w:r>
      <w:r w:rsidR="009B6FA6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или възражения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</w:p>
    <w:p w:rsidR="00F176AA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(3) При необходимост, БАБХ възлага на </w:t>
      </w:r>
      <w:r w:rsidR="00493B75" w:rsidRPr="0000221A">
        <w:rPr>
          <w:rFonts w:ascii="Verdana" w:eastAsia="Calibri" w:hAnsi="Verdana"/>
          <w:sz w:val="20"/>
          <w:szCs w:val="20"/>
          <w:lang w:val="bg-BG" w:eastAsia="en-US"/>
        </w:rPr>
        <w:t>ЦОРХВ</w:t>
      </w:r>
      <w:r w:rsidR="006009BC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да извърши оценка с доклад за оценка на ПРЗ.</w:t>
      </w:r>
    </w:p>
    <w:p w:rsidR="00B70350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lastRenderedPageBreak/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35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(1) Изменение на разрешение за пускане на пазара и употреба на ПРЗ</w:t>
      </w:r>
      <w:r w:rsidR="00D97EC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се извършва по реда на раздел III</w:t>
      </w:r>
      <w:r w:rsidR="00B70350"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  <w:r w:rsidR="00D97EC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</w:p>
    <w:p w:rsidR="00551A1E" w:rsidRPr="0000221A" w:rsidRDefault="00B70350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(2) Изменение на разрешение за пускане на пазара и употреба на ПРЗ</w:t>
      </w:r>
      <w:r w:rsidR="00493B75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926E63" w:rsidRPr="0000221A">
        <w:rPr>
          <w:rFonts w:ascii="Verdana" w:eastAsia="Calibri" w:hAnsi="Verdana"/>
          <w:sz w:val="20"/>
          <w:szCs w:val="20"/>
          <w:lang w:val="bg-BG" w:eastAsia="en-US"/>
        </w:rPr>
        <w:t>съгласно</w:t>
      </w:r>
      <w:r w:rsidR="00D97EC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551A1E" w:rsidRPr="0000221A">
        <w:rPr>
          <w:rFonts w:ascii="Verdana" w:eastAsia="Calibri" w:hAnsi="Verdana"/>
          <w:sz w:val="20"/>
          <w:szCs w:val="20"/>
          <w:lang w:val="bg-BG" w:eastAsia="en-US"/>
        </w:rPr>
        <w:t>чл. 45 от Регламент (ЕО) № 1107/2009</w:t>
      </w:r>
      <w:r w:rsidR="00493B75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D97EC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926E63" w:rsidRPr="0000221A">
        <w:rPr>
          <w:rFonts w:ascii="Verdana" w:eastAsia="Calibri" w:hAnsi="Verdana"/>
          <w:sz w:val="20"/>
          <w:szCs w:val="20"/>
          <w:lang w:val="bg-BG" w:eastAsia="en-US"/>
        </w:rPr>
        <w:t>може да се заяви при</w:t>
      </w:r>
      <w:r w:rsidR="00D97EC2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следните случаи</w:t>
      </w:r>
      <w:r w:rsidR="00551A1E" w:rsidRPr="0000221A">
        <w:rPr>
          <w:rFonts w:ascii="Verdana" w:eastAsia="Calibri" w:hAnsi="Verdana"/>
          <w:sz w:val="20"/>
          <w:szCs w:val="20"/>
          <w:lang w:val="bg-BG" w:eastAsia="en-US"/>
        </w:rPr>
        <w:t>: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1. незначителна промяна в състава на ПРЗ;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2. промяна в размера и/или материала на опаковката на ПРЗ;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3. условията на употреба на ПРЗ - фаза на развитие на култура и/или на вредител; доза и брой на приложение; карантинен срок;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4. класификацията на ПРЗ;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5. промяна на притежателя на разрешението за пускане на пазара и употреба на ПРЗ или на данни, свързани с притежателя на разрешението;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6. ново или допълнително търговско наименование на ПРЗ;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7. производителя на ПРЗ и/или на активното вещество, включено в него.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</w:t>
      </w:r>
      <w:r w:rsidR="004A196B" w:rsidRPr="0000221A">
        <w:rPr>
          <w:rFonts w:ascii="Verdana" w:eastAsia="Calibri" w:hAnsi="Verdana"/>
          <w:sz w:val="20"/>
          <w:szCs w:val="20"/>
          <w:lang w:val="bg-BG" w:eastAsia="en-US"/>
        </w:rPr>
        <w:t>3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) За изменение на разрешение за пускане на пазара и употреба на ПРЗ, </w:t>
      </w:r>
      <w:r w:rsidR="00332714" w:rsidRPr="0000221A">
        <w:rPr>
          <w:rFonts w:ascii="Verdana" w:eastAsia="Calibri" w:hAnsi="Verdana"/>
          <w:sz w:val="20"/>
          <w:szCs w:val="20"/>
          <w:lang w:val="bg-BG" w:eastAsia="en-US"/>
        </w:rPr>
        <w:t>свързано с промените по ал. 2</w:t>
      </w:r>
      <w:r w:rsidR="004A196B" w:rsidRPr="0000221A">
        <w:rPr>
          <w:rFonts w:ascii="Verdana" w:eastAsia="Calibri" w:hAnsi="Verdana"/>
          <w:sz w:val="20"/>
          <w:szCs w:val="20"/>
          <w:lang w:val="bg-BG" w:eastAsia="en-US"/>
        </w:rPr>
        <w:t>, т.</w:t>
      </w:r>
      <w:r w:rsidR="00C2206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4A196B" w:rsidRPr="0000221A">
        <w:rPr>
          <w:rFonts w:ascii="Verdana" w:eastAsia="Calibri" w:hAnsi="Verdana"/>
          <w:sz w:val="20"/>
          <w:szCs w:val="20"/>
          <w:lang w:val="bg-BG" w:eastAsia="en-US"/>
        </w:rPr>
        <w:t>1-4</w:t>
      </w:r>
      <w:r w:rsidR="00C22065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притежателят на разрешението подава в ЦУ на </w:t>
      </w:r>
      <w:r w:rsidR="00493B75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493B75" w:rsidRPr="0000221A" w:rsidDel="00493B75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заявление по образец,</w:t>
      </w:r>
      <w:r w:rsidR="0074083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утвърдено от изпълнителния директор на БАБХ</w:t>
      </w:r>
      <w:r w:rsidR="00CB7D8A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,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към което прилага: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1. документите по чл. 33, параграф 3 и 4 от Регламент (ЕО) № 1107/2009, които се отнасят за заявената промяна, на три електронни носителя, на български и/или на английски език, като проектът на етикет за пускане на пазара и употреба е на български език;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2. информационен лист за безопасност на ПРЗ</w:t>
      </w:r>
      <w:r w:rsidR="00CB7D8A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в съответствие с чл. 31 от </w:t>
      </w:r>
      <w:hyperlink r:id="rId19" w:tgtFrame="_blank" w:history="1">
        <w:r w:rsidRPr="0000221A">
          <w:rPr>
            <w:rFonts w:ascii="Verdana" w:eastAsia="Calibri" w:hAnsi="Verdana"/>
            <w:sz w:val="20"/>
            <w:szCs w:val="20"/>
            <w:lang w:val="bg-BG" w:eastAsia="en-US"/>
          </w:rPr>
          <w:t>Регламент (ЕО) № 1907/2006 (REACH)</w:t>
        </w:r>
      </w:hyperlink>
      <w:r w:rsidRPr="0000221A">
        <w:rPr>
          <w:rFonts w:ascii="Verdana" w:eastAsia="Calibri" w:hAnsi="Verdana"/>
          <w:sz w:val="20"/>
          <w:szCs w:val="20"/>
          <w:lang w:val="bg-BG" w:eastAsia="en-US"/>
        </w:rPr>
        <w:t>, на три електронни носителя, на български език, отразяващ заявената промяна, когато е приложимо;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3. документ за платена такса</w:t>
      </w:r>
      <w:r w:rsidR="006B02DE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A43BE0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съгласно чл. 3, ал. 4, от Закона за </w:t>
      </w:r>
      <w:r w:rsidR="00493B75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A63DE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="00A63DEA" w:rsidRPr="00A63DEA">
        <w:t xml:space="preserve"> </w:t>
      </w:r>
      <w:r w:rsidR="00A63DEA" w:rsidRPr="00A63DEA">
        <w:rPr>
          <w:rFonts w:ascii="Verdana" w:eastAsia="Calibri" w:hAnsi="Verdana"/>
          <w:sz w:val="20"/>
          <w:szCs w:val="20"/>
          <w:lang w:val="bg-BG" w:eastAsia="en-US"/>
        </w:rPr>
        <w:t>когато плащането не е извършено по електронен път.</w:t>
      </w:r>
    </w:p>
    <w:p w:rsidR="004A196B" w:rsidRPr="0000221A" w:rsidRDefault="004A196B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(4) За изменение на разрешение за пускане на пазара и употреба на ПР</w:t>
      </w:r>
      <w:r w:rsidR="00332714" w:rsidRPr="0000221A">
        <w:rPr>
          <w:rFonts w:ascii="Verdana" w:eastAsia="Calibri" w:hAnsi="Verdana"/>
          <w:sz w:val="20"/>
          <w:szCs w:val="20"/>
          <w:lang w:val="bg-BG" w:eastAsia="en-US"/>
        </w:rPr>
        <w:t>З, свързано с промените по ал. 2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, т.</w:t>
      </w:r>
      <w:r w:rsidR="004A654B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5</w:t>
      </w:r>
      <w:r w:rsidR="004A136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–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7</w:t>
      </w:r>
      <w:r w:rsidR="00493B75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притежателят на разрешението подава в ЦУ на </w:t>
      </w:r>
      <w:r w:rsidR="00493B75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заявление по образец, утвърдено от изпълнителния директор на БАБХ, и мотивирано искане за промяната.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36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.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Когато заявеното изменение на разрешението изисква оценка на ПРЗ и/или активното вещество, включено в него, </w:t>
      </w:r>
      <w:r w:rsidR="00493B75" w:rsidRPr="0000221A">
        <w:rPr>
          <w:rFonts w:ascii="Verdana" w:eastAsia="Calibri" w:hAnsi="Verdana"/>
          <w:sz w:val="20"/>
          <w:szCs w:val="20"/>
          <w:lang w:val="bg-BG" w:eastAsia="en-US"/>
        </w:rPr>
        <w:t>ЦОРХВ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извършва оценка с доклад за оценка на ПРЗ.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37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.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При изменения по чл. </w:t>
      </w:r>
      <w:r w:rsidR="002A49D7">
        <w:rPr>
          <w:rFonts w:ascii="Verdana" w:eastAsia="Calibri" w:hAnsi="Verdana"/>
          <w:sz w:val="20"/>
          <w:szCs w:val="20"/>
          <w:lang w:val="bg-BG" w:eastAsia="en-US"/>
        </w:rPr>
        <w:t>3</w:t>
      </w:r>
      <w:r w:rsidR="002A49D7" w:rsidRPr="008E3ACC">
        <w:rPr>
          <w:rFonts w:ascii="Verdana" w:eastAsia="Calibri" w:hAnsi="Verdana"/>
          <w:sz w:val="20"/>
          <w:szCs w:val="20"/>
          <w:lang w:eastAsia="en-US"/>
        </w:rPr>
        <w:t>5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, ал. 1, т. 1</w:t>
      </w:r>
      <w:r w:rsidR="004A136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–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4</w:t>
      </w:r>
      <w:r w:rsidR="009A0E08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, </w:t>
      </w:r>
      <w:r w:rsidR="007C7621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изпълнителният директор на БАБХ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взема решение по заявлението по чл. </w:t>
      </w:r>
      <w:r w:rsidR="00210A8A" w:rsidRPr="0000221A">
        <w:rPr>
          <w:rFonts w:ascii="Verdana" w:eastAsia="Calibri" w:hAnsi="Verdana"/>
          <w:sz w:val="20"/>
          <w:szCs w:val="20"/>
          <w:lang w:val="bg-BG" w:eastAsia="en-US"/>
        </w:rPr>
        <w:t>3</w:t>
      </w:r>
      <w:r w:rsidR="002A49D7" w:rsidRPr="008E3ACC">
        <w:rPr>
          <w:rFonts w:ascii="Verdana" w:eastAsia="Calibri" w:hAnsi="Verdana"/>
          <w:sz w:val="20"/>
          <w:szCs w:val="20"/>
          <w:lang w:eastAsia="en-US"/>
        </w:rPr>
        <w:t>5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, ал. 2</w:t>
      </w:r>
      <w:r w:rsidR="00493B75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в срок до 120 дни</w:t>
      </w:r>
      <w:r w:rsidR="002D048C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или прави мотивиран отказ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  <w:r w:rsidR="00CF5551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CF5551" w:rsidRPr="00714F8A">
        <w:rPr>
          <w:rFonts w:ascii="Verdana" w:eastAsia="Calibri" w:hAnsi="Verdana"/>
          <w:sz w:val="20"/>
          <w:szCs w:val="20"/>
          <w:lang w:val="bg-BG" w:eastAsia="en-US"/>
        </w:rPr>
        <w:t xml:space="preserve">Отказът се съобщава на заявителя и може да се обжалва по реда на </w:t>
      </w:r>
      <w:proofErr w:type="spellStart"/>
      <w:r w:rsidR="00CF5551" w:rsidRPr="00714F8A">
        <w:rPr>
          <w:rFonts w:ascii="Verdana" w:eastAsia="Calibri" w:hAnsi="Verdana"/>
          <w:sz w:val="20"/>
          <w:szCs w:val="20"/>
          <w:lang w:val="bg-BG" w:eastAsia="en-US"/>
        </w:rPr>
        <w:t>Административнопроцесуалния</w:t>
      </w:r>
      <w:proofErr w:type="spellEnd"/>
      <w:r w:rsidR="00CF5551" w:rsidRPr="00714F8A">
        <w:rPr>
          <w:rFonts w:ascii="Verdana" w:eastAsia="Calibri" w:hAnsi="Verdana"/>
          <w:sz w:val="20"/>
          <w:szCs w:val="20"/>
          <w:lang w:val="bg-BG" w:eastAsia="en-US"/>
        </w:rPr>
        <w:t xml:space="preserve"> кодекс.</w:t>
      </w:r>
      <w:r w:rsidR="00CF5551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332714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38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.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В случаите на чл. </w:t>
      </w:r>
      <w:r w:rsidR="00210A8A" w:rsidRPr="0000221A">
        <w:rPr>
          <w:rFonts w:ascii="Verdana" w:eastAsia="Calibri" w:hAnsi="Verdana"/>
          <w:sz w:val="20"/>
          <w:szCs w:val="20"/>
          <w:lang w:val="bg-BG" w:eastAsia="en-US"/>
        </w:rPr>
        <w:t>3</w:t>
      </w:r>
      <w:r w:rsidR="00DD0EF0" w:rsidRPr="008E3ACC">
        <w:rPr>
          <w:rFonts w:ascii="Verdana" w:eastAsia="Calibri" w:hAnsi="Verdana"/>
          <w:sz w:val="20"/>
          <w:szCs w:val="20"/>
          <w:lang w:eastAsia="en-US"/>
        </w:rPr>
        <w:t>5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, ал. 1, т. 5</w:t>
      </w:r>
      <w:r w:rsidR="004A1365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–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7, изпълнителният директор на </w:t>
      </w:r>
      <w:r w:rsidR="00493B75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="00493B75" w:rsidRPr="0000221A" w:rsidDel="00493B75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със заповед изменя разрешението за пускане на пазара и употреба на ПРЗ</w:t>
      </w:r>
      <w:r w:rsidR="00493B75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в срок</w:t>
      </w:r>
      <w:r w:rsidR="006D0F28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до 60 дни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от получаване на </w:t>
      </w:r>
      <w:r w:rsidR="006D0F28" w:rsidRPr="0000221A">
        <w:rPr>
          <w:rFonts w:ascii="Verdana" w:eastAsia="Calibri" w:hAnsi="Verdana"/>
          <w:sz w:val="20"/>
          <w:szCs w:val="20"/>
          <w:lang w:val="bg-BG" w:eastAsia="en-US"/>
        </w:rPr>
        <w:t>заявлението</w:t>
      </w:r>
      <w:r w:rsidR="00E010C7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или прави мотивиран отказ.</w:t>
      </w:r>
      <w:r w:rsidR="00332714" w:rsidRPr="0000221A">
        <w:rPr>
          <w:lang w:val="bg-BG"/>
        </w:rPr>
        <w:t xml:space="preserve"> </w:t>
      </w:r>
      <w:r w:rsidR="00CF5551" w:rsidRPr="00714F8A">
        <w:rPr>
          <w:rFonts w:ascii="Verdana" w:eastAsia="Calibri" w:hAnsi="Verdana"/>
          <w:sz w:val="20"/>
          <w:szCs w:val="20"/>
          <w:lang w:val="bg-BG" w:eastAsia="en-US"/>
        </w:rPr>
        <w:t xml:space="preserve">Отказът се </w:t>
      </w:r>
      <w:r w:rsidR="00CF5551" w:rsidRPr="00714F8A">
        <w:rPr>
          <w:rFonts w:ascii="Verdana" w:eastAsia="Calibri" w:hAnsi="Verdana"/>
          <w:sz w:val="20"/>
          <w:szCs w:val="20"/>
          <w:lang w:val="bg-BG" w:eastAsia="en-US"/>
        </w:rPr>
        <w:lastRenderedPageBreak/>
        <w:t xml:space="preserve">съобщава на заявителя и може да се обжалва по реда на </w:t>
      </w:r>
      <w:proofErr w:type="spellStart"/>
      <w:r w:rsidR="00CF5551" w:rsidRPr="00714F8A">
        <w:rPr>
          <w:rFonts w:ascii="Verdana" w:eastAsia="Calibri" w:hAnsi="Verdana"/>
          <w:sz w:val="20"/>
          <w:szCs w:val="20"/>
          <w:lang w:val="bg-BG" w:eastAsia="en-US"/>
        </w:rPr>
        <w:t>Административнопроцесуалния</w:t>
      </w:r>
      <w:proofErr w:type="spellEnd"/>
      <w:r w:rsidR="00CF5551" w:rsidRPr="00714F8A">
        <w:rPr>
          <w:rFonts w:ascii="Verdana" w:eastAsia="Calibri" w:hAnsi="Verdana"/>
          <w:sz w:val="20"/>
          <w:szCs w:val="20"/>
          <w:lang w:val="bg-BG" w:eastAsia="en-US"/>
        </w:rPr>
        <w:t xml:space="preserve"> кодекс.</w:t>
      </w:r>
      <w:r w:rsidR="00CF5551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39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.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(1) За прекратяване на разрешение за пускане на пазара и употреба на ПРЗ</w:t>
      </w:r>
      <w:r w:rsidR="00BF4021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чл. 45 от Регламент (ЕО) № 1107/2009</w:t>
      </w:r>
      <w:r w:rsidR="00BF4021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притежателят на разрешението подава </w:t>
      </w:r>
      <w:r w:rsidR="008B1C1C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мотивирано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искане за прекратяване в ЦУ на </w:t>
      </w:r>
      <w:r w:rsidR="00493B75" w:rsidRPr="0000221A">
        <w:rPr>
          <w:rFonts w:ascii="Verdana" w:eastAsia="Calibri" w:hAnsi="Verdana"/>
          <w:sz w:val="20"/>
          <w:szCs w:val="20"/>
          <w:lang w:val="bg-BG" w:eastAsia="en-US"/>
        </w:rPr>
        <w:t>БАБХ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sz w:val="20"/>
          <w:szCs w:val="20"/>
          <w:lang w:val="bg-BG" w:eastAsia="en-US"/>
        </w:rPr>
        <w:t>(2)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 Изпълнителният директор на БАБХ прекратява разрешението в 14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-дневен срок от получаване на заявлението по ал. 1.</w:t>
      </w:r>
    </w:p>
    <w:p w:rsidR="00551A1E" w:rsidRPr="0000221A" w:rsidRDefault="00551A1E" w:rsidP="004A1365">
      <w:pPr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 xml:space="preserve">Чл. </w:t>
      </w:r>
      <w:r w:rsidR="007D2D6F">
        <w:rPr>
          <w:rFonts w:ascii="Verdana" w:eastAsia="Calibri" w:hAnsi="Verdana"/>
          <w:b/>
          <w:sz w:val="20"/>
          <w:szCs w:val="20"/>
          <w:lang w:val="bg-BG" w:eastAsia="en-US"/>
        </w:rPr>
        <w:t>40</w:t>
      </w: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.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В заповедта за отнемане, изменение или прекратяване на разрешение за пускане на пазара и употреба на ПРЗ, съответно по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 чл. 44 и</w:t>
      </w:r>
      <w:r w:rsidR="008A0E80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45 от Регламент (ЕО) № 1107/2009 и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чл.</w:t>
      </w:r>
      <w:r w:rsidR="00406169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67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>и</w:t>
      </w:r>
      <w:r w:rsidR="00D004DC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68 от 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>ЗЗР</w:t>
      </w:r>
      <w:r w:rsidR="00CB7D8A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се определят </w:t>
      </w:r>
      <w:proofErr w:type="spellStart"/>
      <w:r w:rsidRPr="0000221A">
        <w:rPr>
          <w:rFonts w:ascii="Verdana" w:eastAsia="Calibri" w:hAnsi="Verdana"/>
          <w:sz w:val="20"/>
          <w:szCs w:val="20"/>
          <w:lang w:val="bg-BG" w:eastAsia="en-US"/>
        </w:rPr>
        <w:t>гратисни</w:t>
      </w:r>
      <w:proofErr w:type="spellEnd"/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периоди за обезвреждане, съхранение, пускане на пазара и употреба</w:t>
      </w:r>
      <w:r w:rsidR="00C57CE1" w:rsidRPr="0000221A">
        <w:rPr>
          <w:rFonts w:ascii="Verdana" w:eastAsia="Calibri" w:hAnsi="Verdana"/>
          <w:sz w:val="20"/>
          <w:szCs w:val="20"/>
          <w:lang w:val="bg-BG" w:eastAsia="en-US"/>
        </w:rPr>
        <w:t>,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съгласно чл. 46 от Регламент (ЕО) № 1107/2009 и чл. 69 от</w:t>
      </w:r>
      <w:r w:rsidR="005B07F8">
        <w:rPr>
          <w:rFonts w:ascii="Verdana" w:eastAsia="Calibri" w:hAnsi="Verdana"/>
          <w:sz w:val="20"/>
          <w:szCs w:val="20"/>
          <w:lang w:val="bg-BG" w:eastAsia="en-US"/>
        </w:rPr>
        <w:t xml:space="preserve"> ЗЗР</w:t>
      </w:r>
      <w:r w:rsidRPr="0000221A">
        <w:rPr>
          <w:rFonts w:ascii="Verdana" w:eastAsia="Calibri" w:hAnsi="Verdana"/>
          <w:sz w:val="20"/>
          <w:szCs w:val="20"/>
          <w:lang w:val="bg-BG" w:eastAsia="en-US"/>
        </w:rPr>
        <w:t>.</w:t>
      </w:r>
      <w:r w:rsidR="00034D7D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</w:t>
      </w:r>
      <w:proofErr w:type="spellStart"/>
      <w:r w:rsidR="00034D7D" w:rsidRPr="0000221A">
        <w:rPr>
          <w:rFonts w:ascii="Verdana" w:eastAsia="Calibri" w:hAnsi="Verdana"/>
          <w:sz w:val="20"/>
          <w:szCs w:val="20"/>
          <w:lang w:val="bg-BG" w:eastAsia="en-US"/>
        </w:rPr>
        <w:t>Гратисните</w:t>
      </w:r>
      <w:proofErr w:type="spellEnd"/>
      <w:r w:rsidR="00034D7D" w:rsidRPr="0000221A">
        <w:rPr>
          <w:rFonts w:ascii="Verdana" w:eastAsia="Calibri" w:hAnsi="Verdana"/>
          <w:sz w:val="20"/>
          <w:szCs w:val="20"/>
          <w:lang w:val="bg-BG" w:eastAsia="en-US"/>
        </w:rPr>
        <w:t xml:space="preserve"> периоди се определят по предложение на СПРЗ.</w:t>
      </w:r>
    </w:p>
    <w:p w:rsidR="004D51DD" w:rsidRDefault="004D51DD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val="en-US" w:eastAsia="en-US"/>
        </w:rPr>
      </w:pPr>
    </w:p>
    <w:p w:rsidR="004D51DD" w:rsidRDefault="004D51DD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val="en-US" w:eastAsia="en-US"/>
        </w:rPr>
      </w:pPr>
    </w:p>
    <w:p w:rsidR="00F22876" w:rsidRPr="0000221A" w:rsidRDefault="00F22876" w:rsidP="004A13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bCs/>
          <w:sz w:val="20"/>
          <w:szCs w:val="20"/>
          <w:lang w:val="bg-BG" w:eastAsia="en-US"/>
        </w:rPr>
        <w:t>ДОПЪЛНИТЕЛНА РАЗПОРЕДБА</w:t>
      </w:r>
    </w:p>
    <w:p w:rsidR="00551A1E" w:rsidRDefault="00551A1E" w:rsidP="004A1365">
      <w:pPr>
        <w:spacing w:line="360" w:lineRule="auto"/>
        <w:jc w:val="center"/>
        <w:rPr>
          <w:rFonts w:ascii="Verdana" w:hAnsi="Verdana"/>
          <w:b/>
          <w:caps/>
          <w:sz w:val="20"/>
          <w:szCs w:val="20"/>
          <w:lang w:val="en-US"/>
        </w:rPr>
      </w:pPr>
    </w:p>
    <w:p w:rsidR="007F6C97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/>
          <w:bCs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bCs/>
          <w:sz w:val="20"/>
          <w:szCs w:val="20"/>
          <w:lang w:val="bg-BG" w:eastAsia="en-US"/>
        </w:rPr>
        <w:t>§ 1.</w:t>
      </w:r>
      <w:r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По смисъла на тази наредба:</w:t>
      </w:r>
      <w:r w:rsidR="007F6C97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</w:t>
      </w:r>
    </w:p>
    <w:p w:rsidR="004A05FD" w:rsidRPr="0000221A" w:rsidRDefault="004A05FD" w:rsidP="004A13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/>
          <w:bCs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1. </w:t>
      </w:r>
      <w:r w:rsidR="004A1365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„</w:t>
      </w:r>
      <w:r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Карантине</w:t>
      </w:r>
      <w:r w:rsidR="00AF599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н</w:t>
      </w:r>
      <w:r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срок</w:t>
      </w:r>
      <w:r w:rsidR="004A1365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“</w:t>
      </w:r>
      <w:r w:rsidR="00CA55E2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е </w:t>
      </w:r>
      <w:r w:rsidR="00713F6D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времето в дни, което се изчаква за прибиране на реколтата след последното третиране с продукт за растителна защита.</w:t>
      </w:r>
    </w:p>
    <w:p w:rsidR="008F788D" w:rsidRPr="0000221A" w:rsidRDefault="00D432A1" w:rsidP="004A13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/>
          <w:bCs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2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. </w:t>
      </w:r>
      <w:r w:rsidR="004A1365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„</w:t>
      </w:r>
      <w:r w:rsidR="008F788D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Незначителна промяна в състава на ПРЗ” е незначителна промяна</w:t>
      </w:r>
      <w:r w:rsidR="001306AD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,</w:t>
      </w:r>
      <w:r w:rsidR="008F788D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съгласно Ръководство за значителна и незначителна промяна в химичния състав на разрешен ПРЗ съгласно Регламент (ЕО) № 1107/2009 (SANCO 12638/2011).</w:t>
      </w:r>
      <w:r w:rsidR="008F788D" w:rsidRPr="0000221A" w:rsidDel="008F788D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</w:t>
      </w:r>
    </w:p>
    <w:p w:rsidR="00551A1E" w:rsidRPr="0000221A" w:rsidRDefault="00D432A1" w:rsidP="004A13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/>
          <w:bCs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3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. </w:t>
      </w:r>
      <w:r w:rsidR="004A1365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„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Одобрено активно вещество” е активно вещество, за което е приет регламент за одобрение по чл. 13, параграф 2, буква </w:t>
      </w:r>
      <w:r w:rsidR="004A1365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„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а” от Регламент (ЕО) № 1107/2009.</w:t>
      </w:r>
    </w:p>
    <w:p w:rsidR="009F0946" w:rsidRPr="009F0946" w:rsidRDefault="00D432A1" w:rsidP="009F09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/>
          <w:bCs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4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. </w:t>
      </w:r>
      <w:r w:rsidR="004A1365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„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Официален превод</w:t>
      </w:r>
      <w:r w:rsidR="004A1365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“</w:t>
      </w:r>
      <w:r w:rsidR="009F0946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е превод</w:t>
      </w:r>
      <w:r w:rsidR="009F0946" w:rsidRPr="009F0946">
        <w:rPr>
          <w:rFonts w:ascii="Verdana" w:eastAsia="Calibri" w:hAnsi="Verdana"/>
          <w:bCs/>
          <w:sz w:val="20"/>
          <w:szCs w:val="20"/>
          <w:lang w:val="bg-BG" w:eastAsia="en-US"/>
        </w:rPr>
        <w:t>, извършен от лице от списъка на физическите лица, които извършват преводи на документи и други книжа от български на чужд език и от чужд на български език на територията на Република България, поддържан от Министерството на външните работи или от лице, определено от ръководителите на дипломатическите или консулските представителства на Република България в чужбина.</w:t>
      </w:r>
    </w:p>
    <w:p w:rsidR="009A5FDD" w:rsidRPr="008E3ACC" w:rsidRDefault="009A5FDD" w:rsidP="009A5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5. „Референтен продукт“ по смисъла на чл. 52 от Регламент (ЕО) 1107/2009 е разрешен за пускане на пазара и употреба ПРЗ в държавата членка на въвеждане.</w:t>
      </w:r>
    </w:p>
    <w:p w:rsidR="00551A1E" w:rsidRPr="0000221A" w:rsidRDefault="009A5FDD" w:rsidP="004A13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/>
          <w:bCs/>
          <w:sz w:val="20"/>
          <w:szCs w:val="20"/>
          <w:lang w:val="bg-BG" w:eastAsia="en-US"/>
        </w:rPr>
      </w:pPr>
      <w:r w:rsidRPr="008E3ACC">
        <w:rPr>
          <w:rFonts w:ascii="Verdana" w:eastAsia="Calibri" w:hAnsi="Verdana"/>
          <w:bCs/>
          <w:sz w:val="20"/>
          <w:szCs w:val="20"/>
          <w:lang w:eastAsia="en-US"/>
        </w:rPr>
        <w:t>6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. </w:t>
      </w:r>
      <w:r w:rsidR="004A1365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„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Югоизточна зона</w:t>
      </w:r>
      <w:r w:rsidR="004A1365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“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е зона</w:t>
      </w:r>
      <w:r w:rsidR="00F22876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,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съгласно Ръководство за сравними климатични условия PP 1/241 (2) на Европейската и средиземноморска организация</w:t>
      </w:r>
      <w:r w:rsidR="005D7D9A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по растителна защита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;</w:t>
      </w:r>
    </w:p>
    <w:p w:rsidR="00551A1E" w:rsidRPr="0000221A" w:rsidRDefault="009A5FDD" w:rsidP="004A13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/>
          <w:bCs/>
          <w:sz w:val="20"/>
          <w:szCs w:val="20"/>
          <w:lang w:val="bg-BG" w:eastAsia="en-US"/>
        </w:rPr>
      </w:pPr>
      <w:r w:rsidRPr="008E3ACC">
        <w:rPr>
          <w:rFonts w:ascii="Verdana" w:eastAsia="Calibri" w:hAnsi="Verdana"/>
          <w:bCs/>
          <w:sz w:val="20"/>
          <w:szCs w:val="20"/>
          <w:lang w:eastAsia="en-US"/>
        </w:rPr>
        <w:t>7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. </w:t>
      </w:r>
      <w:r w:rsidR="004A1365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„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Южна зона</w:t>
      </w:r>
      <w:r w:rsidR="004A1365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“</w:t>
      </w:r>
      <w:r w:rsidR="004A05FD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е Зона В </w:t>
      </w:r>
      <w:r w:rsidR="008E389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–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Южна</w:t>
      </w:r>
      <w:r w:rsidR="008E389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,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съгласно Приложение I на Регламент (ЕО) 1107/2009.</w:t>
      </w:r>
    </w:p>
    <w:p w:rsidR="00551A1E" w:rsidRPr="0000221A" w:rsidRDefault="009A5FDD" w:rsidP="004A13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/>
          <w:bCs/>
          <w:sz w:val="20"/>
          <w:szCs w:val="20"/>
          <w:lang w:val="bg-BG" w:eastAsia="en-US"/>
        </w:rPr>
      </w:pPr>
      <w:r w:rsidRPr="008E3ACC">
        <w:rPr>
          <w:rFonts w:ascii="Verdana" w:eastAsia="Calibri" w:hAnsi="Verdana"/>
          <w:bCs/>
          <w:sz w:val="20"/>
          <w:szCs w:val="20"/>
          <w:lang w:eastAsia="en-US"/>
        </w:rPr>
        <w:t>8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. </w:t>
      </w:r>
      <w:r w:rsidR="004A1365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„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Южна Европа и Средиземноморието</w:t>
      </w:r>
      <w:r w:rsidR="004A1365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“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е зона</w:t>
      </w:r>
      <w:r w:rsidR="00CC5968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,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съгласно Ръководство за сравнимост, екстраполация, групи на толеранс и изисквания към данните за 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lastRenderedPageBreak/>
        <w:t>определяне на максимално допустими граници н</w:t>
      </w:r>
      <w:r w:rsidR="009F0946">
        <w:rPr>
          <w:rFonts w:ascii="Verdana" w:eastAsia="Calibri" w:hAnsi="Verdana"/>
          <w:bCs/>
          <w:sz w:val="20"/>
          <w:szCs w:val="20"/>
          <w:lang w:val="bg-BG" w:eastAsia="en-US"/>
        </w:rPr>
        <w:t>а остатъчни вещества № 7525/VI</w:t>
      </w:r>
      <w:r w:rsidR="00551A1E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/ 95 на Европейската комисия.</w:t>
      </w:r>
    </w:p>
    <w:p w:rsidR="00D7130B" w:rsidRPr="0000221A" w:rsidRDefault="00D7130B" w:rsidP="004A1365">
      <w:pPr>
        <w:spacing w:line="360" w:lineRule="auto"/>
        <w:ind w:firstLine="720"/>
        <w:jc w:val="center"/>
        <w:rPr>
          <w:rFonts w:ascii="Verdana" w:eastAsia="Calibri" w:hAnsi="Verdana"/>
          <w:b/>
          <w:sz w:val="20"/>
          <w:szCs w:val="20"/>
          <w:lang w:val="bg-BG" w:eastAsia="en-US"/>
        </w:rPr>
      </w:pPr>
    </w:p>
    <w:p w:rsidR="00F22876" w:rsidRPr="0000221A" w:rsidRDefault="00F22876" w:rsidP="004A1365">
      <w:pPr>
        <w:spacing w:line="360" w:lineRule="auto"/>
        <w:ind w:firstLine="720"/>
        <w:jc w:val="center"/>
        <w:rPr>
          <w:rFonts w:ascii="Verdana" w:eastAsia="Calibri" w:hAnsi="Verdana"/>
          <w:b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sz w:val="20"/>
          <w:szCs w:val="20"/>
          <w:lang w:val="bg-BG" w:eastAsia="en-US"/>
        </w:rPr>
        <w:t>ПРЕХОДНИ И ЗАКЛЮЧИТЕЛНИ РАЗПОРЕДБИ</w:t>
      </w:r>
    </w:p>
    <w:p w:rsidR="00CC5968" w:rsidRPr="0000221A" w:rsidRDefault="00CC5968" w:rsidP="004A1365">
      <w:pPr>
        <w:spacing w:line="360" w:lineRule="auto"/>
        <w:ind w:firstLine="709"/>
        <w:jc w:val="center"/>
        <w:rPr>
          <w:rFonts w:ascii="Verdana" w:eastAsia="Calibri" w:hAnsi="Verdana"/>
          <w:b/>
          <w:sz w:val="20"/>
          <w:szCs w:val="20"/>
          <w:lang w:val="bg-BG" w:eastAsia="en-US"/>
        </w:rPr>
      </w:pPr>
    </w:p>
    <w:p w:rsidR="00BD153A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/>
          <w:bCs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bCs/>
          <w:sz w:val="20"/>
          <w:szCs w:val="20"/>
          <w:lang w:val="bg-BG" w:eastAsia="en-US"/>
        </w:rPr>
        <w:t xml:space="preserve">§ </w:t>
      </w:r>
      <w:r w:rsidR="00BD153A" w:rsidRPr="0000221A">
        <w:rPr>
          <w:rFonts w:ascii="Verdana" w:eastAsia="Calibri" w:hAnsi="Verdana"/>
          <w:b/>
          <w:bCs/>
          <w:sz w:val="20"/>
          <w:szCs w:val="20"/>
          <w:lang w:val="bg-BG" w:eastAsia="en-US"/>
        </w:rPr>
        <w:t>2</w:t>
      </w:r>
      <w:r w:rsidRPr="0000221A">
        <w:rPr>
          <w:rFonts w:ascii="Verdana" w:eastAsia="Calibri" w:hAnsi="Verdana"/>
          <w:b/>
          <w:bCs/>
          <w:sz w:val="20"/>
          <w:szCs w:val="20"/>
          <w:lang w:val="bg-BG" w:eastAsia="en-US"/>
        </w:rPr>
        <w:t>.</w:t>
      </w:r>
      <w:r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Наредбата се издава на основание чл. 45, ал. 1 от Закона за защита на растенията.</w:t>
      </w:r>
      <w:r w:rsidR="00BD153A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</w:t>
      </w: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/>
          <w:bCs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bCs/>
          <w:sz w:val="20"/>
          <w:szCs w:val="20"/>
          <w:lang w:val="bg-BG" w:eastAsia="en-US"/>
        </w:rPr>
        <w:t xml:space="preserve">§ </w:t>
      </w:r>
      <w:r w:rsidR="00AA3CAA" w:rsidRPr="0000221A">
        <w:rPr>
          <w:rFonts w:ascii="Verdana" w:eastAsia="Calibri" w:hAnsi="Verdana"/>
          <w:b/>
          <w:bCs/>
          <w:sz w:val="20"/>
          <w:szCs w:val="20"/>
          <w:lang w:val="bg-BG" w:eastAsia="en-US"/>
        </w:rPr>
        <w:t>3</w:t>
      </w:r>
      <w:r w:rsidRPr="0000221A">
        <w:rPr>
          <w:rFonts w:ascii="Verdana" w:eastAsia="Calibri" w:hAnsi="Verdana"/>
          <w:b/>
          <w:bCs/>
          <w:sz w:val="20"/>
          <w:szCs w:val="20"/>
          <w:lang w:val="bg-BG" w:eastAsia="en-US"/>
        </w:rPr>
        <w:t>.</w:t>
      </w:r>
      <w:r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Изпълнението на наредбата се възлага на изпълнителния директор на Българската агенция по безопасност на храните и директора на Центъра за оценка на риска по хранителната верига.</w:t>
      </w: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/>
          <w:bCs/>
          <w:sz w:val="20"/>
          <w:szCs w:val="20"/>
          <w:lang w:val="bg-BG" w:eastAsia="en-US"/>
        </w:rPr>
      </w:pPr>
      <w:r w:rsidRPr="0000221A">
        <w:rPr>
          <w:rFonts w:ascii="Verdana" w:eastAsia="Calibri" w:hAnsi="Verdana"/>
          <w:b/>
          <w:bCs/>
          <w:sz w:val="20"/>
          <w:szCs w:val="20"/>
          <w:lang w:val="bg-BG" w:eastAsia="en-US"/>
        </w:rPr>
        <w:t xml:space="preserve">§ </w:t>
      </w:r>
      <w:r w:rsidR="00AA3CAA" w:rsidRPr="0000221A">
        <w:rPr>
          <w:rFonts w:ascii="Verdana" w:eastAsia="Calibri" w:hAnsi="Verdana"/>
          <w:b/>
          <w:bCs/>
          <w:sz w:val="20"/>
          <w:szCs w:val="20"/>
          <w:lang w:val="bg-BG" w:eastAsia="en-US"/>
        </w:rPr>
        <w:t>4</w:t>
      </w:r>
      <w:r w:rsidRPr="0000221A">
        <w:rPr>
          <w:rFonts w:ascii="Verdana" w:eastAsia="Calibri" w:hAnsi="Verdana"/>
          <w:b/>
          <w:bCs/>
          <w:sz w:val="20"/>
          <w:szCs w:val="20"/>
          <w:lang w:val="bg-BG" w:eastAsia="en-US"/>
        </w:rPr>
        <w:t>.</w:t>
      </w:r>
      <w:r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 Наредбата влиза в сила от деня на обнародването </w:t>
      </w:r>
      <w:r w:rsidR="00D67CAD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ѝ </w:t>
      </w:r>
      <w:r w:rsidRPr="0000221A">
        <w:rPr>
          <w:rFonts w:ascii="Verdana" w:eastAsia="Calibri" w:hAnsi="Verdana"/>
          <w:bCs/>
          <w:sz w:val="20"/>
          <w:szCs w:val="20"/>
          <w:lang w:val="bg-BG" w:eastAsia="en-US"/>
        </w:rPr>
        <w:t xml:space="preserve">в </w:t>
      </w:r>
      <w:r w:rsidR="004A1365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„</w:t>
      </w:r>
      <w:r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Държавен вестник</w:t>
      </w:r>
      <w:r w:rsidR="004A1365"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“</w:t>
      </w:r>
      <w:r w:rsidRPr="0000221A">
        <w:rPr>
          <w:rFonts w:ascii="Verdana" w:eastAsia="Calibri" w:hAnsi="Verdana"/>
          <w:bCs/>
          <w:sz w:val="20"/>
          <w:szCs w:val="20"/>
          <w:lang w:val="bg-BG" w:eastAsia="en-US"/>
        </w:rPr>
        <w:t>.</w:t>
      </w:r>
    </w:p>
    <w:p w:rsidR="00551A1E" w:rsidRPr="0000221A" w:rsidRDefault="00551A1E" w:rsidP="004A13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Calibri" w:hAnsi="Verdana"/>
          <w:bCs/>
          <w:sz w:val="20"/>
          <w:szCs w:val="20"/>
          <w:lang w:val="bg-BG" w:eastAsia="en-US"/>
        </w:rPr>
      </w:pPr>
    </w:p>
    <w:p w:rsidR="00D67CAD" w:rsidRPr="0000221A" w:rsidRDefault="00D67CAD" w:rsidP="004A1365">
      <w:pPr>
        <w:spacing w:line="360" w:lineRule="auto"/>
        <w:rPr>
          <w:rFonts w:ascii="Verdana" w:eastAsia="SimSun" w:hAnsi="Verdana"/>
          <w:sz w:val="20"/>
          <w:szCs w:val="20"/>
          <w:lang w:val="bg-BG" w:eastAsia="zh-CN"/>
        </w:rPr>
      </w:pPr>
    </w:p>
    <w:p w:rsidR="00D7130B" w:rsidRPr="0000221A" w:rsidRDefault="00D7130B" w:rsidP="004A1365">
      <w:pPr>
        <w:spacing w:line="360" w:lineRule="auto"/>
        <w:rPr>
          <w:rFonts w:ascii="Verdana" w:eastAsia="SimSun" w:hAnsi="Verdana"/>
          <w:sz w:val="20"/>
          <w:szCs w:val="20"/>
          <w:lang w:val="bg-BG" w:eastAsia="zh-CN"/>
        </w:rPr>
      </w:pPr>
    </w:p>
    <w:p w:rsidR="00F8016A" w:rsidRPr="0000221A" w:rsidRDefault="00F8016A" w:rsidP="004A1365">
      <w:pPr>
        <w:pStyle w:val="PlainText"/>
        <w:spacing w:line="360" w:lineRule="auto"/>
        <w:rPr>
          <w:rFonts w:ascii="Verdana" w:hAnsi="Verdana"/>
          <w:b/>
          <w:sz w:val="20"/>
          <w:lang w:val="bg-BG"/>
        </w:rPr>
      </w:pPr>
      <w:r w:rsidRPr="0000221A">
        <w:rPr>
          <w:rFonts w:ascii="Verdana" w:hAnsi="Verdana"/>
          <w:b/>
          <w:sz w:val="20"/>
          <w:lang w:val="bg-BG"/>
        </w:rPr>
        <w:t>ДЕСИСЛАВА ТАНЕВА</w:t>
      </w:r>
    </w:p>
    <w:p w:rsidR="00D67CAD" w:rsidRPr="0000221A" w:rsidRDefault="00F8016A" w:rsidP="004A1365">
      <w:pPr>
        <w:spacing w:line="360" w:lineRule="auto"/>
        <w:jc w:val="both"/>
        <w:rPr>
          <w:rFonts w:ascii="Verdana" w:hAnsi="Verdana"/>
          <w:smallCaps/>
          <w:sz w:val="20"/>
          <w:szCs w:val="20"/>
          <w:lang w:val="bg-BG"/>
        </w:rPr>
      </w:pPr>
      <w:r w:rsidRPr="0000221A">
        <w:rPr>
          <w:rFonts w:ascii="Verdana" w:hAnsi="Verdana"/>
          <w:i/>
          <w:sz w:val="20"/>
          <w:szCs w:val="20"/>
          <w:lang w:val="bg-BG"/>
        </w:rPr>
        <w:t>Министър на земеделието, храните и горите</w:t>
      </w:r>
    </w:p>
    <w:p w:rsidR="00D67CAD" w:rsidRPr="0000221A" w:rsidRDefault="00D67CAD" w:rsidP="008D0127">
      <w:pPr>
        <w:jc w:val="both"/>
        <w:rPr>
          <w:rFonts w:ascii="Verdana" w:hAnsi="Verdana"/>
          <w:smallCaps/>
          <w:sz w:val="18"/>
          <w:szCs w:val="18"/>
          <w:lang w:val="bg-BG"/>
        </w:rPr>
      </w:pPr>
    </w:p>
    <w:p w:rsidR="006E0D2A" w:rsidRPr="0000221A" w:rsidRDefault="006E0D2A" w:rsidP="008D0127">
      <w:pPr>
        <w:jc w:val="both"/>
        <w:rPr>
          <w:rFonts w:ascii="Verdana" w:hAnsi="Verdana"/>
          <w:smallCaps/>
          <w:sz w:val="18"/>
          <w:szCs w:val="18"/>
          <w:lang w:val="bg-BG"/>
        </w:rPr>
      </w:pPr>
      <w:bookmarkStart w:id="0" w:name="_GoBack"/>
      <w:bookmarkEnd w:id="0"/>
    </w:p>
    <w:sectPr w:rsidR="006E0D2A" w:rsidRPr="0000221A" w:rsidSect="004D51DD">
      <w:footerReference w:type="even" r:id="rId20"/>
      <w:footerReference w:type="default" r:id="rId21"/>
      <w:pgSz w:w="11907" w:h="16840" w:code="9"/>
      <w:pgMar w:top="1134" w:right="1134" w:bottom="567" w:left="1701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83" w:rsidRDefault="00307C83">
      <w:r>
        <w:separator/>
      </w:r>
    </w:p>
  </w:endnote>
  <w:endnote w:type="continuationSeparator" w:id="0">
    <w:p w:rsidR="00307C83" w:rsidRDefault="003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F8" w:rsidRDefault="005B07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  <w:p w:rsidR="005B07F8" w:rsidRDefault="005B07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F8" w:rsidRPr="00355932" w:rsidRDefault="005B07F8" w:rsidP="00355932">
    <w:pPr>
      <w:pStyle w:val="Footer"/>
      <w:jc w:val="right"/>
      <w:rPr>
        <w:rFonts w:ascii="Verdana" w:hAnsi="Verdana"/>
        <w:sz w:val="16"/>
        <w:szCs w:val="16"/>
        <w:lang w:val="en-US"/>
      </w:rPr>
    </w:pPr>
    <w:r w:rsidRPr="008D0127">
      <w:rPr>
        <w:rFonts w:ascii="Verdana" w:hAnsi="Verdana"/>
        <w:sz w:val="16"/>
        <w:szCs w:val="16"/>
      </w:rPr>
      <w:fldChar w:fldCharType="begin"/>
    </w:r>
    <w:r w:rsidRPr="008D0127">
      <w:rPr>
        <w:rFonts w:ascii="Verdana" w:hAnsi="Verdana"/>
        <w:sz w:val="16"/>
        <w:szCs w:val="16"/>
      </w:rPr>
      <w:instrText xml:space="preserve"> PAGE   \* MERGEFORMAT </w:instrText>
    </w:r>
    <w:r w:rsidRPr="008D0127">
      <w:rPr>
        <w:rFonts w:ascii="Verdana" w:hAnsi="Verdana"/>
        <w:sz w:val="16"/>
        <w:szCs w:val="16"/>
      </w:rPr>
      <w:fldChar w:fldCharType="separate"/>
    </w:r>
    <w:r w:rsidR="006847D5">
      <w:rPr>
        <w:rFonts w:ascii="Verdana" w:hAnsi="Verdana"/>
        <w:noProof/>
        <w:sz w:val="16"/>
        <w:szCs w:val="16"/>
      </w:rPr>
      <w:t>17</w:t>
    </w:r>
    <w:r w:rsidRPr="008D0127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83" w:rsidRDefault="00307C83">
      <w:r>
        <w:separator/>
      </w:r>
    </w:p>
  </w:footnote>
  <w:footnote w:type="continuationSeparator" w:id="0">
    <w:p w:rsidR="00307C83" w:rsidRDefault="003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B04"/>
    <w:multiLevelType w:val="hybridMultilevel"/>
    <w:tmpl w:val="ED02EF14"/>
    <w:lvl w:ilvl="0" w:tplc="1AD0121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B3D4E"/>
    <w:multiLevelType w:val="hybridMultilevel"/>
    <w:tmpl w:val="2B6416D4"/>
    <w:lvl w:ilvl="0" w:tplc="1AD0121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040D6A6">
      <w:start w:val="1"/>
      <w:numFmt w:val="decimal"/>
      <w:lvlText w:val="%2."/>
      <w:lvlJc w:val="left"/>
      <w:pPr>
        <w:tabs>
          <w:tab w:val="num" w:pos="2771"/>
        </w:tabs>
        <w:ind w:left="2771" w:hanging="120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4FD121F"/>
    <w:multiLevelType w:val="multilevel"/>
    <w:tmpl w:val="BA1AFA4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9F07C9A"/>
    <w:multiLevelType w:val="hybridMultilevel"/>
    <w:tmpl w:val="0A20AE1A"/>
    <w:lvl w:ilvl="0" w:tplc="04090019">
      <w:start w:val="1"/>
      <w:numFmt w:val="lowerLetter"/>
      <w:lvlText w:val="%1."/>
      <w:lvlJc w:val="left"/>
      <w:pPr>
        <w:ind w:left="193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11677A"/>
    <w:multiLevelType w:val="hybridMultilevel"/>
    <w:tmpl w:val="E8C0B170"/>
    <w:lvl w:ilvl="0" w:tplc="F80C8F5A">
      <w:start w:val="1"/>
      <w:numFmt w:val="decimal"/>
      <w:lvlText w:val="%1."/>
      <w:lvlJc w:val="left"/>
      <w:pPr>
        <w:ind w:left="2125" w:hanging="1275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5">
    <w:nsid w:val="1AD62894"/>
    <w:multiLevelType w:val="hybridMultilevel"/>
    <w:tmpl w:val="3F783750"/>
    <w:lvl w:ilvl="0" w:tplc="8FC282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1CF75F31"/>
    <w:multiLevelType w:val="hybridMultilevel"/>
    <w:tmpl w:val="4A482EF0"/>
    <w:lvl w:ilvl="0" w:tplc="13C003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FE36C7E"/>
    <w:multiLevelType w:val="hybridMultilevel"/>
    <w:tmpl w:val="52BEB046"/>
    <w:lvl w:ilvl="0" w:tplc="72D4C6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4BB92">
      <w:start w:val="1"/>
      <w:numFmt w:val="decimal"/>
      <w:lvlText w:val="%3.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B56926"/>
    <w:multiLevelType w:val="hybridMultilevel"/>
    <w:tmpl w:val="24064794"/>
    <w:lvl w:ilvl="0" w:tplc="BDCA60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043C49"/>
    <w:multiLevelType w:val="hybridMultilevel"/>
    <w:tmpl w:val="94C48C34"/>
    <w:lvl w:ilvl="0" w:tplc="493837E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7077D9E"/>
    <w:multiLevelType w:val="hybridMultilevel"/>
    <w:tmpl w:val="A586B4A0"/>
    <w:lvl w:ilvl="0" w:tplc="D674BA28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abstractNum w:abstractNumId="11">
    <w:nsid w:val="29026E60"/>
    <w:multiLevelType w:val="hybridMultilevel"/>
    <w:tmpl w:val="074E8CC6"/>
    <w:lvl w:ilvl="0" w:tplc="105ACFC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29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5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60" w:hanging="180"/>
      </w:pPr>
      <w:rPr>
        <w:rFonts w:cs="Times New Roman"/>
      </w:rPr>
    </w:lvl>
  </w:abstractNum>
  <w:abstractNum w:abstractNumId="12">
    <w:nsid w:val="2A902041"/>
    <w:multiLevelType w:val="hybridMultilevel"/>
    <w:tmpl w:val="779E54E4"/>
    <w:lvl w:ilvl="0" w:tplc="13C003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C685DA1"/>
    <w:multiLevelType w:val="hybridMultilevel"/>
    <w:tmpl w:val="AB3EECC8"/>
    <w:lvl w:ilvl="0" w:tplc="897CD0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CD943E1"/>
    <w:multiLevelType w:val="hybridMultilevel"/>
    <w:tmpl w:val="89B0A29E"/>
    <w:lvl w:ilvl="0" w:tplc="1F322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4F6601"/>
    <w:multiLevelType w:val="hybridMultilevel"/>
    <w:tmpl w:val="E4E823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6D4305"/>
    <w:multiLevelType w:val="hybridMultilevel"/>
    <w:tmpl w:val="D2883456"/>
    <w:lvl w:ilvl="0" w:tplc="BDCA60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0223930"/>
    <w:multiLevelType w:val="hybridMultilevel"/>
    <w:tmpl w:val="8FE81B5A"/>
    <w:lvl w:ilvl="0" w:tplc="BDCA60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0F09FA"/>
    <w:multiLevelType w:val="hybridMultilevel"/>
    <w:tmpl w:val="11AC79AE"/>
    <w:lvl w:ilvl="0" w:tplc="6EDA4028">
      <w:start w:val="1"/>
      <w:numFmt w:val="decimal"/>
      <w:lvlText w:val="%1."/>
      <w:lvlJc w:val="left"/>
      <w:pPr>
        <w:tabs>
          <w:tab w:val="num" w:pos="2351"/>
        </w:tabs>
        <w:ind w:left="2351" w:hanging="120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31"/>
        </w:tabs>
        <w:ind w:left="22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51"/>
        </w:tabs>
        <w:ind w:left="29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71"/>
        </w:tabs>
        <w:ind w:left="36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91"/>
        </w:tabs>
        <w:ind w:left="43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11"/>
        </w:tabs>
        <w:ind w:left="51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31"/>
        </w:tabs>
        <w:ind w:left="58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51"/>
        </w:tabs>
        <w:ind w:left="65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71"/>
        </w:tabs>
        <w:ind w:left="7271" w:hanging="180"/>
      </w:pPr>
    </w:lvl>
  </w:abstractNum>
  <w:abstractNum w:abstractNumId="19">
    <w:nsid w:val="38137EBD"/>
    <w:multiLevelType w:val="hybridMultilevel"/>
    <w:tmpl w:val="71F4044C"/>
    <w:lvl w:ilvl="0" w:tplc="44889D7E">
      <w:start w:val="1"/>
      <w:numFmt w:val="decimal"/>
      <w:lvlText w:val="%1."/>
      <w:lvlJc w:val="left"/>
      <w:pPr>
        <w:ind w:left="1320" w:hanging="4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38E61FE3"/>
    <w:multiLevelType w:val="hybridMultilevel"/>
    <w:tmpl w:val="79AAE9F2"/>
    <w:lvl w:ilvl="0" w:tplc="E702F7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1033FA5"/>
    <w:multiLevelType w:val="hybridMultilevel"/>
    <w:tmpl w:val="A90CCD7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3EE3DD7"/>
    <w:multiLevelType w:val="hybridMultilevel"/>
    <w:tmpl w:val="4034750C"/>
    <w:lvl w:ilvl="0" w:tplc="72D4C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4EC35641"/>
    <w:multiLevelType w:val="hybridMultilevel"/>
    <w:tmpl w:val="1ED2D628"/>
    <w:lvl w:ilvl="0" w:tplc="65782D9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24">
    <w:nsid w:val="50DE22E7"/>
    <w:multiLevelType w:val="hybridMultilevel"/>
    <w:tmpl w:val="5858A5CA"/>
    <w:lvl w:ilvl="0" w:tplc="D2BE44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8C71283"/>
    <w:multiLevelType w:val="hybridMultilevel"/>
    <w:tmpl w:val="20B08AF2"/>
    <w:lvl w:ilvl="0" w:tplc="04020001">
      <w:start w:val="1"/>
      <w:numFmt w:val="bullet"/>
      <w:lvlText w:val=""/>
      <w:lvlJc w:val="left"/>
      <w:pPr>
        <w:tabs>
          <w:tab w:val="num" w:pos="1630"/>
        </w:tabs>
        <w:ind w:left="16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50"/>
        </w:tabs>
        <w:ind w:left="2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26">
    <w:nsid w:val="5B284BA0"/>
    <w:multiLevelType w:val="hybridMultilevel"/>
    <w:tmpl w:val="D28E3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F0E69"/>
    <w:multiLevelType w:val="hybridMultilevel"/>
    <w:tmpl w:val="E3AE1376"/>
    <w:lvl w:ilvl="0" w:tplc="44889D7E">
      <w:start w:val="1"/>
      <w:numFmt w:val="decimal"/>
      <w:lvlText w:val="%1."/>
      <w:lvlJc w:val="left"/>
      <w:pPr>
        <w:ind w:left="1320" w:hanging="42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50285"/>
    <w:multiLevelType w:val="hybridMultilevel"/>
    <w:tmpl w:val="C4C088BE"/>
    <w:lvl w:ilvl="0" w:tplc="72D4C6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F7563EF"/>
    <w:multiLevelType w:val="hybridMultilevel"/>
    <w:tmpl w:val="1B226A60"/>
    <w:lvl w:ilvl="0" w:tplc="72D4C6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AD7E31"/>
    <w:multiLevelType w:val="hybridMultilevel"/>
    <w:tmpl w:val="EC18DC3A"/>
    <w:lvl w:ilvl="0" w:tplc="72D4C62A">
      <w:start w:val="1"/>
      <w:numFmt w:val="decimal"/>
      <w:lvlText w:val="%1."/>
      <w:lvlJc w:val="left"/>
      <w:pPr>
        <w:tabs>
          <w:tab w:val="num" w:pos="2111"/>
        </w:tabs>
        <w:ind w:left="2111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1">
    <w:nsid w:val="61C631A8"/>
    <w:multiLevelType w:val="hybridMultilevel"/>
    <w:tmpl w:val="7736AE00"/>
    <w:lvl w:ilvl="0" w:tplc="4D6EFFC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14521"/>
    <w:multiLevelType w:val="hybridMultilevel"/>
    <w:tmpl w:val="6CAA1188"/>
    <w:lvl w:ilvl="0" w:tplc="37F6477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007B08"/>
    <w:multiLevelType w:val="hybridMultilevel"/>
    <w:tmpl w:val="725EF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064516"/>
    <w:multiLevelType w:val="hybridMultilevel"/>
    <w:tmpl w:val="406AB88E"/>
    <w:lvl w:ilvl="0" w:tplc="09D2200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35">
    <w:nsid w:val="704562C0"/>
    <w:multiLevelType w:val="multilevel"/>
    <w:tmpl w:val="89B0A2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3303A4"/>
    <w:multiLevelType w:val="hybridMultilevel"/>
    <w:tmpl w:val="C494D84A"/>
    <w:lvl w:ilvl="0" w:tplc="2C90F1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60A3353"/>
    <w:multiLevelType w:val="hybridMultilevel"/>
    <w:tmpl w:val="23E2E1F8"/>
    <w:lvl w:ilvl="0" w:tplc="ABC642A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3E5C67"/>
    <w:multiLevelType w:val="hybridMultilevel"/>
    <w:tmpl w:val="B7FA9E18"/>
    <w:lvl w:ilvl="0" w:tplc="7456A908">
      <w:start w:val="1"/>
      <w:numFmt w:val="decimal"/>
      <w:lvlText w:val="%1."/>
      <w:lvlJc w:val="left"/>
      <w:pPr>
        <w:ind w:left="2190" w:hanging="120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DB52747A">
      <w:start w:val="1"/>
      <w:numFmt w:val="decimal"/>
      <w:lvlText w:val="%4."/>
      <w:lvlJc w:val="left"/>
      <w:pPr>
        <w:ind w:left="1260" w:hanging="360"/>
      </w:pPr>
      <w:rPr>
        <w:rFonts w:ascii="Times New Roman" w:eastAsia="Times New Roman" w:hAnsi="Times New Roman" w:cs="Times New Roman"/>
        <w:color w:val="auto"/>
      </w:rPr>
    </w:lvl>
    <w:lvl w:ilvl="4" w:tplc="0409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39">
    <w:nsid w:val="7BC056C6"/>
    <w:multiLevelType w:val="hybridMultilevel"/>
    <w:tmpl w:val="5832DBC0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8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37"/>
  </w:num>
  <w:num w:numId="7">
    <w:abstractNumId w:val="23"/>
  </w:num>
  <w:num w:numId="8">
    <w:abstractNumId w:val="19"/>
  </w:num>
  <w:num w:numId="9">
    <w:abstractNumId w:val="25"/>
  </w:num>
  <w:num w:numId="10">
    <w:abstractNumId w:val="31"/>
  </w:num>
  <w:num w:numId="11">
    <w:abstractNumId w:val="26"/>
  </w:num>
  <w:num w:numId="12">
    <w:abstractNumId w:val="9"/>
  </w:num>
  <w:num w:numId="13">
    <w:abstractNumId w:val="21"/>
  </w:num>
  <w:num w:numId="14">
    <w:abstractNumId w:val="34"/>
  </w:num>
  <w:num w:numId="15">
    <w:abstractNumId w:val="12"/>
  </w:num>
  <w:num w:numId="16">
    <w:abstractNumId w:val="27"/>
  </w:num>
  <w:num w:numId="17">
    <w:abstractNumId w:val="36"/>
  </w:num>
  <w:num w:numId="18">
    <w:abstractNumId w:val="1"/>
  </w:num>
  <w:num w:numId="19">
    <w:abstractNumId w:val="0"/>
  </w:num>
  <w:num w:numId="20">
    <w:abstractNumId w:val="18"/>
  </w:num>
  <w:num w:numId="21">
    <w:abstractNumId w:val="3"/>
  </w:num>
  <w:num w:numId="22">
    <w:abstractNumId w:val="28"/>
  </w:num>
  <w:num w:numId="23">
    <w:abstractNumId w:val="29"/>
  </w:num>
  <w:num w:numId="24">
    <w:abstractNumId w:val="7"/>
  </w:num>
  <w:num w:numId="25">
    <w:abstractNumId w:val="13"/>
  </w:num>
  <w:num w:numId="26">
    <w:abstractNumId w:val="22"/>
  </w:num>
  <w:num w:numId="27">
    <w:abstractNumId w:val="30"/>
  </w:num>
  <w:num w:numId="28">
    <w:abstractNumId w:val="17"/>
  </w:num>
  <w:num w:numId="29">
    <w:abstractNumId w:val="8"/>
  </w:num>
  <w:num w:numId="30">
    <w:abstractNumId w:val="15"/>
  </w:num>
  <w:num w:numId="31">
    <w:abstractNumId w:val="39"/>
  </w:num>
  <w:num w:numId="32">
    <w:abstractNumId w:val="33"/>
  </w:num>
  <w:num w:numId="33">
    <w:abstractNumId w:val="16"/>
  </w:num>
  <w:num w:numId="34">
    <w:abstractNumId w:val="6"/>
  </w:num>
  <w:num w:numId="35">
    <w:abstractNumId w:val="24"/>
  </w:num>
  <w:num w:numId="36">
    <w:abstractNumId w:val="14"/>
  </w:num>
  <w:num w:numId="37">
    <w:abstractNumId w:val="35"/>
  </w:num>
  <w:num w:numId="38">
    <w:abstractNumId w:val="5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04"/>
    <w:rsid w:val="0000221A"/>
    <w:rsid w:val="000077A3"/>
    <w:rsid w:val="00022A05"/>
    <w:rsid w:val="00022D1F"/>
    <w:rsid w:val="0002340B"/>
    <w:rsid w:val="00034D7D"/>
    <w:rsid w:val="00040A31"/>
    <w:rsid w:val="000420C2"/>
    <w:rsid w:val="00044B1D"/>
    <w:rsid w:val="00062BEC"/>
    <w:rsid w:val="00063960"/>
    <w:rsid w:val="00065344"/>
    <w:rsid w:val="00066123"/>
    <w:rsid w:val="00067F28"/>
    <w:rsid w:val="000728E3"/>
    <w:rsid w:val="00073DCB"/>
    <w:rsid w:val="000820C6"/>
    <w:rsid w:val="00085397"/>
    <w:rsid w:val="0008733A"/>
    <w:rsid w:val="00092424"/>
    <w:rsid w:val="000949CF"/>
    <w:rsid w:val="00094D68"/>
    <w:rsid w:val="00095900"/>
    <w:rsid w:val="000A529F"/>
    <w:rsid w:val="000A70AA"/>
    <w:rsid w:val="000B5A0F"/>
    <w:rsid w:val="000B6BC3"/>
    <w:rsid w:val="000C0DE8"/>
    <w:rsid w:val="000C1562"/>
    <w:rsid w:val="000C4F41"/>
    <w:rsid w:val="000C5DD6"/>
    <w:rsid w:val="000D49A3"/>
    <w:rsid w:val="000E59F0"/>
    <w:rsid w:val="000F0EED"/>
    <w:rsid w:val="000F1149"/>
    <w:rsid w:val="000F247A"/>
    <w:rsid w:val="000F3549"/>
    <w:rsid w:val="000F624A"/>
    <w:rsid w:val="001032E3"/>
    <w:rsid w:val="0011098F"/>
    <w:rsid w:val="00112A91"/>
    <w:rsid w:val="00113C90"/>
    <w:rsid w:val="001163DF"/>
    <w:rsid w:val="001207BA"/>
    <w:rsid w:val="00122937"/>
    <w:rsid w:val="00124582"/>
    <w:rsid w:val="00124E3C"/>
    <w:rsid w:val="001306AD"/>
    <w:rsid w:val="00143EF1"/>
    <w:rsid w:val="0014486D"/>
    <w:rsid w:val="00146D88"/>
    <w:rsid w:val="001506AE"/>
    <w:rsid w:val="00151478"/>
    <w:rsid w:val="00155575"/>
    <w:rsid w:val="00157503"/>
    <w:rsid w:val="00157C7F"/>
    <w:rsid w:val="00170834"/>
    <w:rsid w:val="001756A4"/>
    <w:rsid w:val="00180E62"/>
    <w:rsid w:val="00186EA4"/>
    <w:rsid w:val="0019365A"/>
    <w:rsid w:val="001960AA"/>
    <w:rsid w:val="001A101A"/>
    <w:rsid w:val="001A6904"/>
    <w:rsid w:val="001A6AB2"/>
    <w:rsid w:val="001B0978"/>
    <w:rsid w:val="001B1739"/>
    <w:rsid w:val="001B4817"/>
    <w:rsid w:val="001C7584"/>
    <w:rsid w:val="001D1F91"/>
    <w:rsid w:val="001D5CCA"/>
    <w:rsid w:val="001D6C55"/>
    <w:rsid w:val="001E047C"/>
    <w:rsid w:val="001F0F2C"/>
    <w:rsid w:val="001F4E28"/>
    <w:rsid w:val="001F7443"/>
    <w:rsid w:val="001F75C7"/>
    <w:rsid w:val="002021DF"/>
    <w:rsid w:val="00206807"/>
    <w:rsid w:val="00207724"/>
    <w:rsid w:val="00210A8A"/>
    <w:rsid w:val="0021198D"/>
    <w:rsid w:val="00232647"/>
    <w:rsid w:val="002339E3"/>
    <w:rsid w:val="002369D9"/>
    <w:rsid w:val="00252CD1"/>
    <w:rsid w:val="0025356E"/>
    <w:rsid w:val="00260298"/>
    <w:rsid w:val="00262929"/>
    <w:rsid w:val="002663C4"/>
    <w:rsid w:val="00271A0A"/>
    <w:rsid w:val="00273671"/>
    <w:rsid w:val="00274CB2"/>
    <w:rsid w:val="00277B3C"/>
    <w:rsid w:val="00287C2C"/>
    <w:rsid w:val="0029227E"/>
    <w:rsid w:val="00292DB4"/>
    <w:rsid w:val="00295225"/>
    <w:rsid w:val="002A49D7"/>
    <w:rsid w:val="002C6616"/>
    <w:rsid w:val="002C7539"/>
    <w:rsid w:val="002D048C"/>
    <w:rsid w:val="002E7064"/>
    <w:rsid w:val="002F174E"/>
    <w:rsid w:val="002F22CB"/>
    <w:rsid w:val="002F4EE4"/>
    <w:rsid w:val="002F6C91"/>
    <w:rsid w:val="003057E1"/>
    <w:rsid w:val="003059E8"/>
    <w:rsid w:val="00305EF8"/>
    <w:rsid w:val="00307C83"/>
    <w:rsid w:val="00313CAD"/>
    <w:rsid w:val="00314EEA"/>
    <w:rsid w:val="00315B2C"/>
    <w:rsid w:val="00323D18"/>
    <w:rsid w:val="00326B73"/>
    <w:rsid w:val="00332714"/>
    <w:rsid w:val="00333A37"/>
    <w:rsid w:val="00350554"/>
    <w:rsid w:val="0035105D"/>
    <w:rsid w:val="00355932"/>
    <w:rsid w:val="003700C6"/>
    <w:rsid w:val="00380996"/>
    <w:rsid w:val="003809D1"/>
    <w:rsid w:val="00385B42"/>
    <w:rsid w:val="00392AE2"/>
    <w:rsid w:val="00395D50"/>
    <w:rsid w:val="00395E7F"/>
    <w:rsid w:val="00396A23"/>
    <w:rsid w:val="003C7317"/>
    <w:rsid w:val="003D0535"/>
    <w:rsid w:val="003D2242"/>
    <w:rsid w:val="003E0253"/>
    <w:rsid w:val="003E2EAF"/>
    <w:rsid w:val="003E45E0"/>
    <w:rsid w:val="003F424D"/>
    <w:rsid w:val="00406169"/>
    <w:rsid w:val="004071C7"/>
    <w:rsid w:val="00412C13"/>
    <w:rsid w:val="004247A7"/>
    <w:rsid w:val="00431BC0"/>
    <w:rsid w:val="00434BA8"/>
    <w:rsid w:val="004415F8"/>
    <w:rsid w:val="00453D07"/>
    <w:rsid w:val="00480298"/>
    <w:rsid w:val="00480449"/>
    <w:rsid w:val="00482ACA"/>
    <w:rsid w:val="0048350C"/>
    <w:rsid w:val="00483FD1"/>
    <w:rsid w:val="0048453D"/>
    <w:rsid w:val="004910EB"/>
    <w:rsid w:val="00492E90"/>
    <w:rsid w:val="00493B75"/>
    <w:rsid w:val="004955C9"/>
    <w:rsid w:val="004975AB"/>
    <w:rsid w:val="004A05FD"/>
    <w:rsid w:val="004A1365"/>
    <w:rsid w:val="004A196B"/>
    <w:rsid w:val="004A2B79"/>
    <w:rsid w:val="004A3BFC"/>
    <w:rsid w:val="004A4BB6"/>
    <w:rsid w:val="004A654B"/>
    <w:rsid w:val="004A6D26"/>
    <w:rsid w:val="004A70B5"/>
    <w:rsid w:val="004B6E4B"/>
    <w:rsid w:val="004C25BF"/>
    <w:rsid w:val="004C3870"/>
    <w:rsid w:val="004C53C3"/>
    <w:rsid w:val="004C6E88"/>
    <w:rsid w:val="004C70E5"/>
    <w:rsid w:val="004D1283"/>
    <w:rsid w:val="004D1301"/>
    <w:rsid w:val="004D2642"/>
    <w:rsid w:val="004D51DD"/>
    <w:rsid w:val="004E1EAB"/>
    <w:rsid w:val="004E5188"/>
    <w:rsid w:val="004E5FAB"/>
    <w:rsid w:val="004F0455"/>
    <w:rsid w:val="004F0EEB"/>
    <w:rsid w:val="004F596F"/>
    <w:rsid w:val="004F794C"/>
    <w:rsid w:val="00501747"/>
    <w:rsid w:val="00502333"/>
    <w:rsid w:val="00503B67"/>
    <w:rsid w:val="00521F11"/>
    <w:rsid w:val="00524A7A"/>
    <w:rsid w:val="00527C80"/>
    <w:rsid w:val="00531B69"/>
    <w:rsid w:val="00533C35"/>
    <w:rsid w:val="0053520E"/>
    <w:rsid w:val="00536AD1"/>
    <w:rsid w:val="0055094F"/>
    <w:rsid w:val="00551A1E"/>
    <w:rsid w:val="00556FFA"/>
    <w:rsid w:val="00566489"/>
    <w:rsid w:val="005720D0"/>
    <w:rsid w:val="00583530"/>
    <w:rsid w:val="00586E97"/>
    <w:rsid w:val="005928E2"/>
    <w:rsid w:val="00592D29"/>
    <w:rsid w:val="005A7E6E"/>
    <w:rsid w:val="005B07F8"/>
    <w:rsid w:val="005B2FB3"/>
    <w:rsid w:val="005D7D9A"/>
    <w:rsid w:val="005E2493"/>
    <w:rsid w:val="005E633A"/>
    <w:rsid w:val="00600871"/>
    <w:rsid w:val="006009BC"/>
    <w:rsid w:val="006105CC"/>
    <w:rsid w:val="006207D1"/>
    <w:rsid w:val="00637355"/>
    <w:rsid w:val="0064072F"/>
    <w:rsid w:val="00643AEE"/>
    <w:rsid w:val="006547E0"/>
    <w:rsid w:val="0066107B"/>
    <w:rsid w:val="00663376"/>
    <w:rsid w:val="006673A9"/>
    <w:rsid w:val="0067710D"/>
    <w:rsid w:val="00677CF1"/>
    <w:rsid w:val="0068058E"/>
    <w:rsid w:val="006847D5"/>
    <w:rsid w:val="00692444"/>
    <w:rsid w:val="006B02DE"/>
    <w:rsid w:val="006C031D"/>
    <w:rsid w:val="006C0FB4"/>
    <w:rsid w:val="006D006E"/>
    <w:rsid w:val="006D0F28"/>
    <w:rsid w:val="006D3ACA"/>
    <w:rsid w:val="006E0D2A"/>
    <w:rsid w:val="006E6450"/>
    <w:rsid w:val="006E6495"/>
    <w:rsid w:val="006E6FFC"/>
    <w:rsid w:val="006E7944"/>
    <w:rsid w:val="00705D16"/>
    <w:rsid w:val="00713F6D"/>
    <w:rsid w:val="00714F8A"/>
    <w:rsid w:val="00720354"/>
    <w:rsid w:val="00730231"/>
    <w:rsid w:val="00730C5E"/>
    <w:rsid w:val="007329EA"/>
    <w:rsid w:val="00740831"/>
    <w:rsid w:val="00746A26"/>
    <w:rsid w:val="00760B83"/>
    <w:rsid w:val="00764D32"/>
    <w:rsid w:val="00766F11"/>
    <w:rsid w:val="00772E54"/>
    <w:rsid w:val="00781149"/>
    <w:rsid w:val="00782676"/>
    <w:rsid w:val="00783311"/>
    <w:rsid w:val="00791899"/>
    <w:rsid w:val="007918DA"/>
    <w:rsid w:val="00794E10"/>
    <w:rsid w:val="007A0451"/>
    <w:rsid w:val="007A6215"/>
    <w:rsid w:val="007A62EA"/>
    <w:rsid w:val="007B4A14"/>
    <w:rsid w:val="007B562A"/>
    <w:rsid w:val="007C00FA"/>
    <w:rsid w:val="007C7621"/>
    <w:rsid w:val="007C7709"/>
    <w:rsid w:val="007D2D6F"/>
    <w:rsid w:val="007D4629"/>
    <w:rsid w:val="007E006C"/>
    <w:rsid w:val="007E306A"/>
    <w:rsid w:val="007F2028"/>
    <w:rsid w:val="007F656C"/>
    <w:rsid w:val="007F6C97"/>
    <w:rsid w:val="007F725A"/>
    <w:rsid w:val="008009C9"/>
    <w:rsid w:val="00800B85"/>
    <w:rsid w:val="00802421"/>
    <w:rsid w:val="00804E7C"/>
    <w:rsid w:val="008075DE"/>
    <w:rsid w:val="00820E9C"/>
    <w:rsid w:val="008221C0"/>
    <w:rsid w:val="00822AA0"/>
    <w:rsid w:val="008241CF"/>
    <w:rsid w:val="00836321"/>
    <w:rsid w:val="0083685D"/>
    <w:rsid w:val="00842A75"/>
    <w:rsid w:val="0085115F"/>
    <w:rsid w:val="008706B3"/>
    <w:rsid w:val="00873055"/>
    <w:rsid w:val="0087463C"/>
    <w:rsid w:val="0087631B"/>
    <w:rsid w:val="00892B02"/>
    <w:rsid w:val="008933D4"/>
    <w:rsid w:val="00895492"/>
    <w:rsid w:val="008A0E80"/>
    <w:rsid w:val="008A53ED"/>
    <w:rsid w:val="008B1C1C"/>
    <w:rsid w:val="008C1B39"/>
    <w:rsid w:val="008D0127"/>
    <w:rsid w:val="008D0249"/>
    <w:rsid w:val="008D02EB"/>
    <w:rsid w:val="008D5C40"/>
    <w:rsid w:val="008D5ED3"/>
    <w:rsid w:val="008D722B"/>
    <w:rsid w:val="008D7714"/>
    <w:rsid w:val="008E1C85"/>
    <w:rsid w:val="008E389E"/>
    <w:rsid w:val="008E3ACC"/>
    <w:rsid w:val="008F5324"/>
    <w:rsid w:val="008F58B7"/>
    <w:rsid w:val="008F788D"/>
    <w:rsid w:val="009007A5"/>
    <w:rsid w:val="00901141"/>
    <w:rsid w:val="00903FC9"/>
    <w:rsid w:val="00904481"/>
    <w:rsid w:val="009072CF"/>
    <w:rsid w:val="00915FBC"/>
    <w:rsid w:val="00926E63"/>
    <w:rsid w:val="00932243"/>
    <w:rsid w:val="00932409"/>
    <w:rsid w:val="00951B53"/>
    <w:rsid w:val="00955455"/>
    <w:rsid w:val="009712BB"/>
    <w:rsid w:val="00973AFD"/>
    <w:rsid w:val="00984672"/>
    <w:rsid w:val="00985D35"/>
    <w:rsid w:val="00991E80"/>
    <w:rsid w:val="00992FA5"/>
    <w:rsid w:val="0099492B"/>
    <w:rsid w:val="009A0E08"/>
    <w:rsid w:val="009A5391"/>
    <w:rsid w:val="009A5FDD"/>
    <w:rsid w:val="009B15D7"/>
    <w:rsid w:val="009B649A"/>
    <w:rsid w:val="009B6FA6"/>
    <w:rsid w:val="009C3DDC"/>
    <w:rsid w:val="009C5B8D"/>
    <w:rsid w:val="009C7AF5"/>
    <w:rsid w:val="009D3EFF"/>
    <w:rsid w:val="009D6DE1"/>
    <w:rsid w:val="009E20D6"/>
    <w:rsid w:val="009E242E"/>
    <w:rsid w:val="009F055D"/>
    <w:rsid w:val="009F0905"/>
    <w:rsid w:val="009F0946"/>
    <w:rsid w:val="009F2B24"/>
    <w:rsid w:val="009F3780"/>
    <w:rsid w:val="009F4EF9"/>
    <w:rsid w:val="009F6C02"/>
    <w:rsid w:val="00A01C9A"/>
    <w:rsid w:val="00A053A6"/>
    <w:rsid w:val="00A2357B"/>
    <w:rsid w:val="00A252A1"/>
    <w:rsid w:val="00A2634B"/>
    <w:rsid w:val="00A3253F"/>
    <w:rsid w:val="00A36E23"/>
    <w:rsid w:val="00A37A38"/>
    <w:rsid w:val="00A40779"/>
    <w:rsid w:val="00A426C0"/>
    <w:rsid w:val="00A43BE0"/>
    <w:rsid w:val="00A44B9E"/>
    <w:rsid w:val="00A455E2"/>
    <w:rsid w:val="00A51628"/>
    <w:rsid w:val="00A632F2"/>
    <w:rsid w:val="00A63DEA"/>
    <w:rsid w:val="00A65E06"/>
    <w:rsid w:val="00A71E3F"/>
    <w:rsid w:val="00A749DB"/>
    <w:rsid w:val="00A77B42"/>
    <w:rsid w:val="00A80488"/>
    <w:rsid w:val="00A91FBC"/>
    <w:rsid w:val="00A95093"/>
    <w:rsid w:val="00A9639F"/>
    <w:rsid w:val="00AA24E4"/>
    <w:rsid w:val="00AA3CAA"/>
    <w:rsid w:val="00AA69A9"/>
    <w:rsid w:val="00AB0A1F"/>
    <w:rsid w:val="00AB6F2A"/>
    <w:rsid w:val="00AC3100"/>
    <w:rsid w:val="00AC66E6"/>
    <w:rsid w:val="00AF2F3C"/>
    <w:rsid w:val="00AF599E"/>
    <w:rsid w:val="00AF7BA4"/>
    <w:rsid w:val="00B040D6"/>
    <w:rsid w:val="00B04FED"/>
    <w:rsid w:val="00B14ABB"/>
    <w:rsid w:val="00B14E96"/>
    <w:rsid w:val="00B2080C"/>
    <w:rsid w:val="00B20FA5"/>
    <w:rsid w:val="00B26F6A"/>
    <w:rsid w:val="00B30991"/>
    <w:rsid w:val="00B36AA6"/>
    <w:rsid w:val="00B41D23"/>
    <w:rsid w:val="00B4583C"/>
    <w:rsid w:val="00B45B75"/>
    <w:rsid w:val="00B55255"/>
    <w:rsid w:val="00B64977"/>
    <w:rsid w:val="00B70350"/>
    <w:rsid w:val="00B711BE"/>
    <w:rsid w:val="00B7685F"/>
    <w:rsid w:val="00B8550B"/>
    <w:rsid w:val="00B92BD2"/>
    <w:rsid w:val="00B93AB9"/>
    <w:rsid w:val="00B93AF9"/>
    <w:rsid w:val="00BA10A3"/>
    <w:rsid w:val="00BA6DAA"/>
    <w:rsid w:val="00BC43AE"/>
    <w:rsid w:val="00BD153A"/>
    <w:rsid w:val="00BD4AFA"/>
    <w:rsid w:val="00BE6E58"/>
    <w:rsid w:val="00BF0CC8"/>
    <w:rsid w:val="00BF4021"/>
    <w:rsid w:val="00BF6E08"/>
    <w:rsid w:val="00C054D7"/>
    <w:rsid w:val="00C07DE3"/>
    <w:rsid w:val="00C22065"/>
    <w:rsid w:val="00C229F1"/>
    <w:rsid w:val="00C27807"/>
    <w:rsid w:val="00C3385F"/>
    <w:rsid w:val="00C35B2E"/>
    <w:rsid w:val="00C45B65"/>
    <w:rsid w:val="00C546EE"/>
    <w:rsid w:val="00C57CE1"/>
    <w:rsid w:val="00C656F9"/>
    <w:rsid w:val="00C7010B"/>
    <w:rsid w:val="00C70DF5"/>
    <w:rsid w:val="00C71FFB"/>
    <w:rsid w:val="00C752B5"/>
    <w:rsid w:val="00C82A5F"/>
    <w:rsid w:val="00C8662E"/>
    <w:rsid w:val="00C917CD"/>
    <w:rsid w:val="00C919FA"/>
    <w:rsid w:val="00C91D17"/>
    <w:rsid w:val="00CA2AAD"/>
    <w:rsid w:val="00CA55E2"/>
    <w:rsid w:val="00CA7E83"/>
    <w:rsid w:val="00CB09E4"/>
    <w:rsid w:val="00CB11DB"/>
    <w:rsid w:val="00CB7D8A"/>
    <w:rsid w:val="00CC40ED"/>
    <w:rsid w:val="00CC4A25"/>
    <w:rsid w:val="00CC5968"/>
    <w:rsid w:val="00CC7E9E"/>
    <w:rsid w:val="00CD13D9"/>
    <w:rsid w:val="00CD185F"/>
    <w:rsid w:val="00CD2B71"/>
    <w:rsid w:val="00CD6C31"/>
    <w:rsid w:val="00CD6D04"/>
    <w:rsid w:val="00CE592A"/>
    <w:rsid w:val="00CF1180"/>
    <w:rsid w:val="00CF1743"/>
    <w:rsid w:val="00CF5551"/>
    <w:rsid w:val="00D004DC"/>
    <w:rsid w:val="00D00B28"/>
    <w:rsid w:val="00D02296"/>
    <w:rsid w:val="00D02BB9"/>
    <w:rsid w:val="00D13479"/>
    <w:rsid w:val="00D1680A"/>
    <w:rsid w:val="00D2508F"/>
    <w:rsid w:val="00D31A30"/>
    <w:rsid w:val="00D40301"/>
    <w:rsid w:val="00D432A1"/>
    <w:rsid w:val="00D507DB"/>
    <w:rsid w:val="00D52F04"/>
    <w:rsid w:val="00D600FA"/>
    <w:rsid w:val="00D67CAD"/>
    <w:rsid w:val="00D7130B"/>
    <w:rsid w:val="00D75326"/>
    <w:rsid w:val="00D822AB"/>
    <w:rsid w:val="00D841C8"/>
    <w:rsid w:val="00D875E4"/>
    <w:rsid w:val="00D9035C"/>
    <w:rsid w:val="00D96102"/>
    <w:rsid w:val="00D97EC2"/>
    <w:rsid w:val="00D97FD4"/>
    <w:rsid w:val="00DA5C30"/>
    <w:rsid w:val="00DB5904"/>
    <w:rsid w:val="00DC2F0E"/>
    <w:rsid w:val="00DD0EF0"/>
    <w:rsid w:val="00DD1D92"/>
    <w:rsid w:val="00DD2DA8"/>
    <w:rsid w:val="00DD7712"/>
    <w:rsid w:val="00DD7FEA"/>
    <w:rsid w:val="00DE01A8"/>
    <w:rsid w:val="00DE0E81"/>
    <w:rsid w:val="00E010C7"/>
    <w:rsid w:val="00E0689C"/>
    <w:rsid w:val="00E2481C"/>
    <w:rsid w:val="00E27C5E"/>
    <w:rsid w:val="00E30466"/>
    <w:rsid w:val="00E41C2F"/>
    <w:rsid w:val="00E422E0"/>
    <w:rsid w:val="00E51667"/>
    <w:rsid w:val="00E52E2E"/>
    <w:rsid w:val="00E66EB9"/>
    <w:rsid w:val="00E770E3"/>
    <w:rsid w:val="00E85592"/>
    <w:rsid w:val="00E858F6"/>
    <w:rsid w:val="00E87A36"/>
    <w:rsid w:val="00E95A06"/>
    <w:rsid w:val="00EA51BD"/>
    <w:rsid w:val="00EB3281"/>
    <w:rsid w:val="00EB3615"/>
    <w:rsid w:val="00EB6E6D"/>
    <w:rsid w:val="00EB70F9"/>
    <w:rsid w:val="00EC1369"/>
    <w:rsid w:val="00EC53B4"/>
    <w:rsid w:val="00EC6095"/>
    <w:rsid w:val="00ED2ED3"/>
    <w:rsid w:val="00EE0497"/>
    <w:rsid w:val="00EF2CD5"/>
    <w:rsid w:val="00EF400F"/>
    <w:rsid w:val="00F02FA8"/>
    <w:rsid w:val="00F0408C"/>
    <w:rsid w:val="00F10F0C"/>
    <w:rsid w:val="00F15A91"/>
    <w:rsid w:val="00F176AA"/>
    <w:rsid w:val="00F17DE4"/>
    <w:rsid w:val="00F22876"/>
    <w:rsid w:val="00F26A87"/>
    <w:rsid w:val="00F37EA3"/>
    <w:rsid w:val="00F425D8"/>
    <w:rsid w:val="00F53DE4"/>
    <w:rsid w:val="00F60DA0"/>
    <w:rsid w:val="00F72361"/>
    <w:rsid w:val="00F8016A"/>
    <w:rsid w:val="00F80D65"/>
    <w:rsid w:val="00F80E22"/>
    <w:rsid w:val="00F83F09"/>
    <w:rsid w:val="00F84DBA"/>
    <w:rsid w:val="00F85E05"/>
    <w:rsid w:val="00F86EA6"/>
    <w:rsid w:val="00F96BEE"/>
    <w:rsid w:val="00FA4F45"/>
    <w:rsid w:val="00FA565A"/>
    <w:rsid w:val="00FA5871"/>
    <w:rsid w:val="00FB1712"/>
    <w:rsid w:val="00FB1770"/>
    <w:rsid w:val="00FE009B"/>
    <w:rsid w:val="00FE0FCC"/>
    <w:rsid w:val="00FE4D23"/>
    <w:rsid w:val="00FE7C67"/>
    <w:rsid w:val="00FF3AB8"/>
    <w:rsid w:val="00FF4A85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locked="1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Mincho" w:hAnsi="Cambria"/>
      <w:sz w:val="24"/>
      <w:szCs w:val="24"/>
      <w:lang w:val="ru-RU" w:eastAsia="ja-JP"/>
    </w:rPr>
  </w:style>
  <w:style w:type="paragraph" w:styleId="Heading1">
    <w:name w:val="heading 1"/>
    <w:basedOn w:val="Normal"/>
    <w:link w:val="Heading1Char"/>
    <w:qFormat/>
    <w:pPr>
      <w:widowControl w:val="0"/>
      <w:numPr>
        <w:numId w:val="3"/>
      </w:numPr>
      <w:spacing w:after="80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3"/>
      </w:numPr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3"/>
      </w:numPr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3"/>
      </w:numPr>
      <w:spacing w:before="240" w:after="60" w:line="276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3"/>
      </w:numPr>
      <w:spacing w:before="240" w:after="60" w:line="276" w:lineRule="auto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3"/>
      </w:numPr>
      <w:spacing w:before="240" w:after="60" w:line="276" w:lineRule="auto"/>
      <w:outlineLvl w:val="6"/>
    </w:pPr>
    <w:rPr>
      <w:rFonts w:ascii="Times New Roman" w:eastAsia="Times New Roman" w:hAnsi="Times New Roman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numPr>
        <w:ilvl w:val="7"/>
        <w:numId w:val="3"/>
      </w:numPr>
      <w:spacing w:before="240" w:after="60" w:line="276" w:lineRule="auto"/>
      <w:outlineLvl w:val="7"/>
    </w:pPr>
    <w:rPr>
      <w:rFonts w:ascii="Times New Roman" w:eastAsia="Times New Roman" w:hAnsi="Times New Roman"/>
      <w:i/>
      <w:iCs/>
      <w:lang w:val="en-US" w:eastAsia="en-US"/>
    </w:rPr>
  </w:style>
  <w:style w:type="paragraph" w:styleId="Heading9">
    <w:name w:val="heading 9"/>
    <w:basedOn w:val="Normal"/>
    <w:next w:val="Normal"/>
    <w:qFormat/>
    <w:pPr>
      <w:widowControl w:val="0"/>
      <w:numPr>
        <w:ilvl w:val="8"/>
        <w:numId w:val="3"/>
      </w:numPr>
      <w:spacing w:before="240" w:after="60" w:line="276" w:lineRule="auto"/>
      <w:outlineLvl w:val="8"/>
    </w:pPr>
    <w:rPr>
      <w:rFonts w:ascii="Arial" w:eastAsia="Times New Roman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eastAsia="MS Mincho"/>
      <w:b/>
      <w:bCs/>
      <w:sz w:val="24"/>
      <w:szCs w:val="24"/>
      <w:lang w:val="ru-RU" w:eastAsia="ja-JP" w:bidi="ar-SA"/>
    </w:rPr>
  </w:style>
  <w:style w:type="paragraph" w:customStyle="1" w:styleId="CM4">
    <w:name w:val="CM4"/>
    <w:basedOn w:val="Normal"/>
    <w:next w:val="Normal"/>
    <w:pPr>
      <w:autoSpaceDE w:val="0"/>
      <w:autoSpaceDN w:val="0"/>
      <w:adjustRightInd w:val="0"/>
    </w:pPr>
    <w:rPr>
      <w:rFonts w:ascii="EUAlbertina" w:eastAsia="Times New Roman" w:hAnsi="EUAlbertina"/>
      <w:lang w:val="en-US" w:eastAsia="en-US"/>
    </w:rPr>
  </w:style>
  <w:style w:type="paragraph" w:customStyle="1" w:styleId="a">
    <w:name w:val="Списък на абзаци"/>
    <w:basedOn w:val="Normal"/>
    <w:uiPriority w:val="34"/>
    <w:qFormat/>
    <w:pPr>
      <w:ind w:left="720"/>
    </w:pPr>
  </w:style>
  <w:style w:type="paragraph" w:styleId="BodyTextIndent3">
    <w:name w:val="Body Text Indent 3"/>
    <w:basedOn w:val="Normal"/>
    <w:link w:val="BodyTextIndent3Char"/>
    <w:pPr>
      <w:widowControl w:val="0"/>
      <w:spacing w:after="120" w:line="276" w:lineRule="auto"/>
      <w:ind w:left="283"/>
    </w:pPr>
    <w:rPr>
      <w:rFonts w:ascii="Calibri" w:eastAsia="Times New Roman" w:hAnsi="Calibri"/>
      <w:sz w:val="16"/>
      <w:szCs w:val="20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  <w:rPr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List2">
    <w:name w:val="List 2"/>
    <w:basedOn w:val="Normal"/>
    <w:pPr>
      <w:ind w:left="566" w:hanging="283"/>
    </w:pPr>
    <w:rPr>
      <w:rFonts w:ascii="Times New Roman" w:eastAsia="Times New Roman" w:hAnsi="Times New Roman"/>
      <w:lang w:val="en-GB" w:eastAsia="en-US"/>
    </w:rPr>
  </w:style>
  <w:style w:type="paragraph" w:styleId="List3">
    <w:name w:val="List 3"/>
    <w:basedOn w:val="Normal"/>
    <w:pPr>
      <w:ind w:left="849" w:hanging="283"/>
    </w:pPr>
    <w:rPr>
      <w:rFonts w:ascii="Times New Roman" w:eastAsia="Times New Roman" w:hAnsi="Times New Roman"/>
      <w:lang w:val="en-GB" w:eastAsia="en-US"/>
    </w:rPr>
  </w:style>
  <w:style w:type="paragraph" w:styleId="List4">
    <w:name w:val="List 4"/>
    <w:basedOn w:val="Normal"/>
    <w:pPr>
      <w:ind w:left="1132" w:hanging="283"/>
    </w:pPr>
    <w:rPr>
      <w:rFonts w:ascii="Times New Roman" w:eastAsia="Times New Roman" w:hAnsi="Times New Roman"/>
      <w:lang w:val="en-GB" w:eastAsia="en-US"/>
    </w:rPr>
  </w:style>
  <w:style w:type="paragraph" w:styleId="List5">
    <w:name w:val="List 5"/>
    <w:basedOn w:val="Normal"/>
    <w:pPr>
      <w:ind w:left="1415" w:hanging="283"/>
    </w:pPr>
    <w:rPr>
      <w:rFonts w:ascii="Times New Roman" w:eastAsia="Times New Roman" w:hAnsi="Times New Roman"/>
      <w:lang w:val="en-GB" w:eastAsia="en-US"/>
    </w:rPr>
  </w:style>
  <w:style w:type="paragraph" w:customStyle="1" w:styleId="Style">
    <w:name w:val="Style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0">
    <w:name w:val="style0"/>
    <w:basedOn w:val="Normal"/>
    <w:pPr>
      <w:ind w:firstLine="1200"/>
      <w:jc w:val="both"/>
    </w:pPr>
    <w:rPr>
      <w:rFonts w:ascii="Times New Roman" w:eastAsia="Times New Roman" w:hAnsi="Times New Roman"/>
      <w:lang w:val="en-US" w:eastAsia="en-US"/>
    </w:rPr>
  </w:style>
  <w:style w:type="paragraph" w:customStyle="1" w:styleId="tv213tvp">
    <w:name w:val="tv213 tvp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val="lv-LV" w:eastAsia="lv-LV"/>
    </w:rPr>
  </w:style>
  <w:style w:type="paragraph" w:customStyle="1" w:styleId="tv213limenis3">
    <w:name w:val="tv213 limenis3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val="lv-LV" w:eastAsia="lv-LV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3">
    <w:name w:val="CM3"/>
    <w:basedOn w:val="Default"/>
    <w:next w:val="Default"/>
    <w:rPr>
      <w:rFonts w:cs="Times New Roman"/>
      <w:color w:val="auto"/>
    </w:rPr>
  </w:style>
  <w:style w:type="character" w:customStyle="1" w:styleId="contentheadersubtitle">
    <w:name w:val="contentheadersubtitle"/>
    <w:rPr>
      <w:sz w:val="19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link w:val="CommentText"/>
    <w:locked/>
    <w:rPr>
      <w:rFonts w:ascii="Cambria" w:eastAsia="MS Mincho" w:hAnsi="Cambria"/>
      <w:lang w:val="ru-RU" w:eastAsia="ja-JP"/>
    </w:rPr>
  </w:style>
  <w:style w:type="character" w:customStyle="1" w:styleId="BodyTextIndent3Char">
    <w:name w:val="Body Text Indent 3 Char"/>
    <w:link w:val="BodyTextIndent3"/>
    <w:locked/>
    <w:rPr>
      <w:rFonts w:ascii="Calibri" w:hAnsi="Calibri"/>
      <w:sz w:val="16"/>
    </w:rPr>
  </w:style>
  <w:style w:type="character" w:customStyle="1" w:styleId="st1">
    <w:name w:val="st1"/>
  </w:style>
  <w:style w:type="character" w:styleId="CommentReference">
    <w:name w:val="annotation reference"/>
    <w:uiPriority w:val="99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ascii="Cambria" w:eastAsia="MS Mincho" w:hAnsi="Cambria"/>
      <w:b/>
      <w:lang w:val="ru-RU" w:eastAsia="ja-JP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Tahoma" w:eastAsia="MS Mincho" w:hAnsi="Tahoma"/>
      <w:sz w:val="16"/>
      <w:lang w:val="ru-RU" w:eastAsia="ja-JP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/>
      <w:sz w:val="24"/>
      <w:lang w:val="ru-RU" w:eastAsia="ja-JP"/>
    </w:rPr>
  </w:style>
  <w:style w:type="paragraph" w:customStyle="1" w:styleId="a0">
    <w:name w:val="Редакция"/>
    <w:hidden/>
    <w:semiHidden/>
    <w:rPr>
      <w:rFonts w:ascii="Cambria" w:eastAsia="MS Mincho" w:hAnsi="Cambria"/>
      <w:sz w:val="24"/>
      <w:szCs w:val="24"/>
      <w:lang w:val="ru-RU" w:eastAsia="ja-JP"/>
    </w:rPr>
  </w:style>
  <w:style w:type="paragraph" w:customStyle="1" w:styleId="CharChar5">
    <w:name w:val="Char Char5"/>
    <w:basedOn w:val="Normal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Char5CharCharCharChar">
    <w:name w:val="Char Char5 Char Char Char Char"/>
    <w:basedOn w:val="Normal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customStyle="1" w:styleId="HeaderChar">
    <w:name w:val="Header Char"/>
    <w:link w:val="Header"/>
    <w:locked/>
    <w:rPr>
      <w:rFonts w:ascii="Cambria" w:eastAsia="MS Mincho" w:hAnsi="Cambria"/>
      <w:sz w:val="24"/>
      <w:lang w:val="ru-RU" w:eastAsia="ja-JP"/>
    </w:rPr>
  </w:style>
  <w:style w:type="paragraph" w:customStyle="1" w:styleId="CharCharCharChar">
    <w:name w:val="Char Char Char Char"/>
    <w:basedOn w:val="Normal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  <w:style w:type="character" w:customStyle="1" w:styleId="BodytextItalic">
    <w:name w:val="Body text + Itali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SimSun" w:hAnsi="Times New Roman"/>
      <w:lang w:val="bg-BG" w:eastAsia="zh-CN"/>
    </w:rPr>
  </w:style>
  <w:style w:type="paragraph" w:styleId="PlainText">
    <w:name w:val="Plain Text"/>
    <w:basedOn w:val="Normal"/>
    <w:link w:val="PlainTextChar"/>
    <w:uiPriority w:val="99"/>
    <w:rsid w:val="00D67CAD"/>
    <w:rPr>
      <w:rFonts w:ascii="Consolas" w:eastAsia="Calibri" w:hAnsi="Consolas"/>
      <w:sz w:val="21"/>
      <w:szCs w:val="20"/>
      <w:lang w:val="en-US" w:eastAsia="ko-KR"/>
    </w:rPr>
  </w:style>
  <w:style w:type="character" w:customStyle="1" w:styleId="PlainTextChar">
    <w:name w:val="Plain Text Char"/>
    <w:link w:val="PlainText"/>
    <w:uiPriority w:val="99"/>
    <w:rsid w:val="00D67CAD"/>
    <w:rPr>
      <w:rFonts w:ascii="Consolas" w:eastAsia="Calibri" w:hAnsi="Consolas"/>
      <w:sz w:val="21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locked="1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Mincho" w:hAnsi="Cambria"/>
      <w:sz w:val="24"/>
      <w:szCs w:val="24"/>
      <w:lang w:val="ru-RU" w:eastAsia="ja-JP"/>
    </w:rPr>
  </w:style>
  <w:style w:type="paragraph" w:styleId="Heading1">
    <w:name w:val="heading 1"/>
    <w:basedOn w:val="Normal"/>
    <w:link w:val="Heading1Char"/>
    <w:qFormat/>
    <w:pPr>
      <w:widowControl w:val="0"/>
      <w:numPr>
        <w:numId w:val="3"/>
      </w:numPr>
      <w:spacing w:after="80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3"/>
      </w:numPr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3"/>
      </w:numPr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3"/>
      </w:numPr>
      <w:spacing w:before="240" w:after="60" w:line="276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3"/>
      </w:numPr>
      <w:spacing w:before="240" w:after="60" w:line="276" w:lineRule="auto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3"/>
      </w:numPr>
      <w:spacing w:before="240" w:after="60" w:line="276" w:lineRule="auto"/>
      <w:outlineLvl w:val="6"/>
    </w:pPr>
    <w:rPr>
      <w:rFonts w:ascii="Times New Roman" w:eastAsia="Times New Roman" w:hAnsi="Times New Roman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numPr>
        <w:ilvl w:val="7"/>
        <w:numId w:val="3"/>
      </w:numPr>
      <w:spacing w:before="240" w:after="60" w:line="276" w:lineRule="auto"/>
      <w:outlineLvl w:val="7"/>
    </w:pPr>
    <w:rPr>
      <w:rFonts w:ascii="Times New Roman" w:eastAsia="Times New Roman" w:hAnsi="Times New Roman"/>
      <w:i/>
      <w:iCs/>
      <w:lang w:val="en-US" w:eastAsia="en-US"/>
    </w:rPr>
  </w:style>
  <w:style w:type="paragraph" w:styleId="Heading9">
    <w:name w:val="heading 9"/>
    <w:basedOn w:val="Normal"/>
    <w:next w:val="Normal"/>
    <w:qFormat/>
    <w:pPr>
      <w:widowControl w:val="0"/>
      <w:numPr>
        <w:ilvl w:val="8"/>
        <w:numId w:val="3"/>
      </w:numPr>
      <w:spacing w:before="240" w:after="60" w:line="276" w:lineRule="auto"/>
      <w:outlineLvl w:val="8"/>
    </w:pPr>
    <w:rPr>
      <w:rFonts w:ascii="Arial" w:eastAsia="Times New Roman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eastAsia="MS Mincho"/>
      <w:b/>
      <w:bCs/>
      <w:sz w:val="24"/>
      <w:szCs w:val="24"/>
      <w:lang w:val="ru-RU" w:eastAsia="ja-JP" w:bidi="ar-SA"/>
    </w:rPr>
  </w:style>
  <w:style w:type="paragraph" w:customStyle="1" w:styleId="CM4">
    <w:name w:val="CM4"/>
    <w:basedOn w:val="Normal"/>
    <w:next w:val="Normal"/>
    <w:pPr>
      <w:autoSpaceDE w:val="0"/>
      <w:autoSpaceDN w:val="0"/>
      <w:adjustRightInd w:val="0"/>
    </w:pPr>
    <w:rPr>
      <w:rFonts w:ascii="EUAlbertina" w:eastAsia="Times New Roman" w:hAnsi="EUAlbertina"/>
      <w:lang w:val="en-US" w:eastAsia="en-US"/>
    </w:rPr>
  </w:style>
  <w:style w:type="paragraph" w:customStyle="1" w:styleId="a">
    <w:name w:val="Списък на абзаци"/>
    <w:basedOn w:val="Normal"/>
    <w:uiPriority w:val="34"/>
    <w:qFormat/>
    <w:pPr>
      <w:ind w:left="720"/>
    </w:pPr>
  </w:style>
  <w:style w:type="paragraph" w:styleId="BodyTextIndent3">
    <w:name w:val="Body Text Indent 3"/>
    <w:basedOn w:val="Normal"/>
    <w:link w:val="BodyTextIndent3Char"/>
    <w:pPr>
      <w:widowControl w:val="0"/>
      <w:spacing w:after="120" w:line="276" w:lineRule="auto"/>
      <w:ind w:left="283"/>
    </w:pPr>
    <w:rPr>
      <w:rFonts w:ascii="Calibri" w:eastAsia="Times New Roman" w:hAnsi="Calibri"/>
      <w:sz w:val="16"/>
      <w:szCs w:val="20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  <w:rPr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List2">
    <w:name w:val="List 2"/>
    <w:basedOn w:val="Normal"/>
    <w:pPr>
      <w:ind w:left="566" w:hanging="283"/>
    </w:pPr>
    <w:rPr>
      <w:rFonts w:ascii="Times New Roman" w:eastAsia="Times New Roman" w:hAnsi="Times New Roman"/>
      <w:lang w:val="en-GB" w:eastAsia="en-US"/>
    </w:rPr>
  </w:style>
  <w:style w:type="paragraph" w:styleId="List3">
    <w:name w:val="List 3"/>
    <w:basedOn w:val="Normal"/>
    <w:pPr>
      <w:ind w:left="849" w:hanging="283"/>
    </w:pPr>
    <w:rPr>
      <w:rFonts w:ascii="Times New Roman" w:eastAsia="Times New Roman" w:hAnsi="Times New Roman"/>
      <w:lang w:val="en-GB" w:eastAsia="en-US"/>
    </w:rPr>
  </w:style>
  <w:style w:type="paragraph" w:styleId="List4">
    <w:name w:val="List 4"/>
    <w:basedOn w:val="Normal"/>
    <w:pPr>
      <w:ind w:left="1132" w:hanging="283"/>
    </w:pPr>
    <w:rPr>
      <w:rFonts w:ascii="Times New Roman" w:eastAsia="Times New Roman" w:hAnsi="Times New Roman"/>
      <w:lang w:val="en-GB" w:eastAsia="en-US"/>
    </w:rPr>
  </w:style>
  <w:style w:type="paragraph" w:styleId="List5">
    <w:name w:val="List 5"/>
    <w:basedOn w:val="Normal"/>
    <w:pPr>
      <w:ind w:left="1415" w:hanging="283"/>
    </w:pPr>
    <w:rPr>
      <w:rFonts w:ascii="Times New Roman" w:eastAsia="Times New Roman" w:hAnsi="Times New Roman"/>
      <w:lang w:val="en-GB" w:eastAsia="en-US"/>
    </w:rPr>
  </w:style>
  <w:style w:type="paragraph" w:customStyle="1" w:styleId="Style">
    <w:name w:val="Style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0">
    <w:name w:val="style0"/>
    <w:basedOn w:val="Normal"/>
    <w:pPr>
      <w:ind w:firstLine="1200"/>
      <w:jc w:val="both"/>
    </w:pPr>
    <w:rPr>
      <w:rFonts w:ascii="Times New Roman" w:eastAsia="Times New Roman" w:hAnsi="Times New Roman"/>
      <w:lang w:val="en-US" w:eastAsia="en-US"/>
    </w:rPr>
  </w:style>
  <w:style w:type="paragraph" w:customStyle="1" w:styleId="tv213tvp">
    <w:name w:val="tv213 tvp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val="lv-LV" w:eastAsia="lv-LV"/>
    </w:rPr>
  </w:style>
  <w:style w:type="paragraph" w:customStyle="1" w:styleId="tv213limenis3">
    <w:name w:val="tv213 limenis3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val="lv-LV" w:eastAsia="lv-LV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3">
    <w:name w:val="CM3"/>
    <w:basedOn w:val="Default"/>
    <w:next w:val="Default"/>
    <w:rPr>
      <w:rFonts w:cs="Times New Roman"/>
      <w:color w:val="auto"/>
    </w:rPr>
  </w:style>
  <w:style w:type="character" w:customStyle="1" w:styleId="contentheadersubtitle">
    <w:name w:val="contentheadersubtitle"/>
    <w:rPr>
      <w:sz w:val="19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link w:val="CommentText"/>
    <w:locked/>
    <w:rPr>
      <w:rFonts w:ascii="Cambria" w:eastAsia="MS Mincho" w:hAnsi="Cambria"/>
      <w:lang w:val="ru-RU" w:eastAsia="ja-JP"/>
    </w:rPr>
  </w:style>
  <w:style w:type="character" w:customStyle="1" w:styleId="BodyTextIndent3Char">
    <w:name w:val="Body Text Indent 3 Char"/>
    <w:link w:val="BodyTextIndent3"/>
    <w:locked/>
    <w:rPr>
      <w:rFonts w:ascii="Calibri" w:hAnsi="Calibri"/>
      <w:sz w:val="16"/>
    </w:rPr>
  </w:style>
  <w:style w:type="character" w:customStyle="1" w:styleId="st1">
    <w:name w:val="st1"/>
  </w:style>
  <w:style w:type="character" w:styleId="CommentReference">
    <w:name w:val="annotation reference"/>
    <w:uiPriority w:val="99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ascii="Cambria" w:eastAsia="MS Mincho" w:hAnsi="Cambria"/>
      <w:b/>
      <w:lang w:val="ru-RU" w:eastAsia="ja-JP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Tahoma" w:eastAsia="MS Mincho" w:hAnsi="Tahoma"/>
      <w:sz w:val="16"/>
      <w:lang w:val="ru-RU" w:eastAsia="ja-JP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/>
      <w:sz w:val="24"/>
      <w:lang w:val="ru-RU" w:eastAsia="ja-JP"/>
    </w:rPr>
  </w:style>
  <w:style w:type="paragraph" w:customStyle="1" w:styleId="a0">
    <w:name w:val="Редакция"/>
    <w:hidden/>
    <w:semiHidden/>
    <w:rPr>
      <w:rFonts w:ascii="Cambria" w:eastAsia="MS Mincho" w:hAnsi="Cambria"/>
      <w:sz w:val="24"/>
      <w:szCs w:val="24"/>
      <w:lang w:val="ru-RU" w:eastAsia="ja-JP"/>
    </w:rPr>
  </w:style>
  <w:style w:type="paragraph" w:customStyle="1" w:styleId="CharChar5">
    <w:name w:val="Char Char5"/>
    <w:basedOn w:val="Normal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Char5CharCharCharChar">
    <w:name w:val="Char Char5 Char Char Char Char"/>
    <w:basedOn w:val="Normal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customStyle="1" w:styleId="HeaderChar">
    <w:name w:val="Header Char"/>
    <w:link w:val="Header"/>
    <w:locked/>
    <w:rPr>
      <w:rFonts w:ascii="Cambria" w:eastAsia="MS Mincho" w:hAnsi="Cambria"/>
      <w:sz w:val="24"/>
      <w:lang w:val="ru-RU" w:eastAsia="ja-JP"/>
    </w:rPr>
  </w:style>
  <w:style w:type="paragraph" w:customStyle="1" w:styleId="CharCharCharChar">
    <w:name w:val="Char Char Char Char"/>
    <w:basedOn w:val="Normal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  <w:style w:type="character" w:customStyle="1" w:styleId="BodytextItalic">
    <w:name w:val="Body text + Itali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SimSun" w:hAnsi="Times New Roman"/>
      <w:lang w:val="bg-BG" w:eastAsia="zh-CN"/>
    </w:rPr>
  </w:style>
  <w:style w:type="paragraph" w:styleId="PlainText">
    <w:name w:val="Plain Text"/>
    <w:basedOn w:val="Normal"/>
    <w:link w:val="PlainTextChar"/>
    <w:uiPriority w:val="99"/>
    <w:rsid w:val="00D67CAD"/>
    <w:rPr>
      <w:rFonts w:ascii="Consolas" w:eastAsia="Calibri" w:hAnsi="Consolas"/>
      <w:sz w:val="21"/>
      <w:szCs w:val="20"/>
      <w:lang w:val="en-US" w:eastAsia="ko-KR"/>
    </w:rPr>
  </w:style>
  <w:style w:type="character" w:customStyle="1" w:styleId="PlainTextChar">
    <w:name w:val="Plain Text Char"/>
    <w:link w:val="PlainText"/>
    <w:uiPriority w:val="99"/>
    <w:rsid w:val="00D67CAD"/>
    <w:rPr>
      <w:rFonts w:ascii="Consolas" w:eastAsia="Calibri" w:hAnsi="Consolas"/>
      <w:sz w:val="21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0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b.apis.bg/e.php?b=1&amp;i=1525" TargetMode="External"/><Relationship Id="rId18" Type="http://schemas.openxmlformats.org/officeDocument/2006/relationships/hyperlink" Target="http://web.apis.bg/e.php?b=1&amp;i=531179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eb.apis.bg/e.php?b=1&amp;i=415003" TargetMode="External"/><Relationship Id="rId17" Type="http://schemas.openxmlformats.org/officeDocument/2006/relationships/hyperlink" Target="http://web.apis.bg/e.php?b=1&amp;i=5311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.apis.bg/e.php?b=1&amp;i=325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.apis.bg/e.php?b=1&amp;i=205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.apis.bg/e.php?b=1&amp;i=185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eb.apis.bg/e.php?b=1&amp;i=308920" TargetMode="External"/><Relationship Id="rId19" Type="http://schemas.openxmlformats.org/officeDocument/2006/relationships/hyperlink" Target="http://web.apis.bg/e.php?b=1&amp;i=5311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.apis.bg/e.php?b=1&amp;i=180771" TargetMode="External"/><Relationship Id="rId14" Type="http://schemas.openxmlformats.org/officeDocument/2006/relationships/hyperlink" Target="http://web.apis.bg/e.php?b=1&amp;i=18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B657-B3E1-4280-A1FF-F9A67095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17</Pages>
  <Words>6036</Words>
  <Characters>34410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РАЗРЕШАВАНЕ НА ПРОДУКТИ ЗА РАСТИТЕЛНА ЗАЩИТА</vt:lpstr>
    </vt:vector>
  </TitlesOfParts>
  <Company>HOME</Company>
  <LinksUpToDate>false</LinksUpToDate>
  <CharactersWithSpaces>40366</CharactersWithSpaces>
  <SharedDoc>false</SharedDoc>
  <HLinks>
    <vt:vector size="66" baseType="variant">
      <vt:variant>
        <vt:i4>1245265</vt:i4>
      </vt:variant>
      <vt:variant>
        <vt:i4>30</vt:i4>
      </vt:variant>
      <vt:variant>
        <vt:i4>0</vt:i4>
      </vt:variant>
      <vt:variant>
        <vt:i4>5</vt:i4>
      </vt:variant>
      <vt:variant>
        <vt:lpwstr>http://web.apis.bg/e.php?b=1&amp;i=531179</vt:lpwstr>
      </vt:variant>
      <vt:variant>
        <vt:lpwstr/>
      </vt:variant>
      <vt:variant>
        <vt:i4>1245265</vt:i4>
      </vt:variant>
      <vt:variant>
        <vt:i4>27</vt:i4>
      </vt:variant>
      <vt:variant>
        <vt:i4>0</vt:i4>
      </vt:variant>
      <vt:variant>
        <vt:i4>5</vt:i4>
      </vt:variant>
      <vt:variant>
        <vt:lpwstr>http://web.apis.bg/e.php?b=1&amp;i=531179</vt:lpwstr>
      </vt:variant>
      <vt:variant>
        <vt:lpwstr/>
      </vt:variant>
      <vt:variant>
        <vt:i4>1245265</vt:i4>
      </vt:variant>
      <vt:variant>
        <vt:i4>24</vt:i4>
      </vt:variant>
      <vt:variant>
        <vt:i4>0</vt:i4>
      </vt:variant>
      <vt:variant>
        <vt:i4>5</vt:i4>
      </vt:variant>
      <vt:variant>
        <vt:lpwstr>http://web.apis.bg/e.php?b=1&amp;i=531179</vt:lpwstr>
      </vt:variant>
      <vt:variant>
        <vt:lpwstr/>
      </vt:variant>
      <vt:variant>
        <vt:i4>2490465</vt:i4>
      </vt:variant>
      <vt:variant>
        <vt:i4>21</vt:i4>
      </vt:variant>
      <vt:variant>
        <vt:i4>0</vt:i4>
      </vt:variant>
      <vt:variant>
        <vt:i4>5</vt:i4>
      </vt:variant>
      <vt:variant>
        <vt:lpwstr>http://web.apis.bg/e.php?b=1&amp;i=3253</vt:lpwstr>
      </vt:variant>
      <vt:variant>
        <vt:lpwstr/>
      </vt:variant>
      <vt:variant>
        <vt:i4>2359403</vt:i4>
      </vt:variant>
      <vt:variant>
        <vt:i4>18</vt:i4>
      </vt:variant>
      <vt:variant>
        <vt:i4>0</vt:i4>
      </vt:variant>
      <vt:variant>
        <vt:i4>5</vt:i4>
      </vt:variant>
      <vt:variant>
        <vt:lpwstr>http://web.apis.bg/e.php?b=1&amp;i=1856</vt:lpwstr>
      </vt:variant>
      <vt:variant>
        <vt:lpwstr/>
      </vt:variant>
      <vt:variant>
        <vt:i4>2228331</vt:i4>
      </vt:variant>
      <vt:variant>
        <vt:i4>15</vt:i4>
      </vt:variant>
      <vt:variant>
        <vt:i4>0</vt:i4>
      </vt:variant>
      <vt:variant>
        <vt:i4>5</vt:i4>
      </vt:variant>
      <vt:variant>
        <vt:lpwstr>http://web.apis.bg/e.php?b=1&amp;i=1836</vt:lpwstr>
      </vt:variant>
      <vt:variant>
        <vt:lpwstr/>
      </vt:variant>
      <vt:variant>
        <vt:i4>2293862</vt:i4>
      </vt:variant>
      <vt:variant>
        <vt:i4>12</vt:i4>
      </vt:variant>
      <vt:variant>
        <vt:i4>0</vt:i4>
      </vt:variant>
      <vt:variant>
        <vt:i4>5</vt:i4>
      </vt:variant>
      <vt:variant>
        <vt:lpwstr>http://web.apis.bg/e.php?b=1&amp;i=1525</vt:lpwstr>
      </vt:variant>
      <vt:variant>
        <vt:lpwstr/>
      </vt:variant>
      <vt:variant>
        <vt:i4>1114194</vt:i4>
      </vt:variant>
      <vt:variant>
        <vt:i4>9</vt:i4>
      </vt:variant>
      <vt:variant>
        <vt:i4>0</vt:i4>
      </vt:variant>
      <vt:variant>
        <vt:i4>5</vt:i4>
      </vt:variant>
      <vt:variant>
        <vt:lpwstr>http://web.apis.bg/e.php?b=1&amp;i=415003</vt:lpwstr>
      </vt:variant>
      <vt:variant>
        <vt:lpwstr/>
      </vt:variant>
      <vt:variant>
        <vt:i4>2556003</vt:i4>
      </vt:variant>
      <vt:variant>
        <vt:i4>6</vt:i4>
      </vt:variant>
      <vt:variant>
        <vt:i4>0</vt:i4>
      </vt:variant>
      <vt:variant>
        <vt:i4>5</vt:i4>
      </vt:variant>
      <vt:variant>
        <vt:lpwstr>http://web.apis.bg/e.php?b=1&amp;i=2055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http://web.apis.bg/e.php?b=1&amp;i=308920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http://web.apis.bg/e.php?b=1&amp;i=180771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РАЗРЕШАВАНЕ НА ПРОДУКТИ ЗА РАСТИТЕЛНА ЗАЩИТА</dc:title>
  <dc:creator>LILI</dc:creator>
  <cp:lastModifiedBy>Petya Ivanova</cp:lastModifiedBy>
  <cp:revision>8</cp:revision>
  <cp:lastPrinted>2020-06-19T09:17:00Z</cp:lastPrinted>
  <dcterms:created xsi:type="dcterms:W3CDTF">2020-06-19T09:17:00Z</dcterms:created>
  <dcterms:modified xsi:type="dcterms:W3CDTF">2020-06-25T12:41:00Z</dcterms:modified>
</cp:coreProperties>
</file>