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54B" w:rsidRPr="00A94110" w:rsidRDefault="005C27C0" w:rsidP="00A941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9411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Отговор на </w:t>
      </w:r>
      <w:bookmarkStart w:id="0" w:name="_GoBack"/>
      <w:r w:rsidRPr="00F82A5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въпрос</w:t>
      </w:r>
      <w:r w:rsidRPr="00A9411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bookmarkEnd w:id="0"/>
      <w:r w:rsidRPr="00A94110">
        <w:rPr>
          <w:rFonts w:ascii="Times New Roman" w:eastAsia="Times New Roman" w:hAnsi="Times New Roman" w:cs="Times New Roman"/>
          <w:b/>
          <w:i/>
          <w:sz w:val="28"/>
          <w:szCs w:val="28"/>
        </w:rPr>
        <w:t>от Светла Бъчварова и Николай Пенев - народни представители от ПГ „БСП за България“ относно подкрепата за малките земеделски стопанства в сектор „Плодове и зеленчуци“ за 2019г.</w:t>
      </w:r>
    </w:p>
    <w:p w:rsidR="005C27C0" w:rsidRDefault="005C27C0" w:rsidP="005C27C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27C0" w:rsidRPr="00A94110" w:rsidRDefault="005C27C0" w:rsidP="005C27C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4110">
        <w:rPr>
          <w:rFonts w:ascii="Times New Roman" w:eastAsia="Times New Roman" w:hAnsi="Times New Roman" w:cs="Times New Roman"/>
          <w:b/>
          <w:sz w:val="28"/>
          <w:szCs w:val="28"/>
        </w:rPr>
        <w:t>УВАЖАЕМИ ГОСПОДИН ПРДЕДСЕДАТЕЛ,</w:t>
      </w:r>
    </w:p>
    <w:p w:rsidR="005C27C0" w:rsidRPr="00A94110" w:rsidRDefault="005C27C0" w:rsidP="005C27C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4110">
        <w:rPr>
          <w:rFonts w:ascii="Times New Roman" w:eastAsia="Times New Roman" w:hAnsi="Times New Roman" w:cs="Times New Roman"/>
          <w:b/>
          <w:sz w:val="28"/>
          <w:szCs w:val="28"/>
        </w:rPr>
        <w:t>УВАЖАЕМА ПРОФЕСОР БЪЧВАРОВА,</w:t>
      </w:r>
    </w:p>
    <w:p w:rsidR="005C27C0" w:rsidRPr="00A94110" w:rsidRDefault="00306732" w:rsidP="005C27C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4110">
        <w:rPr>
          <w:rFonts w:ascii="Times New Roman" w:eastAsia="Times New Roman" w:hAnsi="Times New Roman" w:cs="Times New Roman"/>
          <w:b/>
          <w:sz w:val="28"/>
          <w:szCs w:val="28"/>
        </w:rPr>
        <w:t>УВАЖАЕМИ ГОСПО</w:t>
      </w:r>
      <w:r w:rsidR="005C27C0" w:rsidRPr="00A94110">
        <w:rPr>
          <w:rFonts w:ascii="Times New Roman" w:eastAsia="Times New Roman" w:hAnsi="Times New Roman" w:cs="Times New Roman"/>
          <w:b/>
          <w:sz w:val="28"/>
          <w:szCs w:val="28"/>
        </w:rPr>
        <w:t>ДИН ПЕНЕВ,</w:t>
      </w:r>
    </w:p>
    <w:p w:rsidR="00A67D9F" w:rsidRDefault="00A67D9F" w:rsidP="00A02F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27C0" w:rsidRPr="00306732" w:rsidRDefault="00D019F3" w:rsidP="00A02F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6732">
        <w:rPr>
          <w:rFonts w:ascii="Times New Roman" w:hAnsi="Times New Roman" w:cs="Times New Roman"/>
          <w:sz w:val="28"/>
          <w:szCs w:val="28"/>
        </w:rPr>
        <w:t>Първо искам да кажа,</w:t>
      </w:r>
      <w:r w:rsidR="00DC1329" w:rsidRPr="00306732">
        <w:rPr>
          <w:rFonts w:ascii="Times New Roman" w:hAnsi="Times New Roman" w:cs="Times New Roman"/>
          <w:sz w:val="28"/>
          <w:szCs w:val="28"/>
        </w:rPr>
        <w:t xml:space="preserve"> </w:t>
      </w:r>
      <w:r w:rsidRPr="00306732">
        <w:rPr>
          <w:rFonts w:ascii="Times New Roman" w:hAnsi="Times New Roman" w:cs="Times New Roman"/>
          <w:sz w:val="28"/>
          <w:szCs w:val="28"/>
        </w:rPr>
        <w:t>че</w:t>
      </w:r>
      <w:r w:rsidR="00DC1329" w:rsidRPr="00306732">
        <w:rPr>
          <w:rFonts w:ascii="Times New Roman" w:hAnsi="Times New Roman" w:cs="Times New Roman"/>
          <w:sz w:val="28"/>
          <w:szCs w:val="28"/>
        </w:rPr>
        <w:t xml:space="preserve"> правим подпомагане с европейски и национални средства</w:t>
      </w:r>
      <w:r w:rsidR="000513B0" w:rsidRPr="00306732">
        <w:rPr>
          <w:rFonts w:ascii="Times New Roman" w:hAnsi="Times New Roman" w:cs="Times New Roman"/>
          <w:sz w:val="28"/>
          <w:szCs w:val="28"/>
        </w:rPr>
        <w:t xml:space="preserve"> само за регистрирани земеделски производители. В тази връзка, ако една семейна градина</w:t>
      </w:r>
      <w:r w:rsidR="009D62E7" w:rsidRPr="00306732">
        <w:rPr>
          <w:rFonts w:ascii="Times New Roman" w:hAnsi="Times New Roman" w:cs="Times New Roman"/>
          <w:sz w:val="28"/>
          <w:szCs w:val="28"/>
        </w:rPr>
        <w:t xml:space="preserve">, семейно лозе не </w:t>
      </w:r>
      <w:r w:rsidR="000513B0" w:rsidRPr="00306732">
        <w:rPr>
          <w:rFonts w:ascii="Times New Roman" w:hAnsi="Times New Roman" w:cs="Times New Roman"/>
          <w:sz w:val="28"/>
          <w:szCs w:val="28"/>
        </w:rPr>
        <w:t>са регистрирани като земеделски производители по общата европейска регулаторна рамка, ние нямаме право на национално решение за финансиране на такива производители. Вярно е</w:t>
      </w:r>
      <w:r w:rsidR="009D62E7" w:rsidRPr="00306732">
        <w:rPr>
          <w:rFonts w:ascii="Times New Roman" w:hAnsi="Times New Roman" w:cs="Times New Roman"/>
          <w:sz w:val="28"/>
          <w:szCs w:val="28"/>
        </w:rPr>
        <w:t>,</w:t>
      </w:r>
      <w:r w:rsidR="000513B0" w:rsidRPr="00306732">
        <w:rPr>
          <w:rFonts w:ascii="Times New Roman" w:hAnsi="Times New Roman" w:cs="Times New Roman"/>
          <w:sz w:val="28"/>
          <w:szCs w:val="28"/>
        </w:rPr>
        <w:t xml:space="preserve"> те се отчитат за нуждите на </w:t>
      </w:r>
      <w:proofErr w:type="spellStart"/>
      <w:r w:rsidR="000513B0" w:rsidRPr="00306732">
        <w:rPr>
          <w:rFonts w:ascii="Times New Roman" w:hAnsi="Times New Roman" w:cs="Times New Roman"/>
          <w:sz w:val="28"/>
          <w:szCs w:val="28"/>
        </w:rPr>
        <w:t>агростатистиката</w:t>
      </w:r>
      <w:proofErr w:type="spellEnd"/>
      <w:r w:rsidR="000513B0" w:rsidRPr="00306732">
        <w:rPr>
          <w:rFonts w:ascii="Times New Roman" w:hAnsi="Times New Roman" w:cs="Times New Roman"/>
          <w:sz w:val="28"/>
          <w:szCs w:val="28"/>
        </w:rPr>
        <w:t>, но</w:t>
      </w:r>
      <w:r w:rsidR="009D62E7" w:rsidRPr="00306732">
        <w:rPr>
          <w:rFonts w:ascii="Times New Roman" w:hAnsi="Times New Roman" w:cs="Times New Roman"/>
          <w:sz w:val="28"/>
          <w:szCs w:val="28"/>
        </w:rPr>
        <w:t xml:space="preserve"> такава</w:t>
      </w:r>
      <w:r w:rsidR="000513B0" w:rsidRPr="00306732">
        <w:rPr>
          <w:rFonts w:ascii="Times New Roman" w:hAnsi="Times New Roman" w:cs="Times New Roman"/>
          <w:sz w:val="28"/>
          <w:szCs w:val="28"/>
        </w:rPr>
        <w:t xml:space="preserve"> финансова подкрепа, ние не можем да предоставим за тях.</w:t>
      </w:r>
    </w:p>
    <w:p w:rsidR="00A67D9F" w:rsidRDefault="00AF392B" w:rsidP="00A67D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6732">
        <w:rPr>
          <w:rFonts w:ascii="Times New Roman" w:hAnsi="Times New Roman" w:cs="Times New Roman"/>
          <w:sz w:val="28"/>
          <w:szCs w:val="28"/>
        </w:rPr>
        <w:t xml:space="preserve">Продължавам по отношение на подпомагането, </w:t>
      </w:r>
      <w:r w:rsidR="009D62E7" w:rsidRPr="00306732">
        <w:rPr>
          <w:rFonts w:ascii="Times New Roman" w:hAnsi="Times New Roman" w:cs="Times New Roman"/>
          <w:sz w:val="28"/>
          <w:szCs w:val="28"/>
        </w:rPr>
        <w:t>ще дам</w:t>
      </w:r>
      <w:r w:rsidRPr="00306732">
        <w:rPr>
          <w:rFonts w:ascii="Times New Roman" w:hAnsi="Times New Roman" w:cs="Times New Roman"/>
          <w:sz w:val="28"/>
          <w:szCs w:val="28"/>
        </w:rPr>
        <w:t xml:space="preserve"> много точна информация. Заявявам,</w:t>
      </w:r>
      <w:r w:rsidR="009D62E7" w:rsidRPr="00306732">
        <w:rPr>
          <w:rFonts w:ascii="Times New Roman" w:hAnsi="Times New Roman" w:cs="Times New Roman"/>
          <w:sz w:val="28"/>
          <w:szCs w:val="28"/>
        </w:rPr>
        <w:t xml:space="preserve"> </w:t>
      </w:r>
      <w:r w:rsidRPr="00306732">
        <w:rPr>
          <w:rFonts w:ascii="Times New Roman" w:hAnsi="Times New Roman" w:cs="Times New Roman"/>
          <w:sz w:val="28"/>
          <w:szCs w:val="28"/>
        </w:rPr>
        <w:t>че България е взела всички възможни национални решения в обхвата на директни плащания, въз основа, на които чувствителните  сектори  - „Плодове и зеленчуци“, „Животновъдство“ получават максимално</w:t>
      </w:r>
      <w:r w:rsidR="009D62E7" w:rsidRPr="00306732">
        <w:rPr>
          <w:rFonts w:ascii="Times New Roman" w:hAnsi="Times New Roman" w:cs="Times New Roman"/>
          <w:sz w:val="28"/>
          <w:szCs w:val="28"/>
        </w:rPr>
        <w:t xml:space="preserve"> допустимите</w:t>
      </w:r>
      <w:r w:rsidRPr="00306732">
        <w:rPr>
          <w:rFonts w:ascii="Times New Roman" w:hAnsi="Times New Roman" w:cs="Times New Roman"/>
          <w:sz w:val="28"/>
          <w:szCs w:val="28"/>
        </w:rPr>
        <w:t xml:space="preserve"> по европейски регламент 13 %</w:t>
      </w:r>
      <w:r w:rsidR="00202A0B" w:rsidRPr="00306732">
        <w:rPr>
          <w:rFonts w:ascii="Times New Roman" w:hAnsi="Times New Roman" w:cs="Times New Roman"/>
          <w:sz w:val="28"/>
          <w:szCs w:val="28"/>
        </w:rPr>
        <w:t xml:space="preserve"> от пакета директни плащания</w:t>
      </w:r>
      <w:r w:rsidRPr="00306732">
        <w:rPr>
          <w:rFonts w:ascii="Times New Roman" w:hAnsi="Times New Roman" w:cs="Times New Roman"/>
          <w:sz w:val="28"/>
          <w:szCs w:val="28"/>
        </w:rPr>
        <w:t xml:space="preserve"> за обвързана подкрепа</w:t>
      </w:r>
      <w:r w:rsidR="00202A0B" w:rsidRPr="00306732">
        <w:rPr>
          <w:rFonts w:ascii="Times New Roman" w:hAnsi="Times New Roman" w:cs="Times New Roman"/>
          <w:sz w:val="28"/>
          <w:szCs w:val="28"/>
        </w:rPr>
        <w:t>. Второ</w:t>
      </w:r>
      <w:r w:rsidR="009D62E7" w:rsidRPr="00306732">
        <w:rPr>
          <w:rFonts w:ascii="Times New Roman" w:hAnsi="Times New Roman" w:cs="Times New Roman"/>
          <w:sz w:val="28"/>
          <w:szCs w:val="28"/>
        </w:rPr>
        <w:t>,</w:t>
      </w:r>
      <w:r w:rsidR="00202A0B" w:rsidRPr="00306732">
        <w:rPr>
          <w:rFonts w:ascii="Times New Roman" w:hAnsi="Times New Roman" w:cs="Times New Roman"/>
          <w:sz w:val="28"/>
          <w:szCs w:val="28"/>
        </w:rPr>
        <w:t xml:space="preserve"> взели сме решение, такова, каквото е допустимо за прилагане по общата регулаторна </w:t>
      </w:r>
      <w:r w:rsidR="002A757B" w:rsidRPr="00306732">
        <w:rPr>
          <w:rFonts w:ascii="Times New Roman" w:hAnsi="Times New Roman" w:cs="Times New Roman"/>
          <w:sz w:val="28"/>
          <w:szCs w:val="28"/>
        </w:rPr>
        <w:t>мярка</w:t>
      </w:r>
      <w:r w:rsidR="00202A0B" w:rsidRPr="00306732">
        <w:rPr>
          <w:rFonts w:ascii="Times New Roman" w:hAnsi="Times New Roman" w:cs="Times New Roman"/>
          <w:sz w:val="28"/>
          <w:szCs w:val="28"/>
        </w:rPr>
        <w:t xml:space="preserve"> за </w:t>
      </w:r>
      <w:r w:rsidR="002A757B" w:rsidRPr="00306732">
        <w:rPr>
          <w:rFonts w:ascii="Times New Roman" w:hAnsi="Times New Roman" w:cs="Times New Roman"/>
          <w:sz w:val="28"/>
          <w:szCs w:val="28"/>
        </w:rPr>
        <w:t xml:space="preserve"> прилагане на </w:t>
      </w:r>
      <w:proofErr w:type="spellStart"/>
      <w:r w:rsidR="00202A0B" w:rsidRPr="00306732">
        <w:rPr>
          <w:rFonts w:ascii="Times New Roman" w:hAnsi="Times New Roman" w:cs="Times New Roman"/>
          <w:sz w:val="28"/>
          <w:szCs w:val="28"/>
        </w:rPr>
        <w:t>преразпределително</w:t>
      </w:r>
      <w:proofErr w:type="spellEnd"/>
      <w:r w:rsidR="00202A0B" w:rsidRPr="00306732">
        <w:rPr>
          <w:rFonts w:ascii="Times New Roman" w:hAnsi="Times New Roman" w:cs="Times New Roman"/>
          <w:sz w:val="28"/>
          <w:szCs w:val="28"/>
        </w:rPr>
        <w:t xml:space="preserve"> плащане</w:t>
      </w:r>
      <w:r w:rsidR="002A757B" w:rsidRPr="00306732">
        <w:rPr>
          <w:rFonts w:ascii="Times New Roman" w:hAnsi="Times New Roman" w:cs="Times New Roman"/>
          <w:sz w:val="28"/>
          <w:szCs w:val="28"/>
        </w:rPr>
        <w:t>. Това са високите плащания на хектар, за първите 30 ха</w:t>
      </w:r>
      <w:r w:rsidR="009D62E7" w:rsidRPr="00306732">
        <w:rPr>
          <w:rFonts w:ascii="Times New Roman" w:hAnsi="Times New Roman" w:cs="Times New Roman"/>
          <w:sz w:val="28"/>
          <w:szCs w:val="28"/>
        </w:rPr>
        <w:t>.</w:t>
      </w:r>
      <w:r w:rsidR="002A757B" w:rsidRPr="00306732">
        <w:rPr>
          <w:rFonts w:ascii="Times New Roman" w:hAnsi="Times New Roman" w:cs="Times New Roman"/>
          <w:sz w:val="28"/>
          <w:szCs w:val="28"/>
        </w:rPr>
        <w:t xml:space="preserve"> </w:t>
      </w:r>
      <w:r w:rsidR="009D62E7" w:rsidRPr="00306732">
        <w:rPr>
          <w:rFonts w:ascii="Times New Roman" w:hAnsi="Times New Roman" w:cs="Times New Roman"/>
          <w:sz w:val="28"/>
          <w:szCs w:val="28"/>
        </w:rPr>
        <w:t>В</w:t>
      </w:r>
      <w:r w:rsidR="002A757B" w:rsidRPr="00306732">
        <w:rPr>
          <w:rFonts w:ascii="Times New Roman" w:hAnsi="Times New Roman" w:cs="Times New Roman"/>
          <w:sz w:val="28"/>
          <w:szCs w:val="28"/>
        </w:rPr>
        <w:t xml:space="preserve"> обхвата на директното подпомагане сме въвели модулирана ставка</w:t>
      </w:r>
      <w:r w:rsidR="004963B7" w:rsidRPr="00306732">
        <w:rPr>
          <w:rFonts w:ascii="Times New Roman" w:hAnsi="Times New Roman" w:cs="Times New Roman"/>
          <w:sz w:val="28"/>
          <w:szCs w:val="28"/>
        </w:rPr>
        <w:t xml:space="preserve"> пак за първите 30 ха в растениевъдството и по категория животни едри преживни животни и дребни преживни животни има различни норми. За по- малко брой животни има по- високо заплащане.  Заявявам, че всички възможни национални решения, които могат да се вземат в обхвата на общата европейска регулаторна рамка са взети за подпомагане на малките и средни земеделски стопанства</w:t>
      </w:r>
      <w:r w:rsidR="009D62E7" w:rsidRPr="00306732">
        <w:rPr>
          <w:rFonts w:ascii="Times New Roman" w:hAnsi="Times New Roman" w:cs="Times New Roman"/>
          <w:sz w:val="28"/>
          <w:szCs w:val="28"/>
        </w:rPr>
        <w:t>.</w:t>
      </w:r>
    </w:p>
    <w:p w:rsidR="00A67D9F" w:rsidRDefault="00A67D9F" w:rsidP="00A67D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27C0" w:rsidRPr="00306732" w:rsidRDefault="008D182E" w:rsidP="00A67D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6732">
        <w:rPr>
          <w:rFonts w:ascii="Times New Roman" w:hAnsi="Times New Roman" w:cs="Times New Roman"/>
          <w:sz w:val="28"/>
          <w:szCs w:val="28"/>
        </w:rPr>
        <w:t xml:space="preserve">Ще представя статистически данни: </w:t>
      </w: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1629"/>
        <w:gridCol w:w="1662"/>
        <w:gridCol w:w="1102"/>
        <w:gridCol w:w="1134"/>
      </w:tblGrid>
      <w:tr w:rsidR="00A02FF3" w:rsidRPr="00A02FF3" w:rsidTr="00CB0EF7">
        <w:trPr>
          <w:trHeight w:val="112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lastRenderedPageBreak/>
              <w:t>Схеми за директни плащания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Брой заявления с оторизирани плащания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Оторизирани плащания (лв.)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Ставка до 30 ха (</w:t>
            </w:r>
            <w:proofErr w:type="spellStart"/>
            <w:r w:rsidRPr="00A02FF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лв</w:t>
            </w:r>
            <w:proofErr w:type="spellEnd"/>
            <w:r w:rsidRPr="00A02FF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Ставка над 30 ха (</w:t>
            </w:r>
            <w:proofErr w:type="spellStart"/>
            <w:r w:rsidRPr="00A02FF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лв</w:t>
            </w:r>
            <w:proofErr w:type="spellEnd"/>
            <w:r w:rsidRPr="00A02FF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A02FF3" w:rsidRPr="00A02FF3" w:rsidTr="00CB0EF7">
        <w:trPr>
          <w:trHeight w:val="281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FF3" w:rsidRPr="00A02FF3" w:rsidRDefault="00A02FF3" w:rsidP="00A02F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Схема за единно плащане на площ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56 726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712 483 023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194.58</w:t>
            </w:r>
          </w:p>
        </w:tc>
      </w:tr>
      <w:tr w:rsidR="00A02FF3" w:rsidRPr="00A02FF3" w:rsidTr="00CB0EF7">
        <w:trPr>
          <w:trHeight w:val="844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FF3" w:rsidRPr="00A02FF3" w:rsidRDefault="00A02FF3" w:rsidP="00A02F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Схема за плащане за селскостопански практики, които са благоприятни за климата и околната среда – зелени директни плащания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56 632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451 976 031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122.67</w:t>
            </w:r>
          </w:p>
        </w:tc>
      </w:tr>
      <w:tr w:rsidR="00A02FF3" w:rsidRPr="00A02FF3" w:rsidTr="00CB0EF7">
        <w:trPr>
          <w:trHeight w:val="281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FF3" w:rsidRPr="00A02FF3" w:rsidRDefault="00A02FF3" w:rsidP="00A02F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Схема за </w:t>
            </w:r>
            <w:proofErr w:type="spellStart"/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преразпределително</w:t>
            </w:r>
            <w:proofErr w:type="spellEnd"/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плащане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56 505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105 190 942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137.22</w:t>
            </w:r>
          </w:p>
        </w:tc>
      </w:tr>
      <w:tr w:rsidR="00A02FF3" w:rsidRPr="00A02FF3" w:rsidTr="00CB0EF7">
        <w:trPr>
          <w:trHeight w:val="281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FF3" w:rsidRPr="00A02FF3" w:rsidRDefault="00A02FF3" w:rsidP="00A02F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Схема за млади земеделски стопани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3 858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3 701 570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97.29</w:t>
            </w:r>
          </w:p>
        </w:tc>
      </w:tr>
      <w:tr w:rsidR="00A02FF3" w:rsidRPr="00A02FF3" w:rsidTr="00CB0EF7">
        <w:trPr>
          <w:trHeight w:val="562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FF3" w:rsidRPr="00A02FF3" w:rsidRDefault="00A02FF3" w:rsidP="00A02FF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sz w:val="20"/>
                <w:szCs w:val="20"/>
              </w:rPr>
              <w:t>Схема за обвързано подпомагане за плодове (основна група)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5 968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30 824 083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1 820.85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1 213.90</w:t>
            </w:r>
          </w:p>
        </w:tc>
      </w:tr>
      <w:tr w:rsidR="00A02FF3" w:rsidRPr="00A02FF3" w:rsidTr="00CB0EF7">
        <w:trPr>
          <w:trHeight w:val="562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FF3" w:rsidRPr="00A02FF3" w:rsidRDefault="00A02FF3" w:rsidP="00A02F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Схема за обвързано подпомагане за плодове (сливи и десертно грозде)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3 228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6 833 542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1 040.70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693.80</w:t>
            </w:r>
          </w:p>
        </w:tc>
      </w:tr>
      <w:tr w:rsidR="00A02FF3" w:rsidRPr="00A02FF3" w:rsidTr="00CB0EF7">
        <w:trPr>
          <w:trHeight w:val="562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FF3" w:rsidRPr="00A02FF3" w:rsidRDefault="00A02FF3" w:rsidP="00A02F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Схема за обвързано подпомагане за зеленчуци (домати, краставици, </w:t>
            </w:r>
            <w:proofErr w:type="spellStart"/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корнишони</w:t>
            </w:r>
            <w:proofErr w:type="spellEnd"/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и патладжан)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2 061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5 863 101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1 361.01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907.34</w:t>
            </w:r>
          </w:p>
        </w:tc>
      </w:tr>
      <w:tr w:rsidR="00A02FF3" w:rsidRPr="00A02FF3" w:rsidTr="00CB0EF7">
        <w:trPr>
          <w:trHeight w:val="281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FF3" w:rsidRPr="00A02FF3" w:rsidRDefault="00A02FF3" w:rsidP="00A02F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Схема за обвързано подпомагане за зеленчуци (пипер)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1 377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4 078 044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1 942.72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1 295.15</w:t>
            </w:r>
          </w:p>
        </w:tc>
      </w:tr>
      <w:tr w:rsidR="00A02FF3" w:rsidRPr="00A02FF3" w:rsidTr="00CB0EF7">
        <w:trPr>
          <w:trHeight w:val="562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FF3" w:rsidRPr="00A02FF3" w:rsidRDefault="00A02FF3" w:rsidP="00A02FF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sz w:val="20"/>
                <w:szCs w:val="20"/>
              </w:rPr>
              <w:t>Схема за обвързано подпомагане за зеленчуци (картофи, лук и чесън)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2 839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11 908 087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1 351.36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900.91</w:t>
            </w:r>
          </w:p>
        </w:tc>
      </w:tr>
      <w:tr w:rsidR="00A02FF3" w:rsidRPr="00A02FF3" w:rsidTr="00CB0EF7">
        <w:trPr>
          <w:trHeight w:val="562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FF3" w:rsidRPr="00A02FF3" w:rsidRDefault="00A02FF3" w:rsidP="00A02F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Схема за обвързано подпомагане за зеленчуци (моркови, зеле, дини и пъпеши)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2 791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5 744 146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881.05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587.37</w:t>
            </w:r>
          </w:p>
        </w:tc>
      </w:tr>
      <w:tr w:rsidR="00A02FF3" w:rsidRPr="00A02FF3" w:rsidTr="00CB0EF7">
        <w:trPr>
          <w:trHeight w:val="562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FF3" w:rsidRPr="00A02FF3" w:rsidRDefault="00A02FF3" w:rsidP="00A02FF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sz w:val="20"/>
                <w:szCs w:val="20"/>
              </w:rPr>
              <w:t xml:space="preserve">Схема за обвързано подпомагане за оранжерийни зеленчуци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7 781 698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13 205.49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13 205.49</w:t>
            </w:r>
          </w:p>
        </w:tc>
      </w:tr>
      <w:tr w:rsidR="00A02FF3" w:rsidRPr="00A02FF3" w:rsidTr="00CB0EF7">
        <w:trPr>
          <w:trHeight w:val="293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FF3" w:rsidRPr="00A02FF3" w:rsidRDefault="00A02FF3" w:rsidP="00A02F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Схема за обвързано подпомагане за протеинови култури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16 810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30 412 143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FF3" w:rsidRPr="00A02FF3" w:rsidRDefault="00A02FF3" w:rsidP="00A02FF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A02FF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214.77</w:t>
            </w:r>
          </w:p>
        </w:tc>
      </w:tr>
    </w:tbl>
    <w:p w:rsidR="00A02FF3" w:rsidRPr="00A02FF3" w:rsidRDefault="00A02FF3" w:rsidP="00A02F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p w:rsidR="00C420B2" w:rsidRDefault="00C420B2" w:rsidP="00A02F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6732">
        <w:rPr>
          <w:rFonts w:ascii="Times New Roman" w:hAnsi="Times New Roman" w:cs="Times New Roman"/>
          <w:sz w:val="28"/>
          <w:szCs w:val="28"/>
        </w:rPr>
        <w:t>Над 98% от броя на производителите, заявили обвързана подкрепа по схемите за плодове и зеленчуци, са получили по-високия размер на подпомагане, което представлява 77% от заявената площ по тези схеми. Искам да кажа, че ставките за обвързана подкрепа не са окончателни, поради приключване на съответните процедури.</w:t>
      </w:r>
    </w:p>
    <w:p w:rsidR="00A94110" w:rsidRPr="004B7539" w:rsidRDefault="00A94110" w:rsidP="00A94110">
      <w:pPr>
        <w:tabs>
          <w:tab w:val="left" w:pos="1090"/>
        </w:tabs>
        <w:jc w:val="both"/>
        <w:rPr>
          <w:b/>
          <w:sz w:val="28"/>
          <w:szCs w:val="28"/>
        </w:rPr>
      </w:pPr>
      <w:r w:rsidRPr="004B7539">
        <w:rPr>
          <w:b/>
          <w:sz w:val="28"/>
          <w:szCs w:val="28"/>
        </w:rPr>
        <w:t>БЛАГОДАРЯ ЗА ВНИМАНИЕТО</w:t>
      </w:r>
    </w:p>
    <w:p w:rsidR="00A94110" w:rsidRPr="00306732" w:rsidRDefault="00A94110" w:rsidP="00A02FF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94110" w:rsidRPr="00306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0CA"/>
    <w:rsid w:val="000513B0"/>
    <w:rsid w:val="000A10CA"/>
    <w:rsid w:val="00202A0B"/>
    <w:rsid w:val="002A757B"/>
    <w:rsid w:val="00306732"/>
    <w:rsid w:val="0047354B"/>
    <w:rsid w:val="004963B7"/>
    <w:rsid w:val="005C27C0"/>
    <w:rsid w:val="008D182E"/>
    <w:rsid w:val="009D62E7"/>
    <w:rsid w:val="00A02FF3"/>
    <w:rsid w:val="00A67D9F"/>
    <w:rsid w:val="00A94110"/>
    <w:rsid w:val="00AF392B"/>
    <w:rsid w:val="00C420B2"/>
    <w:rsid w:val="00D019F3"/>
    <w:rsid w:val="00DC1329"/>
    <w:rsid w:val="00F8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Albena Yambolieva</dc:creator>
  <cp:keywords/>
  <dc:description/>
  <cp:lastModifiedBy>Yulian Aleksandrov</cp:lastModifiedBy>
  <cp:revision>10</cp:revision>
  <dcterms:created xsi:type="dcterms:W3CDTF">2020-06-18T10:07:00Z</dcterms:created>
  <dcterms:modified xsi:type="dcterms:W3CDTF">2020-06-18T13:38:00Z</dcterms:modified>
</cp:coreProperties>
</file>