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DD4A" w14:textId="77777777" w:rsidR="006471B2" w:rsidRPr="002014CF" w:rsidRDefault="006471B2" w:rsidP="002014CF">
      <w:pPr>
        <w:spacing w:line="360" w:lineRule="auto"/>
        <w:jc w:val="right"/>
        <w:rPr>
          <w:rFonts w:ascii="Verdana" w:hAnsi="Verdana"/>
          <w:b/>
          <w:sz w:val="20"/>
          <w:lang w:val="bg-BG"/>
        </w:rPr>
      </w:pPr>
      <w:r w:rsidRPr="002014CF">
        <w:rPr>
          <w:rFonts w:ascii="Verdana" w:hAnsi="Verdana"/>
          <w:b/>
          <w:sz w:val="20"/>
          <w:lang w:val="bg-BG"/>
        </w:rPr>
        <w:t>Приложение № 1</w:t>
      </w:r>
    </w:p>
    <w:p w14:paraId="4B7958BE" w14:textId="77777777" w:rsidR="006471B2" w:rsidRDefault="006471B2" w:rsidP="002014CF">
      <w:pPr>
        <w:spacing w:line="360" w:lineRule="auto"/>
        <w:jc w:val="right"/>
        <w:rPr>
          <w:rFonts w:ascii="Verdana" w:hAnsi="Verdana"/>
          <w:sz w:val="20"/>
          <w:lang w:val="bg-BG"/>
        </w:rPr>
      </w:pPr>
      <w:r w:rsidRPr="002014CF">
        <w:rPr>
          <w:rFonts w:ascii="Verdana" w:hAnsi="Verdana"/>
          <w:sz w:val="20"/>
          <w:lang w:val="bg-BG"/>
        </w:rPr>
        <w:t>към чл. 16 от Наредбата за обхвата и методологията за извършване на оценка на въздействието</w:t>
      </w:r>
    </w:p>
    <w:p w14:paraId="56255AC4" w14:textId="77777777" w:rsidR="004108C4" w:rsidRPr="002014CF" w:rsidRDefault="004108C4" w:rsidP="002014CF">
      <w:pPr>
        <w:spacing w:line="360" w:lineRule="auto"/>
        <w:jc w:val="right"/>
        <w:rPr>
          <w:rFonts w:ascii="Verdana" w:hAnsi="Verdana"/>
          <w:sz w:val="20"/>
          <w:lang w:val="bg-BG"/>
        </w:rPr>
      </w:pPr>
    </w:p>
    <w:p w14:paraId="094E4A6B" w14:textId="77777777" w:rsidR="006471B2" w:rsidRPr="002014CF" w:rsidRDefault="006471B2" w:rsidP="002014CF">
      <w:pPr>
        <w:spacing w:line="360" w:lineRule="auto"/>
        <w:rPr>
          <w:rFonts w:ascii="Verdana" w:hAnsi="Verdana"/>
          <w:b/>
          <w:sz w:val="20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6471B2" w:rsidRPr="002014CF" w14:paraId="2B8E78B4" w14:textId="77777777" w:rsidTr="00E92CAB">
        <w:tc>
          <w:tcPr>
            <w:tcW w:w="9184" w:type="dxa"/>
            <w:gridSpan w:val="2"/>
            <w:shd w:val="clear" w:color="auto" w:fill="D9D9D9"/>
          </w:tcPr>
          <w:p w14:paraId="1B8992BC" w14:textId="77777777" w:rsidR="006471B2" w:rsidRPr="002014CF" w:rsidRDefault="006471B2" w:rsidP="002014CF">
            <w:pPr>
              <w:spacing w:before="120" w:line="360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Формуляр за частична предварителна оценка на въздействието*</w:t>
            </w:r>
          </w:p>
          <w:p w14:paraId="07CF020E" w14:textId="77777777" w:rsidR="006471B2" w:rsidRPr="002014CF" w:rsidRDefault="006471B2" w:rsidP="002014CF">
            <w:pPr>
              <w:spacing w:line="360" w:lineRule="auto"/>
              <w:jc w:val="center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6471B2" w:rsidRPr="002014CF" w14:paraId="4FA066E6" w14:textId="77777777" w:rsidTr="00E92CAB">
        <w:tc>
          <w:tcPr>
            <w:tcW w:w="4407" w:type="dxa"/>
            <w:shd w:val="clear" w:color="auto" w:fill="auto"/>
          </w:tcPr>
          <w:p w14:paraId="13B94BEA" w14:textId="77777777" w:rsidR="006471B2" w:rsidRPr="002014CF" w:rsidRDefault="006471B2" w:rsidP="002014C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Институция: Министерство на земеделието,</w:t>
            </w:r>
            <w:r w:rsidR="006C3990" w:rsidRPr="002014CF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храните и горите</w:t>
            </w:r>
          </w:p>
        </w:tc>
        <w:tc>
          <w:tcPr>
            <w:tcW w:w="4777" w:type="dxa"/>
            <w:shd w:val="clear" w:color="auto" w:fill="auto"/>
          </w:tcPr>
          <w:p w14:paraId="46A1FE2A" w14:textId="77777777" w:rsidR="00D349B5" w:rsidRPr="002014CF" w:rsidRDefault="006471B2" w:rsidP="002014C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Нормативен акт: </w:t>
            </w:r>
            <w:r w:rsidR="00DA18B9" w:rsidRPr="002014CF">
              <w:rPr>
                <w:rFonts w:ascii="Verdana" w:hAnsi="Verdana"/>
                <w:b/>
                <w:sz w:val="20"/>
                <w:lang w:val="bg-BG"/>
              </w:rPr>
              <w:t>Проект на Постановление на Министерския съвет за изменение на Постановление       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ДВ., бр. 102 от 2011 г.)</w:t>
            </w:r>
          </w:p>
        </w:tc>
      </w:tr>
      <w:tr w:rsidR="006471B2" w:rsidRPr="002014CF" w14:paraId="3124D477" w14:textId="77777777" w:rsidTr="00E92CAB">
        <w:tc>
          <w:tcPr>
            <w:tcW w:w="4407" w:type="dxa"/>
            <w:shd w:val="clear" w:color="auto" w:fill="auto"/>
          </w:tcPr>
          <w:p w14:paraId="579876FF" w14:textId="77777777" w:rsidR="006471B2" w:rsidRPr="002014CF" w:rsidRDefault="006471B2" w:rsidP="002014C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За включване в законодателната/</w:t>
            </w:r>
          </w:p>
          <w:p w14:paraId="0F19EEA1" w14:textId="77777777" w:rsidR="00364420" w:rsidRPr="002014CF" w:rsidRDefault="006471B2" w:rsidP="002014CF">
            <w:pPr>
              <w:spacing w:line="360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u w:val="single"/>
                <w:lang w:val="bg-BG"/>
              </w:rPr>
              <w:t>оперативната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 програма на Ми</w:t>
            </w:r>
            <w:r w:rsidR="00364420" w:rsidRPr="002014CF">
              <w:rPr>
                <w:rFonts w:ascii="Verdana" w:hAnsi="Verdana"/>
                <w:b/>
                <w:sz w:val="20"/>
                <w:lang w:val="bg-BG"/>
              </w:rPr>
              <w:t xml:space="preserve">нистерския съвет за периода: </w:t>
            </w:r>
          </w:p>
          <w:p w14:paraId="70E44FBB" w14:textId="77777777" w:rsidR="006471B2" w:rsidRPr="002014CF" w:rsidRDefault="00364420" w:rsidP="002014CF">
            <w:pPr>
              <w:spacing w:after="120" w:line="360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01 януари </w:t>
            </w:r>
            <w:r w:rsidR="002262AF" w:rsidRPr="002014CF">
              <w:rPr>
                <w:rFonts w:ascii="Verdana" w:hAnsi="Verdana"/>
                <w:b/>
                <w:sz w:val="20"/>
                <w:lang w:val="bg-BG"/>
              </w:rPr>
              <w:t xml:space="preserve"> – 30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 юни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2262AF" w:rsidRPr="002014CF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777" w:type="dxa"/>
            <w:shd w:val="clear" w:color="auto" w:fill="auto"/>
            <w:vAlign w:val="bottom"/>
          </w:tcPr>
          <w:p w14:paraId="01D3B073" w14:textId="1ACB1C7C" w:rsidR="006471B2" w:rsidRPr="002014CF" w:rsidRDefault="006471B2" w:rsidP="002014CF">
            <w:pPr>
              <w:spacing w:after="120" w:line="360" w:lineRule="auto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Дата: </w:t>
            </w:r>
            <w:r w:rsidR="008E2233">
              <w:rPr>
                <w:rFonts w:ascii="Verdana" w:hAnsi="Verdana"/>
                <w:b/>
                <w:sz w:val="20"/>
                <w:lang w:val="bg-BG"/>
              </w:rPr>
              <w:t>19</w:t>
            </w:r>
            <w:r w:rsidR="00671137" w:rsidRPr="002014CF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="005A5FD1" w:rsidRPr="002014CF">
              <w:rPr>
                <w:rFonts w:ascii="Verdana" w:hAnsi="Verdana"/>
                <w:b/>
                <w:sz w:val="20"/>
                <w:lang w:val="bg-BG"/>
              </w:rPr>
              <w:t>0</w:t>
            </w:r>
            <w:r w:rsidR="00C97DDE" w:rsidRPr="002014CF">
              <w:rPr>
                <w:rFonts w:ascii="Verdana" w:hAnsi="Verdana"/>
                <w:b/>
                <w:sz w:val="20"/>
                <w:lang w:val="bg-BG"/>
              </w:rPr>
              <w:t>5</w:t>
            </w:r>
            <w:r w:rsidR="00671137" w:rsidRPr="002014CF">
              <w:rPr>
                <w:rFonts w:ascii="Verdana" w:hAnsi="Verdana"/>
                <w:b/>
                <w:sz w:val="20"/>
                <w:lang w:val="bg-BG"/>
              </w:rPr>
              <w:t>.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D53659" w:rsidRPr="002014CF">
              <w:rPr>
                <w:rFonts w:ascii="Verdana" w:hAnsi="Verdana"/>
                <w:b/>
                <w:sz w:val="20"/>
                <w:lang w:val="bg-BG"/>
              </w:rPr>
              <w:t>20</w:t>
            </w:r>
            <w:r w:rsidR="00C758AD" w:rsidRPr="002014CF">
              <w:rPr>
                <w:rFonts w:ascii="Verdana" w:hAnsi="Verdana"/>
                <w:b/>
                <w:sz w:val="20"/>
                <w:lang w:val="bg-BG"/>
              </w:rPr>
              <w:t> 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г.</w:t>
            </w:r>
          </w:p>
        </w:tc>
      </w:tr>
      <w:tr w:rsidR="006471B2" w:rsidRPr="002014CF" w14:paraId="6AA1CBC5" w14:textId="77777777" w:rsidTr="00E92CAB">
        <w:tc>
          <w:tcPr>
            <w:tcW w:w="4407" w:type="dxa"/>
            <w:shd w:val="clear" w:color="auto" w:fill="auto"/>
          </w:tcPr>
          <w:p w14:paraId="6CF7A4E8" w14:textId="77777777" w:rsidR="00CA45D6" w:rsidRPr="002014CF" w:rsidRDefault="006471B2" w:rsidP="002014C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lang w:val="ru-RU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Контакт за въпроси: </w:t>
            </w:r>
          </w:p>
          <w:p w14:paraId="5168BAF8" w14:textId="17FCBE83" w:rsidR="00D349B5" w:rsidRPr="002014CF" w:rsidRDefault="00A45E65" w:rsidP="004108C4">
            <w:pPr>
              <w:spacing w:after="120" w:line="360" w:lineRule="auto"/>
              <w:rPr>
                <w:rFonts w:ascii="Verdana" w:hAnsi="Verdana"/>
                <w:b/>
                <w:sz w:val="20"/>
                <w:lang w:val="ru-RU"/>
              </w:rPr>
            </w:pPr>
            <w:r w:rsidRPr="002014CF">
              <w:rPr>
                <w:rFonts w:ascii="Verdana" w:hAnsi="Verdana"/>
                <w:b/>
                <w:sz w:val="20"/>
                <w:lang w:val="en-US"/>
              </w:rPr>
              <w:t>E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лена Величкова</w:t>
            </w:r>
            <w:r w:rsidR="00D349B5" w:rsidRPr="002014CF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Е</w:t>
            </w:r>
            <w:r w:rsidRPr="002014CF">
              <w:rPr>
                <w:rFonts w:ascii="Verdana" w:hAnsi="Verdana"/>
                <w:b/>
                <w:sz w:val="20"/>
                <w:lang w:val="en-US"/>
              </w:rPr>
              <w:t>Velichkova</w:t>
            </w:r>
            <w:r w:rsidR="00D349B5" w:rsidRPr="002014CF">
              <w:rPr>
                <w:rFonts w:ascii="Verdana" w:hAnsi="Verdana"/>
                <w:b/>
                <w:sz w:val="20"/>
                <w:lang w:val="ru-RU"/>
              </w:rPr>
              <w:t>@</w:t>
            </w:r>
            <w:r w:rsidR="00D349B5" w:rsidRPr="002014CF">
              <w:rPr>
                <w:rFonts w:ascii="Verdana" w:hAnsi="Verdana"/>
                <w:b/>
                <w:sz w:val="20"/>
                <w:lang w:val="en-US"/>
              </w:rPr>
              <w:t>mzh</w:t>
            </w:r>
            <w:r w:rsidR="00D349B5" w:rsidRPr="002014CF">
              <w:rPr>
                <w:rFonts w:ascii="Verdana" w:hAnsi="Verdana"/>
                <w:b/>
                <w:sz w:val="20"/>
                <w:lang w:val="ru-RU"/>
              </w:rPr>
              <w:t>.</w:t>
            </w:r>
            <w:r w:rsidR="00D349B5" w:rsidRPr="002014CF">
              <w:rPr>
                <w:rFonts w:ascii="Verdana" w:hAnsi="Verdana"/>
                <w:b/>
                <w:sz w:val="20"/>
                <w:lang w:val="en-US"/>
              </w:rPr>
              <w:t>government</w:t>
            </w:r>
            <w:r w:rsidR="00D349B5" w:rsidRPr="002014CF">
              <w:rPr>
                <w:rFonts w:ascii="Verdana" w:hAnsi="Verdana"/>
                <w:b/>
                <w:sz w:val="20"/>
                <w:lang w:val="ru-RU"/>
              </w:rPr>
              <w:t>.</w:t>
            </w:r>
            <w:r w:rsidR="00D349B5" w:rsidRPr="002014CF">
              <w:rPr>
                <w:rFonts w:ascii="Verdana" w:hAnsi="Verdana"/>
                <w:b/>
                <w:sz w:val="20"/>
                <w:lang w:val="en-US"/>
              </w:rPr>
              <w:t>bg</w:t>
            </w:r>
          </w:p>
        </w:tc>
        <w:tc>
          <w:tcPr>
            <w:tcW w:w="4777" w:type="dxa"/>
            <w:shd w:val="clear" w:color="auto" w:fill="auto"/>
          </w:tcPr>
          <w:p w14:paraId="39D99123" w14:textId="3BE62C4C" w:rsidR="006471B2" w:rsidRPr="002014CF" w:rsidRDefault="006471B2" w:rsidP="002014CF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Телефон: 02</w:t>
            </w:r>
            <w:r w:rsidR="00D349B5" w:rsidRPr="002014CF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985 11</w:t>
            </w:r>
            <w:r w:rsidR="00C97DDE" w:rsidRPr="002014CF">
              <w:rPr>
                <w:rFonts w:ascii="Verdana" w:hAnsi="Verdana"/>
                <w:b/>
                <w:sz w:val="20"/>
                <w:lang w:val="bg-BG"/>
              </w:rPr>
              <w:t> </w:t>
            </w:r>
            <w:r w:rsidR="00A45E65" w:rsidRPr="002014CF">
              <w:rPr>
                <w:rFonts w:ascii="Verdana" w:hAnsi="Verdana"/>
                <w:b/>
                <w:sz w:val="20"/>
                <w:lang w:val="en-US"/>
              </w:rPr>
              <w:t>562</w:t>
            </w:r>
            <w:r w:rsidR="00C97DDE" w:rsidRPr="002014CF">
              <w:rPr>
                <w:rFonts w:ascii="Verdana" w:hAnsi="Verdana"/>
                <w:b/>
                <w:sz w:val="20"/>
                <w:lang w:val="bg-BG"/>
              </w:rPr>
              <w:t>;</w:t>
            </w:r>
            <w:r w:rsidR="00C97DDE" w:rsidRPr="002014CF">
              <w:rPr>
                <w:rFonts w:ascii="Verdana" w:hAnsi="Verdana"/>
                <w:b/>
                <w:sz w:val="20"/>
                <w:lang w:val="en-US"/>
              </w:rPr>
              <w:t xml:space="preserve"> 0885284440</w:t>
            </w:r>
            <w:r w:rsidR="00D349B5" w:rsidRPr="002014C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</w:p>
        </w:tc>
      </w:tr>
      <w:tr w:rsidR="006471B2" w:rsidRPr="002014CF" w14:paraId="40E5AB50" w14:textId="77777777" w:rsidTr="00E92CAB">
        <w:tc>
          <w:tcPr>
            <w:tcW w:w="9184" w:type="dxa"/>
            <w:gridSpan w:val="2"/>
            <w:shd w:val="clear" w:color="auto" w:fill="auto"/>
          </w:tcPr>
          <w:p w14:paraId="5C133F86" w14:textId="77777777" w:rsidR="006471B2" w:rsidRPr="002014CF" w:rsidRDefault="00856FE8" w:rsidP="002014CF">
            <w:pPr>
              <w:spacing w:before="12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1.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Дефиниране на проблема: </w:t>
            </w:r>
          </w:p>
          <w:p w14:paraId="48789D62" w14:textId="77777777" w:rsidR="009A0CD2" w:rsidRPr="002014CF" w:rsidRDefault="009A0CD2" w:rsidP="002014CF">
            <w:pPr>
              <w:numPr>
                <w:ilvl w:val="1"/>
                <w:numId w:val="3"/>
              </w:numPr>
              <w:spacing w:before="120" w:line="360" w:lineRule="auto"/>
              <w:ind w:left="0"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14:paraId="106866A1" w14:textId="0F520B4F" w:rsidR="009A0CD2" w:rsidRPr="002014CF" w:rsidRDefault="009A0CD2" w:rsidP="002014CF">
            <w:pPr>
              <w:tabs>
                <w:tab w:val="left" w:pos="851"/>
              </w:tabs>
              <w:spacing w:before="120" w:line="360" w:lineRule="auto"/>
              <w:ind w:left="142" w:firstLine="425"/>
              <w:jc w:val="both"/>
              <w:rPr>
                <w:rFonts w:ascii="Verdana" w:hAnsi="Verdana"/>
                <w:iCs/>
                <w:sz w:val="20"/>
                <w:lang w:val="bg-BG"/>
              </w:rPr>
            </w:pPr>
            <w:r w:rsidRPr="002014CF">
              <w:rPr>
                <w:rFonts w:ascii="Verdana" w:hAnsi="Verdana"/>
                <w:iCs/>
                <w:sz w:val="20"/>
                <w:lang w:val="bg-BG"/>
              </w:rPr>
              <w:t>От края на 2019 г.</w:t>
            </w:r>
            <w:r w:rsidR="00AD08F2" w:rsidRPr="002014CF">
              <w:rPr>
                <w:rFonts w:ascii="Verdana" w:hAnsi="Verdana"/>
                <w:iCs/>
                <w:sz w:val="20"/>
                <w:lang w:val="bg-BG"/>
              </w:rPr>
              <w:t>,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 под влияние на свръхпредлагане на повредена от биотични и абиотични фактори дървесина от Централна Европа от една страна и спад в търсенето на продуктите от дървесина на международните пазари от друга,  се наблюдава </w:t>
            </w:r>
            <w:r w:rsidR="00AD08F2" w:rsidRPr="002014CF">
              <w:rPr>
                <w:rFonts w:ascii="Verdana" w:hAnsi="Verdana"/>
                <w:iCs/>
                <w:sz w:val="20"/>
                <w:lang w:val="bg-BG"/>
              </w:rPr>
              <w:t xml:space="preserve">повсеместно понижаване на цените на дървесината в Европа.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Тази тенденция </w:t>
            </w:r>
            <w:r w:rsidR="00F04691" w:rsidRPr="002014CF">
              <w:rPr>
                <w:rFonts w:ascii="Verdana" w:hAnsi="Verdana"/>
                <w:iCs/>
                <w:sz w:val="20"/>
                <w:lang w:val="en-US"/>
              </w:rPr>
              <w:t>засегна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 през настоящата 2020 г. и вътрешния пазар на дървесина в страната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>,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 като изкупните цени на </w:t>
            </w:r>
            <w:r w:rsidR="00026BE0" w:rsidRPr="002014CF">
              <w:rPr>
                <w:rFonts w:ascii="Verdana" w:hAnsi="Verdana"/>
                <w:iCs/>
                <w:sz w:val="20"/>
                <w:lang w:val="bg-BG"/>
              </w:rPr>
              <w:t xml:space="preserve">дървесината от заводите за дървопреработка 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>постоянно намалява</w:t>
            </w:r>
            <w:r w:rsidR="00F04691" w:rsidRPr="002014CF">
              <w:rPr>
                <w:rFonts w:ascii="Verdana" w:hAnsi="Verdana"/>
                <w:iCs/>
                <w:sz w:val="20"/>
                <w:lang w:val="en-US"/>
              </w:rPr>
              <w:t>т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. </w:t>
            </w:r>
            <w:r w:rsidR="00026BE0" w:rsidRPr="002014CF">
              <w:rPr>
                <w:rFonts w:ascii="Verdana" w:hAnsi="Verdana"/>
                <w:iCs/>
                <w:sz w:val="20"/>
                <w:lang w:val="bg-BG"/>
              </w:rPr>
              <w:t xml:space="preserve">Успоредно с това затварянето на пазарите на необработена дървесина и дървесни продукти към съседните страни също оказва негативно влияние върху пазарната ситуация през настоящата година.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Това обстоятелство рефлектира осезаемо и върху държавните предприятия по чл. 163 от Закона за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lastRenderedPageBreak/>
              <w:t xml:space="preserve">горите, на които е предоставено управлението на горските територии – държавна собственост, и 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които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осъществяват продажбата на дървесината, добита от тях. Цените на дървесината 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за 2020 г.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по част от сключените договори за дългосрочна продажба бяха намалени с 3 до 5 лв. за куб. м, а друга част от договорите бяха прекратени. За овладяване на създалото се неблагоприятно финансово положение за държавните предприятия поради свития пазар на дървесина, е наложително да се търси ефективно решение за освобождаване на оперативни средства за обезпечаване на изпълнението на планираните им горскостопански и ловностопански дейности, дейности за </w:t>
            </w:r>
            <w:r w:rsidR="00026BE0" w:rsidRPr="002014CF">
              <w:rPr>
                <w:rFonts w:ascii="Verdana" w:hAnsi="Verdana"/>
                <w:iCs/>
                <w:sz w:val="20"/>
                <w:lang w:val="bg-BG"/>
              </w:rPr>
              <w:t xml:space="preserve">опазване на горите и за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защита от пожари, както и за издръжка на </w:t>
            </w:r>
            <w:r w:rsidR="00F04691" w:rsidRPr="002014CF">
              <w:rPr>
                <w:rFonts w:ascii="Verdana" w:hAnsi="Verdana"/>
                <w:iCs/>
                <w:sz w:val="20"/>
                <w:lang w:val="bg-BG"/>
              </w:rPr>
              <w:t xml:space="preserve">заетия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персонал. </w:t>
            </w:r>
          </w:p>
          <w:p w14:paraId="1035EDBB" w14:textId="5A3DEB4E" w:rsidR="009A0CD2" w:rsidRPr="002014CF" w:rsidRDefault="009A0CD2" w:rsidP="002014CF">
            <w:pPr>
              <w:tabs>
                <w:tab w:val="left" w:pos="851"/>
              </w:tabs>
              <w:spacing w:before="120" w:line="360" w:lineRule="auto"/>
              <w:ind w:left="142" w:firstLine="425"/>
              <w:jc w:val="both"/>
              <w:rPr>
                <w:rFonts w:ascii="Verdana" w:hAnsi="Verdana"/>
                <w:iCs/>
                <w:sz w:val="20"/>
                <w:lang w:val="bg-BG"/>
              </w:rPr>
            </w:pP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Едно удачно решение </w:t>
            </w:r>
            <w:r w:rsidR="009C205C" w:rsidRPr="002014CF">
              <w:rPr>
                <w:rFonts w:ascii="Verdana" w:hAnsi="Verdana"/>
                <w:iCs/>
                <w:sz w:val="20"/>
                <w:lang w:val="bg-BG"/>
              </w:rPr>
              <w:t xml:space="preserve">за най-потърпевшите от свиването на пазара държавни предприятия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е да бъде намален размерът на отчисленията, които </w:t>
            </w:r>
            <w:r w:rsidR="009C205C" w:rsidRPr="002014CF">
              <w:rPr>
                <w:rFonts w:ascii="Verdana" w:hAnsi="Verdana"/>
                <w:iCs/>
                <w:sz w:val="20"/>
                <w:lang w:val="en-US"/>
              </w:rPr>
              <w:t>те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 правят за фонд „Инвестиции в горите“ при продажбата на дървесина, съгласно Постановление на Министерския съвет (ПМС) № 343 от 2011 г. Предлага</w:t>
            </w:r>
            <w:r w:rsidR="00B17AB0" w:rsidRPr="002014CF">
              <w:rPr>
                <w:rFonts w:ascii="Verdana" w:hAnsi="Verdana"/>
                <w:iCs/>
                <w:sz w:val="20"/>
                <w:lang w:val="en-US"/>
              </w:rPr>
              <w:t>ното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 </w:t>
            </w:r>
            <w:r w:rsidR="009C205C" w:rsidRPr="002014CF">
              <w:rPr>
                <w:rFonts w:ascii="Verdana" w:hAnsi="Verdana"/>
                <w:iCs/>
                <w:sz w:val="20"/>
                <w:lang w:val="bg-BG"/>
              </w:rPr>
              <w:t xml:space="preserve">намаление на размера на отчисленията за фонд „Инвестиции в горите“ </w:t>
            </w:r>
            <w:r w:rsidR="00B17AB0" w:rsidRPr="002014CF">
              <w:rPr>
                <w:rFonts w:ascii="Verdana" w:hAnsi="Verdana"/>
                <w:iCs/>
                <w:sz w:val="20"/>
                <w:lang w:val="bg-BG"/>
              </w:rPr>
              <w:t xml:space="preserve">е </w:t>
            </w:r>
            <w:r w:rsidR="009C205C" w:rsidRPr="002014CF">
              <w:rPr>
                <w:rFonts w:ascii="Verdana" w:hAnsi="Verdana"/>
                <w:iCs/>
                <w:sz w:val="20"/>
                <w:lang w:val="bg-BG"/>
              </w:rPr>
              <w:t>3 лв. за куб. м дървесина</w:t>
            </w:r>
            <w:r w:rsidR="00B17AB0" w:rsidRPr="002014CF">
              <w:rPr>
                <w:rFonts w:ascii="Verdana" w:hAnsi="Verdana"/>
                <w:iCs/>
                <w:sz w:val="20"/>
                <w:lang w:val="bg-BG"/>
              </w:rPr>
              <w:t xml:space="preserve">, 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 xml:space="preserve">както следва: </w:t>
            </w:r>
          </w:p>
          <w:p w14:paraId="7FEDDE18" w14:textId="77777777" w:rsidR="009A0CD2" w:rsidRPr="002014CF" w:rsidRDefault="009A0CD2" w:rsidP="002014CF">
            <w:pPr>
              <w:tabs>
                <w:tab w:val="left" w:pos="851"/>
              </w:tabs>
              <w:spacing w:before="120" w:line="360" w:lineRule="auto"/>
              <w:ind w:left="142" w:firstLine="425"/>
              <w:jc w:val="both"/>
              <w:rPr>
                <w:rFonts w:ascii="Verdana" w:hAnsi="Verdana"/>
                <w:iCs/>
                <w:sz w:val="20"/>
                <w:lang w:val="bg-BG"/>
              </w:rPr>
            </w:pPr>
            <w:r w:rsidRPr="002014CF">
              <w:rPr>
                <w:rFonts w:ascii="Verdana" w:hAnsi="Verdana"/>
                <w:iCs/>
                <w:sz w:val="20"/>
                <w:lang w:val="bg-BG"/>
              </w:rPr>
              <w:t>1.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ab/>
              <w:t>Югозападно държавно предприятие – от 8 лв. за куб. м на 5 лв. за куб. м дървесина;</w:t>
            </w:r>
          </w:p>
          <w:p w14:paraId="398EBB1A" w14:textId="636E43A4" w:rsidR="009A0CD2" w:rsidRPr="002014CF" w:rsidRDefault="009A0CD2" w:rsidP="002014CF">
            <w:pPr>
              <w:tabs>
                <w:tab w:val="left" w:pos="851"/>
              </w:tabs>
              <w:spacing w:before="120" w:line="360" w:lineRule="auto"/>
              <w:ind w:left="142" w:firstLine="425"/>
              <w:jc w:val="both"/>
              <w:rPr>
                <w:rFonts w:ascii="Verdana" w:hAnsi="Verdana"/>
                <w:iCs/>
                <w:sz w:val="20"/>
                <w:lang w:val="bg-BG"/>
              </w:rPr>
            </w:pPr>
            <w:r w:rsidRPr="002014CF">
              <w:rPr>
                <w:rFonts w:ascii="Verdana" w:hAnsi="Verdana"/>
                <w:iCs/>
                <w:sz w:val="20"/>
                <w:lang w:val="bg-BG"/>
              </w:rPr>
              <w:t>2.</w:t>
            </w:r>
            <w:r w:rsidRPr="002014CF">
              <w:rPr>
                <w:rFonts w:ascii="Verdana" w:hAnsi="Verdana"/>
                <w:iCs/>
                <w:sz w:val="20"/>
                <w:lang w:val="bg-BG"/>
              </w:rPr>
              <w:tab/>
              <w:t>Североизточно държавно предприятие – от 5 лв. за куб. м на 2 лв. за куб. м дървесина.</w:t>
            </w:r>
          </w:p>
          <w:p w14:paraId="42F453F3" w14:textId="4E26977F" w:rsidR="00F423EF" w:rsidRPr="002014CF" w:rsidRDefault="006471B2" w:rsidP="002014CF">
            <w:pPr>
              <w:numPr>
                <w:ilvl w:val="1"/>
                <w:numId w:val="3"/>
              </w:numPr>
              <w:spacing w:before="120" w:line="360" w:lineRule="auto"/>
              <w:ind w:left="0"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2456679" w14:textId="750C8AC7" w:rsidR="00EC1777" w:rsidRPr="002014CF" w:rsidRDefault="00AD08F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Настъпилата повсеместна икономическа криза</w:t>
            </w:r>
            <w:r w:rsidR="00B17AB0" w:rsidRPr="002014CF">
              <w:rPr>
                <w:rFonts w:ascii="Verdana" w:hAnsi="Verdana"/>
                <w:sz w:val="20"/>
                <w:lang w:val="bg-BG"/>
              </w:rPr>
              <w:t>,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B17AB0" w:rsidRPr="002014CF">
              <w:rPr>
                <w:rFonts w:ascii="Verdana" w:hAnsi="Verdana"/>
                <w:sz w:val="20"/>
                <w:lang w:val="bg-BG"/>
              </w:rPr>
              <w:t>с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 xml:space="preserve">вързана със </w:t>
            </w:r>
            <w:r w:rsidRPr="002014CF">
              <w:rPr>
                <w:rFonts w:ascii="Verdana" w:hAnsi="Verdana"/>
                <w:sz w:val="20"/>
                <w:lang w:val="bg-BG"/>
              </w:rPr>
              <w:t>световната пандемия от коронавируса КОВИД-19 и обявеното в страната ни извънредно положение</w:t>
            </w:r>
            <w:r w:rsidR="00B17AB0" w:rsidRPr="002014CF">
              <w:rPr>
                <w:rFonts w:ascii="Verdana" w:hAnsi="Verdana"/>
                <w:sz w:val="20"/>
                <w:lang w:val="bg-BG"/>
              </w:rPr>
              <w:t>,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задълбочава допълнително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>тенденциите за намаляване на търсенето и потреблението на дървесина, р</w:t>
            </w:r>
            <w:r w:rsidR="00C85BAA" w:rsidRPr="002014CF">
              <w:rPr>
                <w:rFonts w:ascii="Verdana" w:hAnsi="Verdana"/>
                <w:sz w:val="20"/>
                <w:lang w:val="bg-BG"/>
              </w:rPr>
              <w:t>е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>фл</w:t>
            </w:r>
            <w:r w:rsidR="00C85BAA" w:rsidRPr="002014CF">
              <w:rPr>
                <w:rFonts w:ascii="Verdana" w:hAnsi="Verdana"/>
                <w:sz w:val="20"/>
                <w:lang w:val="bg-BG"/>
              </w:rPr>
              <w:t>е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 xml:space="preserve">ктиращо върху намаление на 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>продаж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>ните цени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 xml:space="preserve"> на дървесината, добивана от държавните гори 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>в сравнение с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 xml:space="preserve"> ценовите равнища от предходната година. 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 xml:space="preserve">За първото тримесечие на 2020 г. шестте държавни предприятия отчитат 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 xml:space="preserve">спад при продажбите </w:t>
            </w:r>
            <w:r w:rsidR="00026BE0" w:rsidRPr="002014CF">
              <w:rPr>
                <w:rFonts w:ascii="Verdana" w:hAnsi="Verdana"/>
                <w:sz w:val="20"/>
                <w:lang w:val="bg-BG"/>
              </w:rPr>
              <w:t xml:space="preserve">на дървесина в размер на </w:t>
            </w:r>
            <w:r w:rsidR="008F6B0D" w:rsidRPr="002014CF">
              <w:rPr>
                <w:rFonts w:ascii="Verdana" w:hAnsi="Verdana"/>
                <w:sz w:val="20"/>
                <w:lang w:val="bg-BG"/>
              </w:rPr>
              <w:t>30% спрямо същия период на 2019 г.</w:t>
            </w:r>
            <w:r w:rsidR="00C85BAA" w:rsidRPr="002014CF">
              <w:rPr>
                <w:rFonts w:ascii="Verdana" w:hAnsi="Verdana"/>
                <w:sz w:val="20"/>
                <w:lang w:val="bg-BG"/>
              </w:rPr>
              <w:t xml:space="preserve">, както и отрицателен междинен финансов резултат. Това обстоятелство </w:t>
            </w:r>
            <w:r w:rsidR="00B27F61" w:rsidRPr="002014CF">
              <w:rPr>
                <w:rFonts w:ascii="Verdana" w:hAnsi="Verdana"/>
                <w:sz w:val="20"/>
                <w:lang w:val="bg-BG"/>
              </w:rPr>
              <w:t xml:space="preserve">затруднява крайно изпълнението на планираните за годината широка гама от горскостопански, ловностопански и други дейности,  включително и </w:t>
            </w:r>
            <w:r w:rsidR="00724E6F" w:rsidRPr="002014CF">
              <w:rPr>
                <w:rFonts w:ascii="Verdana" w:hAnsi="Verdana"/>
                <w:sz w:val="20"/>
                <w:lang w:val="bg-BG"/>
              </w:rPr>
              <w:t xml:space="preserve"> издръжка</w:t>
            </w:r>
            <w:r w:rsidR="00B27F61" w:rsidRPr="002014CF">
              <w:rPr>
                <w:rFonts w:ascii="Verdana" w:hAnsi="Verdana"/>
                <w:sz w:val="20"/>
                <w:lang w:val="bg-BG"/>
              </w:rPr>
              <w:t>та</w:t>
            </w:r>
            <w:r w:rsidR="00724E6F" w:rsidRPr="002014CF">
              <w:rPr>
                <w:rFonts w:ascii="Verdana" w:hAnsi="Verdana"/>
                <w:sz w:val="20"/>
                <w:lang w:val="bg-BG"/>
              </w:rPr>
              <w:t xml:space="preserve"> на работещите </w:t>
            </w:r>
            <w:r w:rsidR="00444A28" w:rsidRPr="002014CF">
              <w:rPr>
                <w:rFonts w:ascii="Verdana" w:hAnsi="Verdana"/>
                <w:sz w:val="20"/>
                <w:lang w:val="bg-BG"/>
              </w:rPr>
              <w:t>в предприяти</w:t>
            </w:r>
            <w:r w:rsidR="00B27F61" w:rsidRPr="002014CF">
              <w:rPr>
                <w:rFonts w:ascii="Verdana" w:hAnsi="Verdana"/>
                <w:sz w:val="20"/>
                <w:lang w:val="bg-BG"/>
              </w:rPr>
              <w:t xml:space="preserve">ята и техните териториални поделения. </w:t>
            </w:r>
          </w:p>
          <w:p w14:paraId="2B78F797" w14:textId="6DDCC999" w:rsidR="00EC1777" w:rsidRPr="002014CF" w:rsidRDefault="00EC1777" w:rsidP="002014CF">
            <w:pPr>
              <w:overflowPunct w:val="0"/>
              <w:autoSpaceDE w:val="0"/>
              <w:autoSpaceDN w:val="0"/>
              <w:adjustRightInd w:val="0"/>
              <w:spacing w:after="120" w:line="360" w:lineRule="auto"/>
              <w:ind w:firstLine="720"/>
              <w:jc w:val="both"/>
              <w:textAlignment w:val="baseline"/>
              <w:rPr>
                <w:rFonts w:ascii="Verdana" w:hAnsi="Verdana"/>
                <w:sz w:val="20"/>
                <w:lang w:val="bg-BG" w:eastAsia="bg-BG"/>
              </w:rPr>
            </w:pPr>
            <w:r w:rsidRPr="002014CF">
              <w:rPr>
                <w:rFonts w:ascii="Verdana" w:hAnsi="Verdana"/>
                <w:sz w:val="20"/>
                <w:lang w:val="bg-BG" w:eastAsia="bg-BG"/>
              </w:rPr>
              <w:t>Във връзка с необходимостта от осигуряване на средства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 xml:space="preserve"> за гореописаните 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lastRenderedPageBreak/>
              <w:t>приоритети в дейността, за две от най-засегнатите от икономическата стагнация предприятия – ЮЗДП и СИДП,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 е предложено да бъде намален размерът на частта от продажната цена на дървесината, която предприяти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>ята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 внася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>т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 във фонд „Инвестиции в горите” 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 xml:space="preserve">съответно 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от 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>8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 лв.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 xml:space="preserve"> за всеки 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 xml:space="preserve">куб. м на </w:t>
            </w:r>
            <w:r w:rsidR="00B27F61" w:rsidRPr="002014CF">
              <w:rPr>
                <w:rFonts w:ascii="Verdana" w:hAnsi="Verdana"/>
                <w:sz w:val="20"/>
                <w:lang w:val="bg-BG" w:eastAsia="bg-BG"/>
              </w:rPr>
              <w:t xml:space="preserve">5 лв., както и от 5 лв. за куб. м на 2 </w:t>
            </w:r>
            <w:r w:rsidRPr="002014CF">
              <w:rPr>
                <w:rFonts w:ascii="Verdana" w:hAnsi="Verdana"/>
                <w:sz w:val="20"/>
                <w:lang w:val="bg-BG" w:eastAsia="bg-BG"/>
              </w:rPr>
              <w:t>лв.</w:t>
            </w:r>
          </w:p>
          <w:p w14:paraId="5ABF2835" w14:textId="77777777" w:rsidR="00195091" w:rsidRPr="002014CF" w:rsidRDefault="00195091" w:rsidP="002014CF">
            <w:pPr>
              <w:pStyle w:val="a0"/>
              <w:shd w:val="clear" w:color="auto" w:fill="auto"/>
              <w:spacing w:before="120" w:line="360" w:lineRule="auto"/>
              <w:ind w:firstLine="709"/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</w:pPr>
            <w:r w:rsidRPr="002014CF">
              <w:rPr>
                <w:rFonts w:ascii="Verdana" w:hAnsi="Verdana"/>
                <w:i/>
                <w:spacing w:val="0"/>
                <w:sz w:val="20"/>
                <w:szCs w:val="20"/>
                <w:lang w:val="bg-BG"/>
              </w:rPr>
              <w:t>1.3. 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  <w:p w14:paraId="7276569D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Не са извършени последващи оценки на нормативни</w:t>
            </w:r>
            <w:r w:rsidR="00502E52" w:rsidRPr="002014CF">
              <w:rPr>
                <w:rFonts w:ascii="Verdana" w:hAnsi="Verdana"/>
                <w:sz w:val="20"/>
                <w:lang w:val="bg-BG"/>
              </w:rPr>
              <w:t>я</w:t>
            </w:r>
            <w:r w:rsidR="008F580D" w:rsidRPr="002014CF">
              <w:rPr>
                <w:rFonts w:ascii="Verdana" w:hAnsi="Verdana"/>
                <w:sz w:val="20"/>
                <w:lang w:val="bg-BG"/>
              </w:rPr>
              <w:t xml:space="preserve"> акт</w:t>
            </w:r>
            <w:r w:rsidRPr="002014CF">
              <w:rPr>
                <w:rFonts w:ascii="Verdana" w:hAnsi="Verdana"/>
                <w:sz w:val="20"/>
                <w:lang w:val="bg-BG"/>
              </w:rPr>
              <w:t>.</w:t>
            </w:r>
          </w:p>
        </w:tc>
      </w:tr>
      <w:tr w:rsidR="006471B2" w:rsidRPr="002014CF" w14:paraId="2E1E5B19" w14:textId="77777777" w:rsidTr="00E92CAB">
        <w:tc>
          <w:tcPr>
            <w:tcW w:w="9184" w:type="dxa"/>
            <w:gridSpan w:val="2"/>
            <w:shd w:val="clear" w:color="auto" w:fill="auto"/>
          </w:tcPr>
          <w:p w14:paraId="3B353478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lastRenderedPageBreak/>
              <w:t>2. Цели:</w:t>
            </w:r>
          </w:p>
          <w:p w14:paraId="1A4F1B08" w14:textId="73F427A5" w:rsidR="008F580D" w:rsidRPr="002014CF" w:rsidRDefault="00502E5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1. Намаление на 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>размера на отчислен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ията от продажната цена на дървесината за фонд „Инвестиции в горите“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>, ко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и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то 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>Ю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З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>ДП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 xml:space="preserve">и СИДП </w:t>
            </w:r>
            <w:r w:rsidR="001F6A68" w:rsidRPr="002014CF">
              <w:rPr>
                <w:rFonts w:ascii="Verdana" w:hAnsi="Verdana"/>
                <w:sz w:val="20"/>
                <w:lang w:val="bg-BG"/>
              </w:rPr>
              <w:t>прав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ят</w:t>
            </w:r>
            <w:r w:rsidR="001F6A68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sz w:val="20"/>
                <w:lang w:val="bg-BG"/>
              </w:rPr>
              <w:t>при продажбата на дървесина</w:t>
            </w:r>
            <w:r w:rsidR="008F580D" w:rsidRPr="002014CF">
              <w:rPr>
                <w:rFonts w:ascii="Verdana" w:hAnsi="Verdana"/>
                <w:sz w:val="20"/>
                <w:lang w:val="bg-BG"/>
              </w:rPr>
              <w:t>;</w:t>
            </w:r>
          </w:p>
          <w:p w14:paraId="67CCC438" w14:textId="0F3ACD86" w:rsidR="008F580D" w:rsidRPr="002014CF" w:rsidRDefault="004259C6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2. </w:t>
            </w:r>
            <w:r w:rsidR="008F580D" w:rsidRPr="002014CF">
              <w:rPr>
                <w:rFonts w:ascii="Verdana" w:hAnsi="Verdana"/>
                <w:sz w:val="20"/>
                <w:lang w:val="bg-BG"/>
              </w:rPr>
              <w:t xml:space="preserve">Осигуряване на </w:t>
            </w:r>
            <w:r w:rsidR="00502E52" w:rsidRPr="002014CF">
              <w:rPr>
                <w:rFonts w:ascii="Verdana" w:hAnsi="Verdana"/>
                <w:sz w:val="20"/>
                <w:lang w:val="bg-BG"/>
              </w:rPr>
              <w:t>оперативни парични средства на държавн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ите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 xml:space="preserve"> предприяти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>я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502E52" w:rsidRPr="002014CF">
              <w:rPr>
                <w:rFonts w:ascii="Verdana" w:hAnsi="Verdana"/>
                <w:sz w:val="20"/>
                <w:lang w:val="bg-BG"/>
              </w:rPr>
              <w:t xml:space="preserve">за 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>обезпечаване изпълнението на дейностите по опазването на горските територии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 xml:space="preserve">, на планираните ловностопански дейности, както и на горскостопанските дейности, които не са обезпечени със средства от фонд „Инвестиции в горите“, </w:t>
            </w:r>
            <w:r w:rsidR="00EF5A62" w:rsidRPr="002014CF">
              <w:rPr>
                <w:rFonts w:ascii="Verdana" w:hAnsi="Verdana"/>
                <w:sz w:val="20"/>
                <w:lang w:val="en-US"/>
              </w:rPr>
              <w:t>които</w:t>
            </w:r>
            <w:r w:rsidR="00EC1777" w:rsidRPr="002014CF">
              <w:rPr>
                <w:rFonts w:ascii="Verdana" w:hAnsi="Verdana"/>
                <w:sz w:val="20"/>
                <w:lang w:val="bg-BG"/>
              </w:rPr>
              <w:t xml:space="preserve"> се обезпечават от стопанската дейност. Не на последно място ще се осигурят и средства за издръжката на работещите в </w:t>
            </w:r>
            <w:r w:rsidR="00444A28" w:rsidRPr="002014CF">
              <w:rPr>
                <w:rFonts w:ascii="Verdana" w:hAnsi="Verdana"/>
                <w:sz w:val="20"/>
                <w:lang w:val="bg-BG"/>
              </w:rPr>
              <w:t>предприяти</w:t>
            </w:r>
            <w:r w:rsidR="00EF5A62" w:rsidRPr="002014CF">
              <w:rPr>
                <w:rFonts w:ascii="Verdana" w:hAnsi="Verdana"/>
                <w:sz w:val="20"/>
                <w:lang w:val="bg-BG"/>
              </w:rPr>
              <w:t xml:space="preserve">ятията и техните </w:t>
            </w:r>
            <w:r w:rsidR="00444A28" w:rsidRPr="002014CF">
              <w:rPr>
                <w:rFonts w:ascii="Verdana" w:hAnsi="Verdana"/>
                <w:sz w:val="20"/>
                <w:lang w:val="bg-BG"/>
              </w:rPr>
              <w:t xml:space="preserve">териториални поделения, които са </w:t>
            </w:r>
            <w:r w:rsidR="00F0578E" w:rsidRPr="002014CF">
              <w:rPr>
                <w:rFonts w:ascii="Verdana" w:hAnsi="Verdana"/>
                <w:sz w:val="20"/>
                <w:lang w:val="bg-BG"/>
              </w:rPr>
              <w:t xml:space="preserve">потърпевши от кризата в пазара на дървесина в страната. </w:t>
            </w:r>
          </w:p>
          <w:p w14:paraId="037EAF79" w14:textId="66576838" w:rsidR="006471B2" w:rsidRPr="002014CF" w:rsidRDefault="006471B2" w:rsidP="002014CF">
            <w:pPr>
              <w:spacing w:before="120"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6471B2" w:rsidRPr="002014CF" w14:paraId="14B67AA4" w14:textId="77777777" w:rsidTr="00E92CAB">
        <w:tc>
          <w:tcPr>
            <w:tcW w:w="9184" w:type="dxa"/>
            <w:gridSpan w:val="2"/>
            <w:shd w:val="clear" w:color="auto" w:fill="auto"/>
          </w:tcPr>
          <w:p w14:paraId="5D999304" w14:textId="77777777" w:rsidR="006471B2" w:rsidRPr="002014CF" w:rsidRDefault="00856FE8" w:rsidP="004108C4">
            <w:pPr>
              <w:spacing w:before="300" w:after="120" w:line="360" w:lineRule="auto"/>
              <w:ind w:left="510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3.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Идентифициране на заинтересованите страни: </w:t>
            </w:r>
          </w:p>
          <w:p w14:paraId="67A9DE7C" w14:textId="006BDD62" w:rsidR="004259C6" w:rsidRPr="002014CF" w:rsidRDefault="00EC1777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„Ю</w:t>
            </w:r>
            <w:r w:rsidR="00F0578E" w:rsidRPr="002014CF">
              <w:rPr>
                <w:rFonts w:ascii="Verdana" w:hAnsi="Verdana"/>
                <w:sz w:val="20"/>
                <w:lang w:val="en-US"/>
              </w:rPr>
              <w:t>гозападно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държавно предприятие“, гр. </w:t>
            </w:r>
            <w:r w:rsidR="00F0578E" w:rsidRPr="002014CF">
              <w:rPr>
                <w:rFonts w:ascii="Verdana" w:hAnsi="Verdana"/>
                <w:sz w:val="20"/>
                <w:lang w:val="bg-BG"/>
              </w:rPr>
              <w:t>Благоевград и „Североизточно държавно предприятие“, гр. Шумен.</w:t>
            </w:r>
          </w:p>
          <w:p w14:paraId="7AC939AC" w14:textId="77777777" w:rsidR="006471B2" w:rsidRPr="002014CF" w:rsidRDefault="006471B2" w:rsidP="002014CF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6471B2" w:rsidRPr="002014CF" w14:paraId="27DA581E" w14:textId="77777777" w:rsidTr="00E92CAB">
        <w:tc>
          <w:tcPr>
            <w:tcW w:w="9184" w:type="dxa"/>
            <w:gridSpan w:val="2"/>
            <w:shd w:val="clear" w:color="auto" w:fill="auto"/>
          </w:tcPr>
          <w:p w14:paraId="378BA27F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4. Варианти на действие: </w:t>
            </w:r>
          </w:p>
          <w:p w14:paraId="02E5AF77" w14:textId="77777777" w:rsidR="006471B2" w:rsidRPr="002014CF" w:rsidRDefault="00C71FDE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ариант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 0: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 „Без действие”</w:t>
            </w:r>
          </w:p>
          <w:p w14:paraId="043D8FDB" w14:textId="7B5D722B" w:rsidR="00E73D14" w:rsidRPr="002014CF" w:rsidRDefault="00A403C5" w:rsidP="002014C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Запазва се досегашният размер на 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 xml:space="preserve">отчисленията за </w:t>
            </w:r>
            <w:r w:rsidRPr="002014CF">
              <w:rPr>
                <w:rFonts w:ascii="Verdana" w:hAnsi="Verdana"/>
                <w:sz w:val="20"/>
                <w:lang w:val="bg-BG"/>
              </w:rPr>
              <w:t>фонд „Инвестиции в горите“</w:t>
            </w:r>
            <w:r w:rsidR="001F41A7" w:rsidRPr="002014CF">
              <w:rPr>
                <w:rFonts w:ascii="Verdana" w:hAnsi="Verdana"/>
                <w:sz w:val="20"/>
                <w:lang w:val="bg-BG"/>
              </w:rPr>
              <w:t xml:space="preserve"> на ЮЗДП и СИДП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, 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>едновременно с</w:t>
            </w:r>
            <w:r w:rsidR="00E536BC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>това се задълбочава л</w:t>
            </w:r>
            <w:r w:rsidR="0041143D" w:rsidRPr="002014CF">
              <w:rPr>
                <w:rFonts w:ascii="Verdana" w:hAnsi="Verdana"/>
                <w:sz w:val="20"/>
                <w:lang w:val="bg-BG"/>
              </w:rPr>
              <w:t>ипсата на обезпеченост на достатъчен размер средства от стопанската дейност на предприяти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>ята</w:t>
            </w:r>
            <w:r w:rsidR="0041143D" w:rsidRPr="002014CF">
              <w:rPr>
                <w:rFonts w:ascii="Verdana" w:hAnsi="Verdana"/>
                <w:sz w:val="20"/>
                <w:lang w:val="bg-BG"/>
              </w:rPr>
              <w:t xml:space="preserve"> за 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 xml:space="preserve">изпълнение на </w:t>
            </w:r>
            <w:r w:rsidR="0058039A" w:rsidRPr="002014CF">
              <w:rPr>
                <w:rFonts w:ascii="Verdana" w:hAnsi="Verdana"/>
                <w:sz w:val="20"/>
                <w:lang w:val="bg-BG"/>
              </w:rPr>
              <w:t xml:space="preserve">заложените им с горскостопанските, </w:t>
            </w:r>
            <w:r w:rsidR="0058039A" w:rsidRPr="002014CF">
              <w:rPr>
                <w:rFonts w:ascii="Verdana" w:hAnsi="Verdana"/>
                <w:sz w:val="20"/>
                <w:lang w:val="bg-BG"/>
              </w:rPr>
              <w:lastRenderedPageBreak/>
              <w:t>ловностопанските и други планове дейности</w:t>
            </w:r>
            <w:r w:rsidR="00E73D14" w:rsidRPr="002014CF">
              <w:rPr>
                <w:rFonts w:ascii="Verdana" w:hAnsi="Verdana"/>
                <w:sz w:val="20"/>
                <w:lang w:val="bg-BG"/>
              </w:rPr>
              <w:t>.</w:t>
            </w:r>
          </w:p>
          <w:p w14:paraId="6993A26C" w14:textId="2900A18F" w:rsidR="001F6A68" w:rsidRPr="002014CF" w:rsidRDefault="00E73D14" w:rsidP="002014C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Финансова </w:t>
            </w:r>
            <w:r w:rsidR="0041143D" w:rsidRPr="002014CF">
              <w:rPr>
                <w:rFonts w:ascii="Verdana" w:hAnsi="Verdana"/>
                <w:sz w:val="20"/>
                <w:lang w:val="bg-BG"/>
              </w:rPr>
              <w:t>невъзможност за изпълнение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на планираните приходи, водещо до </w:t>
            </w:r>
            <w:r w:rsidR="0041143D" w:rsidRPr="002014CF">
              <w:rPr>
                <w:rFonts w:ascii="Verdana" w:hAnsi="Verdana"/>
                <w:sz w:val="20"/>
                <w:lang w:val="bg-BG"/>
              </w:rPr>
              <w:t xml:space="preserve"> генериране на отрицателен финансов резултат от дейността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на </w:t>
            </w:r>
            <w:r w:rsidR="001F41A7" w:rsidRPr="002014CF">
              <w:rPr>
                <w:rFonts w:ascii="Verdana" w:hAnsi="Verdana"/>
                <w:sz w:val="20"/>
                <w:lang w:val="bg-BG"/>
              </w:rPr>
              <w:t>ЮЗДП и СИДП</w:t>
            </w:r>
            <w:r w:rsidR="002A0D20" w:rsidRPr="002014CF">
              <w:rPr>
                <w:rFonts w:ascii="Verdana" w:hAnsi="Verdana"/>
                <w:sz w:val="20"/>
                <w:lang w:val="bg-BG"/>
              </w:rPr>
              <w:t>.</w:t>
            </w:r>
          </w:p>
          <w:p w14:paraId="5FCAFC9F" w14:textId="77777777" w:rsidR="00081F6D" w:rsidRPr="002014CF" w:rsidRDefault="00C71FDE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1: „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Приемане на проект на </w:t>
            </w:r>
            <w:r w:rsidR="00DA18B9" w:rsidRPr="002014CF">
              <w:rPr>
                <w:rFonts w:ascii="Verdana" w:hAnsi="Verdana"/>
                <w:b/>
                <w:sz w:val="20"/>
                <w:lang w:val="bg-BG"/>
              </w:rPr>
              <w:t>Постановление на Министерския съвет за изменение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ДВ., бр. 102 от 2011 г.)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“</w:t>
            </w:r>
          </w:p>
          <w:p w14:paraId="094A557A" w14:textId="1E0E2EBC" w:rsidR="00683CEC" w:rsidRPr="002014CF" w:rsidRDefault="00A90962" w:rsidP="002014C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 w:firstLine="426"/>
              <w:jc w:val="both"/>
              <w:rPr>
                <w:rFonts w:ascii="Verdana" w:hAnsi="Verdana"/>
                <w:sz w:val="20"/>
                <w:lang w:val="bg-BG" w:eastAsia="bg-BG" w:bidi="bg-BG"/>
              </w:rPr>
            </w:pPr>
            <w:r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С </w:t>
            </w:r>
            <w:r w:rsidR="002671A9" w:rsidRPr="002014CF">
              <w:rPr>
                <w:rFonts w:ascii="Verdana" w:hAnsi="Verdana"/>
                <w:sz w:val="20"/>
                <w:lang w:val="bg-BG" w:eastAsia="bg-BG" w:bidi="bg-BG"/>
              </w:rPr>
              <w:t>промяната ще се създад</w:t>
            </w:r>
            <w:r w:rsidR="006C2E8D" w:rsidRPr="002014CF">
              <w:rPr>
                <w:rFonts w:ascii="Verdana" w:hAnsi="Verdana"/>
                <w:sz w:val="20"/>
                <w:lang w:val="bg-BG" w:eastAsia="bg-BG" w:bidi="bg-BG"/>
              </w:rPr>
              <w:t>е възможност за увеличение на оперативните средства на Ю</w:t>
            </w:r>
            <w:r w:rsidR="00807E3E" w:rsidRPr="002014CF">
              <w:rPr>
                <w:rFonts w:ascii="Verdana" w:hAnsi="Verdana"/>
                <w:sz w:val="20"/>
                <w:lang w:val="bg-BG" w:eastAsia="bg-BG" w:bidi="bg-BG"/>
              </w:rPr>
              <w:t>З</w:t>
            </w:r>
            <w:r w:rsidR="006C2E8D"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ДП </w:t>
            </w:r>
            <w:r w:rsidR="00807E3E"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и СИДП </w:t>
            </w:r>
            <w:r w:rsidR="006C2E8D" w:rsidRPr="002014CF">
              <w:rPr>
                <w:rFonts w:ascii="Verdana" w:hAnsi="Verdana"/>
                <w:sz w:val="20"/>
                <w:lang w:val="bg-BG" w:eastAsia="bg-BG" w:bidi="bg-BG"/>
              </w:rPr>
              <w:t>за изпълнението на дейностите по опазването на горските територии</w:t>
            </w:r>
            <w:r w:rsidR="00807E3E" w:rsidRPr="002014CF">
              <w:rPr>
                <w:rFonts w:ascii="Verdana" w:hAnsi="Verdana"/>
                <w:sz w:val="20"/>
                <w:lang w:val="bg-BG" w:eastAsia="bg-BG" w:bidi="bg-BG"/>
              </w:rPr>
              <w:t>, за горскостопански и други дейности, които не са обезпечени от фонд „Инвестиции в горите“</w:t>
            </w:r>
            <w:r w:rsidR="006C2E8D"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 и за издръжка на работещите</w:t>
            </w:r>
            <w:r w:rsidR="00807E3E"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 в предприятията и техните териториални поделения</w:t>
            </w:r>
            <w:r w:rsidR="006C2E8D" w:rsidRPr="002014CF">
              <w:rPr>
                <w:rFonts w:ascii="Verdana" w:hAnsi="Verdana"/>
                <w:sz w:val="20"/>
                <w:lang w:val="bg-BG" w:eastAsia="bg-BG" w:bidi="bg-BG"/>
              </w:rPr>
              <w:t>.</w:t>
            </w:r>
            <w:r w:rsidR="00683CEC"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 </w:t>
            </w:r>
          </w:p>
          <w:p w14:paraId="21239A3C" w14:textId="245F8677" w:rsidR="00807E3E" w:rsidRPr="002014CF" w:rsidRDefault="00807E3E" w:rsidP="002014C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 w:firstLine="426"/>
              <w:jc w:val="both"/>
              <w:rPr>
                <w:rFonts w:ascii="Verdana" w:hAnsi="Verdana"/>
                <w:sz w:val="20"/>
                <w:lang w:val="bg-BG" w:eastAsia="bg-BG" w:bidi="bg-BG"/>
              </w:rPr>
            </w:pPr>
            <w:r w:rsidRPr="002014CF">
              <w:rPr>
                <w:rFonts w:ascii="Verdana" w:hAnsi="Verdana"/>
                <w:sz w:val="20"/>
                <w:lang w:val="bg-BG" w:eastAsia="bg-BG" w:bidi="bg-BG"/>
              </w:rPr>
              <w:t xml:space="preserve">Намаленият размер на отчисленията към фонд „Инвестиции в горите“ на ЮЗДП и СИДП </w:t>
            </w:r>
            <w:r w:rsidR="00E25594" w:rsidRPr="002014CF">
              <w:rPr>
                <w:rFonts w:ascii="Verdana" w:hAnsi="Verdana"/>
                <w:sz w:val="20"/>
                <w:lang w:val="bg-BG" w:eastAsia="bg-BG" w:bidi="bg-BG"/>
              </w:rPr>
              <w:t>е достатъчен за обезпечаване на дейностите, финансирани от фонда като залесяване, закупуване на горски територии, проектиране и строителство на горски пътища и транспортна техническа инфраструктура, проектиране и изграждане на технико-укрепителни съоръжения, както и за изпълнение на проекти, съфинансирани от европейски програми.</w:t>
            </w:r>
          </w:p>
          <w:p w14:paraId="03BDEA83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2014CF">
              <w:rPr>
                <w:rFonts w:ascii="Verdana" w:hAnsi="Verdana"/>
                <w:i/>
                <w:caps/>
                <w:sz w:val="20"/>
                <w:lang w:val="bg-BG"/>
              </w:rPr>
              <w:t>б</w:t>
            </w:r>
            <w:r w:rsidRPr="002014CF">
              <w:rPr>
                <w:rFonts w:ascii="Verdana" w:hAnsi="Verdana"/>
                <w:i/>
                <w:sz w:val="20"/>
                <w:lang w:val="bg-BG"/>
              </w:rPr>
              <w:t>ез действие“.</w:t>
            </w:r>
          </w:p>
        </w:tc>
      </w:tr>
      <w:tr w:rsidR="006471B2" w:rsidRPr="002014CF" w14:paraId="47AAE9CA" w14:textId="77777777" w:rsidTr="00E92CAB">
        <w:tc>
          <w:tcPr>
            <w:tcW w:w="9184" w:type="dxa"/>
            <w:gridSpan w:val="2"/>
            <w:shd w:val="clear" w:color="auto" w:fill="auto"/>
          </w:tcPr>
          <w:p w14:paraId="7E733709" w14:textId="77777777" w:rsidR="00AC2D24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5. Негативни въздействия: </w:t>
            </w:r>
          </w:p>
          <w:p w14:paraId="251340B1" w14:textId="77777777" w:rsidR="006471B2" w:rsidRPr="002014CF" w:rsidRDefault="00B8263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0: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>:</w:t>
            </w:r>
            <w:r w:rsidR="00AC2D24" w:rsidRPr="002014CF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  <w:p w14:paraId="6EA599D8" w14:textId="562991AB" w:rsidR="00444A28" w:rsidRPr="002014CF" w:rsidRDefault="0058039A" w:rsidP="002014CF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Акумулиране на значителен размер пари</w:t>
            </w:r>
            <w:r w:rsidR="0067435F" w:rsidRPr="002014CF">
              <w:rPr>
                <w:rFonts w:ascii="Verdana" w:hAnsi="Verdana"/>
                <w:sz w:val="20"/>
                <w:lang w:val="bg-BG"/>
              </w:rPr>
              <w:t>чни средства във фонд „Инвестиции в горите“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на Ю</w:t>
            </w:r>
            <w:r w:rsidR="00E25594" w:rsidRPr="002014CF">
              <w:rPr>
                <w:rFonts w:ascii="Verdana" w:hAnsi="Verdana"/>
                <w:sz w:val="20"/>
                <w:lang w:val="bg-BG"/>
              </w:rPr>
              <w:t>З</w:t>
            </w:r>
            <w:r w:rsidRPr="002014CF">
              <w:rPr>
                <w:rFonts w:ascii="Verdana" w:hAnsi="Verdana"/>
                <w:sz w:val="20"/>
                <w:lang w:val="bg-BG"/>
              </w:rPr>
              <w:t>ДП</w:t>
            </w:r>
            <w:r w:rsidR="00E25594" w:rsidRPr="002014CF">
              <w:rPr>
                <w:rFonts w:ascii="Verdana" w:hAnsi="Verdana"/>
                <w:sz w:val="20"/>
                <w:lang w:val="bg-BG"/>
              </w:rPr>
              <w:t xml:space="preserve"> и СИДП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, вместо използването им за изпълнение на обичайната дейност на предприятието. </w:t>
            </w:r>
            <w:r w:rsidR="0067435F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14:paraId="620BE19D" w14:textId="39F4B535" w:rsidR="0067435F" w:rsidRPr="002014CF" w:rsidRDefault="00444A28" w:rsidP="002014CF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Намалените приходи </w:t>
            </w:r>
            <w:r w:rsidR="00E25594" w:rsidRPr="002014CF">
              <w:rPr>
                <w:rFonts w:ascii="Verdana" w:hAnsi="Verdana"/>
                <w:sz w:val="20"/>
                <w:lang w:val="bg-BG"/>
              </w:rPr>
              <w:t xml:space="preserve">от продажба 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на дървесина ще доведе до </w:t>
            </w:r>
            <w:r w:rsidR="0067435F" w:rsidRPr="002014CF">
              <w:rPr>
                <w:rFonts w:ascii="Verdana" w:hAnsi="Verdana"/>
                <w:sz w:val="20"/>
                <w:lang w:val="bg-BG"/>
              </w:rPr>
              <w:t xml:space="preserve">невъзможност за изпълнението 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на </w:t>
            </w:r>
            <w:r w:rsidR="005A5FD1" w:rsidRPr="002014CF">
              <w:rPr>
                <w:rFonts w:ascii="Verdana" w:hAnsi="Verdana"/>
                <w:sz w:val="20"/>
                <w:lang w:val="bg-BG"/>
              </w:rPr>
              <w:t>заложените във финансовите и горскостопанските планове дейности</w:t>
            </w:r>
            <w:r w:rsidR="0067435F" w:rsidRPr="002014CF">
              <w:rPr>
                <w:rFonts w:ascii="Verdana" w:hAnsi="Verdana"/>
                <w:sz w:val="20"/>
                <w:lang w:val="bg-BG"/>
              </w:rPr>
              <w:t xml:space="preserve"> или до генериране на отрицателен финансов резултат от дейността.</w:t>
            </w:r>
          </w:p>
          <w:p w14:paraId="7CDB1E78" w14:textId="5CCFEC34" w:rsidR="00D457C1" w:rsidRPr="002014CF" w:rsidRDefault="00AC2D24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Икономически въздействия: </w:t>
            </w:r>
            <w:r w:rsidR="00D457C1" w:rsidRPr="002014CF">
              <w:rPr>
                <w:rFonts w:ascii="Verdana" w:hAnsi="Verdana" w:cs="Verdana"/>
                <w:sz w:val="20"/>
                <w:lang w:val="bg-BG" w:eastAsia="bg-BG"/>
              </w:rPr>
              <w:t>За</w:t>
            </w:r>
            <w:r w:rsidR="00E75286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пазването на сегашния размер на отчисленията за фонд „Инвестиции в горите“ при продажбата на 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дървесина от </w:t>
            </w:r>
            <w:r w:rsidR="00D457C1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>Ю</w:t>
            </w:r>
            <w:r w:rsidR="007B672D" w:rsidRPr="002014CF">
              <w:rPr>
                <w:rFonts w:ascii="Verdana" w:hAnsi="Verdana" w:cs="Verdana"/>
                <w:sz w:val="20"/>
                <w:lang w:val="bg-BG" w:eastAsia="bg-BG"/>
              </w:rPr>
              <w:t>З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>ДП</w:t>
            </w:r>
            <w:r w:rsidR="007B672D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и СИДП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D457C1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ще </w:t>
            </w:r>
            <w:r w:rsidR="00E75286" w:rsidRPr="002014CF">
              <w:rPr>
                <w:rFonts w:ascii="Verdana" w:hAnsi="Verdana" w:cs="Verdana"/>
                <w:sz w:val="20"/>
                <w:lang w:val="bg-BG" w:eastAsia="bg-BG"/>
              </w:rPr>
              <w:t>се отрази негативно на</w:t>
            </w:r>
            <w:r w:rsidR="0067435F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E75286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финансово-икономическите показатели при дейността на 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>предприяти</w:t>
            </w:r>
            <w:r w:rsidR="007B672D" w:rsidRPr="002014CF">
              <w:rPr>
                <w:rFonts w:ascii="Verdana" w:hAnsi="Verdana" w:cs="Verdana"/>
                <w:sz w:val="20"/>
                <w:lang w:val="bg-BG" w:eastAsia="bg-BG"/>
              </w:rPr>
              <w:t>ята</w:t>
            </w:r>
            <w:r w:rsidR="00773E35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</w:t>
            </w:r>
            <w:r w:rsidR="0067435F" w:rsidRPr="002014CF">
              <w:rPr>
                <w:rFonts w:ascii="Verdana" w:hAnsi="Verdana" w:cs="Verdana"/>
                <w:sz w:val="20"/>
                <w:lang w:val="bg-BG" w:eastAsia="bg-BG"/>
              </w:rPr>
              <w:t>и генериране на отрицателен годишен ф</w:t>
            </w:r>
            <w:r w:rsidR="00E75286" w:rsidRPr="002014CF">
              <w:rPr>
                <w:rFonts w:ascii="Verdana" w:hAnsi="Verdana" w:cs="Verdana"/>
                <w:sz w:val="20"/>
                <w:lang w:val="bg-BG" w:eastAsia="bg-BG"/>
              </w:rPr>
              <w:t>и</w:t>
            </w:r>
            <w:r w:rsidR="0067435F" w:rsidRPr="002014CF">
              <w:rPr>
                <w:rFonts w:ascii="Verdana" w:hAnsi="Verdana" w:cs="Verdana"/>
                <w:sz w:val="20"/>
                <w:lang w:val="bg-BG" w:eastAsia="bg-BG"/>
              </w:rPr>
              <w:t>нансов резултат в размер на не по-малко от 2 млн. лв</w:t>
            </w:r>
            <w:r w:rsidR="00E75286" w:rsidRPr="002014CF">
              <w:rPr>
                <w:rFonts w:ascii="Verdana" w:hAnsi="Verdana" w:cs="Verdana"/>
                <w:sz w:val="20"/>
                <w:lang w:val="bg-BG" w:eastAsia="bg-BG"/>
              </w:rPr>
              <w:t>.</w:t>
            </w:r>
            <w:r w:rsidR="007B672D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за всяко от тях.</w:t>
            </w:r>
          </w:p>
          <w:p w14:paraId="7D2CEB02" w14:textId="77777777" w:rsidR="00AC2D24" w:rsidRPr="002014CF" w:rsidRDefault="00AC2D24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</w:pPr>
            <w:r w:rsidRPr="002014CF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="00AC1490" w:rsidRPr="002014CF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идентифицирани.</w:t>
            </w:r>
          </w:p>
          <w:p w14:paraId="3F40B106" w14:textId="77777777" w:rsidR="00AC2D24" w:rsidRPr="002014CF" w:rsidRDefault="00AC2D24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2014CF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Екологични въздействия: </w:t>
            </w:r>
            <w:r w:rsidR="00AC1490" w:rsidRPr="002014CF">
              <w:rPr>
                <w:rFonts w:ascii="Verdana" w:hAnsi="Verdana" w:cs="Verdana"/>
                <w:sz w:val="20"/>
                <w:lang w:val="bg-BG" w:eastAsia="bg-BG"/>
              </w:rPr>
              <w:t>не са идентифицирани.</w:t>
            </w:r>
          </w:p>
          <w:p w14:paraId="75D3412C" w14:textId="77777777" w:rsidR="00E92CAB" w:rsidRPr="002014CF" w:rsidRDefault="00AC2D24" w:rsidP="002014CF">
            <w:pPr>
              <w:spacing w:before="12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Вариант 1: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„</w:t>
            </w:r>
            <w:r w:rsidR="00F9075A" w:rsidRPr="002014CF">
              <w:rPr>
                <w:rFonts w:ascii="Verdana" w:hAnsi="Verdana"/>
                <w:b/>
                <w:sz w:val="20"/>
                <w:lang w:val="bg-BG"/>
              </w:rPr>
              <w:t xml:space="preserve">Приемане на </w:t>
            </w:r>
            <w:r w:rsidR="00DA18B9" w:rsidRPr="002014CF">
              <w:rPr>
                <w:rFonts w:ascii="Verdana" w:hAnsi="Verdana"/>
                <w:b/>
                <w:sz w:val="20"/>
                <w:lang w:val="bg-BG"/>
              </w:rPr>
              <w:t>проект на Постановление на Министерския съвет за изменение на Постановление  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ДВ., бр. 102 от 2011 г.)</w:t>
            </w:r>
            <w:r w:rsidR="00081F6D" w:rsidRPr="002014CF">
              <w:rPr>
                <w:rFonts w:ascii="Verdana" w:hAnsi="Verdana"/>
                <w:b/>
                <w:sz w:val="20"/>
                <w:lang w:val="bg-BG"/>
              </w:rPr>
              <w:t>“</w:t>
            </w:r>
            <w:r w:rsidR="007840D0" w:rsidRPr="002014CF">
              <w:rPr>
                <w:rFonts w:ascii="Verdana" w:hAnsi="Verdana"/>
                <w:b/>
                <w:sz w:val="20"/>
                <w:lang w:val="bg-BG"/>
              </w:rPr>
              <w:t>:</w:t>
            </w:r>
          </w:p>
          <w:p w14:paraId="44783EED" w14:textId="77777777" w:rsidR="008A6BE0" w:rsidRPr="002014CF" w:rsidRDefault="008A6BE0" w:rsidP="002014CF">
            <w:pPr>
              <w:spacing w:before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Не са идентифицирани негативни въздействия.</w:t>
            </w:r>
          </w:p>
          <w:p w14:paraId="760F6537" w14:textId="4246097B" w:rsidR="00CB15C2" w:rsidRPr="002014CF" w:rsidRDefault="006471B2" w:rsidP="002014CF">
            <w:pPr>
              <w:spacing w:before="120" w:after="120" w:line="360" w:lineRule="auto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6471B2" w:rsidRPr="002014CF" w14:paraId="15EAB0EB" w14:textId="77777777" w:rsidTr="00E92CAB">
        <w:tc>
          <w:tcPr>
            <w:tcW w:w="9184" w:type="dxa"/>
            <w:gridSpan w:val="2"/>
            <w:shd w:val="clear" w:color="auto" w:fill="auto"/>
          </w:tcPr>
          <w:p w14:paraId="02D7B923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lastRenderedPageBreak/>
              <w:t xml:space="preserve">6. Положителни въздействия: </w:t>
            </w:r>
          </w:p>
          <w:p w14:paraId="28E62385" w14:textId="77777777" w:rsidR="006471B2" w:rsidRPr="002014CF" w:rsidRDefault="00886CC3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В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 xml:space="preserve">ариант </w:t>
            </w: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0: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„Без действие”</w:t>
            </w:r>
          </w:p>
          <w:p w14:paraId="1FED7AD0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Няма положителни въздействия</w:t>
            </w:r>
            <w:r w:rsidR="009A0582" w:rsidRPr="002014CF">
              <w:rPr>
                <w:rFonts w:ascii="Verdana" w:hAnsi="Verdana"/>
                <w:sz w:val="20"/>
                <w:lang w:val="bg-BG"/>
              </w:rPr>
              <w:t>.</w:t>
            </w:r>
          </w:p>
          <w:p w14:paraId="6C8465EB" w14:textId="768AA293" w:rsidR="00E92CAB" w:rsidRPr="002014CF" w:rsidRDefault="00886CC3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Вариант 1: </w:t>
            </w:r>
            <w:r w:rsidR="006471B2" w:rsidRPr="002014CF">
              <w:rPr>
                <w:rFonts w:ascii="Verdana" w:hAnsi="Verdana"/>
                <w:b/>
                <w:sz w:val="20"/>
                <w:lang w:val="bg-BG"/>
              </w:rPr>
              <w:t>„</w:t>
            </w:r>
            <w:r w:rsidR="00CB15C2" w:rsidRPr="002014CF">
              <w:rPr>
                <w:rFonts w:ascii="Verdana" w:hAnsi="Verdana"/>
                <w:b/>
                <w:sz w:val="20"/>
                <w:lang w:val="bg-BG"/>
              </w:rPr>
              <w:t xml:space="preserve">Приемане на проект на Постановление за </w:t>
            </w:r>
            <w:r w:rsidR="00A15BB1" w:rsidRPr="002014CF">
              <w:rPr>
                <w:rFonts w:ascii="Verdana" w:hAnsi="Verdana"/>
                <w:b/>
                <w:sz w:val="20"/>
                <w:lang w:val="bg-BG"/>
              </w:rPr>
              <w:t>изменение</w:t>
            </w:r>
            <w:r w:rsidR="00CB15C2" w:rsidRPr="002014CF">
              <w:rPr>
                <w:rFonts w:ascii="Verdana" w:hAnsi="Verdana"/>
                <w:b/>
                <w:sz w:val="20"/>
                <w:lang w:val="bg-BG"/>
              </w:rPr>
              <w:t xml:space="preserve"> на Постановление № 343 от 15 декември 2011 г. на Министерския съвет </w:t>
            </w:r>
            <w:r w:rsidR="00364AB6" w:rsidRPr="002014CF">
              <w:rPr>
                <w:rFonts w:ascii="Verdana" w:hAnsi="Verdana"/>
                <w:b/>
                <w:sz w:val="20"/>
                <w:lang w:val="bg-BG"/>
              </w:rPr>
              <w:t>(обн., ДВ, бр. 102 от 2011 г.; изм. и доп., бр. 9 от 2014 г.; бр. 31 от 2015 г.</w:t>
            </w:r>
            <w:r w:rsidR="007B672D" w:rsidRPr="002014CF">
              <w:rPr>
                <w:rFonts w:ascii="Verdana" w:hAnsi="Verdana"/>
                <w:b/>
                <w:sz w:val="20"/>
                <w:lang w:val="bg-BG"/>
              </w:rPr>
              <w:t>,</w:t>
            </w:r>
            <w:r w:rsidR="00364AB6" w:rsidRPr="002014CF">
              <w:rPr>
                <w:rFonts w:ascii="Verdana" w:hAnsi="Verdana"/>
                <w:b/>
                <w:sz w:val="20"/>
                <w:lang w:val="bg-BG"/>
              </w:rPr>
              <w:t xml:space="preserve"> бр. 78 от 2017 г.</w:t>
            </w:r>
            <w:r w:rsidR="007B672D" w:rsidRPr="002014CF">
              <w:rPr>
                <w:rFonts w:ascii="Verdana" w:hAnsi="Verdana"/>
                <w:b/>
                <w:sz w:val="20"/>
                <w:lang w:val="bg-BG"/>
              </w:rPr>
              <w:t xml:space="preserve"> и бр. 19 от 2020 г.</w:t>
            </w:r>
            <w:r w:rsidR="00364AB6" w:rsidRPr="002014CF">
              <w:rPr>
                <w:rFonts w:ascii="Verdana" w:hAnsi="Verdana"/>
                <w:b/>
                <w:sz w:val="20"/>
                <w:lang w:val="bg-BG"/>
              </w:rPr>
              <w:t>)</w:t>
            </w:r>
            <w:r w:rsidR="00E92CAB" w:rsidRPr="002014CF">
              <w:rPr>
                <w:rFonts w:ascii="Verdana" w:hAnsi="Verdana"/>
                <w:b/>
                <w:sz w:val="20"/>
                <w:lang w:val="bg-BG"/>
              </w:rPr>
              <w:t xml:space="preserve">” </w:t>
            </w:r>
          </w:p>
          <w:p w14:paraId="3F4550CC" w14:textId="3A0230BD" w:rsidR="00FE12F5" w:rsidRPr="002014CF" w:rsidRDefault="00D5509C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 xml:space="preserve">Икономически въздействия: 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Намаляването на размера, отчисляван от продажната цена на дървесината към фонд „Инвестиции в горите“ от 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>8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лв. на </w:t>
            </w:r>
            <w:r w:rsidR="006F7BFF" w:rsidRPr="002014CF">
              <w:rPr>
                <w:rFonts w:ascii="Verdana" w:hAnsi="Verdana"/>
                <w:sz w:val="20"/>
                <w:lang w:val="bg-BG"/>
              </w:rPr>
              <w:t>куб. 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м на 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>5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лв. на куб. м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 xml:space="preserve"> за ЮЗДП и от 5 лв. на куб. м на 2 лв. на куб. м за СИДП дървесина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ще се създаде възможност за увеличение на оперативните средства на </w:t>
            </w:r>
            <w:r w:rsidR="00FE12F5" w:rsidRPr="002014CF">
              <w:rPr>
                <w:rFonts w:ascii="Verdana" w:hAnsi="Verdana"/>
                <w:sz w:val="20"/>
                <w:lang w:val="en-US"/>
              </w:rPr>
              <w:t>предприятията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за изпълнението на 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 xml:space="preserve">горскостопанските, ловностопанските 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>дейности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 xml:space="preserve"> и дейности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>те по опазването на горските територии</w:t>
            </w:r>
            <w:r w:rsidR="008D3A57" w:rsidRPr="002014CF">
              <w:rPr>
                <w:rFonts w:ascii="Verdana" w:hAnsi="Verdana"/>
                <w:sz w:val="20"/>
                <w:lang w:val="bg-BG"/>
              </w:rPr>
              <w:t>,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FE12F5" w:rsidRPr="002014CF">
              <w:rPr>
                <w:rFonts w:ascii="Verdana" w:hAnsi="Verdana"/>
                <w:sz w:val="20"/>
                <w:lang w:val="en-US"/>
              </w:rPr>
              <w:t>както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 xml:space="preserve"> и за 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>издръжка</w:t>
            </w:r>
            <w:r w:rsidR="00DF65B2" w:rsidRPr="002014CF">
              <w:rPr>
                <w:rFonts w:ascii="Verdana" w:hAnsi="Verdana"/>
                <w:sz w:val="20"/>
                <w:lang w:val="en-US"/>
              </w:rPr>
              <w:t>та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 xml:space="preserve"> на работещите</w:t>
            </w:r>
            <w:r w:rsidR="00FE12F5" w:rsidRPr="002014CF">
              <w:rPr>
                <w:rFonts w:ascii="Verdana" w:hAnsi="Verdana"/>
                <w:sz w:val="20"/>
                <w:lang w:val="bg-BG"/>
              </w:rPr>
              <w:t xml:space="preserve"> в тя</w:t>
            </w:r>
            <w:r w:rsidR="00DF65B2" w:rsidRPr="002014CF">
              <w:rPr>
                <w:rFonts w:ascii="Verdana" w:hAnsi="Verdana"/>
                <w:sz w:val="20"/>
                <w:lang w:val="bg-BG"/>
              </w:rPr>
              <w:t>х</w:t>
            </w:r>
            <w:r w:rsidR="00EB0CBA" w:rsidRPr="002014CF">
              <w:rPr>
                <w:rFonts w:ascii="Verdana" w:hAnsi="Verdana"/>
                <w:sz w:val="20"/>
                <w:lang w:val="bg-BG"/>
              </w:rPr>
              <w:t xml:space="preserve"> служители и работници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>.</w:t>
            </w:r>
            <w:r w:rsidR="00CC7C50" w:rsidRPr="002014CF"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  <w:r w:rsidR="00F9075A" w:rsidRPr="002014CF">
              <w:rPr>
                <w:rFonts w:ascii="Verdana" w:hAnsi="Verdana"/>
                <w:sz w:val="20"/>
                <w:lang w:val="bg-BG"/>
              </w:rPr>
              <w:tab/>
            </w:r>
          </w:p>
          <w:p w14:paraId="2E46C835" w14:textId="5DD4942C" w:rsidR="00D5509C" w:rsidRPr="002014CF" w:rsidRDefault="00D5509C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Cs/>
                <w:sz w:val="20"/>
                <w:lang w:val="bg-BG" w:eastAsia="bg-BG"/>
              </w:rPr>
            </w:pPr>
            <w:r w:rsidRPr="002014CF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Социални въздействия: </w:t>
            </w:r>
            <w:r w:rsidR="006F7BFF" w:rsidRPr="002014CF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</w:t>
            </w:r>
            <w:r w:rsidR="00E175A5" w:rsidRPr="002014CF">
              <w:rPr>
                <w:rFonts w:ascii="Verdana" w:hAnsi="Verdana" w:cs="Verdana"/>
                <w:bCs/>
                <w:sz w:val="20"/>
                <w:lang w:val="bg-BG" w:eastAsia="bg-BG"/>
              </w:rPr>
              <w:t>.</w:t>
            </w:r>
          </w:p>
          <w:p w14:paraId="6C7B5904" w14:textId="77777777" w:rsidR="00195E8D" w:rsidRPr="002014CF" w:rsidRDefault="00D5509C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Cs/>
                <w:sz w:val="20"/>
                <w:lang w:val="bg-BG" w:eastAsia="bg-BG"/>
              </w:rPr>
            </w:pPr>
            <w:r w:rsidRPr="002014CF">
              <w:rPr>
                <w:rFonts w:ascii="Verdana" w:hAnsi="Verdana" w:cs="Verdana"/>
                <w:b/>
                <w:bCs/>
                <w:sz w:val="20"/>
                <w:lang w:val="bg-BG" w:eastAsia="bg-BG"/>
              </w:rPr>
              <w:t xml:space="preserve">Екологични въздействия: </w:t>
            </w:r>
            <w:r w:rsidR="00CC7C50" w:rsidRPr="002014CF">
              <w:rPr>
                <w:rFonts w:ascii="Verdana" w:hAnsi="Verdana" w:cs="Verdana"/>
                <w:bCs/>
                <w:sz w:val="20"/>
                <w:lang w:val="bg-BG" w:eastAsia="bg-BG"/>
              </w:rPr>
              <w:t>не са идентифицирани.</w:t>
            </w:r>
          </w:p>
          <w:p w14:paraId="1CB32ED9" w14:textId="77777777" w:rsidR="002014CF" w:rsidRDefault="00886CC3" w:rsidP="004108C4">
            <w:pPr>
              <w:spacing w:line="360" w:lineRule="auto"/>
              <w:ind w:firstLine="709"/>
              <w:jc w:val="both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14:paraId="5312DE65" w14:textId="017C48AD" w:rsidR="004108C4" w:rsidRPr="002014CF" w:rsidRDefault="004108C4" w:rsidP="004108C4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</w:p>
        </w:tc>
      </w:tr>
      <w:tr w:rsidR="006471B2" w:rsidRPr="002014CF" w14:paraId="39E93E94" w14:textId="77777777" w:rsidTr="00E92CAB">
        <w:tc>
          <w:tcPr>
            <w:tcW w:w="9184" w:type="dxa"/>
            <w:gridSpan w:val="2"/>
            <w:shd w:val="clear" w:color="auto" w:fill="auto"/>
          </w:tcPr>
          <w:p w14:paraId="6791F43F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7. Потенциални рискове: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14:paraId="6553FCA9" w14:textId="77777777" w:rsidR="006471B2" w:rsidRPr="002014CF" w:rsidRDefault="00417E32" w:rsidP="002014CF">
            <w:pPr>
              <w:spacing w:line="360" w:lineRule="auto"/>
              <w:ind w:firstLine="709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 xml:space="preserve">Не са идентифицирани потенциални рискове. </w:t>
            </w:r>
          </w:p>
          <w:p w14:paraId="6210CF30" w14:textId="77777777" w:rsidR="006471B2" w:rsidRPr="002014CF" w:rsidRDefault="006471B2" w:rsidP="002014CF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lastRenderedPageBreak/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6471B2" w:rsidRPr="002014CF" w14:paraId="430EA5AA" w14:textId="77777777" w:rsidTr="00E92CAB">
        <w:tc>
          <w:tcPr>
            <w:tcW w:w="9184" w:type="dxa"/>
            <w:gridSpan w:val="2"/>
            <w:shd w:val="clear" w:color="auto" w:fill="auto"/>
          </w:tcPr>
          <w:p w14:paraId="44127AF3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lastRenderedPageBreak/>
              <w:t>8.1. Административната тежест за физическите и юридическите лица:</w:t>
            </w:r>
          </w:p>
          <w:p w14:paraId="14038530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Ще се повиши</w:t>
            </w:r>
          </w:p>
          <w:p w14:paraId="66192BCC" w14:textId="77777777" w:rsidR="006471B2" w:rsidRPr="002014CF" w:rsidRDefault="006C748D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="00204CD1" w:rsidRPr="002014CF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="006471B2" w:rsidRPr="002014CF">
              <w:rPr>
                <w:rFonts w:ascii="Verdana" w:hAnsi="Verdana"/>
                <w:sz w:val="20"/>
                <w:lang w:val="bg-BG"/>
              </w:rPr>
              <w:t>Ще се намали</w:t>
            </w:r>
          </w:p>
          <w:p w14:paraId="6EB21523" w14:textId="77777777" w:rsidR="006471B2" w:rsidRPr="002014CF" w:rsidRDefault="006C748D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="00DA18B9" w:rsidRPr="002014CF">
              <w:rPr>
                <w:rFonts w:ascii="Verdana" w:eastAsia="MS Gothic" w:hAnsi="Verdana" w:cs="MS Gothic"/>
                <w:sz w:val="20"/>
                <w:lang w:val="bg-BG"/>
              </w:rPr>
              <w:t xml:space="preserve"> </w:t>
            </w:r>
            <w:r w:rsidR="006471B2" w:rsidRPr="002014CF">
              <w:rPr>
                <w:rFonts w:ascii="Verdana" w:hAnsi="Verdana"/>
                <w:sz w:val="20"/>
                <w:lang w:val="bg-BG"/>
              </w:rPr>
              <w:t>Няма ефект</w:t>
            </w:r>
          </w:p>
          <w:p w14:paraId="40E1CC5C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3169CDF3" w14:textId="77777777" w:rsidR="006471B2" w:rsidRPr="002014CF" w:rsidRDefault="006471B2" w:rsidP="002014CF">
            <w:pPr>
              <w:spacing w:after="120" w:line="360" w:lineRule="auto"/>
              <w:ind w:firstLine="709"/>
              <w:jc w:val="both"/>
              <w:rPr>
                <w:rFonts w:ascii="Verdana" w:hAnsi="Verdana"/>
                <w:sz w:val="20"/>
                <w:lang w:val="ru-RU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Не се създават нови регулаторни режими</w:t>
            </w:r>
            <w:r w:rsidR="00204CD1" w:rsidRPr="002014CF">
              <w:rPr>
                <w:rFonts w:ascii="Verdana" w:hAnsi="Verdana"/>
                <w:sz w:val="20"/>
                <w:lang w:val="bg-BG"/>
              </w:rPr>
              <w:t>.</w:t>
            </w:r>
          </w:p>
        </w:tc>
      </w:tr>
      <w:tr w:rsidR="006471B2" w:rsidRPr="002014CF" w14:paraId="358C73B2" w14:textId="77777777" w:rsidTr="00E92CAB">
        <w:tc>
          <w:tcPr>
            <w:tcW w:w="9184" w:type="dxa"/>
            <w:gridSpan w:val="2"/>
            <w:shd w:val="clear" w:color="auto" w:fill="auto"/>
          </w:tcPr>
          <w:p w14:paraId="23F6420D" w14:textId="77777777" w:rsidR="009A058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9. Създават ли се нови регистри?</w:t>
            </w:r>
          </w:p>
          <w:p w14:paraId="3950B7A7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sz w:val="20"/>
                <w:lang w:val="bg-BG"/>
              </w:rPr>
              <w:t>Не</w:t>
            </w:r>
            <w:r w:rsidR="00CC7C50" w:rsidRPr="002014CF">
              <w:rPr>
                <w:rFonts w:ascii="Verdana" w:hAnsi="Verdana"/>
                <w:sz w:val="20"/>
                <w:lang w:val="bg-BG"/>
              </w:rPr>
              <w:t>.</w:t>
            </w:r>
          </w:p>
          <w:p w14:paraId="68A24DB8" w14:textId="77777777" w:rsidR="006471B2" w:rsidRPr="002014CF" w:rsidRDefault="006471B2" w:rsidP="002014CF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6471B2" w:rsidRPr="002014CF" w14:paraId="79A77BAB" w14:textId="77777777" w:rsidTr="00E92CAB">
        <w:tc>
          <w:tcPr>
            <w:tcW w:w="9184" w:type="dxa"/>
            <w:gridSpan w:val="2"/>
            <w:shd w:val="clear" w:color="auto" w:fill="auto"/>
          </w:tcPr>
          <w:p w14:paraId="683F440F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10. Как въздейства актът върху микро-, малките и средните предприятия (МСП)?</w:t>
            </w:r>
          </w:p>
          <w:p w14:paraId="5E22EFD4" w14:textId="77777777" w:rsidR="00885E1E" w:rsidRPr="002014CF" w:rsidRDefault="001E4759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="006471B2" w:rsidRPr="002014CF">
              <w:rPr>
                <w:rFonts w:ascii="Verdana" w:hAnsi="Verdana"/>
                <w:sz w:val="20"/>
                <w:lang w:val="bg-BG"/>
              </w:rPr>
              <w:t xml:space="preserve"> Актът засяга пряко МСП</w:t>
            </w:r>
          </w:p>
          <w:p w14:paraId="7D5785EF" w14:textId="77777777" w:rsidR="00885E1E" w:rsidRPr="002014CF" w:rsidRDefault="00DA18B9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2014CF">
              <w:rPr>
                <w:rFonts w:ascii="Verdana" w:eastAsia="MS Gothic" w:hAnsi="Verdana" w:cs="MS Gothic"/>
                <w:sz w:val="20"/>
                <w:lang w:val="bg-BG"/>
              </w:rPr>
              <w:t xml:space="preserve"> </w:t>
            </w:r>
            <w:r w:rsidR="006471B2" w:rsidRPr="002014CF">
              <w:rPr>
                <w:rFonts w:ascii="Verdana" w:hAnsi="Verdana"/>
                <w:sz w:val="20"/>
                <w:lang w:val="bg-BG"/>
              </w:rPr>
              <w:t>Актът не засяга МСП</w:t>
            </w:r>
          </w:p>
          <w:p w14:paraId="21BA0D93" w14:textId="77777777" w:rsidR="008E0F6E" w:rsidRPr="002014CF" w:rsidRDefault="00DA18B9" w:rsidP="002014CF">
            <w:pPr>
              <w:spacing w:after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2014CF">
              <w:rPr>
                <w:rFonts w:ascii="Verdana" w:eastAsia="MS Gothic" w:hAnsi="Verdana" w:cs="MS Gothic"/>
                <w:sz w:val="20"/>
                <w:lang w:val="bg-BG"/>
              </w:rPr>
              <w:t xml:space="preserve"> </w:t>
            </w:r>
            <w:r w:rsidR="006471B2" w:rsidRPr="002014CF">
              <w:rPr>
                <w:rFonts w:ascii="Verdana" w:hAnsi="Verdana"/>
                <w:sz w:val="20"/>
                <w:lang w:val="bg-BG"/>
              </w:rPr>
              <w:t>Няма ефект</w:t>
            </w:r>
            <w:r w:rsidR="006C748D" w:rsidRPr="002014CF">
              <w:rPr>
                <w:rFonts w:ascii="Verdana" w:hAnsi="Verdana"/>
                <w:sz w:val="20"/>
                <w:lang w:val="bg-BG"/>
              </w:rPr>
              <w:t xml:space="preserve">    </w:t>
            </w:r>
          </w:p>
        </w:tc>
      </w:tr>
      <w:tr w:rsidR="006471B2" w:rsidRPr="002014CF" w14:paraId="642DC28B" w14:textId="77777777" w:rsidTr="00E92CAB">
        <w:tc>
          <w:tcPr>
            <w:tcW w:w="9184" w:type="dxa"/>
            <w:gridSpan w:val="2"/>
            <w:shd w:val="clear" w:color="auto" w:fill="auto"/>
          </w:tcPr>
          <w:p w14:paraId="294042F6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b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14:paraId="2155AA51" w14:textId="77777777" w:rsidR="006471B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Да</w:t>
            </w:r>
          </w:p>
          <w:p w14:paraId="6E739BD2" w14:textId="77777777" w:rsidR="006471B2" w:rsidRPr="002014CF" w:rsidRDefault="006471B2" w:rsidP="002014CF">
            <w:pPr>
              <w:spacing w:after="12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2014CF">
              <w:rPr>
                <w:rFonts w:ascii="Verdana" w:eastAsia="Arial Unicode MS" w:hAnsi="Verdana" w:cs="Arial Unicode MS"/>
                <w:sz w:val="20"/>
                <w:lang w:val="bg-BG"/>
              </w:rPr>
              <w:t xml:space="preserve"> </w:t>
            </w:r>
            <w:r w:rsidRPr="002014CF">
              <w:rPr>
                <w:rFonts w:ascii="Verdana" w:hAnsi="Verdana"/>
                <w:sz w:val="20"/>
                <w:lang w:val="bg-BG"/>
              </w:rPr>
              <w:t>Не</w:t>
            </w:r>
          </w:p>
        </w:tc>
      </w:tr>
      <w:tr w:rsidR="006471B2" w:rsidRPr="002014CF" w14:paraId="2C25C459" w14:textId="77777777" w:rsidTr="00E92CAB">
        <w:tc>
          <w:tcPr>
            <w:tcW w:w="9184" w:type="dxa"/>
            <w:gridSpan w:val="2"/>
            <w:shd w:val="clear" w:color="auto" w:fill="auto"/>
          </w:tcPr>
          <w:p w14:paraId="4A8D470E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/>
                <w:sz w:val="20"/>
                <w:lang w:val="bg-BG"/>
              </w:rPr>
            </w:pPr>
            <w:r w:rsidRPr="002014CF">
              <w:rPr>
                <w:rFonts w:ascii="Verdana" w:hAnsi="Verdana"/>
                <w:b/>
                <w:sz w:val="20"/>
                <w:lang w:val="bg-BG"/>
              </w:rPr>
              <w:t>12. Обществени консултации:</w:t>
            </w:r>
            <w:r w:rsidRPr="002014CF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14:paraId="28EBC7E4" w14:textId="77777777" w:rsidR="008F50FA" w:rsidRPr="002014CF" w:rsidRDefault="00A51DC0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lang w:val="bg-BG" w:eastAsia="bg-BG"/>
              </w:rPr>
            </w:pPr>
            <w:r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Проектът на </w:t>
            </w:r>
            <w:r w:rsidR="00CA45D6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Постановление за </w:t>
            </w:r>
            <w:r w:rsidR="00CC7C50" w:rsidRPr="002014CF">
              <w:rPr>
                <w:rFonts w:ascii="Verdana" w:hAnsi="Verdana" w:cs="Verdana"/>
                <w:sz w:val="20"/>
                <w:lang w:val="bg-BG" w:eastAsia="bg-BG"/>
              </w:rPr>
              <w:t>изменение</w:t>
            </w:r>
            <w:r w:rsidR="00CA45D6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на Постановление № 343 от 15 декември 2011 г. на Министерския съвет </w:t>
            </w:r>
            <w:r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ще бъде публикуван на портала за обществени консултации и на интернет страницата на Министерството на земеделието, храните и горите, </w:t>
            </w:r>
            <w:r w:rsidR="005F16DD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за срок от </w:t>
            </w:r>
            <w:r w:rsidR="00CC7C50" w:rsidRPr="002014CF">
              <w:rPr>
                <w:rFonts w:ascii="Verdana" w:hAnsi="Verdana" w:cs="Verdana"/>
                <w:sz w:val="20"/>
                <w:lang w:val="bg-BG" w:eastAsia="bg-BG"/>
              </w:rPr>
              <w:t>30</w:t>
            </w:r>
            <w:r w:rsidR="005F16DD"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 дни</w:t>
            </w:r>
            <w:r w:rsidRPr="002014CF">
              <w:rPr>
                <w:rFonts w:ascii="Verdana" w:hAnsi="Verdana" w:cs="Verdana"/>
                <w:sz w:val="20"/>
                <w:lang w:val="bg-BG" w:eastAsia="bg-BG"/>
              </w:rPr>
              <w:t xml:space="preserve">. </w:t>
            </w:r>
          </w:p>
          <w:p w14:paraId="7217F8DD" w14:textId="77777777" w:rsidR="006471B2" w:rsidRDefault="006471B2" w:rsidP="004108C4">
            <w:pPr>
              <w:spacing w:line="360" w:lineRule="auto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14:paraId="218CA86B" w14:textId="2DED3E50" w:rsidR="004108C4" w:rsidRPr="002014CF" w:rsidRDefault="004108C4" w:rsidP="004108C4">
            <w:pPr>
              <w:spacing w:line="360" w:lineRule="auto"/>
              <w:rPr>
                <w:rFonts w:ascii="Verdana" w:hAnsi="Verdana"/>
                <w:sz w:val="20"/>
                <w:lang w:val="bg-BG"/>
              </w:rPr>
            </w:pPr>
          </w:p>
        </w:tc>
      </w:tr>
      <w:tr w:rsidR="006471B2" w:rsidRPr="002014CF" w14:paraId="19488517" w14:textId="77777777" w:rsidTr="00E92CAB">
        <w:tc>
          <w:tcPr>
            <w:tcW w:w="9184" w:type="dxa"/>
            <w:gridSpan w:val="2"/>
            <w:shd w:val="clear" w:color="auto" w:fill="auto"/>
          </w:tcPr>
          <w:p w14:paraId="3FEA5C01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 w:cs="Calibri"/>
                <w:b/>
                <w:sz w:val="20"/>
                <w:lang w:val="bg-BG"/>
              </w:rPr>
            </w:pPr>
            <w:r w:rsidRPr="002014CF">
              <w:rPr>
                <w:rFonts w:ascii="Verdana" w:hAnsi="Verdana" w:cs="Calibri"/>
                <w:b/>
                <w:sz w:val="20"/>
                <w:lang w:val="bg-BG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14:paraId="1CD86BC1" w14:textId="77777777" w:rsidR="006471B2" w:rsidRPr="002014CF" w:rsidRDefault="006471B2" w:rsidP="002014CF">
            <w:pPr>
              <w:spacing w:line="360" w:lineRule="auto"/>
              <w:ind w:firstLine="709"/>
              <w:rPr>
                <w:rFonts w:ascii="Verdana" w:hAnsi="Verdana" w:cs="Calibri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☐</w:t>
            </w:r>
            <w:r w:rsidRPr="002014CF">
              <w:rPr>
                <w:rFonts w:ascii="Verdana" w:hAnsi="Verdana" w:cs="Calibri"/>
                <w:sz w:val="20"/>
                <w:lang w:val="bg-BG"/>
              </w:rPr>
              <w:t xml:space="preserve"> Да</w:t>
            </w:r>
          </w:p>
          <w:p w14:paraId="35AA9957" w14:textId="77777777" w:rsidR="009A0582" w:rsidRPr="002014CF" w:rsidRDefault="006471B2" w:rsidP="002014CF">
            <w:pPr>
              <w:spacing w:line="360" w:lineRule="auto"/>
              <w:ind w:firstLine="709"/>
              <w:jc w:val="both"/>
              <w:rPr>
                <w:rFonts w:ascii="Verdana" w:hAnsi="Verdana" w:cs="Calibri"/>
                <w:sz w:val="20"/>
                <w:lang w:val="bg-BG"/>
              </w:rPr>
            </w:pPr>
            <w:r w:rsidRPr="002014CF">
              <w:rPr>
                <w:rFonts w:ascii="MS Gothic" w:eastAsia="MS Gothic" w:hAnsi="MS Gothic" w:cs="MS Gothic" w:hint="eastAsia"/>
                <w:sz w:val="20"/>
                <w:lang w:val="bg-BG"/>
              </w:rPr>
              <w:t>☒</w:t>
            </w:r>
            <w:r w:rsidRPr="002014CF">
              <w:rPr>
                <w:rFonts w:ascii="Verdana" w:hAnsi="Verdana" w:cs="Calibri"/>
                <w:sz w:val="20"/>
                <w:lang w:val="bg-BG"/>
              </w:rPr>
              <w:t xml:space="preserve"> Не</w:t>
            </w:r>
          </w:p>
          <w:p w14:paraId="6CC96A5B" w14:textId="77777777" w:rsidR="006471B2" w:rsidRPr="002014CF" w:rsidRDefault="006471B2" w:rsidP="002014CF">
            <w:pPr>
              <w:spacing w:line="360" w:lineRule="auto"/>
              <w:rPr>
                <w:rFonts w:ascii="Verdana" w:hAnsi="Verdana"/>
                <w:i/>
                <w:sz w:val="20"/>
                <w:lang w:val="bg-BG"/>
              </w:rPr>
            </w:pPr>
            <w:r w:rsidRPr="002014CF">
              <w:rPr>
                <w:rFonts w:ascii="Verdana" w:hAnsi="Verdana"/>
                <w:i/>
                <w:sz w:val="20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06021767" w14:textId="77777777" w:rsidR="006471B2" w:rsidRPr="002014CF" w:rsidRDefault="006471B2" w:rsidP="002014CF">
            <w:pPr>
              <w:spacing w:line="360" w:lineRule="auto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6471B2" w:rsidRPr="002014CF" w14:paraId="1ABF32E9" w14:textId="77777777" w:rsidTr="00E92CAB">
        <w:tc>
          <w:tcPr>
            <w:tcW w:w="9184" w:type="dxa"/>
            <w:gridSpan w:val="2"/>
            <w:shd w:val="clear" w:color="auto" w:fill="auto"/>
          </w:tcPr>
          <w:p w14:paraId="0E267F74" w14:textId="77777777" w:rsidR="006471B2" w:rsidRPr="002014CF" w:rsidRDefault="006471B2" w:rsidP="004108C4">
            <w:pPr>
              <w:spacing w:before="300" w:line="360" w:lineRule="auto"/>
              <w:ind w:firstLine="709"/>
              <w:jc w:val="both"/>
              <w:rPr>
                <w:rFonts w:ascii="Verdana" w:hAnsi="Verdana" w:cs="Calibri"/>
                <w:b/>
                <w:sz w:val="20"/>
                <w:lang w:val="bg-BG"/>
              </w:rPr>
            </w:pPr>
            <w:r w:rsidRPr="002014CF">
              <w:rPr>
                <w:rFonts w:ascii="Verdana" w:hAnsi="Verdana" w:cs="Calibri"/>
                <w:b/>
                <w:sz w:val="20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14:paraId="75F42C2D" w14:textId="224A8FD9" w:rsidR="00E41796" w:rsidRPr="002014CF" w:rsidRDefault="006471B2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Calibri"/>
                <w:sz w:val="20"/>
                <w:lang w:val="bg-BG"/>
              </w:rPr>
            </w:pPr>
            <w:r w:rsidRPr="002014CF">
              <w:rPr>
                <w:rFonts w:ascii="Verdana" w:hAnsi="Verdana" w:cs="Calibri"/>
                <w:b/>
                <w:sz w:val="20"/>
                <w:lang w:val="bg-BG"/>
              </w:rPr>
              <w:t xml:space="preserve">Име и длъжност: </w:t>
            </w:r>
            <w:r w:rsidR="004667D3" w:rsidRPr="002014CF">
              <w:rPr>
                <w:rFonts w:ascii="Verdana" w:hAnsi="Verdana" w:cs="Calibri"/>
                <w:sz w:val="20"/>
                <w:lang w:val="bg-BG"/>
              </w:rPr>
              <w:t>инж.</w:t>
            </w:r>
            <w:r w:rsidR="004667D3" w:rsidRPr="002014CF">
              <w:rPr>
                <w:rFonts w:ascii="Verdana" w:hAnsi="Verdana" w:cs="Calibri"/>
                <w:b/>
                <w:sz w:val="20"/>
                <w:lang w:val="bg-BG"/>
              </w:rPr>
              <w:t xml:space="preserve"> </w:t>
            </w:r>
            <w:r w:rsidR="00CC7C50" w:rsidRPr="002014CF">
              <w:rPr>
                <w:rFonts w:ascii="Verdana" w:hAnsi="Verdana" w:cs="Calibri"/>
                <w:sz w:val="20"/>
                <w:lang w:val="bg-BG"/>
              </w:rPr>
              <w:t>Виржиния Хубчева</w:t>
            </w:r>
            <w:r w:rsidR="00613BAA" w:rsidRPr="002014CF">
              <w:rPr>
                <w:rFonts w:ascii="Verdana" w:hAnsi="Verdana" w:cs="Calibri"/>
                <w:sz w:val="20"/>
                <w:lang w:val="bg-BG"/>
              </w:rPr>
              <w:t xml:space="preserve"> – директор на дирекция „Търговски дружества и държавни предприятия</w:t>
            </w:r>
            <w:r w:rsidR="00E41796" w:rsidRPr="002014CF">
              <w:rPr>
                <w:rFonts w:ascii="Verdana" w:hAnsi="Verdana" w:cs="Calibri"/>
                <w:sz w:val="20"/>
                <w:lang w:val="bg-BG"/>
              </w:rPr>
              <w:t>“, Министерство на земеделието, храните и горите</w:t>
            </w:r>
          </w:p>
          <w:p w14:paraId="217D410A" w14:textId="77777777" w:rsidR="007B14F6" w:rsidRPr="002014CF" w:rsidRDefault="007B14F6" w:rsidP="002014C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Calibri"/>
                <w:sz w:val="20"/>
                <w:lang w:val="bg-BG"/>
              </w:rPr>
            </w:pPr>
          </w:p>
          <w:p w14:paraId="334FAC8A" w14:textId="3C4F5F3F" w:rsidR="006471B2" w:rsidRPr="002014CF" w:rsidRDefault="006471B2" w:rsidP="002014CF">
            <w:pPr>
              <w:spacing w:line="360" w:lineRule="auto"/>
              <w:rPr>
                <w:rFonts w:ascii="Verdana" w:hAnsi="Verdana" w:cs="Calibri"/>
                <w:b/>
                <w:color w:val="FF0000"/>
                <w:sz w:val="20"/>
                <w:lang w:val="en-US"/>
              </w:rPr>
            </w:pPr>
            <w:r w:rsidRPr="002014CF">
              <w:rPr>
                <w:rFonts w:ascii="Verdana" w:hAnsi="Verdana" w:cs="Calibri"/>
                <w:b/>
                <w:sz w:val="20"/>
                <w:lang w:val="bg-BG"/>
              </w:rPr>
              <w:t xml:space="preserve">Дата: </w:t>
            </w:r>
            <w:r w:rsidR="002014CF" w:rsidRPr="008E2233">
              <w:rPr>
                <w:rFonts w:ascii="Verdana" w:hAnsi="Verdana" w:cs="Calibri"/>
                <w:b/>
                <w:sz w:val="20"/>
                <w:lang w:val="bg-BG"/>
              </w:rPr>
              <w:t>19</w:t>
            </w:r>
            <w:r w:rsidR="00C758AD" w:rsidRPr="008E2233">
              <w:rPr>
                <w:rFonts w:ascii="Verdana" w:hAnsi="Verdana" w:cs="Calibri"/>
                <w:b/>
                <w:sz w:val="20"/>
                <w:lang w:val="bg-BG"/>
              </w:rPr>
              <w:t>.</w:t>
            </w:r>
            <w:r w:rsidR="005A5FD1" w:rsidRPr="008E2233">
              <w:rPr>
                <w:rFonts w:ascii="Verdana" w:hAnsi="Verdana" w:cs="Calibri"/>
                <w:b/>
                <w:sz w:val="20"/>
                <w:lang w:val="bg-BG"/>
              </w:rPr>
              <w:t>0</w:t>
            </w:r>
            <w:r w:rsidR="007B672D" w:rsidRPr="008E2233">
              <w:rPr>
                <w:rFonts w:ascii="Verdana" w:hAnsi="Verdana" w:cs="Calibri"/>
                <w:b/>
                <w:sz w:val="20"/>
                <w:lang w:val="bg-BG"/>
              </w:rPr>
              <w:t>5</w:t>
            </w:r>
            <w:r w:rsidR="00C758AD" w:rsidRPr="008E2233">
              <w:rPr>
                <w:rFonts w:ascii="Verdana" w:hAnsi="Verdana" w:cs="Calibri"/>
                <w:b/>
                <w:sz w:val="20"/>
                <w:lang w:val="bg-BG"/>
              </w:rPr>
              <w:t>.</w:t>
            </w:r>
            <w:r w:rsidRPr="008E2233">
              <w:rPr>
                <w:rFonts w:ascii="Verdana" w:hAnsi="Verdana" w:cs="Calibri"/>
                <w:b/>
                <w:sz w:val="20"/>
                <w:lang w:val="bg-BG"/>
              </w:rPr>
              <w:t>20</w:t>
            </w:r>
            <w:r w:rsidR="00D53659" w:rsidRPr="008E2233">
              <w:rPr>
                <w:rFonts w:ascii="Verdana" w:hAnsi="Verdana" w:cs="Calibri"/>
                <w:b/>
                <w:sz w:val="20"/>
                <w:lang w:val="bg-BG"/>
              </w:rPr>
              <w:t>20</w:t>
            </w:r>
            <w:r w:rsidRPr="008E2233">
              <w:rPr>
                <w:rFonts w:ascii="Verdana" w:hAnsi="Verdana" w:cs="Calibri"/>
                <w:b/>
                <w:sz w:val="20"/>
                <w:lang w:val="bg-BG"/>
              </w:rPr>
              <w:t xml:space="preserve"> г.</w:t>
            </w:r>
          </w:p>
          <w:p w14:paraId="129AFD15" w14:textId="77777777" w:rsidR="008913BF" w:rsidRPr="002014CF" w:rsidRDefault="008913BF" w:rsidP="002014CF">
            <w:pPr>
              <w:spacing w:line="360" w:lineRule="auto"/>
              <w:rPr>
                <w:rFonts w:ascii="Verdana" w:hAnsi="Verdana" w:cs="Calibri"/>
                <w:b/>
                <w:color w:val="FF0000"/>
                <w:sz w:val="20"/>
                <w:lang w:val="en-US"/>
              </w:rPr>
            </w:pPr>
          </w:p>
          <w:p w14:paraId="15F27271" w14:textId="77777777" w:rsidR="008913BF" w:rsidRPr="002014CF" w:rsidRDefault="008913BF" w:rsidP="002014CF">
            <w:pPr>
              <w:spacing w:line="360" w:lineRule="auto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111D04D0" w14:textId="3BDFEC15" w:rsidR="006471B2" w:rsidRPr="002014CF" w:rsidRDefault="006471B2" w:rsidP="002014CF">
            <w:pPr>
              <w:spacing w:line="360" w:lineRule="auto"/>
              <w:rPr>
                <w:rFonts w:ascii="Verdana" w:hAnsi="Verdana" w:cs="Calibri"/>
                <w:b/>
                <w:sz w:val="20"/>
                <w:lang w:val="bg-BG"/>
              </w:rPr>
            </w:pPr>
            <w:r w:rsidRPr="002014CF">
              <w:rPr>
                <w:rFonts w:ascii="Verdana" w:hAnsi="Verdana" w:cs="Calibri"/>
                <w:b/>
                <w:sz w:val="20"/>
                <w:lang w:val="bg-BG"/>
              </w:rPr>
              <w:t>Подпис:</w:t>
            </w:r>
          </w:p>
          <w:p w14:paraId="1870C549" w14:textId="394D4B53" w:rsidR="00BE3A8F" w:rsidRPr="002014CF" w:rsidRDefault="00BE3A8F" w:rsidP="002014CF">
            <w:pPr>
              <w:spacing w:line="360" w:lineRule="auto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654F85C4" w14:textId="77777777" w:rsidR="00BE3A8F" w:rsidRPr="002014CF" w:rsidRDefault="00BE3A8F" w:rsidP="002014CF">
            <w:pPr>
              <w:spacing w:line="360" w:lineRule="auto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118AD5A" w14:textId="77777777" w:rsidR="008913BF" w:rsidRPr="002014CF" w:rsidRDefault="008913BF" w:rsidP="002014CF">
            <w:pPr>
              <w:spacing w:line="360" w:lineRule="auto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3410C69F" w14:textId="77777777" w:rsidR="006471B2" w:rsidRPr="002014CF" w:rsidRDefault="006471B2" w:rsidP="002014CF">
      <w:pPr>
        <w:spacing w:before="120" w:after="120" w:line="360" w:lineRule="auto"/>
        <w:rPr>
          <w:rFonts w:ascii="Verdana" w:hAnsi="Verdana"/>
          <w:b/>
          <w:sz w:val="20"/>
          <w:lang w:val="bg-BG"/>
        </w:rPr>
      </w:pPr>
    </w:p>
    <w:sectPr w:rsidR="006471B2" w:rsidRPr="002014CF" w:rsidSect="00410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A871C" w14:textId="77777777" w:rsidR="001F4094" w:rsidRDefault="001F4094">
      <w:r>
        <w:separator/>
      </w:r>
    </w:p>
  </w:endnote>
  <w:endnote w:type="continuationSeparator" w:id="0">
    <w:p w14:paraId="3EB3934A" w14:textId="77777777" w:rsidR="001F4094" w:rsidRDefault="001F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804D0" w14:textId="77777777" w:rsidR="003E63C3" w:rsidRDefault="003E6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0058A" w14:textId="77777777" w:rsidR="003E63C3" w:rsidRPr="0083568A" w:rsidRDefault="003E63C3" w:rsidP="00E9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4F97F" w14:textId="77777777" w:rsidR="003E63C3" w:rsidRPr="0083568A" w:rsidRDefault="003E63C3" w:rsidP="00E9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3D7D" w14:textId="77777777" w:rsidR="001F4094" w:rsidRDefault="001F4094">
      <w:r>
        <w:separator/>
      </w:r>
    </w:p>
  </w:footnote>
  <w:footnote w:type="continuationSeparator" w:id="0">
    <w:p w14:paraId="1C48CC35" w14:textId="77777777" w:rsidR="001F4094" w:rsidRDefault="001F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B6BC" w14:textId="77777777" w:rsidR="003E63C3" w:rsidRDefault="003E63C3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80797" w14:textId="77777777" w:rsidR="003E63C3" w:rsidRDefault="003E6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2B03" w14:textId="77777777" w:rsidR="003E63C3" w:rsidRDefault="003E63C3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E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6EB08" w14:textId="77777777" w:rsidR="003E63C3" w:rsidRDefault="003E63C3">
    <w:pPr>
      <w:pStyle w:val="Header"/>
      <w:rPr>
        <w:rFonts w:ascii="Times New Roman" w:hAnsi="Times New Roman"/>
        <w:lang w:val="bg-BG"/>
      </w:rPr>
    </w:pPr>
  </w:p>
  <w:p w14:paraId="14C35CB0" w14:textId="77777777" w:rsidR="003E63C3" w:rsidRPr="00B81B4C" w:rsidRDefault="003E63C3">
    <w:pPr>
      <w:pStyle w:val="Header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48BD" w14:textId="77777777" w:rsidR="003E63C3" w:rsidRDefault="003E6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3FD"/>
    <w:multiLevelType w:val="hybridMultilevel"/>
    <w:tmpl w:val="075CB99A"/>
    <w:lvl w:ilvl="0" w:tplc="FDEAC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4022C"/>
    <w:multiLevelType w:val="hybridMultilevel"/>
    <w:tmpl w:val="01B82BB0"/>
    <w:lvl w:ilvl="0" w:tplc="ED6282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131BC"/>
    <w:multiLevelType w:val="hybridMultilevel"/>
    <w:tmpl w:val="CB3A1224"/>
    <w:lvl w:ilvl="0" w:tplc="F4D8C5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55EF4"/>
    <w:multiLevelType w:val="multilevel"/>
    <w:tmpl w:val="048016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C52534"/>
    <w:multiLevelType w:val="hybridMultilevel"/>
    <w:tmpl w:val="2A742AAA"/>
    <w:lvl w:ilvl="0" w:tplc="1AF2F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678B0"/>
    <w:multiLevelType w:val="hybridMultilevel"/>
    <w:tmpl w:val="862CEBEA"/>
    <w:lvl w:ilvl="0" w:tplc="CB62E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B1F1A"/>
    <w:multiLevelType w:val="multilevel"/>
    <w:tmpl w:val="F2DA3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EDE6C84"/>
    <w:multiLevelType w:val="multilevel"/>
    <w:tmpl w:val="E528D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2"/>
    <w:rsid w:val="00026BE0"/>
    <w:rsid w:val="000312E5"/>
    <w:rsid w:val="00037B96"/>
    <w:rsid w:val="00053788"/>
    <w:rsid w:val="00061655"/>
    <w:rsid w:val="00063176"/>
    <w:rsid w:val="00081F6D"/>
    <w:rsid w:val="0008685D"/>
    <w:rsid w:val="000F175F"/>
    <w:rsid w:val="000F5E03"/>
    <w:rsid w:val="001161A2"/>
    <w:rsid w:val="00137EA1"/>
    <w:rsid w:val="00140BC1"/>
    <w:rsid w:val="001571A5"/>
    <w:rsid w:val="00176930"/>
    <w:rsid w:val="00181EBC"/>
    <w:rsid w:val="0018430E"/>
    <w:rsid w:val="00187168"/>
    <w:rsid w:val="00195091"/>
    <w:rsid w:val="00195E8D"/>
    <w:rsid w:val="001A08C6"/>
    <w:rsid w:val="001A4B96"/>
    <w:rsid w:val="001B5A7C"/>
    <w:rsid w:val="001B6412"/>
    <w:rsid w:val="001E4759"/>
    <w:rsid w:val="001F3C65"/>
    <w:rsid w:val="001F4094"/>
    <w:rsid w:val="001F41A7"/>
    <w:rsid w:val="001F5222"/>
    <w:rsid w:val="001F6A68"/>
    <w:rsid w:val="002014CF"/>
    <w:rsid w:val="00202E2B"/>
    <w:rsid w:val="00203EAB"/>
    <w:rsid w:val="00204CD1"/>
    <w:rsid w:val="00216C27"/>
    <w:rsid w:val="002262AF"/>
    <w:rsid w:val="00256EC3"/>
    <w:rsid w:val="00260CC5"/>
    <w:rsid w:val="002671A9"/>
    <w:rsid w:val="002716F0"/>
    <w:rsid w:val="002865E7"/>
    <w:rsid w:val="00292D9F"/>
    <w:rsid w:val="002A0D20"/>
    <w:rsid w:val="002A5CBB"/>
    <w:rsid w:val="002A6C47"/>
    <w:rsid w:val="002C0ECD"/>
    <w:rsid w:val="002C19EF"/>
    <w:rsid w:val="002F20F2"/>
    <w:rsid w:val="002F4886"/>
    <w:rsid w:val="003047F3"/>
    <w:rsid w:val="00364420"/>
    <w:rsid w:val="00364AB6"/>
    <w:rsid w:val="003965B1"/>
    <w:rsid w:val="003A4A8E"/>
    <w:rsid w:val="003C5343"/>
    <w:rsid w:val="003C794B"/>
    <w:rsid w:val="003D4C0E"/>
    <w:rsid w:val="003E16DC"/>
    <w:rsid w:val="003E3456"/>
    <w:rsid w:val="003E63C3"/>
    <w:rsid w:val="003E6AFB"/>
    <w:rsid w:val="003F0C1B"/>
    <w:rsid w:val="003F2CA9"/>
    <w:rsid w:val="004108C4"/>
    <w:rsid w:val="0041143D"/>
    <w:rsid w:val="00417E32"/>
    <w:rsid w:val="004224B0"/>
    <w:rsid w:val="004259C6"/>
    <w:rsid w:val="00443BE6"/>
    <w:rsid w:val="00444A28"/>
    <w:rsid w:val="004667D3"/>
    <w:rsid w:val="00471999"/>
    <w:rsid w:val="00471C08"/>
    <w:rsid w:val="00472604"/>
    <w:rsid w:val="00481608"/>
    <w:rsid w:val="004844C9"/>
    <w:rsid w:val="004A4DEF"/>
    <w:rsid w:val="004B1272"/>
    <w:rsid w:val="004D06AF"/>
    <w:rsid w:val="004E454A"/>
    <w:rsid w:val="004F39D4"/>
    <w:rsid w:val="00502E52"/>
    <w:rsid w:val="0050347E"/>
    <w:rsid w:val="005034DB"/>
    <w:rsid w:val="00541EFE"/>
    <w:rsid w:val="00552290"/>
    <w:rsid w:val="00560141"/>
    <w:rsid w:val="0058039A"/>
    <w:rsid w:val="00592DB8"/>
    <w:rsid w:val="00594330"/>
    <w:rsid w:val="005A5FD1"/>
    <w:rsid w:val="005C529B"/>
    <w:rsid w:val="005F16DD"/>
    <w:rsid w:val="00604C9C"/>
    <w:rsid w:val="00613BAA"/>
    <w:rsid w:val="00615DFD"/>
    <w:rsid w:val="00637AFE"/>
    <w:rsid w:val="006471B2"/>
    <w:rsid w:val="00652488"/>
    <w:rsid w:val="00652737"/>
    <w:rsid w:val="006540C5"/>
    <w:rsid w:val="00662523"/>
    <w:rsid w:val="00671137"/>
    <w:rsid w:val="0067435F"/>
    <w:rsid w:val="00674CBD"/>
    <w:rsid w:val="00682E3C"/>
    <w:rsid w:val="00683CEC"/>
    <w:rsid w:val="00684078"/>
    <w:rsid w:val="0069552D"/>
    <w:rsid w:val="006C2E8D"/>
    <w:rsid w:val="006C3990"/>
    <w:rsid w:val="006C748D"/>
    <w:rsid w:val="006D143C"/>
    <w:rsid w:val="006E597A"/>
    <w:rsid w:val="006F1EBA"/>
    <w:rsid w:val="006F6112"/>
    <w:rsid w:val="006F7742"/>
    <w:rsid w:val="006F7BFF"/>
    <w:rsid w:val="00711015"/>
    <w:rsid w:val="00717E6E"/>
    <w:rsid w:val="00724E6F"/>
    <w:rsid w:val="0073013C"/>
    <w:rsid w:val="007338CD"/>
    <w:rsid w:val="00773738"/>
    <w:rsid w:val="00773E35"/>
    <w:rsid w:val="007840D0"/>
    <w:rsid w:val="00796F24"/>
    <w:rsid w:val="007A221F"/>
    <w:rsid w:val="007B14F6"/>
    <w:rsid w:val="007B672D"/>
    <w:rsid w:val="007C5A40"/>
    <w:rsid w:val="007D4356"/>
    <w:rsid w:val="007E01E5"/>
    <w:rsid w:val="007F439A"/>
    <w:rsid w:val="00807E3E"/>
    <w:rsid w:val="008127EB"/>
    <w:rsid w:val="008307C3"/>
    <w:rsid w:val="00850A75"/>
    <w:rsid w:val="00856FE8"/>
    <w:rsid w:val="008663D9"/>
    <w:rsid w:val="00874486"/>
    <w:rsid w:val="00874890"/>
    <w:rsid w:val="00875136"/>
    <w:rsid w:val="00885E1E"/>
    <w:rsid w:val="00886CC3"/>
    <w:rsid w:val="00886E23"/>
    <w:rsid w:val="008913BF"/>
    <w:rsid w:val="00896C49"/>
    <w:rsid w:val="008A6BE0"/>
    <w:rsid w:val="008C6594"/>
    <w:rsid w:val="008D3A57"/>
    <w:rsid w:val="008E0F6E"/>
    <w:rsid w:val="008E2233"/>
    <w:rsid w:val="008E6084"/>
    <w:rsid w:val="008F1EF1"/>
    <w:rsid w:val="008F50FA"/>
    <w:rsid w:val="008F580D"/>
    <w:rsid w:val="008F6B0D"/>
    <w:rsid w:val="00904722"/>
    <w:rsid w:val="009161E0"/>
    <w:rsid w:val="009214B3"/>
    <w:rsid w:val="00932673"/>
    <w:rsid w:val="009405C9"/>
    <w:rsid w:val="00940CF4"/>
    <w:rsid w:val="00945CD8"/>
    <w:rsid w:val="0094755B"/>
    <w:rsid w:val="00954A9A"/>
    <w:rsid w:val="00966000"/>
    <w:rsid w:val="0098745F"/>
    <w:rsid w:val="009A0582"/>
    <w:rsid w:val="009A0760"/>
    <w:rsid w:val="009A0CD2"/>
    <w:rsid w:val="009A4B50"/>
    <w:rsid w:val="009A77AD"/>
    <w:rsid w:val="009A7C24"/>
    <w:rsid w:val="009B5B86"/>
    <w:rsid w:val="009C205C"/>
    <w:rsid w:val="009D08DF"/>
    <w:rsid w:val="009E10B0"/>
    <w:rsid w:val="009E51F1"/>
    <w:rsid w:val="009F0349"/>
    <w:rsid w:val="009F4BFB"/>
    <w:rsid w:val="009F4D42"/>
    <w:rsid w:val="00A15BB1"/>
    <w:rsid w:val="00A21B30"/>
    <w:rsid w:val="00A35E3F"/>
    <w:rsid w:val="00A4001E"/>
    <w:rsid w:val="00A403C5"/>
    <w:rsid w:val="00A45E65"/>
    <w:rsid w:val="00A51DC0"/>
    <w:rsid w:val="00A578FA"/>
    <w:rsid w:val="00A65FF4"/>
    <w:rsid w:val="00A707FC"/>
    <w:rsid w:val="00A7603D"/>
    <w:rsid w:val="00A90962"/>
    <w:rsid w:val="00A97B44"/>
    <w:rsid w:val="00AA2603"/>
    <w:rsid w:val="00AB5953"/>
    <w:rsid w:val="00AB6817"/>
    <w:rsid w:val="00AC1490"/>
    <w:rsid w:val="00AC2D24"/>
    <w:rsid w:val="00AC421B"/>
    <w:rsid w:val="00AC5743"/>
    <w:rsid w:val="00AD08F2"/>
    <w:rsid w:val="00AD1B21"/>
    <w:rsid w:val="00AF299A"/>
    <w:rsid w:val="00B00592"/>
    <w:rsid w:val="00B17AB0"/>
    <w:rsid w:val="00B245A6"/>
    <w:rsid w:val="00B25B69"/>
    <w:rsid w:val="00B27F61"/>
    <w:rsid w:val="00B53F5C"/>
    <w:rsid w:val="00B62EC3"/>
    <w:rsid w:val="00B67AA4"/>
    <w:rsid w:val="00B764BB"/>
    <w:rsid w:val="00B81818"/>
    <w:rsid w:val="00B82632"/>
    <w:rsid w:val="00B90D7E"/>
    <w:rsid w:val="00BA1D92"/>
    <w:rsid w:val="00BE3A8F"/>
    <w:rsid w:val="00BE7960"/>
    <w:rsid w:val="00C01838"/>
    <w:rsid w:val="00C0498C"/>
    <w:rsid w:val="00C12BA5"/>
    <w:rsid w:val="00C133A6"/>
    <w:rsid w:val="00C22C29"/>
    <w:rsid w:val="00C41317"/>
    <w:rsid w:val="00C71030"/>
    <w:rsid w:val="00C71FDE"/>
    <w:rsid w:val="00C758AD"/>
    <w:rsid w:val="00C85BAA"/>
    <w:rsid w:val="00C908C1"/>
    <w:rsid w:val="00C932BF"/>
    <w:rsid w:val="00C96402"/>
    <w:rsid w:val="00C97DDE"/>
    <w:rsid w:val="00CA2FBD"/>
    <w:rsid w:val="00CA45D6"/>
    <w:rsid w:val="00CB15C2"/>
    <w:rsid w:val="00CC7C50"/>
    <w:rsid w:val="00CD4F54"/>
    <w:rsid w:val="00CF1FC6"/>
    <w:rsid w:val="00D010AF"/>
    <w:rsid w:val="00D11888"/>
    <w:rsid w:val="00D22B10"/>
    <w:rsid w:val="00D349B5"/>
    <w:rsid w:val="00D3716D"/>
    <w:rsid w:val="00D435E7"/>
    <w:rsid w:val="00D457C1"/>
    <w:rsid w:val="00D53659"/>
    <w:rsid w:val="00D5509C"/>
    <w:rsid w:val="00D704D9"/>
    <w:rsid w:val="00D76F09"/>
    <w:rsid w:val="00DA18B9"/>
    <w:rsid w:val="00DB7BB8"/>
    <w:rsid w:val="00DC4F03"/>
    <w:rsid w:val="00DC62DF"/>
    <w:rsid w:val="00DF4B5E"/>
    <w:rsid w:val="00DF65B2"/>
    <w:rsid w:val="00E10660"/>
    <w:rsid w:val="00E175A5"/>
    <w:rsid w:val="00E25594"/>
    <w:rsid w:val="00E340D2"/>
    <w:rsid w:val="00E348D8"/>
    <w:rsid w:val="00E41796"/>
    <w:rsid w:val="00E536BC"/>
    <w:rsid w:val="00E6721C"/>
    <w:rsid w:val="00E73D14"/>
    <w:rsid w:val="00E75286"/>
    <w:rsid w:val="00E801BC"/>
    <w:rsid w:val="00E90CE1"/>
    <w:rsid w:val="00E92CAB"/>
    <w:rsid w:val="00EA145D"/>
    <w:rsid w:val="00EA43BF"/>
    <w:rsid w:val="00EB0CBA"/>
    <w:rsid w:val="00EC1777"/>
    <w:rsid w:val="00EC4EA5"/>
    <w:rsid w:val="00EC74D0"/>
    <w:rsid w:val="00EE396B"/>
    <w:rsid w:val="00EF5A62"/>
    <w:rsid w:val="00F04691"/>
    <w:rsid w:val="00F0578E"/>
    <w:rsid w:val="00F11E90"/>
    <w:rsid w:val="00F41A5B"/>
    <w:rsid w:val="00F423EF"/>
    <w:rsid w:val="00F43FC2"/>
    <w:rsid w:val="00F52DDE"/>
    <w:rsid w:val="00F74E07"/>
    <w:rsid w:val="00F76C3D"/>
    <w:rsid w:val="00F9075A"/>
    <w:rsid w:val="00FA0064"/>
    <w:rsid w:val="00FA110D"/>
    <w:rsid w:val="00FB5C4F"/>
    <w:rsid w:val="00FB6D05"/>
    <w:rsid w:val="00FC4B12"/>
    <w:rsid w:val="00FD162C"/>
    <w:rsid w:val="00FD302A"/>
    <w:rsid w:val="00FE12F5"/>
    <w:rsid w:val="00FE26C1"/>
    <w:rsid w:val="00FF36F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D1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5F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character" w:styleId="Hyperlink">
    <w:name w:val="Hyperlink"/>
    <w:rsid w:val="00D349B5"/>
    <w:rPr>
      <w:color w:val="0000FF"/>
      <w:u w:val="single"/>
    </w:rPr>
  </w:style>
  <w:style w:type="character" w:customStyle="1" w:styleId="newdocreference1">
    <w:name w:val="newdocreference1"/>
    <w:rsid w:val="008307C3"/>
    <w:rPr>
      <w:i w:val="0"/>
      <w:iCs w:val="0"/>
      <w:color w:val="0000FF"/>
      <w:u w:val="single"/>
    </w:rPr>
  </w:style>
  <w:style w:type="character" w:customStyle="1" w:styleId="historyitemselected1">
    <w:name w:val="historyitemselected1"/>
    <w:rsid w:val="008307C3"/>
    <w:rPr>
      <w:b/>
      <w:bCs/>
      <w:color w:val="0086C6"/>
    </w:rPr>
  </w:style>
  <w:style w:type="character" w:customStyle="1" w:styleId="a">
    <w:name w:val="Основной текст_"/>
    <w:link w:val="a0"/>
    <w:rsid w:val="00EA145D"/>
    <w:rPr>
      <w:spacing w:val="10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EA145D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spacing w:val="10"/>
      <w:sz w:val="19"/>
      <w:szCs w:val="19"/>
      <w:lang w:val="en-US"/>
    </w:rPr>
  </w:style>
  <w:style w:type="character" w:customStyle="1" w:styleId="samedocreference1">
    <w:name w:val="samedocreference1"/>
    <w:rsid w:val="00C22C29"/>
    <w:rPr>
      <w:i w:val="0"/>
      <w:iCs w:val="0"/>
      <w:color w:val="8B0000"/>
      <w:u w:val="single"/>
    </w:rPr>
  </w:style>
  <w:style w:type="character" w:customStyle="1" w:styleId="search01">
    <w:name w:val="search01"/>
    <w:rsid w:val="0073013C"/>
    <w:rPr>
      <w:shd w:val="clear" w:color="auto" w:fill="FFFF66"/>
    </w:rPr>
  </w:style>
  <w:style w:type="character" w:customStyle="1" w:styleId="search12">
    <w:name w:val="search12"/>
    <w:rsid w:val="003D4C0E"/>
    <w:rPr>
      <w:shd w:val="clear" w:color="auto" w:fill="99FF99"/>
    </w:rPr>
  </w:style>
  <w:style w:type="paragraph" w:styleId="BalloonText">
    <w:name w:val="Balloon Text"/>
    <w:basedOn w:val="Normal"/>
    <w:link w:val="BalloonTextChar"/>
    <w:rsid w:val="0094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55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9F4B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BFB"/>
    <w:rPr>
      <w:sz w:val="20"/>
    </w:rPr>
  </w:style>
  <w:style w:type="character" w:customStyle="1" w:styleId="CommentTextChar">
    <w:name w:val="Comment Text Char"/>
    <w:link w:val="CommentText"/>
    <w:rsid w:val="009F4BFB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F4BFB"/>
    <w:rPr>
      <w:b/>
      <w:bCs/>
    </w:rPr>
  </w:style>
  <w:style w:type="character" w:customStyle="1" w:styleId="CommentSubjectChar">
    <w:name w:val="Comment Subject Char"/>
    <w:link w:val="CommentSubject"/>
    <w:rsid w:val="009F4BFB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A0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5F"/>
    <w:rPr>
      <w:rFonts w:ascii="Hebar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character" w:styleId="Hyperlink">
    <w:name w:val="Hyperlink"/>
    <w:rsid w:val="00D349B5"/>
    <w:rPr>
      <w:color w:val="0000FF"/>
      <w:u w:val="single"/>
    </w:rPr>
  </w:style>
  <w:style w:type="character" w:customStyle="1" w:styleId="newdocreference1">
    <w:name w:val="newdocreference1"/>
    <w:rsid w:val="008307C3"/>
    <w:rPr>
      <w:i w:val="0"/>
      <w:iCs w:val="0"/>
      <w:color w:val="0000FF"/>
      <w:u w:val="single"/>
    </w:rPr>
  </w:style>
  <w:style w:type="character" w:customStyle="1" w:styleId="historyitemselected1">
    <w:name w:val="historyitemselected1"/>
    <w:rsid w:val="008307C3"/>
    <w:rPr>
      <w:b/>
      <w:bCs/>
      <w:color w:val="0086C6"/>
    </w:rPr>
  </w:style>
  <w:style w:type="character" w:customStyle="1" w:styleId="a">
    <w:name w:val="Основной текст_"/>
    <w:link w:val="a0"/>
    <w:rsid w:val="00EA145D"/>
    <w:rPr>
      <w:spacing w:val="10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EA145D"/>
    <w:pPr>
      <w:widowControl w:val="0"/>
      <w:shd w:val="clear" w:color="auto" w:fill="FFFFFF"/>
      <w:spacing w:line="288" w:lineRule="exact"/>
      <w:jc w:val="both"/>
    </w:pPr>
    <w:rPr>
      <w:rFonts w:ascii="Times New Roman" w:hAnsi="Times New Roman"/>
      <w:spacing w:val="10"/>
      <w:sz w:val="19"/>
      <w:szCs w:val="19"/>
      <w:lang w:val="en-US"/>
    </w:rPr>
  </w:style>
  <w:style w:type="character" w:customStyle="1" w:styleId="samedocreference1">
    <w:name w:val="samedocreference1"/>
    <w:rsid w:val="00C22C29"/>
    <w:rPr>
      <w:i w:val="0"/>
      <w:iCs w:val="0"/>
      <w:color w:val="8B0000"/>
      <w:u w:val="single"/>
    </w:rPr>
  </w:style>
  <w:style w:type="character" w:customStyle="1" w:styleId="search01">
    <w:name w:val="search01"/>
    <w:rsid w:val="0073013C"/>
    <w:rPr>
      <w:shd w:val="clear" w:color="auto" w:fill="FFFF66"/>
    </w:rPr>
  </w:style>
  <w:style w:type="character" w:customStyle="1" w:styleId="search12">
    <w:name w:val="search12"/>
    <w:rsid w:val="003D4C0E"/>
    <w:rPr>
      <w:shd w:val="clear" w:color="auto" w:fill="99FF99"/>
    </w:rPr>
  </w:style>
  <w:style w:type="paragraph" w:styleId="BalloonText">
    <w:name w:val="Balloon Text"/>
    <w:basedOn w:val="Normal"/>
    <w:link w:val="BalloonTextChar"/>
    <w:rsid w:val="0094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55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9F4B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BFB"/>
    <w:rPr>
      <w:sz w:val="20"/>
    </w:rPr>
  </w:style>
  <w:style w:type="character" w:customStyle="1" w:styleId="CommentTextChar">
    <w:name w:val="Comment Text Char"/>
    <w:link w:val="CommentText"/>
    <w:rsid w:val="009F4BFB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F4BFB"/>
    <w:rPr>
      <w:b/>
      <w:bCs/>
    </w:rPr>
  </w:style>
  <w:style w:type="character" w:customStyle="1" w:styleId="CommentSubjectChar">
    <w:name w:val="Comment Subject Char"/>
    <w:link w:val="CommentSubject"/>
    <w:rsid w:val="009F4BFB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A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F788-2A60-45D0-9810-3EFCA99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Elena M. Velichkova</cp:lastModifiedBy>
  <cp:revision>22</cp:revision>
  <cp:lastPrinted>2020-05-19T10:05:00Z</cp:lastPrinted>
  <dcterms:created xsi:type="dcterms:W3CDTF">2020-02-19T15:07:00Z</dcterms:created>
  <dcterms:modified xsi:type="dcterms:W3CDTF">2020-05-19T10:43:00Z</dcterms:modified>
</cp:coreProperties>
</file>