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FB" w:rsidRPr="00A44C36" w:rsidRDefault="000317FB" w:rsidP="00CB5E09">
      <w:pPr>
        <w:spacing w:line="360" w:lineRule="auto"/>
        <w:jc w:val="center"/>
        <w:rPr>
          <w:b/>
          <w:caps/>
          <w:sz w:val="28"/>
          <w:szCs w:val="28"/>
        </w:rPr>
      </w:pPr>
      <w:r w:rsidRPr="00A44C36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0317FB" w:rsidRPr="00A44C36" w:rsidRDefault="000317FB" w:rsidP="00CB5E09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ind w:left="-426" w:firstLine="426"/>
        <w:jc w:val="right"/>
        <w:rPr>
          <w:b w:val="0"/>
          <w:sz w:val="24"/>
          <w:szCs w:val="24"/>
        </w:rPr>
      </w:pPr>
      <w:r w:rsidRPr="00A44C36">
        <w:rPr>
          <w:b w:val="0"/>
          <w:sz w:val="24"/>
          <w:szCs w:val="24"/>
        </w:rPr>
        <w:t>Проект</w:t>
      </w:r>
    </w:p>
    <w:p w:rsidR="00E46B9C" w:rsidRPr="00A44C36" w:rsidRDefault="00E46B9C" w:rsidP="00CB5E09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0317FB" w:rsidRPr="00DF6E76" w:rsidRDefault="000317FB" w:rsidP="00CB5E09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i/>
          <w:sz w:val="24"/>
          <w:szCs w:val="24"/>
        </w:rPr>
      </w:pPr>
      <w:r w:rsidRPr="00DF6E76">
        <w:rPr>
          <w:sz w:val="24"/>
          <w:szCs w:val="24"/>
        </w:rPr>
        <w:t xml:space="preserve">Наредба за </w:t>
      </w:r>
      <w:r w:rsidR="002E30D4" w:rsidRPr="00DF6E76">
        <w:rPr>
          <w:sz w:val="24"/>
          <w:szCs w:val="24"/>
        </w:rPr>
        <w:t xml:space="preserve">изменение и </w:t>
      </w:r>
      <w:r w:rsidRPr="00DF6E76">
        <w:rPr>
          <w:sz w:val="24"/>
          <w:szCs w:val="24"/>
        </w:rPr>
        <w:t xml:space="preserve">допълнение на </w:t>
      </w:r>
      <w:r w:rsidRPr="00DF6E76">
        <w:rPr>
          <w:bCs w:val="0"/>
          <w:sz w:val="24"/>
          <w:szCs w:val="24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DF6E76">
        <w:rPr>
          <w:bCs w:val="0"/>
          <w:sz w:val="24"/>
          <w:szCs w:val="24"/>
        </w:rPr>
        <w:t>лозаро-винарския</w:t>
      </w:r>
      <w:proofErr w:type="spellEnd"/>
      <w:r w:rsidRPr="00DF6E76">
        <w:rPr>
          <w:bCs w:val="0"/>
          <w:sz w:val="24"/>
          <w:szCs w:val="24"/>
        </w:rPr>
        <w:t xml:space="preserve"> сектор за периода 2019 – 2023 г. </w:t>
      </w:r>
      <w:r w:rsidR="002D1258" w:rsidRPr="00DF6E76">
        <w:rPr>
          <w:rStyle w:val="historyitem"/>
          <w:b w:val="0"/>
          <w:sz w:val="24"/>
          <w:szCs w:val="24"/>
        </w:rPr>
        <w:t>(</w:t>
      </w:r>
      <w:proofErr w:type="spellStart"/>
      <w:r w:rsidR="002D1258" w:rsidRPr="00DF6E76">
        <w:rPr>
          <w:rStyle w:val="historyitem"/>
          <w:b w:val="0"/>
          <w:sz w:val="24"/>
          <w:szCs w:val="24"/>
        </w:rPr>
        <w:t>o</w:t>
      </w:r>
      <w:r w:rsidRPr="00DF6E76">
        <w:rPr>
          <w:rStyle w:val="historyitem"/>
          <w:b w:val="0"/>
          <w:sz w:val="24"/>
          <w:szCs w:val="24"/>
        </w:rPr>
        <w:t>бн</w:t>
      </w:r>
      <w:proofErr w:type="spellEnd"/>
      <w:r w:rsidRPr="00DF6E76">
        <w:rPr>
          <w:rStyle w:val="historyitem"/>
          <w:b w:val="0"/>
          <w:sz w:val="24"/>
          <w:szCs w:val="24"/>
        </w:rPr>
        <w:t>.</w:t>
      </w:r>
      <w:r w:rsidR="002D1258" w:rsidRPr="00DF6E76">
        <w:rPr>
          <w:rStyle w:val="historyitem"/>
          <w:b w:val="0"/>
          <w:sz w:val="24"/>
          <w:szCs w:val="24"/>
        </w:rPr>
        <w:t>, ДВ,</w:t>
      </w:r>
      <w:r w:rsidRPr="00DF6E76">
        <w:rPr>
          <w:rStyle w:val="historyitem"/>
          <w:b w:val="0"/>
          <w:sz w:val="24"/>
          <w:szCs w:val="24"/>
        </w:rPr>
        <w:t xml:space="preserve"> бр. </w:t>
      </w:r>
      <w:r w:rsidRPr="00DF6E76">
        <w:rPr>
          <w:b w:val="0"/>
          <w:sz w:val="24"/>
          <w:szCs w:val="24"/>
        </w:rPr>
        <w:t>93</w:t>
      </w:r>
      <w:r w:rsidRPr="00DF6E76">
        <w:rPr>
          <w:rStyle w:val="historyitem"/>
          <w:b w:val="0"/>
          <w:sz w:val="24"/>
          <w:szCs w:val="24"/>
        </w:rPr>
        <w:t xml:space="preserve"> от 2018</w:t>
      </w:r>
      <w:r w:rsidR="002D1258" w:rsidRPr="00DF6E76">
        <w:rPr>
          <w:rStyle w:val="historyitem"/>
          <w:b w:val="0"/>
          <w:sz w:val="24"/>
          <w:szCs w:val="24"/>
        </w:rPr>
        <w:t xml:space="preserve"> </w:t>
      </w:r>
      <w:r w:rsidRPr="00DF6E76">
        <w:rPr>
          <w:rStyle w:val="historyitem"/>
          <w:b w:val="0"/>
          <w:sz w:val="24"/>
          <w:szCs w:val="24"/>
        </w:rPr>
        <w:t>г.</w:t>
      </w:r>
      <w:r w:rsidR="002D1258" w:rsidRPr="00DF6E76">
        <w:rPr>
          <w:b w:val="0"/>
          <w:sz w:val="24"/>
          <w:szCs w:val="24"/>
        </w:rPr>
        <w:t>;</w:t>
      </w:r>
      <w:r w:rsidRPr="00DF6E76">
        <w:rPr>
          <w:b w:val="0"/>
          <w:sz w:val="24"/>
          <w:szCs w:val="24"/>
        </w:rPr>
        <w:t xml:space="preserve"> </w:t>
      </w:r>
      <w:r w:rsidRPr="00DF6E76">
        <w:rPr>
          <w:rStyle w:val="historyitem"/>
          <w:b w:val="0"/>
          <w:sz w:val="24"/>
          <w:szCs w:val="24"/>
        </w:rPr>
        <w:t>изм.</w:t>
      </w:r>
      <w:r w:rsidR="002D1258" w:rsidRPr="00DF6E76">
        <w:rPr>
          <w:rStyle w:val="historyitem"/>
          <w:b w:val="0"/>
          <w:sz w:val="24"/>
          <w:szCs w:val="24"/>
        </w:rPr>
        <w:t>,</w:t>
      </w:r>
      <w:r w:rsidRPr="00DF6E76">
        <w:rPr>
          <w:rStyle w:val="historyitem"/>
          <w:b w:val="0"/>
          <w:sz w:val="24"/>
          <w:szCs w:val="24"/>
        </w:rPr>
        <w:t xml:space="preserve"> бр. 8, 39, 53, 69</w:t>
      </w:r>
      <w:r w:rsidR="002D1258" w:rsidRPr="00DF6E76">
        <w:rPr>
          <w:rStyle w:val="historyitem"/>
          <w:b w:val="0"/>
          <w:sz w:val="24"/>
          <w:szCs w:val="24"/>
        </w:rPr>
        <w:t xml:space="preserve"> и 74</w:t>
      </w:r>
      <w:r w:rsidRPr="00DF6E76">
        <w:rPr>
          <w:rStyle w:val="historyitem"/>
          <w:b w:val="0"/>
          <w:sz w:val="24"/>
          <w:szCs w:val="24"/>
        </w:rPr>
        <w:t xml:space="preserve"> от 2019</w:t>
      </w:r>
      <w:r w:rsidR="002D1258" w:rsidRPr="00DF6E76">
        <w:rPr>
          <w:rStyle w:val="historyitem"/>
          <w:b w:val="0"/>
          <w:sz w:val="24"/>
          <w:szCs w:val="24"/>
        </w:rPr>
        <w:t xml:space="preserve"> </w:t>
      </w:r>
      <w:r w:rsidRPr="00DF6E76">
        <w:rPr>
          <w:rStyle w:val="historyitem"/>
          <w:b w:val="0"/>
          <w:sz w:val="24"/>
          <w:szCs w:val="24"/>
        </w:rPr>
        <w:t>г.</w:t>
      </w:r>
      <w:r w:rsidRPr="00DF6E76">
        <w:rPr>
          <w:b w:val="0"/>
          <w:sz w:val="24"/>
          <w:szCs w:val="24"/>
        </w:rPr>
        <w:t xml:space="preserve"> и </w:t>
      </w:r>
      <w:r w:rsidRPr="00DF6E76">
        <w:rPr>
          <w:rStyle w:val="historyitemselected1"/>
          <w:color w:val="auto"/>
          <w:sz w:val="24"/>
          <w:szCs w:val="24"/>
        </w:rPr>
        <w:t>бр. 4</w:t>
      </w:r>
      <w:r w:rsidR="00ED5898" w:rsidRPr="00DF6E76">
        <w:rPr>
          <w:rStyle w:val="historyitemselected1"/>
          <w:color w:val="auto"/>
          <w:sz w:val="24"/>
          <w:szCs w:val="24"/>
        </w:rPr>
        <w:t xml:space="preserve">, </w:t>
      </w:r>
      <w:r w:rsidR="00094BEB" w:rsidRPr="00DF6E76">
        <w:rPr>
          <w:rStyle w:val="historyitemselected1"/>
          <w:color w:val="auto"/>
          <w:sz w:val="24"/>
          <w:szCs w:val="24"/>
        </w:rPr>
        <w:t>24</w:t>
      </w:r>
      <w:r w:rsidRPr="00DF6E76">
        <w:rPr>
          <w:rStyle w:val="historyitemselected1"/>
          <w:color w:val="auto"/>
          <w:sz w:val="24"/>
          <w:szCs w:val="24"/>
        </w:rPr>
        <w:t xml:space="preserve"> </w:t>
      </w:r>
      <w:r w:rsidR="00ED5898" w:rsidRPr="00DF6E76">
        <w:rPr>
          <w:rStyle w:val="historyitemselected1"/>
          <w:color w:val="auto"/>
          <w:sz w:val="24"/>
          <w:szCs w:val="24"/>
        </w:rPr>
        <w:t xml:space="preserve">и 45 </w:t>
      </w:r>
      <w:r w:rsidRPr="00DF6E76">
        <w:rPr>
          <w:rStyle w:val="historyitemselected1"/>
          <w:color w:val="auto"/>
          <w:sz w:val="24"/>
          <w:szCs w:val="24"/>
        </w:rPr>
        <w:t>от 2020 г.)</w:t>
      </w:r>
    </w:p>
    <w:p w:rsidR="001D319D" w:rsidRPr="00A44C36" w:rsidRDefault="001D319D" w:rsidP="00CB5E09">
      <w:pPr>
        <w:spacing w:line="360" w:lineRule="auto"/>
        <w:ind w:firstLine="709"/>
        <w:jc w:val="both"/>
        <w:rPr>
          <w:b/>
        </w:rPr>
      </w:pP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1D319D" w:rsidRPr="00A44C36" w:rsidRDefault="00D67B4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 xml:space="preserve">1. </w:t>
      </w:r>
      <w:r w:rsidRPr="00A44C36">
        <w:rPr>
          <w:bCs/>
        </w:rPr>
        <w:t xml:space="preserve">В чл. </w:t>
      </w:r>
      <w:r w:rsidR="001D319D" w:rsidRPr="00A44C36">
        <w:rPr>
          <w:bCs/>
        </w:rPr>
        <w:t>3, ал. 2 думите „от 1 май до 30 юни“ се заменят с „от 15 май до 15 юни“.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0317FB" w:rsidRPr="00A44C36" w:rsidRDefault="0067233B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2</w:t>
      </w:r>
      <w:r w:rsidRPr="00A44C36">
        <w:rPr>
          <w:b/>
        </w:rPr>
        <w:t xml:space="preserve">. </w:t>
      </w:r>
      <w:r w:rsidR="0097631C" w:rsidRPr="00A44C36">
        <w:rPr>
          <w:bCs/>
        </w:rPr>
        <w:t>В чл. 5 се създават ал. 5 и 6:</w:t>
      </w: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„(5) Дейностите по ал. 1, т. 3, б. „а“ и „б“ се подпомагат, когато са заявени заедно с дейност засаждане по ал. 1, т. 1, б. „б“ и т. 2, б. “б“ </w:t>
      </w:r>
      <w:r w:rsidR="00124E64" w:rsidRPr="00A44C36">
        <w:rPr>
          <w:bCs/>
        </w:rPr>
        <w:t xml:space="preserve">и </w:t>
      </w:r>
      <w:r w:rsidRPr="00A44C36">
        <w:rPr>
          <w:bCs/>
        </w:rPr>
        <w:t xml:space="preserve">за </w:t>
      </w:r>
      <w:r w:rsidR="00124E64" w:rsidRPr="00A44C36">
        <w:rPr>
          <w:bCs/>
        </w:rPr>
        <w:t xml:space="preserve">същата </w:t>
      </w:r>
      <w:r w:rsidRPr="00A44C36">
        <w:rPr>
          <w:bCs/>
        </w:rPr>
        <w:t xml:space="preserve">площ. </w:t>
      </w: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(6) Дейността по ал. 1, т. 3, б. „б“ се изпълнява върху площи, от които минимум 75 на сто са с наклон над 10%.“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3</w:t>
      </w:r>
      <w:r w:rsidRPr="00A44C36">
        <w:rPr>
          <w:b/>
        </w:rPr>
        <w:t xml:space="preserve">. </w:t>
      </w:r>
      <w:r w:rsidRPr="00A44C36">
        <w:rPr>
          <w:bCs/>
        </w:rPr>
        <w:t>В чл. 6, ал. 1 се създава т. 15:</w:t>
      </w: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„15. </w:t>
      </w:r>
      <w:r w:rsidR="008B0D0A">
        <w:rPr>
          <w:bCs/>
        </w:rPr>
        <w:t xml:space="preserve">които </w:t>
      </w:r>
      <w:r w:rsidRPr="00A44C36">
        <w:rPr>
          <w:bCs/>
        </w:rPr>
        <w:t xml:space="preserve">не са </w:t>
      </w:r>
      <w:r w:rsidR="008B0D0A">
        <w:rPr>
          <w:bCs/>
        </w:rPr>
        <w:t>съобразени с</w:t>
      </w:r>
      <w:r w:rsidRPr="00A44C36">
        <w:rPr>
          <w:bCs/>
        </w:rPr>
        <w:t xml:space="preserve"> изискванията на чл. 5, ал. 5 и ал. 6.“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4</w:t>
      </w:r>
      <w:r w:rsidRPr="00A44C36">
        <w:rPr>
          <w:b/>
        </w:rPr>
        <w:t xml:space="preserve">. </w:t>
      </w:r>
      <w:r w:rsidRPr="00A44C36">
        <w:rPr>
          <w:bCs/>
        </w:rPr>
        <w:t>В чл. 7 се създава ал. 4:</w:t>
      </w: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„(4) Всички кандидати по мярка „Преструктуриране и конверсия на лозя“ са задължени да поддържат дневник на извършените операции по заявените за подпомагане дейности, заверен от агроном. Дневникът съдържа подробна информация по дати за всяка извършена операция, описана в технологичната карта, предоставена по реда на чл. 12, ал. 2, т. 1. Операции, които не са отразени в дневника не се считат за изпълнени.“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5</w:t>
      </w:r>
      <w:r w:rsidRPr="00A44C36">
        <w:rPr>
          <w:b/>
        </w:rPr>
        <w:t xml:space="preserve">. </w:t>
      </w:r>
      <w:r w:rsidRPr="00A44C36">
        <w:rPr>
          <w:bCs/>
        </w:rPr>
        <w:t>В чл. 8 се правят следните допълнения:</w:t>
      </w:r>
    </w:p>
    <w:p w:rsidR="0097631C" w:rsidRPr="006B542E" w:rsidRDefault="0097631C" w:rsidP="00CB5E09">
      <w:pPr>
        <w:pStyle w:val="ListParagraph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  <w:lang w:eastAsia="bg-BG"/>
        </w:rPr>
      </w:pPr>
      <w:r w:rsidRPr="006B542E">
        <w:rPr>
          <w:bCs/>
          <w:sz w:val="24"/>
          <w:szCs w:val="24"/>
          <w:lang w:eastAsia="bg-BG"/>
        </w:rPr>
        <w:t>В ал. 8 след думите „технологичната карта“ се добавя „предоставена по реда на чл. 12, ал. 2, т. 1“</w:t>
      </w:r>
      <w:r w:rsidR="00C81017">
        <w:rPr>
          <w:bCs/>
          <w:sz w:val="24"/>
          <w:szCs w:val="24"/>
          <w:lang w:eastAsia="bg-BG"/>
        </w:rPr>
        <w:t>;</w:t>
      </w:r>
    </w:p>
    <w:p w:rsidR="0097631C" w:rsidRPr="006B542E" w:rsidRDefault="0097631C" w:rsidP="00CB5E09">
      <w:pPr>
        <w:pStyle w:val="ListParagraph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  <w:lang w:eastAsia="bg-BG"/>
        </w:rPr>
      </w:pPr>
      <w:r w:rsidRPr="006B542E">
        <w:rPr>
          <w:bCs/>
          <w:sz w:val="24"/>
          <w:szCs w:val="24"/>
          <w:lang w:eastAsia="bg-BG"/>
        </w:rPr>
        <w:t>Създава се нова ал. 9:</w:t>
      </w:r>
    </w:p>
    <w:p w:rsidR="0097631C" w:rsidRPr="00A44C36" w:rsidRDefault="0097631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„(9) </w:t>
      </w:r>
      <w:r w:rsidR="00937325">
        <w:rPr>
          <w:bCs/>
        </w:rPr>
        <w:t>Р</w:t>
      </w:r>
      <w:r w:rsidRPr="00A44C36">
        <w:rPr>
          <w:bCs/>
        </w:rPr>
        <w:t xml:space="preserve">азходи за операции, които не са включени в </w:t>
      </w:r>
      <w:r w:rsidR="00FC4C45">
        <w:rPr>
          <w:bCs/>
        </w:rPr>
        <w:t>п</w:t>
      </w:r>
      <w:r w:rsidRPr="00A44C36">
        <w:rPr>
          <w:bCs/>
        </w:rPr>
        <w:t xml:space="preserve">риложение </w:t>
      </w:r>
      <w:r w:rsidR="00937325">
        <w:rPr>
          <w:bCs/>
        </w:rPr>
        <w:t>№</w:t>
      </w:r>
      <w:r w:rsidR="00FC4C45">
        <w:rPr>
          <w:bCs/>
        </w:rPr>
        <w:t xml:space="preserve"> </w:t>
      </w:r>
      <w:r w:rsidRPr="00A44C36">
        <w:rPr>
          <w:bCs/>
        </w:rPr>
        <w:t>1</w:t>
      </w:r>
      <w:r w:rsidR="00937325" w:rsidRPr="00937325">
        <w:rPr>
          <w:bCs/>
        </w:rPr>
        <w:t xml:space="preserve"> </w:t>
      </w:r>
      <w:r w:rsidR="00FC4C45">
        <w:rPr>
          <w:bCs/>
        </w:rPr>
        <w:t>н</w:t>
      </w:r>
      <w:r w:rsidR="00937325" w:rsidRPr="00A44C36">
        <w:rPr>
          <w:bCs/>
        </w:rPr>
        <w:t>е се възстановяват</w:t>
      </w:r>
      <w:r w:rsidRPr="00A44C36">
        <w:rPr>
          <w:bCs/>
        </w:rPr>
        <w:t>.“</w:t>
      </w:r>
    </w:p>
    <w:p w:rsidR="00133E2D" w:rsidRPr="00A44C36" w:rsidRDefault="00133E2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lastRenderedPageBreak/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6</w:t>
      </w:r>
      <w:r w:rsidRPr="00A44C36">
        <w:rPr>
          <w:b/>
        </w:rPr>
        <w:t xml:space="preserve">. </w:t>
      </w:r>
      <w:r w:rsidRPr="00A44C36">
        <w:rPr>
          <w:bCs/>
        </w:rPr>
        <w:t>В чл. 9, ал. 5</w:t>
      </w:r>
      <w:r w:rsidR="00FC4C45">
        <w:rPr>
          <w:bCs/>
        </w:rPr>
        <w:t>, т. 1</w:t>
      </w:r>
      <w:r w:rsidRPr="00A44C36">
        <w:rPr>
          <w:bCs/>
        </w:rPr>
        <w:t xml:space="preserve"> след думите ”риск от ерозия“ се добавя „включително наклон на заявените имоти“.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631C" w:rsidRPr="00A44C36" w:rsidRDefault="003F1B12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7</w:t>
      </w:r>
      <w:r w:rsidRPr="00A44C36">
        <w:rPr>
          <w:b/>
        </w:rPr>
        <w:t xml:space="preserve">. </w:t>
      </w:r>
      <w:r w:rsidRPr="00A44C36">
        <w:rPr>
          <w:bCs/>
        </w:rPr>
        <w:t>В чл. 12</w:t>
      </w:r>
      <w:r w:rsidR="00660016" w:rsidRPr="00A44C36">
        <w:rPr>
          <w:bCs/>
        </w:rPr>
        <w:t xml:space="preserve"> се правят следните изменения</w:t>
      </w:r>
      <w:r w:rsidR="00EA0019" w:rsidRPr="00A44C36">
        <w:rPr>
          <w:bCs/>
        </w:rPr>
        <w:t xml:space="preserve"> и допълнения</w:t>
      </w:r>
      <w:r w:rsidR="00660016" w:rsidRPr="00A44C36">
        <w:rPr>
          <w:bCs/>
        </w:rPr>
        <w:t>:</w:t>
      </w:r>
    </w:p>
    <w:p w:rsidR="00EA0019" w:rsidRPr="006B542E" w:rsidRDefault="00EA0019" w:rsidP="00CB5E09">
      <w:pPr>
        <w:pStyle w:val="ListParagraph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  <w:lang w:eastAsia="bg-BG"/>
        </w:rPr>
      </w:pPr>
      <w:r w:rsidRPr="006B542E">
        <w:rPr>
          <w:bCs/>
          <w:sz w:val="24"/>
          <w:szCs w:val="24"/>
          <w:lang w:eastAsia="bg-BG"/>
        </w:rPr>
        <w:t xml:space="preserve">В ал. 2, т. 1 думите „по образец“ се заменят с „която включва операциите от </w:t>
      </w:r>
      <w:r w:rsidR="0078634E">
        <w:rPr>
          <w:bCs/>
          <w:sz w:val="24"/>
          <w:szCs w:val="24"/>
          <w:lang w:eastAsia="bg-BG"/>
        </w:rPr>
        <w:t>п</w:t>
      </w:r>
      <w:r w:rsidRPr="006B542E">
        <w:rPr>
          <w:bCs/>
          <w:sz w:val="24"/>
          <w:szCs w:val="24"/>
          <w:lang w:eastAsia="bg-BG"/>
        </w:rPr>
        <w:t xml:space="preserve">риложение </w:t>
      </w:r>
      <w:r w:rsidR="0078634E">
        <w:rPr>
          <w:bCs/>
          <w:sz w:val="24"/>
          <w:szCs w:val="24"/>
          <w:lang w:eastAsia="bg-BG"/>
        </w:rPr>
        <w:t xml:space="preserve">№ </w:t>
      </w:r>
      <w:r w:rsidRPr="006B542E">
        <w:rPr>
          <w:bCs/>
          <w:sz w:val="24"/>
          <w:szCs w:val="24"/>
          <w:lang w:eastAsia="bg-BG"/>
        </w:rPr>
        <w:t>1“;</w:t>
      </w:r>
    </w:p>
    <w:p w:rsidR="00EA0019" w:rsidRPr="006B542E" w:rsidRDefault="00EA0019" w:rsidP="00CB5E09">
      <w:pPr>
        <w:pStyle w:val="ListParagraph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  <w:lang w:eastAsia="bg-BG"/>
        </w:rPr>
      </w:pPr>
      <w:r w:rsidRPr="006B542E">
        <w:rPr>
          <w:bCs/>
          <w:sz w:val="24"/>
          <w:szCs w:val="24"/>
          <w:lang w:eastAsia="bg-BG"/>
        </w:rPr>
        <w:t>В ал. 4, т. 1 след думите „риск от ерозия“ се добавя „включително наклон на заявените имоти</w:t>
      </w:r>
      <w:r w:rsidR="00133E2D" w:rsidRPr="006B542E">
        <w:rPr>
          <w:bCs/>
          <w:sz w:val="24"/>
          <w:szCs w:val="24"/>
          <w:lang w:eastAsia="bg-BG"/>
        </w:rPr>
        <w:t>“</w:t>
      </w:r>
      <w:r w:rsidR="00C81017">
        <w:rPr>
          <w:bCs/>
          <w:sz w:val="24"/>
          <w:szCs w:val="24"/>
          <w:lang w:eastAsia="bg-BG"/>
        </w:rPr>
        <w:t>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133E2D" w:rsidRPr="00A44C36" w:rsidRDefault="00133E2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8</w:t>
      </w:r>
      <w:r w:rsidRPr="00A44C36">
        <w:rPr>
          <w:b/>
        </w:rPr>
        <w:t xml:space="preserve">. </w:t>
      </w:r>
      <w:r w:rsidRPr="00A44C36">
        <w:rPr>
          <w:bCs/>
        </w:rPr>
        <w:t>В чл. 16, ал. 9 накрая се добавя „и/или операции</w:t>
      </w:r>
      <w:r w:rsidR="009261AD" w:rsidRPr="00A44C36">
        <w:rPr>
          <w:bCs/>
        </w:rPr>
        <w:t>“.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9</w:t>
      </w:r>
      <w:r w:rsidRPr="00A44C36">
        <w:rPr>
          <w:b/>
        </w:rPr>
        <w:t xml:space="preserve">. </w:t>
      </w:r>
      <w:r w:rsidRPr="00A44C36">
        <w:rPr>
          <w:bCs/>
        </w:rPr>
        <w:t>В чл. 17 се създава ал. 10:</w:t>
      </w: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„(10) Изплащането на финансовата помощ е на база изпълнени операции по технологична карта, предоставена по реда на чл. 12, ал. 2, т. 1. Не се изплаща частта от разходите по операции, която надвишава определените количества и съответстващите им пределни цени в приложение </w:t>
      </w:r>
      <w:r w:rsidR="00C7721F">
        <w:rPr>
          <w:bCs/>
        </w:rPr>
        <w:t xml:space="preserve">№ </w:t>
      </w:r>
      <w:r w:rsidRPr="00A44C36">
        <w:rPr>
          <w:bCs/>
        </w:rPr>
        <w:t>1.“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10</w:t>
      </w:r>
      <w:r w:rsidRPr="00A44C36">
        <w:rPr>
          <w:b/>
        </w:rPr>
        <w:t xml:space="preserve">.  </w:t>
      </w:r>
      <w:r w:rsidRPr="00A44C36">
        <w:rPr>
          <w:bCs/>
        </w:rPr>
        <w:t>В чл. 18, ал. 3 се изменя така:</w:t>
      </w: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„(3) Държавен фонд "Земеделие" извършва проверка на място за установяване на изпълнението на дейностите по договора и съответствие на изпълнените операциите с тези по технологичната карта, предоставена по реда на чл. 12, ал. 2, т. 1. За </w:t>
      </w:r>
      <w:proofErr w:type="spellStart"/>
      <w:r w:rsidRPr="00A44C36">
        <w:rPr>
          <w:bCs/>
        </w:rPr>
        <w:t>подмерките</w:t>
      </w:r>
      <w:proofErr w:type="spellEnd"/>
      <w:r w:rsidRPr="00A44C36">
        <w:rPr>
          <w:bCs/>
        </w:rPr>
        <w:t xml:space="preserve"> по чл. 5, ал. 1, т. 1, буква "б" и т. 2, буква "б" е допустимо неприхващане на до 5 на сто от броя на лозите. Установяването на съответствието на операциите се извършва на база измервания и записи в дневника по чл. 7, ал. 4.“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660016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="001D319D" w:rsidRPr="00A44C36">
        <w:rPr>
          <w:b/>
        </w:rPr>
        <w:t>11</w:t>
      </w:r>
      <w:r w:rsidRPr="00A44C36">
        <w:rPr>
          <w:b/>
        </w:rPr>
        <w:t xml:space="preserve">.  </w:t>
      </w:r>
      <w:r w:rsidRPr="00A44C36">
        <w:rPr>
          <w:bCs/>
        </w:rPr>
        <w:t>В чл. 19 се създава т. 6:</w:t>
      </w: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„6. когато ползвателят е възложил изпълнението на операции и/или дейности на лица,</w:t>
      </w:r>
      <w:r w:rsidR="001D319D" w:rsidRPr="00A44C36">
        <w:rPr>
          <w:bCs/>
        </w:rPr>
        <w:t xml:space="preserve"> </w:t>
      </w:r>
      <w:r w:rsidRPr="00A44C36">
        <w:rPr>
          <w:bCs/>
        </w:rPr>
        <w:t>свързани с ползвателя по смисъла на Закона за малките и средни предприятия.“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>1</w:t>
      </w:r>
      <w:r w:rsidR="001D319D" w:rsidRPr="00A44C36">
        <w:rPr>
          <w:b/>
        </w:rPr>
        <w:t>2</w:t>
      </w:r>
      <w:r w:rsidRPr="00A44C36">
        <w:rPr>
          <w:b/>
        </w:rPr>
        <w:t xml:space="preserve">. </w:t>
      </w:r>
      <w:r w:rsidRPr="00A44C36">
        <w:rPr>
          <w:bCs/>
        </w:rPr>
        <w:t>В чл. 21, ал. 1 се правят следните изменения и допълнения:</w:t>
      </w: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1. В т. 6 думите „над 10 на сто“ се заменят с „над 5 на сто“;</w:t>
      </w:r>
    </w:p>
    <w:p w:rsidR="009261A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2. Създават се  т. </w:t>
      </w:r>
      <w:r w:rsidR="00D67B4D" w:rsidRPr="00A44C36">
        <w:rPr>
          <w:bCs/>
        </w:rPr>
        <w:t>7</w:t>
      </w:r>
      <w:r w:rsidRPr="00A44C36">
        <w:rPr>
          <w:bCs/>
        </w:rPr>
        <w:t xml:space="preserve"> и </w:t>
      </w:r>
      <w:r w:rsidR="00D67B4D" w:rsidRPr="00A44C36">
        <w:rPr>
          <w:bCs/>
        </w:rPr>
        <w:t>8</w:t>
      </w:r>
      <w:r w:rsidRPr="00A44C36">
        <w:rPr>
          <w:bCs/>
        </w:rPr>
        <w:t>:</w:t>
      </w:r>
    </w:p>
    <w:p w:rsidR="00D67B4D" w:rsidRPr="00A44C36" w:rsidRDefault="009261A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 xml:space="preserve">„7. не са извършени операции по </w:t>
      </w:r>
      <w:r w:rsidR="00EF48B0">
        <w:rPr>
          <w:bCs/>
        </w:rPr>
        <w:t>п</w:t>
      </w:r>
      <w:r w:rsidRPr="00A44C36">
        <w:rPr>
          <w:bCs/>
        </w:rPr>
        <w:t xml:space="preserve">риложение </w:t>
      </w:r>
      <w:r w:rsidR="00EF48B0">
        <w:rPr>
          <w:bCs/>
        </w:rPr>
        <w:t xml:space="preserve">№ </w:t>
      </w:r>
      <w:r w:rsidRPr="00A44C36">
        <w:rPr>
          <w:bCs/>
        </w:rPr>
        <w:t>1, които са посочени в технологичната карта</w:t>
      </w:r>
      <w:r w:rsidR="00D67B4D" w:rsidRPr="00A44C36">
        <w:rPr>
          <w:bCs/>
        </w:rPr>
        <w:t>;</w:t>
      </w:r>
    </w:p>
    <w:p w:rsidR="009261AD" w:rsidRPr="00A44C36" w:rsidRDefault="00D67B4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8. операциите от технологичната карта не са отразени е дневника по чл. 7, ал. 4.“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C04BAB" w:rsidRPr="00A44C36" w:rsidRDefault="00C04BAB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lastRenderedPageBreak/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 xml:space="preserve">13. </w:t>
      </w:r>
      <w:r w:rsidR="00B977D2">
        <w:t xml:space="preserve">В </w:t>
      </w:r>
      <w:r w:rsidR="00B977D2">
        <w:rPr>
          <w:bCs/>
        </w:rPr>
        <w:t>ч</w:t>
      </w:r>
      <w:r w:rsidRPr="00A44C36">
        <w:rPr>
          <w:bCs/>
        </w:rPr>
        <w:t>л. 67, ал. 3 се изменя така:</w:t>
      </w:r>
    </w:p>
    <w:p w:rsidR="00C04BAB" w:rsidRPr="00A44C36" w:rsidRDefault="00C04BAB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Cs/>
        </w:rPr>
        <w:t>„(3) Финансова помощ за застраховане на реколтата се предоставя</w:t>
      </w:r>
      <w:r w:rsidR="002D321E" w:rsidRPr="00A44C36">
        <w:rPr>
          <w:bCs/>
        </w:rPr>
        <w:t xml:space="preserve"> до размера на застрахователното обезщетение, определен съгласно чл. 68, ал. 2 и </w:t>
      </w:r>
      <w:r w:rsidRPr="00A44C36">
        <w:rPr>
          <w:bCs/>
        </w:rPr>
        <w:t>само в случаите, когато реколтата е застрахована за годината на кандидатстване.“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3347A" w:rsidRPr="00A44C36" w:rsidRDefault="0093347A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>1</w:t>
      </w:r>
      <w:r w:rsidR="00224B26" w:rsidRPr="00A44C36">
        <w:rPr>
          <w:b/>
        </w:rPr>
        <w:t>4</w:t>
      </w:r>
      <w:r w:rsidRPr="00A44C36">
        <w:rPr>
          <w:b/>
        </w:rPr>
        <w:t xml:space="preserve">. </w:t>
      </w:r>
      <w:r w:rsidRPr="00A44C36">
        <w:rPr>
          <w:bCs/>
        </w:rPr>
        <w:t>В чл. 69, ал. 2, т. 1 думите „с нотариална заверка на подписите на страните“ се заменят със „съгласно Закона за собствеността и ползване на земеделските земи“.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D67B4D" w:rsidRPr="00A44C36" w:rsidRDefault="00D67B4D" w:rsidP="00CB5E09">
      <w:pPr>
        <w:spacing w:line="360" w:lineRule="auto"/>
        <w:ind w:firstLine="709"/>
        <w:jc w:val="both"/>
        <w:rPr>
          <w:b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>1</w:t>
      </w:r>
      <w:r w:rsidR="00224B26" w:rsidRPr="00A44C36">
        <w:rPr>
          <w:b/>
        </w:rPr>
        <w:t>5</w:t>
      </w:r>
      <w:r w:rsidRPr="00A44C36">
        <w:rPr>
          <w:b/>
        </w:rPr>
        <w:t xml:space="preserve">. </w:t>
      </w:r>
      <w:r w:rsidR="001D319D" w:rsidRPr="00A44C36">
        <w:rPr>
          <w:bCs/>
        </w:rPr>
        <w:t>В чл. 74, ал. 6 след думата „проверките“ се добавя „на всички пода</w:t>
      </w:r>
      <w:r w:rsidR="00F84AF6" w:rsidRPr="00A44C36">
        <w:rPr>
          <w:bCs/>
        </w:rPr>
        <w:t>дени</w:t>
      </w:r>
      <w:r w:rsidR="001D319D" w:rsidRPr="00A44C36">
        <w:rPr>
          <w:bCs/>
        </w:rPr>
        <w:t xml:space="preserve"> заявления по чл. 72“</w:t>
      </w:r>
      <w:r w:rsidR="00C81017">
        <w:rPr>
          <w:bCs/>
        </w:rPr>
        <w:t>.</w:t>
      </w:r>
      <w:r w:rsidRPr="00A44C36">
        <w:rPr>
          <w:b/>
        </w:rPr>
        <w:t xml:space="preserve"> 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59BC" w:rsidRPr="00A44C36" w:rsidRDefault="009759B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D5898" w:rsidRPr="00A44C36">
        <w:rPr>
          <w:b/>
        </w:rPr>
        <w:t xml:space="preserve"> </w:t>
      </w:r>
      <w:r w:rsidRPr="00A44C36">
        <w:rPr>
          <w:b/>
        </w:rPr>
        <w:t xml:space="preserve">16. </w:t>
      </w:r>
      <w:r w:rsidRPr="00A44C36">
        <w:rPr>
          <w:bCs/>
        </w:rPr>
        <w:t>В чл. 80 се правят следните изменения и допълнения:</w:t>
      </w:r>
    </w:p>
    <w:p w:rsidR="009759BC" w:rsidRPr="00A44C36" w:rsidRDefault="009759BC" w:rsidP="00CB5E09">
      <w:pPr>
        <w:pStyle w:val="ListParagraph"/>
        <w:numPr>
          <w:ilvl w:val="0"/>
          <w:numId w:val="45"/>
        </w:numPr>
        <w:spacing w:line="360" w:lineRule="auto"/>
        <w:jc w:val="both"/>
        <w:rPr>
          <w:bCs/>
          <w:sz w:val="24"/>
          <w:szCs w:val="24"/>
        </w:rPr>
      </w:pPr>
      <w:r w:rsidRPr="00A44C36">
        <w:rPr>
          <w:bCs/>
          <w:sz w:val="24"/>
          <w:szCs w:val="24"/>
        </w:rPr>
        <w:t>Алинея 2 се изменя така</w:t>
      </w:r>
      <w:r w:rsidR="00055DCC" w:rsidRPr="00A44C36">
        <w:rPr>
          <w:bCs/>
          <w:sz w:val="24"/>
          <w:szCs w:val="24"/>
        </w:rPr>
        <w:t>:</w:t>
      </w:r>
    </w:p>
    <w:p w:rsidR="009759BC" w:rsidRPr="00A44C36" w:rsidRDefault="009759BC" w:rsidP="00CB5E09">
      <w:pPr>
        <w:pStyle w:val="ListParagraph"/>
        <w:spacing w:line="360" w:lineRule="auto"/>
        <w:ind w:left="-567" w:firstLine="1275"/>
        <w:jc w:val="both"/>
        <w:rPr>
          <w:bCs/>
          <w:sz w:val="24"/>
          <w:szCs w:val="24"/>
        </w:rPr>
      </w:pPr>
      <w:r w:rsidRPr="00A44C36">
        <w:rPr>
          <w:bCs/>
          <w:sz w:val="24"/>
          <w:szCs w:val="24"/>
        </w:rPr>
        <w:t xml:space="preserve">„(2) Преките разходи за операциите по отстраняване на гроздовете са в размер на 1 155,48 </w:t>
      </w:r>
      <w:proofErr w:type="spellStart"/>
      <w:r w:rsidRPr="00A44C36">
        <w:rPr>
          <w:bCs/>
          <w:sz w:val="24"/>
          <w:szCs w:val="24"/>
        </w:rPr>
        <w:t>лв</w:t>
      </w:r>
      <w:proofErr w:type="spellEnd"/>
      <w:r w:rsidRPr="00A44C36">
        <w:rPr>
          <w:bCs/>
          <w:sz w:val="24"/>
          <w:szCs w:val="24"/>
        </w:rPr>
        <w:t>/ха.“;</w:t>
      </w:r>
    </w:p>
    <w:p w:rsidR="009759BC" w:rsidRPr="00A44C36" w:rsidRDefault="009759BC" w:rsidP="00CB5E09">
      <w:pPr>
        <w:pStyle w:val="ListParagraph"/>
        <w:numPr>
          <w:ilvl w:val="0"/>
          <w:numId w:val="45"/>
        </w:numPr>
        <w:spacing w:line="360" w:lineRule="auto"/>
        <w:jc w:val="both"/>
        <w:rPr>
          <w:bCs/>
          <w:sz w:val="24"/>
          <w:szCs w:val="24"/>
        </w:rPr>
      </w:pPr>
      <w:r w:rsidRPr="00A44C36">
        <w:rPr>
          <w:bCs/>
          <w:sz w:val="24"/>
          <w:szCs w:val="24"/>
        </w:rPr>
        <w:t>В ал. 3 думата „годишен“ се заличава и след „прилагането на мярката“ се добавя „но не повече от 6300 кг/ха“;</w:t>
      </w:r>
    </w:p>
    <w:p w:rsidR="009759BC" w:rsidRPr="00A44C36" w:rsidRDefault="009759BC" w:rsidP="00CB5E09">
      <w:pPr>
        <w:pStyle w:val="ListParagraph"/>
        <w:numPr>
          <w:ilvl w:val="0"/>
          <w:numId w:val="45"/>
        </w:numPr>
        <w:spacing w:line="360" w:lineRule="auto"/>
        <w:jc w:val="both"/>
        <w:rPr>
          <w:bCs/>
          <w:sz w:val="24"/>
          <w:szCs w:val="24"/>
        </w:rPr>
      </w:pPr>
      <w:r w:rsidRPr="00A44C36">
        <w:rPr>
          <w:bCs/>
          <w:sz w:val="24"/>
          <w:szCs w:val="24"/>
        </w:rPr>
        <w:t xml:space="preserve">Алинея 4 се </w:t>
      </w:r>
      <w:r w:rsidR="00B977D2">
        <w:rPr>
          <w:bCs/>
          <w:sz w:val="24"/>
          <w:szCs w:val="24"/>
        </w:rPr>
        <w:t>отменя</w:t>
      </w:r>
      <w:r w:rsidRPr="00A44C36">
        <w:rPr>
          <w:bCs/>
          <w:sz w:val="24"/>
          <w:szCs w:val="24"/>
        </w:rPr>
        <w:t>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59BC" w:rsidRPr="00A44C36" w:rsidRDefault="009759B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CB5E09" w:rsidRPr="00A44C36">
        <w:rPr>
          <w:b/>
        </w:rPr>
        <w:t xml:space="preserve"> </w:t>
      </w:r>
      <w:r w:rsidRPr="00A44C36">
        <w:rPr>
          <w:b/>
        </w:rPr>
        <w:t xml:space="preserve">17. </w:t>
      </w:r>
      <w:r w:rsidRPr="00A44C36">
        <w:rPr>
          <w:bCs/>
        </w:rPr>
        <w:t>В чл. 82, ал. 3, т. 1 думите „и пределните цени по чл. 80, ал. 2“ се заличават.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759BC" w:rsidRPr="00A44C36" w:rsidRDefault="009759BC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CB5E09" w:rsidRPr="00A44C36">
        <w:rPr>
          <w:b/>
        </w:rPr>
        <w:t xml:space="preserve"> </w:t>
      </w:r>
      <w:r w:rsidRPr="00A44C36">
        <w:rPr>
          <w:b/>
        </w:rPr>
        <w:t xml:space="preserve">18. </w:t>
      </w:r>
      <w:r w:rsidRPr="00A44C36">
        <w:rPr>
          <w:bCs/>
        </w:rPr>
        <w:t xml:space="preserve">В чл. 86, ал. 1 думите „копия от </w:t>
      </w:r>
      <w:proofErr w:type="spellStart"/>
      <w:r w:rsidRPr="00A44C36">
        <w:rPr>
          <w:bCs/>
        </w:rPr>
        <w:t>разходооправдателни</w:t>
      </w:r>
      <w:proofErr w:type="spellEnd"/>
      <w:r w:rsidRPr="00A44C36">
        <w:rPr>
          <w:bCs/>
        </w:rPr>
        <w:t xml:space="preserve"> документи (фактури, платежни нареждания и банкови извлечения), доказващи извършването на операциите по отстраняване на гроздовете“ се заменят с</w:t>
      </w:r>
      <w:r w:rsidR="00C400D2">
        <w:rPr>
          <w:bCs/>
        </w:rPr>
        <w:t>ъс</w:t>
      </w:r>
      <w:r w:rsidRPr="00A44C36">
        <w:rPr>
          <w:bCs/>
        </w:rPr>
        <w:t xml:space="preserve"> „заверено от банката издател копие на извлечение от банкова сметка, доказващо извършени плащания по банков път, или копие на фискален касов бон, удостоверяващ плащане в брой на извършените операции по отстраняване на гроздовете“</w:t>
      </w:r>
      <w:r w:rsidR="00C400D2">
        <w:rPr>
          <w:bCs/>
        </w:rPr>
        <w:t>.</w:t>
      </w:r>
    </w:p>
    <w:p w:rsidR="00E46B9C" w:rsidRPr="00A44C36" w:rsidRDefault="00E46B9C" w:rsidP="00CB5E09">
      <w:pPr>
        <w:spacing w:line="360" w:lineRule="auto"/>
        <w:ind w:firstLine="709"/>
        <w:jc w:val="both"/>
        <w:rPr>
          <w:b/>
        </w:rPr>
      </w:pPr>
    </w:p>
    <w:p w:rsidR="009261AD" w:rsidRPr="00A44C36" w:rsidRDefault="001D319D" w:rsidP="00CB5E09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CB5E09" w:rsidRPr="00A44C36">
        <w:rPr>
          <w:b/>
        </w:rPr>
        <w:t xml:space="preserve"> </w:t>
      </w:r>
      <w:r w:rsidRPr="00A44C36">
        <w:rPr>
          <w:b/>
        </w:rPr>
        <w:t>1</w:t>
      </w:r>
      <w:r w:rsidR="009759BC" w:rsidRPr="00A44C36">
        <w:rPr>
          <w:b/>
        </w:rPr>
        <w:t>9</w:t>
      </w:r>
      <w:r w:rsidRPr="00A44C36">
        <w:rPr>
          <w:b/>
        </w:rPr>
        <w:t xml:space="preserve">. </w:t>
      </w:r>
      <w:r w:rsidRPr="00A44C36">
        <w:rPr>
          <w:bCs/>
        </w:rPr>
        <w:t>Приложение 1 се изменя така:</w:t>
      </w:r>
    </w:p>
    <w:p w:rsidR="007F7A3B" w:rsidRPr="00A44C36" w:rsidRDefault="007F7A3B" w:rsidP="00CB5E09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A44C36">
        <w:rPr>
          <w:bCs/>
        </w:rPr>
        <w:t>„Приложение № 1</w:t>
      </w:r>
    </w:p>
    <w:p w:rsidR="007F7A3B" w:rsidRPr="00A44C36" w:rsidRDefault="007F7A3B" w:rsidP="00CB5E09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A44C36">
        <w:t>към чл. 8, ал. 1</w:t>
      </w:r>
    </w:p>
    <w:p w:rsidR="007F7A3B" w:rsidRPr="00A44C36" w:rsidRDefault="007F7A3B" w:rsidP="00CB5E09">
      <w:pPr>
        <w:spacing w:line="360" w:lineRule="auto"/>
      </w:pPr>
    </w:p>
    <w:p w:rsidR="007F7A3B" w:rsidRPr="00A44C36" w:rsidRDefault="007F7A3B" w:rsidP="00CB5E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0" w:name="_Hlk37237230"/>
      <w:r w:rsidRPr="00A44C36">
        <w:rPr>
          <w:b/>
          <w:bCs/>
        </w:rPr>
        <w:t>Пределни цени по мярка "Преструктуриране и конверсия на лозя"</w:t>
      </w:r>
      <w:bookmarkEnd w:id="0"/>
    </w:p>
    <w:p w:rsidR="007F7A3B" w:rsidRPr="00A44C36" w:rsidRDefault="007F7A3B" w:rsidP="00CC2FA4">
      <w:pPr>
        <w:spacing w:line="360" w:lineRule="auto"/>
        <w:ind w:firstLine="709"/>
      </w:pP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t>Всички цени са посочени без включен ДДС.</w:t>
      </w: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t>Цената е изчислена на база 5500 лози в х</w:t>
      </w:r>
      <w:r w:rsidR="00F84AF6" w:rsidRPr="00A44C36">
        <w:t>ектар</w:t>
      </w:r>
      <w:r w:rsidRPr="00A44C36">
        <w:t>.</w:t>
      </w: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lastRenderedPageBreak/>
        <w:t>При установяване на по-малък брой лози в х</w:t>
      </w:r>
      <w:r w:rsidR="00F84AF6" w:rsidRPr="00A44C36">
        <w:t>ектар</w:t>
      </w:r>
      <w:r w:rsidRPr="00A44C36">
        <w:t xml:space="preserve"> и извършени всички операции</w:t>
      </w:r>
      <w:r w:rsidR="00F84AF6" w:rsidRPr="00A44C36">
        <w:t>,</w:t>
      </w:r>
      <w:r w:rsidRPr="00A44C36">
        <w:t xml:space="preserve"> размерът на инвестицията се намалява, като за дейност </w:t>
      </w:r>
      <w:r w:rsidR="00650EE4" w:rsidRPr="00A44C36">
        <w:t>„</w:t>
      </w:r>
      <w:r w:rsidRPr="00A44C36">
        <w:t>Засаждане</w:t>
      </w:r>
      <w:r w:rsidR="00650EE4" w:rsidRPr="00A44C36">
        <w:t>“</w:t>
      </w:r>
      <w:r w:rsidRPr="00A44C36">
        <w:t xml:space="preserve"> броят растения, предвидени за засаждане, се умножи по 4,46 лв.</w:t>
      </w: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t xml:space="preserve">Ако не са изпълнени всички операции за дейност </w:t>
      </w:r>
      <w:r w:rsidR="00650EE4" w:rsidRPr="00A44C36">
        <w:t>„</w:t>
      </w:r>
      <w:r w:rsidRPr="00A44C36">
        <w:t>Засаждане</w:t>
      </w:r>
      <w:r w:rsidR="00650EE4" w:rsidRPr="00A44C36">
        <w:t>“</w:t>
      </w:r>
      <w:r w:rsidRPr="00A44C36">
        <w:t xml:space="preserve"> и броят на лозите на хектар е по-малък от 5500, общата стойност на извършените </w:t>
      </w:r>
      <w:r w:rsidR="00046A92" w:rsidRPr="00A44C36">
        <w:t xml:space="preserve">и одобрени </w:t>
      </w:r>
      <w:r w:rsidRPr="00A44C36">
        <w:t>операции се разделя</w:t>
      </w:r>
      <w:r w:rsidR="00F84AF6" w:rsidRPr="00A44C36">
        <w:t xml:space="preserve"> </w:t>
      </w:r>
      <w:r w:rsidRPr="00A44C36">
        <w:t>на броя на лозите и получената стойност е цената на една лоза.</w:t>
      </w: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t xml:space="preserve">Дейности </w:t>
      </w:r>
      <w:r w:rsidR="00650EE4" w:rsidRPr="00A44C36">
        <w:t>„</w:t>
      </w:r>
      <w:r w:rsidRPr="00A44C36">
        <w:t>Изкореняване</w:t>
      </w:r>
      <w:r w:rsidR="00650EE4" w:rsidRPr="00A44C36">
        <w:t>“</w:t>
      </w:r>
      <w:r w:rsidR="00DA44E3" w:rsidRPr="00A44C36">
        <w:t>,</w:t>
      </w:r>
      <w:r w:rsidRPr="00A44C36">
        <w:t xml:space="preserve"> </w:t>
      </w:r>
      <w:r w:rsidR="00650EE4" w:rsidRPr="00A44C36">
        <w:t>„</w:t>
      </w:r>
      <w:r w:rsidRPr="00A44C36">
        <w:t>Изграждане на подпорна конструкция</w:t>
      </w:r>
      <w:r w:rsidR="00650EE4" w:rsidRPr="00A44C36">
        <w:t>“</w:t>
      </w:r>
      <w:r w:rsidRPr="00A44C36">
        <w:t xml:space="preserve"> </w:t>
      </w:r>
      <w:r w:rsidR="00DA44E3" w:rsidRPr="00A44C36">
        <w:rPr>
          <w:iCs/>
        </w:rPr>
        <w:t xml:space="preserve">и </w:t>
      </w:r>
      <w:r w:rsidR="00650EE4" w:rsidRPr="00A44C36">
        <w:rPr>
          <w:iCs/>
        </w:rPr>
        <w:t>„</w:t>
      </w:r>
      <w:r w:rsidR="00DA44E3" w:rsidRPr="00A44C36">
        <w:rPr>
          <w:iCs/>
        </w:rPr>
        <w:t>Изграждане на подпорна конструкция на новосъздадени насаждения</w:t>
      </w:r>
      <w:r w:rsidR="00650EE4" w:rsidRPr="00A44C36">
        <w:rPr>
          <w:iCs/>
        </w:rPr>
        <w:t>“</w:t>
      </w:r>
      <w:r w:rsidR="00DA44E3" w:rsidRPr="00A44C36">
        <w:rPr>
          <w:iCs/>
        </w:rPr>
        <w:t xml:space="preserve"> </w:t>
      </w:r>
      <w:r w:rsidRPr="00A44C36">
        <w:t>се изплащат на хектар независимо от броя на растенията.</w:t>
      </w:r>
    </w:p>
    <w:p w:rsidR="00CC2FA4" w:rsidRPr="00A44C36" w:rsidRDefault="00CC2FA4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>Изкореняване</w:t>
      </w:r>
      <w:r w:rsidR="00650EE4" w:rsidRPr="00A44C36">
        <w:rPr>
          <w:iCs/>
        </w:rPr>
        <w:t>“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521"/>
        <w:gridCol w:w="4487"/>
        <w:gridCol w:w="1366"/>
        <w:gridCol w:w="1531"/>
        <w:gridCol w:w="1451"/>
      </w:tblGrid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N</w:t>
            </w:r>
          </w:p>
        </w:tc>
        <w:tc>
          <w:tcPr>
            <w:tcW w:w="4487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Допустими за подпомагане операции</w:t>
            </w:r>
          </w:p>
        </w:tc>
        <w:tc>
          <w:tcPr>
            <w:tcW w:w="1366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Мярка</w:t>
            </w:r>
          </w:p>
        </w:tc>
        <w:tc>
          <w:tcPr>
            <w:tcW w:w="153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Количество</w:t>
            </w:r>
          </w:p>
        </w:tc>
        <w:tc>
          <w:tcPr>
            <w:tcW w:w="145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Цена</w:t>
            </w:r>
          </w:p>
        </w:tc>
      </w:tr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rPr>
                <w:rFonts w:cs="Times New Roman"/>
                <w:b/>
              </w:rPr>
            </w:pPr>
          </w:p>
        </w:tc>
        <w:tc>
          <w:tcPr>
            <w:tcW w:w="8835" w:type="dxa"/>
            <w:gridSpan w:val="4"/>
          </w:tcPr>
          <w:p w:rsidR="00ED475D" w:rsidRPr="00A44C36" w:rsidRDefault="00ED475D" w:rsidP="00CB5E09">
            <w:pPr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Изкореняване</w:t>
            </w:r>
          </w:p>
        </w:tc>
      </w:tr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ind w:right="5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1.</w:t>
            </w:r>
          </w:p>
        </w:tc>
        <w:tc>
          <w:tcPr>
            <w:tcW w:w="4487" w:type="dxa"/>
          </w:tcPr>
          <w:p w:rsidR="00ED475D" w:rsidRPr="00A44C36" w:rsidRDefault="00ED475D" w:rsidP="00CB5E09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Отстраняване на надземна и подземна част на лоза</w:t>
            </w:r>
          </w:p>
        </w:tc>
        <w:tc>
          <w:tcPr>
            <w:tcW w:w="1366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3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51" w:type="dxa"/>
          </w:tcPr>
          <w:p w:rsidR="00ED475D" w:rsidRPr="00A44C36" w:rsidRDefault="00ED475D" w:rsidP="00CB5E09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1375,31</w:t>
            </w:r>
          </w:p>
        </w:tc>
      </w:tr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ind w:right="5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2. </w:t>
            </w:r>
          </w:p>
        </w:tc>
        <w:tc>
          <w:tcPr>
            <w:tcW w:w="4487" w:type="dxa"/>
          </w:tcPr>
          <w:p w:rsidR="00ED475D" w:rsidRPr="00A44C36" w:rsidRDefault="00ED475D" w:rsidP="00CB5E09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Сваляне на подпорна конструкция</w:t>
            </w:r>
          </w:p>
        </w:tc>
        <w:tc>
          <w:tcPr>
            <w:tcW w:w="1366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3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51" w:type="dxa"/>
          </w:tcPr>
          <w:p w:rsidR="00ED475D" w:rsidRPr="00A44C36" w:rsidRDefault="00ED475D" w:rsidP="00CB5E09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496,69</w:t>
            </w:r>
          </w:p>
        </w:tc>
      </w:tr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ind w:right="5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3. </w:t>
            </w:r>
          </w:p>
        </w:tc>
        <w:tc>
          <w:tcPr>
            <w:tcW w:w="4487" w:type="dxa"/>
          </w:tcPr>
          <w:p w:rsidR="00ED475D" w:rsidRPr="00A44C36" w:rsidRDefault="00ED475D" w:rsidP="00CB5E09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Изнасяне на отпадъците</w:t>
            </w:r>
          </w:p>
        </w:tc>
        <w:tc>
          <w:tcPr>
            <w:tcW w:w="1366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3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51" w:type="dxa"/>
          </w:tcPr>
          <w:p w:rsidR="00ED475D" w:rsidRPr="00A44C36" w:rsidRDefault="00ED475D" w:rsidP="00CB5E09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3378,66</w:t>
            </w:r>
          </w:p>
        </w:tc>
      </w:tr>
      <w:tr w:rsidR="00A44C36" w:rsidRPr="00A44C36" w:rsidTr="00CC2FA4">
        <w:trPr>
          <w:jc w:val="center"/>
        </w:trPr>
        <w:tc>
          <w:tcPr>
            <w:tcW w:w="521" w:type="dxa"/>
          </w:tcPr>
          <w:p w:rsidR="00ED475D" w:rsidRPr="00A44C36" w:rsidRDefault="00ED475D" w:rsidP="00CB5E09">
            <w:pPr>
              <w:ind w:right="57"/>
              <w:jc w:val="right"/>
              <w:rPr>
                <w:rFonts w:cs="Times New Roman"/>
                <w:b/>
              </w:rPr>
            </w:pPr>
          </w:p>
        </w:tc>
        <w:tc>
          <w:tcPr>
            <w:tcW w:w="4487" w:type="dxa"/>
          </w:tcPr>
          <w:p w:rsidR="00ED475D" w:rsidRPr="00A44C36" w:rsidRDefault="00ED475D" w:rsidP="00CB5E09">
            <w:pPr>
              <w:rPr>
                <w:rFonts w:cs="Times New Roman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1366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х</w:t>
            </w:r>
          </w:p>
        </w:tc>
        <w:tc>
          <w:tcPr>
            <w:tcW w:w="1531" w:type="dxa"/>
          </w:tcPr>
          <w:p w:rsidR="00ED475D" w:rsidRPr="00A44C36" w:rsidRDefault="00ED475D" w:rsidP="00CB5E09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х</w:t>
            </w:r>
          </w:p>
        </w:tc>
        <w:tc>
          <w:tcPr>
            <w:tcW w:w="1451" w:type="dxa"/>
          </w:tcPr>
          <w:p w:rsidR="00ED475D" w:rsidRPr="00A44C36" w:rsidRDefault="00ED475D" w:rsidP="00CB5E09">
            <w:pPr>
              <w:ind w:right="113"/>
              <w:jc w:val="right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5250,66</w:t>
            </w:r>
          </w:p>
        </w:tc>
      </w:tr>
    </w:tbl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 Изчислява се на хектар независимо от броя на растенията</w:t>
      </w:r>
    </w:p>
    <w:p w:rsidR="00CC2FA4" w:rsidRPr="00A44C36" w:rsidRDefault="00CC2FA4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>Засаждане</w:t>
      </w:r>
      <w:r w:rsidR="00650EE4" w:rsidRPr="00A44C36">
        <w:rPr>
          <w:iCs/>
        </w:rPr>
        <w:t>“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558"/>
        <w:gridCol w:w="4766"/>
        <w:gridCol w:w="1021"/>
        <w:gridCol w:w="1560"/>
        <w:gridCol w:w="1451"/>
      </w:tblGrid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N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Допустими за подпомагане операции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Мярка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Количество</w:t>
            </w:r>
          </w:p>
        </w:tc>
        <w:tc>
          <w:tcPr>
            <w:tcW w:w="145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Цена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rPr>
                <w:rFonts w:eastAsia="Calibri"/>
                <w:b/>
              </w:rPr>
            </w:pPr>
          </w:p>
        </w:tc>
        <w:tc>
          <w:tcPr>
            <w:tcW w:w="8798" w:type="dxa"/>
            <w:gridSpan w:val="4"/>
          </w:tcPr>
          <w:p w:rsidR="007F7A3B" w:rsidRPr="00A44C36" w:rsidRDefault="007F7A3B" w:rsidP="00CB5E09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Засаждане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C2FA4">
            <w:pPr>
              <w:ind w:right="5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Агрохимичен анализ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1010,00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C2FA4">
            <w:pPr>
              <w:ind w:right="5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Третиране на площта с тотален хербицид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33,60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C2FA4">
            <w:pPr>
              <w:ind w:right="57"/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тотален хербицид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л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84,90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C2FA4">
            <w:pPr>
              <w:ind w:right="5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Основно подравняване и почистване на площта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300,00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4.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Торене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33,50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троен </w:t>
            </w:r>
            <w:proofErr w:type="spellStart"/>
            <w:r w:rsidRPr="00A44C36">
              <w:rPr>
                <w:rFonts w:eastAsia="Calibri"/>
              </w:rPr>
              <w:t>суперфосфат</w:t>
            </w:r>
            <w:proofErr w:type="spellEnd"/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1000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600,00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калиев сулфат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800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968,00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proofErr w:type="spellStart"/>
            <w:r w:rsidRPr="00A44C36">
              <w:rPr>
                <w:rFonts w:eastAsia="Calibri"/>
              </w:rPr>
              <w:t>Риголване</w:t>
            </w:r>
            <w:proofErr w:type="spellEnd"/>
            <w:r w:rsidRPr="00A44C36">
              <w:rPr>
                <w:rFonts w:eastAsia="Calibri"/>
              </w:rPr>
              <w:t xml:space="preserve"> на 80 см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1200,00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6.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Текущо подравняване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300,00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7.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Дълбока оран на 25-30 см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165,00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proofErr w:type="spellStart"/>
            <w:r w:rsidRPr="00A44C36">
              <w:rPr>
                <w:rFonts w:eastAsia="Calibri"/>
              </w:rPr>
              <w:t>Дисковане</w:t>
            </w:r>
            <w:proofErr w:type="spellEnd"/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85,00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9.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Подготовка на </w:t>
            </w:r>
            <w:proofErr w:type="spellStart"/>
            <w:r w:rsidRPr="00A44C36">
              <w:rPr>
                <w:rFonts w:eastAsia="Calibri"/>
              </w:rPr>
              <w:t>маркирни</w:t>
            </w:r>
            <w:proofErr w:type="spellEnd"/>
            <w:r w:rsidRPr="00A44C36">
              <w:rPr>
                <w:rFonts w:eastAsia="Calibri"/>
              </w:rPr>
              <w:t xml:space="preserve"> колчета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98,45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Маркиране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509,18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11.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Временно съхранение на лозов посадъчен материал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ч/дни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58,56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лозов посадъчен материал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бр.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5500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15840,00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12.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Превоз и подготовка на лозите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189,87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13.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Засаждане с </w:t>
            </w:r>
            <w:proofErr w:type="spellStart"/>
            <w:r w:rsidRPr="00A44C36">
              <w:rPr>
                <w:rFonts w:eastAsia="Calibri"/>
              </w:rPr>
              <w:t>хидробур</w:t>
            </w:r>
            <w:proofErr w:type="spellEnd"/>
            <w:r w:rsidRPr="00A44C36">
              <w:rPr>
                <w:rFonts w:eastAsia="Calibri"/>
              </w:rPr>
              <w:t>*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proofErr w:type="spellStart"/>
            <w:r w:rsidRPr="00A44C36">
              <w:rPr>
                <w:rFonts w:eastAsia="Calibri"/>
              </w:rPr>
              <w:t>хa</w:t>
            </w:r>
            <w:proofErr w:type="spellEnd"/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1016,05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C2FA4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колчета индивидуални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бр.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5500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1430,00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Засаждане в </w:t>
            </w:r>
            <w:proofErr w:type="spellStart"/>
            <w:r w:rsidRPr="00A44C36">
              <w:rPr>
                <w:rFonts w:eastAsia="Calibri"/>
              </w:rPr>
              <w:t>ямки</w:t>
            </w:r>
            <w:proofErr w:type="spellEnd"/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2796,10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вода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м</w:t>
            </w:r>
            <w:r w:rsidRPr="00A44C36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16,5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43,56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lastRenderedPageBreak/>
              <w:t>14.</w:t>
            </w:r>
          </w:p>
        </w:tc>
        <w:tc>
          <w:tcPr>
            <w:tcW w:w="4766" w:type="dxa"/>
          </w:tcPr>
          <w:p w:rsidR="007F7A3B" w:rsidRPr="00A44C36" w:rsidRDefault="007F7A3B" w:rsidP="00CB5E09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Окопаване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</w:t>
            </w: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618,10</w:t>
            </w:r>
          </w:p>
        </w:tc>
      </w:tr>
      <w:tr w:rsidR="00A44C36" w:rsidRPr="00A44C36" w:rsidTr="00CC2FA4">
        <w:trPr>
          <w:jc w:val="center"/>
        </w:trPr>
        <w:tc>
          <w:tcPr>
            <w:tcW w:w="558" w:type="dxa"/>
          </w:tcPr>
          <w:p w:rsidR="007F7A3B" w:rsidRPr="00A44C36" w:rsidRDefault="007F7A3B" w:rsidP="00CB5E09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766" w:type="dxa"/>
          </w:tcPr>
          <w:p w:rsidR="007F7A3B" w:rsidRPr="00A44C36" w:rsidRDefault="00816904" w:rsidP="00CB5E09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1021" w:type="dxa"/>
          </w:tcPr>
          <w:p w:rsidR="007F7A3B" w:rsidRPr="00A44C36" w:rsidRDefault="007F7A3B" w:rsidP="00CB5E0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7F7A3B" w:rsidRPr="00A44C36" w:rsidRDefault="007F7A3B" w:rsidP="00CB5E09">
            <w:pPr>
              <w:ind w:right="283"/>
              <w:jc w:val="right"/>
              <w:rPr>
                <w:rFonts w:eastAsia="Calibri"/>
                <w:b/>
              </w:rPr>
            </w:pPr>
          </w:p>
        </w:tc>
        <w:tc>
          <w:tcPr>
            <w:tcW w:w="1451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24540,21</w:t>
            </w:r>
          </w:p>
        </w:tc>
      </w:tr>
    </w:tbl>
    <w:p w:rsidR="007F7A3B" w:rsidRPr="00A44C36" w:rsidRDefault="007F7A3B" w:rsidP="00CC2FA4">
      <w:pPr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 xml:space="preserve">*Пределната цена на дейността е калкулирана при вариант на засаждане с </w:t>
      </w:r>
      <w:proofErr w:type="spellStart"/>
      <w:r w:rsidRPr="00A44C36">
        <w:rPr>
          <w:i/>
          <w:iCs/>
        </w:rPr>
        <w:t>хидробур</w:t>
      </w:r>
      <w:proofErr w:type="spellEnd"/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7F7A3B" w:rsidRPr="00A44C36" w:rsidRDefault="007F7A3B" w:rsidP="00CC2FA4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>Изграждане на подпорна конструкция</w:t>
      </w:r>
      <w:r w:rsidR="00650EE4" w:rsidRPr="00A44C36">
        <w:rPr>
          <w:iCs/>
        </w:rPr>
        <w:t>“</w:t>
      </w:r>
      <w:r w:rsidRPr="00A44C36">
        <w:rPr>
          <w:iCs/>
        </w:rPr>
        <w:t xml:space="preserve"> и дейност </w:t>
      </w:r>
      <w:r w:rsidR="00650EE4" w:rsidRPr="00A44C36">
        <w:rPr>
          <w:iCs/>
        </w:rPr>
        <w:t>„</w:t>
      </w:r>
      <w:r w:rsidRPr="00A44C36">
        <w:rPr>
          <w:iCs/>
        </w:rPr>
        <w:t>Изграждане на подпорна конструкция на новосъздадени насаждения</w:t>
      </w:r>
      <w:r w:rsidR="00650EE4" w:rsidRPr="00A44C36">
        <w:rPr>
          <w:iCs/>
        </w:rPr>
        <w:t>“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4900"/>
        <w:gridCol w:w="992"/>
        <w:gridCol w:w="1560"/>
        <w:gridCol w:w="1417"/>
      </w:tblGrid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N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Допустими за подпомагане операции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Мярка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Цена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1.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Транспорт на колове – крайни и междинни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т/км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5,14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205,60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2. 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Маркиране на местата на коловете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117,12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3. 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Забиване на междинни колове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850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380,50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4.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Забиване на крайни колове и краен блокаж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200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62,26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междинни – метални*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tabs>
                <w:tab w:val="left" w:pos="1170"/>
              </w:tabs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850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4309,50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междинни - бетонни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850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6375,00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междинни - дървени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850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4122,50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крайни– метални*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780,00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крайни - бетонни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850,00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Колове крайни - дървени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770,00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Аксесоари за краен блокаж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330,00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Тел – 3 мм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кг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150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193,50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5.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Поставяне и фиксиране на носеща тел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179,78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Тел 2 мм – една двойка над носещия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кг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393,00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6.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Поставяне и фиксиране на двойка телове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390,60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Индивидуални подпорни колчета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5500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1430,00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7.</w:t>
            </w: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Поставяне подпорни колчета и фиксиране за носеща тел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178,90</w:t>
            </w:r>
          </w:p>
        </w:tc>
      </w:tr>
      <w:tr w:rsidR="00A44C36" w:rsidRPr="00A44C36" w:rsidTr="00CC2FA4">
        <w:trPr>
          <w:jc w:val="center"/>
        </w:trPr>
        <w:tc>
          <w:tcPr>
            <w:tcW w:w="487" w:type="dxa"/>
          </w:tcPr>
          <w:p w:rsidR="00ED475D" w:rsidRPr="00A44C36" w:rsidRDefault="00ED475D" w:rsidP="00CC2FA4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900" w:type="dxa"/>
          </w:tcPr>
          <w:p w:rsidR="00ED475D" w:rsidRPr="00A44C36" w:rsidRDefault="00ED475D" w:rsidP="00CC2FA4">
            <w:pPr>
              <w:rPr>
                <w:rFonts w:cs="Times New Roman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992" w:type="dxa"/>
          </w:tcPr>
          <w:p w:rsidR="00ED475D" w:rsidRPr="00A44C36" w:rsidRDefault="00ED475D" w:rsidP="00CC2FA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ED475D" w:rsidRPr="00A44C36" w:rsidRDefault="00ED475D" w:rsidP="00CC2FA4">
            <w:pPr>
              <w:ind w:right="283"/>
              <w:jc w:val="right"/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:rsidR="00ED475D" w:rsidRPr="00A44C36" w:rsidRDefault="00ED475D" w:rsidP="00CC2FA4">
            <w:pPr>
              <w:ind w:right="113"/>
              <w:jc w:val="right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8950,76</w:t>
            </w:r>
          </w:p>
        </w:tc>
      </w:tr>
    </w:tbl>
    <w:p w:rsidR="00DA44E3" w:rsidRPr="00A44C36" w:rsidRDefault="00DA44E3" w:rsidP="00CC2FA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 Изчислява се на хектар независимо от броя на растенията</w:t>
      </w:r>
    </w:p>
    <w:p w:rsidR="007F7A3B" w:rsidRPr="00A44C36" w:rsidRDefault="007F7A3B" w:rsidP="00CB5E0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F7A3B" w:rsidRPr="00A44C36" w:rsidRDefault="00244204" w:rsidP="00CC2FA4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 xml:space="preserve">Смяна на </w:t>
      </w:r>
      <w:proofErr w:type="spellStart"/>
      <w:r w:rsidRPr="00A44C36">
        <w:rPr>
          <w:iCs/>
        </w:rPr>
        <w:t>формировка</w:t>
      </w:r>
      <w:proofErr w:type="spellEnd"/>
      <w:r w:rsidR="00650EE4" w:rsidRPr="00A44C36">
        <w:rPr>
          <w:iCs/>
        </w:rPr>
        <w:t>“</w:t>
      </w:r>
      <w:r w:rsidRPr="00A44C36">
        <w:rPr>
          <w:iCs/>
        </w:rPr>
        <w:t xml:space="preserve"> при преминаване от стъблено към приземно отглеждане на лозите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4906"/>
        <w:gridCol w:w="992"/>
        <w:gridCol w:w="1560"/>
        <w:gridCol w:w="1417"/>
      </w:tblGrid>
      <w:tr w:rsidR="00A44C36" w:rsidRPr="00A44C36" w:rsidTr="00CC2FA4">
        <w:trPr>
          <w:jc w:val="center"/>
        </w:trPr>
        <w:tc>
          <w:tcPr>
            <w:tcW w:w="481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N</w:t>
            </w:r>
          </w:p>
        </w:tc>
        <w:tc>
          <w:tcPr>
            <w:tcW w:w="4906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Допустими за подпомагане операции</w:t>
            </w:r>
          </w:p>
        </w:tc>
        <w:tc>
          <w:tcPr>
            <w:tcW w:w="992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Мярка</w:t>
            </w:r>
          </w:p>
        </w:tc>
        <w:tc>
          <w:tcPr>
            <w:tcW w:w="1560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Количество</w:t>
            </w:r>
          </w:p>
        </w:tc>
        <w:tc>
          <w:tcPr>
            <w:tcW w:w="1417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Цена</w:t>
            </w:r>
          </w:p>
        </w:tc>
      </w:tr>
      <w:tr w:rsidR="00A44C36" w:rsidRPr="00A44C36" w:rsidTr="00CC2FA4">
        <w:trPr>
          <w:jc w:val="center"/>
        </w:trPr>
        <w:tc>
          <w:tcPr>
            <w:tcW w:w="481" w:type="dxa"/>
          </w:tcPr>
          <w:p w:rsidR="007F7A3B" w:rsidRPr="00A44C36" w:rsidRDefault="007F7A3B" w:rsidP="00CC2FA4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1.</w:t>
            </w:r>
          </w:p>
        </w:tc>
        <w:tc>
          <w:tcPr>
            <w:tcW w:w="4906" w:type="dxa"/>
          </w:tcPr>
          <w:p w:rsidR="007F7A3B" w:rsidRPr="00A44C36" w:rsidRDefault="007F7A3B" w:rsidP="00CC2FA4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Зимна резитба за смяна на </w:t>
            </w:r>
            <w:proofErr w:type="spellStart"/>
            <w:r w:rsidRPr="00A44C36">
              <w:rPr>
                <w:rFonts w:eastAsia="Calibri"/>
              </w:rPr>
              <w:t>формировка</w:t>
            </w:r>
            <w:proofErr w:type="spellEnd"/>
            <w:r w:rsidRPr="00A44C36">
              <w:rPr>
                <w:rFonts w:eastAsia="Calibri"/>
              </w:rPr>
              <w:t xml:space="preserve"> и почистване на площите</w:t>
            </w:r>
          </w:p>
        </w:tc>
        <w:tc>
          <w:tcPr>
            <w:tcW w:w="992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C2FA4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870,04</w:t>
            </w:r>
          </w:p>
        </w:tc>
      </w:tr>
      <w:tr w:rsidR="00A44C36" w:rsidRPr="00A44C36" w:rsidTr="00CC2FA4">
        <w:trPr>
          <w:jc w:val="center"/>
        </w:trPr>
        <w:tc>
          <w:tcPr>
            <w:tcW w:w="481" w:type="dxa"/>
          </w:tcPr>
          <w:p w:rsidR="007F7A3B" w:rsidRPr="00A44C36" w:rsidRDefault="007F7A3B" w:rsidP="00CC2FA4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2.</w:t>
            </w:r>
          </w:p>
        </w:tc>
        <w:tc>
          <w:tcPr>
            <w:tcW w:w="4906" w:type="dxa"/>
          </w:tcPr>
          <w:p w:rsidR="007F7A3B" w:rsidRPr="00A44C36" w:rsidRDefault="007F7A3B" w:rsidP="00CC2FA4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Зелени </w:t>
            </w:r>
            <w:proofErr w:type="spellStart"/>
            <w:r w:rsidRPr="00A44C36">
              <w:rPr>
                <w:rFonts w:eastAsia="Calibri"/>
              </w:rPr>
              <w:t>резитбени</w:t>
            </w:r>
            <w:proofErr w:type="spellEnd"/>
            <w:r w:rsidRPr="00A44C36">
              <w:rPr>
                <w:rFonts w:eastAsia="Calibri"/>
              </w:rPr>
              <w:t xml:space="preserve"> операции по формиране</w:t>
            </w:r>
          </w:p>
        </w:tc>
        <w:tc>
          <w:tcPr>
            <w:tcW w:w="992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C2FA4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898,02</w:t>
            </w:r>
          </w:p>
        </w:tc>
      </w:tr>
      <w:tr w:rsidR="00A44C36" w:rsidRPr="00A44C36" w:rsidTr="00CC2FA4">
        <w:trPr>
          <w:jc w:val="center"/>
        </w:trPr>
        <w:tc>
          <w:tcPr>
            <w:tcW w:w="481" w:type="dxa"/>
          </w:tcPr>
          <w:p w:rsidR="007F7A3B" w:rsidRPr="00A44C36" w:rsidRDefault="007F7A3B" w:rsidP="00CC2FA4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3.</w:t>
            </w:r>
          </w:p>
        </w:tc>
        <w:tc>
          <w:tcPr>
            <w:tcW w:w="4906" w:type="dxa"/>
          </w:tcPr>
          <w:p w:rsidR="007F7A3B" w:rsidRPr="00A44C36" w:rsidRDefault="007F7A3B" w:rsidP="00CC2FA4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Привързване към индивидуални колчета и към подпорна конструкция</w:t>
            </w:r>
          </w:p>
        </w:tc>
        <w:tc>
          <w:tcPr>
            <w:tcW w:w="992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0" w:type="dxa"/>
          </w:tcPr>
          <w:p w:rsidR="007F7A3B" w:rsidRPr="00A44C36" w:rsidRDefault="007F7A3B" w:rsidP="00CC2FA4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1004,92</w:t>
            </w:r>
          </w:p>
        </w:tc>
      </w:tr>
      <w:tr w:rsidR="00A44C36" w:rsidRPr="00A44C36" w:rsidTr="00CC2FA4">
        <w:trPr>
          <w:jc w:val="center"/>
        </w:trPr>
        <w:tc>
          <w:tcPr>
            <w:tcW w:w="481" w:type="dxa"/>
          </w:tcPr>
          <w:p w:rsidR="007F7A3B" w:rsidRPr="00A44C36" w:rsidRDefault="007F7A3B" w:rsidP="00CC2FA4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906" w:type="dxa"/>
          </w:tcPr>
          <w:p w:rsidR="007F7A3B" w:rsidRPr="00A44C36" w:rsidRDefault="00816904" w:rsidP="00CC2FA4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992" w:type="dxa"/>
          </w:tcPr>
          <w:p w:rsidR="007F7A3B" w:rsidRPr="00A44C36" w:rsidRDefault="007F7A3B" w:rsidP="00CC2FA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7F7A3B" w:rsidRPr="00A44C36" w:rsidRDefault="007F7A3B" w:rsidP="00CC2FA4">
            <w:pPr>
              <w:ind w:right="397"/>
              <w:jc w:val="right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7F7A3B" w:rsidRPr="00A44C36" w:rsidRDefault="007F7A3B" w:rsidP="00CC2FA4">
            <w:pPr>
              <w:ind w:right="113"/>
              <w:jc w:val="right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2772,98</w:t>
            </w:r>
          </w:p>
        </w:tc>
      </w:tr>
    </w:tbl>
    <w:p w:rsidR="00244204" w:rsidRPr="00A44C36" w:rsidRDefault="00244204" w:rsidP="00CC2FA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44C36">
        <w:t>*</w:t>
      </w:r>
      <w:r w:rsidRPr="00A44C36">
        <w:rPr>
          <w:i/>
          <w:iCs/>
        </w:rPr>
        <w:t xml:space="preserve"> Пределната цена е изчислена при вариант на отглеждане на 5500 лози/ха.</w:t>
      </w:r>
    </w:p>
    <w:p w:rsidR="00B46C42" w:rsidRPr="00A44C36" w:rsidRDefault="00B46C42" w:rsidP="00CC2FA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45049" w:rsidRPr="00A44C36" w:rsidRDefault="00245049" w:rsidP="00CC2FA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A44C36">
        <w:rPr>
          <w:iCs/>
        </w:rPr>
        <w:t>При установяване на по-малък брой лози в хектар и извършени всички операции, размерът на инвестицията се намалява, като броят растения се умножи по 0,50 лв.</w:t>
      </w:r>
    </w:p>
    <w:p w:rsidR="007F7A3B" w:rsidRPr="00A44C36" w:rsidRDefault="00245049" w:rsidP="00CC2FA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A44C36">
        <w:rPr>
          <w:iCs/>
        </w:rPr>
        <w:t>Ако не са изпълнени всички операции и броят на лозите на хектар е по-малък от 5500, общата стойност на извършените и одобрени операции се разделя на броя на лозите и получената стойност е цената на една лоза.</w:t>
      </w:r>
    </w:p>
    <w:p w:rsidR="00244204" w:rsidRPr="00A44C36" w:rsidRDefault="00244204" w:rsidP="00CC2FA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</w:p>
    <w:p w:rsidR="00244204" w:rsidRPr="00A44C36" w:rsidRDefault="00244204" w:rsidP="00692EA6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 xml:space="preserve">Смяна на </w:t>
      </w:r>
      <w:proofErr w:type="spellStart"/>
      <w:r w:rsidRPr="00A44C36">
        <w:rPr>
          <w:iCs/>
        </w:rPr>
        <w:t>формировка</w:t>
      </w:r>
      <w:proofErr w:type="spellEnd"/>
      <w:r w:rsidR="00650EE4" w:rsidRPr="00A44C36">
        <w:rPr>
          <w:iCs/>
        </w:rPr>
        <w:t>“</w:t>
      </w:r>
      <w:r w:rsidRPr="00A44C36">
        <w:rPr>
          <w:iCs/>
        </w:rPr>
        <w:t xml:space="preserve"> при преминаване от приземно към стъблено отглеждане на лозите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80"/>
        <w:gridCol w:w="4905"/>
        <w:gridCol w:w="994"/>
        <w:gridCol w:w="1564"/>
        <w:gridCol w:w="1413"/>
      </w:tblGrid>
      <w:tr w:rsidR="00A44C36" w:rsidRPr="00A44C36" w:rsidTr="00692EA6">
        <w:trPr>
          <w:jc w:val="center"/>
        </w:trPr>
        <w:tc>
          <w:tcPr>
            <w:tcW w:w="480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N</w:t>
            </w:r>
          </w:p>
        </w:tc>
        <w:tc>
          <w:tcPr>
            <w:tcW w:w="4905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Допустими за подпомагане операции</w:t>
            </w:r>
          </w:p>
        </w:tc>
        <w:tc>
          <w:tcPr>
            <w:tcW w:w="99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Мярка</w:t>
            </w:r>
          </w:p>
        </w:tc>
        <w:tc>
          <w:tcPr>
            <w:tcW w:w="156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Количество</w:t>
            </w:r>
          </w:p>
        </w:tc>
        <w:tc>
          <w:tcPr>
            <w:tcW w:w="1413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Цена</w:t>
            </w:r>
          </w:p>
        </w:tc>
      </w:tr>
      <w:tr w:rsidR="00A44C36" w:rsidRPr="00A44C36" w:rsidTr="00692EA6">
        <w:trPr>
          <w:jc w:val="center"/>
        </w:trPr>
        <w:tc>
          <w:tcPr>
            <w:tcW w:w="480" w:type="dxa"/>
          </w:tcPr>
          <w:p w:rsidR="007F7A3B" w:rsidRPr="00A44C36" w:rsidRDefault="007F7A3B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1.</w:t>
            </w:r>
          </w:p>
        </w:tc>
        <w:tc>
          <w:tcPr>
            <w:tcW w:w="4905" w:type="dxa"/>
          </w:tcPr>
          <w:p w:rsidR="007F7A3B" w:rsidRPr="00A44C36" w:rsidRDefault="007F7A3B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Зимна резитба за смяна на </w:t>
            </w:r>
            <w:proofErr w:type="spellStart"/>
            <w:r w:rsidRPr="00A44C36">
              <w:rPr>
                <w:rFonts w:eastAsia="Calibri"/>
              </w:rPr>
              <w:t>формировка</w:t>
            </w:r>
            <w:proofErr w:type="spellEnd"/>
            <w:r w:rsidRPr="00A44C36">
              <w:rPr>
                <w:rFonts w:eastAsia="Calibri"/>
              </w:rPr>
              <w:t xml:space="preserve"> и почистване на площите</w:t>
            </w:r>
          </w:p>
        </w:tc>
        <w:tc>
          <w:tcPr>
            <w:tcW w:w="99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4" w:type="dxa"/>
          </w:tcPr>
          <w:p w:rsidR="007F7A3B" w:rsidRPr="00A44C36" w:rsidRDefault="007F7A3B" w:rsidP="00692EA6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3" w:type="dxa"/>
          </w:tcPr>
          <w:p w:rsidR="007F7A3B" w:rsidRPr="00A44C36" w:rsidRDefault="007F7A3B" w:rsidP="00692EA6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782,07</w:t>
            </w:r>
          </w:p>
        </w:tc>
      </w:tr>
      <w:tr w:rsidR="00A44C36" w:rsidRPr="00A44C36" w:rsidTr="00692EA6">
        <w:trPr>
          <w:jc w:val="center"/>
        </w:trPr>
        <w:tc>
          <w:tcPr>
            <w:tcW w:w="480" w:type="dxa"/>
          </w:tcPr>
          <w:p w:rsidR="007F7A3B" w:rsidRPr="00A44C36" w:rsidRDefault="007F7A3B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2.</w:t>
            </w:r>
          </w:p>
        </w:tc>
        <w:tc>
          <w:tcPr>
            <w:tcW w:w="4905" w:type="dxa"/>
          </w:tcPr>
          <w:p w:rsidR="007F7A3B" w:rsidRPr="00A44C36" w:rsidRDefault="007F7A3B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Зелени </w:t>
            </w:r>
            <w:proofErr w:type="spellStart"/>
            <w:r w:rsidRPr="00A44C36">
              <w:rPr>
                <w:rFonts w:eastAsia="Calibri"/>
              </w:rPr>
              <w:t>резитбени</w:t>
            </w:r>
            <w:proofErr w:type="spellEnd"/>
            <w:r w:rsidRPr="00A44C36">
              <w:rPr>
                <w:rFonts w:eastAsia="Calibri"/>
              </w:rPr>
              <w:t xml:space="preserve"> операции по формиране</w:t>
            </w:r>
          </w:p>
        </w:tc>
        <w:tc>
          <w:tcPr>
            <w:tcW w:w="99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4" w:type="dxa"/>
          </w:tcPr>
          <w:p w:rsidR="007F7A3B" w:rsidRPr="00A44C36" w:rsidRDefault="007F7A3B" w:rsidP="00692EA6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3" w:type="dxa"/>
          </w:tcPr>
          <w:p w:rsidR="007F7A3B" w:rsidRPr="00A44C36" w:rsidRDefault="007F7A3B" w:rsidP="00692EA6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1059,06</w:t>
            </w:r>
          </w:p>
        </w:tc>
      </w:tr>
      <w:tr w:rsidR="00A44C36" w:rsidRPr="00A44C36" w:rsidTr="00692EA6">
        <w:trPr>
          <w:jc w:val="center"/>
        </w:trPr>
        <w:tc>
          <w:tcPr>
            <w:tcW w:w="480" w:type="dxa"/>
          </w:tcPr>
          <w:p w:rsidR="007F7A3B" w:rsidRPr="00A44C36" w:rsidRDefault="007F7A3B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3.</w:t>
            </w:r>
          </w:p>
        </w:tc>
        <w:tc>
          <w:tcPr>
            <w:tcW w:w="4905" w:type="dxa"/>
          </w:tcPr>
          <w:p w:rsidR="007F7A3B" w:rsidRPr="00A44C36" w:rsidRDefault="007F7A3B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Привързване към индивидуални колчета и към подпорна конструкция</w:t>
            </w:r>
          </w:p>
        </w:tc>
        <w:tc>
          <w:tcPr>
            <w:tcW w:w="99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ха</w:t>
            </w:r>
          </w:p>
        </w:tc>
        <w:tc>
          <w:tcPr>
            <w:tcW w:w="1564" w:type="dxa"/>
          </w:tcPr>
          <w:p w:rsidR="007F7A3B" w:rsidRPr="00A44C36" w:rsidRDefault="007F7A3B" w:rsidP="00692EA6">
            <w:pPr>
              <w:ind w:right="397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</w:t>
            </w:r>
          </w:p>
        </w:tc>
        <w:tc>
          <w:tcPr>
            <w:tcW w:w="1413" w:type="dxa"/>
          </w:tcPr>
          <w:p w:rsidR="007F7A3B" w:rsidRPr="00A44C36" w:rsidRDefault="007F7A3B" w:rsidP="00692EA6">
            <w:pPr>
              <w:ind w:right="113"/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1331,32</w:t>
            </w:r>
          </w:p>
        </w:tc>
      </w:tr>
      <w:tr w:rsidR="00A44C36" w:rsidRPr="00A44C36" w:rsidTr="00692EA6">
        <w:trPr>
          <w:jc w:val="center"/>
        </w:trPr>
        <w:tc>
          <w:tcPr>
            <w:tcW w:w="480" w:type="dxa"/>
          </w:tcPr>
          <w:p w:rsidR="007F7A3B" w:rsidRPr="00A44C36" w:rsidRDefault="007F7A3B" w:rsidP="00692EA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905" w:type="dxa"/>
          </w:tcPr>
          <w:p w:rsidR="007F7A3B" w:rsidRPr="00A44C36" w:rsidRDefault="00816904" w:rsidP="00692EA6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99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4" w:type="dxa"/>
          </w:tcPr>
          <w:p w:rsidR="007F7A3B" w:rsidRPr="00A44C36" w:rsidRDefault="007F7A3B" w:rsidP="00692EA6">
            <w:pPr>
              <w:ind w:right="397"/>
              <w:jc w:val="right"/>
              <w:rPr>
                <w:rFonts w:eastAsia="Calibri"/>
                <w:b/>
              </w:rPr>
            </w:pPr>
          </w:p>
        </w:tc>
        <w:tc>
          <w:tcPr>
            <w:tcW w:w="1413" w:type="dxa"/>
          </w:tcPr>
          <w:p w:rsidR="007F7A3B" w:rsidRPr="00A44C36" w:rsidRDefault="007F7A3B" w:rsidP="00692EA6">
            <w:pPr>
              <w:ind w:right="113"/>
              <w:jc w:val="right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3172,45</w:t>
            </w:r>
          </w:p>
        </w:tc>
      </w:tr>
    </w:tbl>
    <w:p w:rsidR="00244204" w:rsidRPr="00A44C36" w:rsidRDefault="000C007C" w:rsidP="00692EA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44C36">
        <w:t>*</w:t>
      </w:r>
      <w:r w:rsidR="00244204" w:rsidRPr="00A44C36">
        <w:rPr>
          <w:i/>
          <w:iCs/>
        </w:rPr>
        <w:t>Пределната  цена е изчислена при вариант на отглеждане на 5500 лози/ха.</w:t>
      </w:r>
    </w:p>
    <w:p w:rsidR="007F7A3B" w:rsidRPr="00A44C36" w:rsidRDefault="007F7A3B" w:rsidP="00692EA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45049" w:rsidRPr="00A44C36" w:rsidRDefault="00245049" w:rsidP="00692EA6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A44C36">
        <w:rPr>
          <w:iCs/>
        </w:rPr>
        <w:t>При установяване на по-малък брой лози в хектар и извършени всички операции, размерът на инвестицията се намалява, като броят растения се умножи по 0,58 лв.</w:t>
      </w:r>
    </w:p>
    <w:p w:rsidR="00245049" w:rsidRPr="00A44C36" w:rsidRDefault="00245049" w:rsidP="00692EA6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A44C36">
        <w:rPr>
          <w:iCs/>
        </w:rPr>
        <w:t>Ако не са изпълнени всички операции и броят на лозите на хектар е по-малък от 5500, общата стойност на извършените и одобрени операции се разделя на броя на лозите и получената стойност е цената на една лоза.</w:t>
      </w:r>
    </w:p>
    <w:p w:rsidR="007F7A3B" w:rsidRPr="00A44C36" w:rsidRDefault="007F7A3B" w:rsidP="00692EA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F7A3B" w:rsidRPr="00A44C36" w:rsidRDefault="007F7A3B" w:rsidP="00692EA6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Пределна цена за дейност </w:t>
      </w:r>
      <w:r w:rsidR="00650EE4" w:rsidRPr="00A44C36">
        <w:rPr>
          <w:iCs/>
        </w:rPr>
        <w:t>„</w:t>
      </w:r>
      <w:r w:rsidRPr="00A44C36">
        <w:rPr>
          <w:iCs/>
        </w:rPr>
        <w:t>Смяна на подпорна конструкция</w:t>
      </w:r>
      <w:r w:rsidR="00650EE4" w:rsidRPr="00A44C36">
        <w:rPr>
          <w:iCs/>
        </w:rPr>
        <w:t>“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63"/>
        <w:gridCol w:w="4940"/>
        <w:gridCol w:w="976"/>
        <w:gridCol w:w="1570"/>
        <w:gridCol w:w="1407"/>
      </w:tblGrid>
      <w:tr w:rsidR="00A44C36" w:rsidRPr="00A44C36" w:rsidTr="00692EA6">
        <w:trPr>
          <w:jc w:val="center"/>
        </w:trPr>
        <w:tc>
          <w:tcPr>
            <w:tcW w:w="463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N</w:t>
            </w:r>
          </w:p>
        </w:tc>
        <w:tc>
          <w:tcPr>
            <w:tcW w:w="4940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Допустими за подпомагане операции</w:t>
            </w:r>
          </w:p>
        </w:tc>
        <w:tc>
          <w:tcPr>
            <w:tcW w:w="976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Мярка</w:t>
            </w:r>
          </w:p>
        </w:tc>
        <w:tc>
          <w:tcPr>
            <w:tcW w:w="1570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Количество</w:t>
            </w:r>
          </w:p>
        </w:tc>
        <w:tc>
          <w:tcPr>
            <w:tcW w:w="1407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Цена</w:t>
            </w:r>
          </w:p>
        </w:tc>
      </w:tr>
      <w:tr w:rsidR="00A44C36" w:rsidRPr="00A44C36" w:rsidTr="00692EA6">
        <w:trPr>
          <w:jc w:val="center"/>
        </w:trPr>
        <w:tc>
          <w:tcPr>
            <w:tcW w:w="463" w:type="dxa"/>
          </w:tcPr>
          <w:p w:rsidR="00B6343E" w:rsidRPr="00A44C36" w:rsidRDefault="00B6343E" w:rsidP="00692EA6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1.</w:t>
            </w:r>
          </w:p>
        </w:tc>
        <w:tc>
          <w:tcPr>
            <w:tcW w:w="4940" w:type="dxa"/>
          </w:tcPr>
          <w:p w:rsidR="00B6343E" w:rsidRPr="00A44C36" w:rsidRDefault="00B6343E" w:rsidP="00692EA6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Сваляне на съществуваща подпорна конструкция</w:t>
            </w:r>
          </w:p>
        </w:tc>
        <w:tc>
          <w:tcPr>
            <w:tcW w:w="976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70" w:type="dxa"/>
          </w:tcPr>
          <w:p w:rsidR="00B6343E" w:rsidRPr="00A44C36" w:rsidRDefault="00B6343E" w:rsidP="00692EA6">
            <w:pPr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07" w:type="dxa"/>
          </w:tcPr>
          <w:p w:rsidR="00B6343E" w:rsidRPr="00A44C36" w:rsidRDefault="00B6343E" w:rsidP="00692EA6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496,69</w:t>
            </w:r>
          </w:p>
        </w:tc>
      </w:tr>
      <w:tr w:rsidR="00A44C36" w:rsidRPr="00A44C36" w:rsidTr="00692EA6">
        <w:trPr>
          <w:jc w:val="center"/>
        </w:trPr>
        <w:tc>
          <w:tcPr>
            <w:tcW w:w="463" w:type="dxa"/>
          </w:tcPr>
          <w:p w:rsidR="00B6343E" w:rsidRPr="00A44C36" w:rsidRDefault="00B6343E" w:rsidP="00692EA6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2. </w:t>
            </w:r>
          </w:p>
        </w:tc>
        <w:tc>
          <w:tcPr>
            <w:tcW w:w="4940" w:type="dxa"/>
          </w:tcPr>
          <w:p w:rsidR="00B6343E" w:rsidRPr="00A44C36" w:rsidRDefault="00B6343E" w:rsidP="00692EA6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Изнасяне на отпадъците</w:t>
            </w:r>
          </w:p>
        </w:tc>
        <w:tc>
          <w:tcPr>
            <w:tcW w:w="976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70" w:type="dxa"/>
          </w:tcPr>
          <w:p w:rsidR="00B6343E" w:rsidRPr="00A44C36" w:rsidRDefault="00B6343E" w:rsidP="00692EA6">
            <w:pPr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07" w:type="dxa"/>
          </w:tcPr>
          <w:p w:rsidR="00B6343E" w:rsidRPr="00A44C36" w:rsidRDefault="00B6343E" w:rsidP="00692EA6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836,00</w:t>
            </w:r>
          </w:p>
        </w:tc>
      </w:tr>
      <w:tr w:rsidR="00A44C36" w:rsidRPr="00A44C36" w:rsidTr="00692EA6">
        <w:trPr>
          <w:jc w:val="center"/>
        </w:trPr>
        <w:tc>
          <w:tcPr>
            <w:tcW w:w="463" w:type="dxa"/>
          </w:tcPr>
          <w:p w:rsidR="00B6343E" w:rsidRPr="00A44C36" w:rsidRDefault="00B6343E" w:rsidP="00692EA6">
            <w:pPr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3. </w:t>
            </w:r>
          </w:p>
        </w:tc>
        <w:tc>
          <w:tcPr>
            <w:tcW w:w="4940" w:type="dxa"/>
          </w:tcPr>
          <w:p w:rsidR="00B6343E" w:rsidRPr="00A44C36" w:rsidRDefault="00B6343E" w:rsidP="00692EA6">
            <w:pPr>
              <w:rPr>
                <w:rFonts w:cs="Times New Roman"/>
              </w:rPr>
            </w:pPr>
            <w:r w:rsidRPr="00A44C36">
              <w:rPr>
                <w:rFonts w:cs="Times New Roman"/>
              </w:rPr>
              <w:t>Материали и изграждане на подпорна конструкция</w:t>
            </w:r>
          </w:p>
        </w:tc>
        <w:tc>
          <w:tcPr>
            <w:tcW w:w="976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ха</w:t>
            </w:r>
          </w:p>
        </w:tc>
        <w:tc>
          <w:tcPr>
            <w:tcW w:w="1570" w:type="dxa"/>
          </w:tcPr>
          <w:p w:rsidR="00B6343E" w:rsidRPr="00A44C36" w:rsidRDefault="00B6343E" w:rsidP="00692EA6">
            <w:pPr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407" w:type="dxa"/>
          </w:tcPr>
          <w:p w:rsidR="00B6343E" w:rsidRPr="00A44C36" w:rsidRDefault="00B6343E" w:rsidP="00692EA6">
            <w:pPr>
              <w:ind w:right="113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8950,76</w:t>
            </w:r>
          </w:p>
        </w:tc>
      </w:tr>
      <w:tr w:rsidR="00A44C36" w:rsidRPr="00A44C36" w:rsidTr="00692EA6">
        <w:trPr>
          <w:jc w:val="center"/>
        </w:trPr>
        <w:tc>
          <w:tcPr>
            <w:tcW w:w="463" w:type="dxa"/>
          </w:tcPr>
          <w:p w:rsidR="00B6343E" w:rsidRPr="00A44C36" w:rsidRDefault="00B6343E" w:rsidP="00692EA6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940" w:type="dxa"/>
          </w:tcPr>
          <w:p w:rsidR="00B6343E" w:rsidRPr="00A44C36" w:rsidRDefault="00B6343E" w:rsidP="00692EA6">
            <w:pPr>
              <w:rPr>
                <w:rFonts w:cs="Times New Roman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976" w:type="dxa"/>
          </w:tcPr>
          <w:p w:rsidR="00B6343E" w:rsidRPr="00A44C36" w:rsidRDefault="00B6343E" w:rsidP="00692EA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70" w:type="dxa"/>
          </w:tcPr>
          <w:p w:rsidR="00B6343E" w:rsidRPr="00A44C36" w:rsidRDefault="00B6343E" w:rsidP="00692EA6">
            <w:pPr>
              <w:ind w:right="397"/>
              <w:jc w:val="right"/>
              <w:rPr>
                <w:rFonts w:cs="Times New Roman"/>
              </w:rPr>
            </w:pPr>
          </w:p>
        </w:tc>
        <w:tc>
          <w:tcPr>
            <w:tcW w:w="1407" w:type="dxa"/>
          </w:tcPr>
          <w:p w:rsidR="00B6343E" w:rsidRPr="00A44C36" w:rsidRDefault="00B6343E" w:rsidP="00692EA6">
            <w:pPr>
              <w:ind w:right="113"/>
              <w:jc w:val="right"/>
              <w:rPr>
                <w:rFonts w:cs="Times New Roman"/>
                <w:b/>
              </w:rPr>
            </w:pPr>
            <w:r w:rsidRPr="00A44C36">
              <w:rPr>
                <w:rFonts w:cs="Times New Roman"/>
                <w:b/>
              </w:rPr>
              <w:t>10283,45</w:t>
            </w:r>
          </w:p>
        </w:tc>
      </w:tr>
    </w:tbl>
    <w:p w:rsidR="00244204" w:rsidRPr="00A44C36" w:rsidRDefault="00244204" w:rsidP="00692EA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 Изчислява се на хектар независимо от броя на растенията</w:t>
      </w:r>
    </w:p>
    <w:p w:rsidR="00521885" w:rsidRPr="00A44C36" w:rsidRDefault="00521885" w:rsidP="00692EA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F7A3B" w:rsidRPr="00A44C36" w:rsidRDefault="007F7A3B" w:rsidP="00692EA6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44C36">
        <w:rPr>
          <w:iCs/>
        </w:rPr>
        <w:t xml:space="preserve">Пределни цени за дейност </w:t>
      </w:r>
      <w:r w:rsidR="00650EE4" w:rsidRPr="00A44C36">
        <w:rPr>
          <w:iCs/>
        </w:rPr>
        <w:t>„</w:t>
      </w:r>
      <w:r w:rsidRPr="00A44C36">
        <w:rPr>
          <w:iCs/>
        </w:rPr>
        <w:t>Изграждане на подземни колектори за дренаж, шахти и канали за отводняване</w:t>
      </w:r>
      <w:r w:rsidR="00650EE4" w:rsidRPr="00A44C36">
        <w:rPr>
          <w:iCs/>
        </w:rPr>
        <w:t>“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74"/>
        <w:gridCol w:w="4729"/>
        <w:gridCol w:w="1164"/>
        <w:gridCol w:w="1499"/>
        <w:gridCol w:w="1490"/>
      </w:tblGrid>
      <w:tr w:rsidR="00A44C36" w:rsidRPr="00A44C36" w:rsidTr="00E032CD">
        <w:trPr>
          <w:jc w:val="center"/>
        </w:trPr>
        <w:tc>
          <w:tcPr>
            <w:tcW w:w="474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N</w:t>
            </w:r>
          </w:p>
        </w:tc>
        <w:tc>
          <w:tcPr>
            <w:tcW w:w="4740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Допустими за подпомагане операции</w:t>
            </w:r>
          </w:p>
        </w:tc>
        <w:tc>
          <w:tcPr>
            <w:tcW w:w="1165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Мярка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Количество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Цена</w:t>
            </w:r>
          </w:p>
        </w:tc>
      </w:tr>
      <w:tr w:rsidR="00A44C36" w:rsidRPr="00A44C36" w:rsidTr="00E032CD">
        <w:trPr>
          <w:jc w:val="center"/>
        </w:trPr>
        <w:tc>
          <w:tcPr>
            <w:tcW w:w="47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1.</w:t>
            </w:r>
          </w:p>
        </w:tc>
        <w:tc>
          <w:tcPr>
            <w:tcW w:w="4740" w:type="dxa"/>
          </w:tcPr>
          <w:p w:rsidR="00816904" w:rsidRPr="00A44C36" w:rsidRDefault="00816904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Изкоп с багер</w:t>
            </w:r>
          </w:p>
        </w:tc>
        <w:tc>
          <w:tcPr>
            <w:tcW w:w="1165" w:type="dxa"/>
          </w:tcPr>
          <w:p w:rsidR="00816904" w:rsidRPr="00A44C36" w:rsidRDefault="00816904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m</w:t>
            </w:r>
            <w:r w:rsidRPr="00A44C36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35,47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48,23</w:t>
            </w:r>
          </w:p>
        </w:tc>
      </w:tr>
      <w:tr w:rsidR="00A44C36" w:rsidRPr="00A44C36" w:rsidTr="00E032CD">
        <w:trPr>
          <w:jc w:val="center"/>
        </w:trPr>
        <w:tc>
          <w:tcPr>
            <w:tcW w:w="47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2. </w:t>
            </w:r>
          </w:p>
        </w:tc>
        <w:tc>
          <w:tcPr>
            <w:tcW w:w="4740" w:type="dxa"/>
          </w:tcPr>
          <w:p w:rsidR="00816904" w:rsidRPr="00A44C36" w:rsidRDefault="00816904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Доставка и полагане на дренажна перфорирана тръба</w:t>
            </w:r>
          </w:p>
        </w:tc>
        <w:tc>
          <w:tcPr>
            <w:tcW w:w="1165" w:type="dxa"/>
          </w:tcPr>
          <w:p w:rsidR="00816904" w:rsidRPr="00A44C36" w:rsidRDefault="00816904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m</w:t>
            </w:r>
            <w:r w:rsidRPr="00A44C36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63,33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1114,03</w:t>
            </w:r>
          </w:p>
        </w:tc>
      </w:tr>
      <w:tr w:rsidR="00A44C36" w:rsidRPr="00A44C36" w:rsidTr="00E032CD">
        <w:trPr>
          <w:jc w:val="center"/>
        </w:trPr>
        <w:tc>
          <w:tcPr>
            <w:tcW w:w="47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3. </w:t>
            </w:r>
          </w:p>
        </w:tc>
        <w:tc>
          <w:tcPr>
            <w:tcW w:w="4740" w:type="dxa"/>
          </w:tcPr>
          <w:p w:rsidR="00816904" w:rsidRPr="00A44C36" w:rsidRDefault="00816904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Полагане на пясъчна подложка и засипване</w:t>
            </w:r>
          </w:p>
        </w:tc>
        <w:tc>
          <w:tcPr>
            <w:tcW w:w="1165" w:type="dxa"/>
          </w:tcPr>
          <w:p w:rsidR="00816904" w:rsidRPr="00A44C36" w:rsidRDefault="00816904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m</w:t>
            </w:r>
            <w:r w:rsidRPr="00A44C36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126,67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2714,47</w:t>
            </w:r>
          </w:p>
        </w:tc>
      </w:tr>
      <w:tr w:rsidR="00A44C36" w:rsidRPr="00A44C36" w:rsidTr="00E032CD">
        <w:trPr>
          <w:jc w:val="center"/>
        </w:trPr>
        <w:tc>
          <w:tcPr>
            <w:tcW w:w="47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4. </w:t>
            </w:r>
          </w:p>
        </w:tc>
        <w:tc>
          <w:tcPr>
            <w:tcW w:w="4740" w:type="dxa"/>
          </w:tcPr>
          <w:p w:rsidR="00816904" w:rsidRPr="00A44C36" w:rsidRDefault="00816904" w:rsidP="00692EA6">
            <w:pPr>
              <w:rPr>
                <w:rFonts w:eastAsia="Calibri"/>
              </w:rPr>
            </w:pPr>
            <w:r w:rsidRPr="00A44C36">
              <w:rPr>
                <w:rFonts w:eastAsia="Calibri"/>
              </w:rPr>
              <w:t>Доставка и монтаж на ревизионни шахти</w:t>
            </w:r>
          </w:p>
        </w:tc>
        <w:tc>
          <w:tcPr>
            <w:tcW w:w="1165" w:type="dxa"/>
          </w:tcPr>
          <w:p w:rsidR="00816904" w:rsidRPr="00A44C36" w:rsidRDefault="00C04015" w:rsidP="00692EA6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</w:rPr>
              <w:t>бр.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7A7956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7A7956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t>193,18</w:t>
            </w:r>
          </w:p>
        </w:tc>
      </w:tr>
      <w:tr w:rsidR="00A44C36" w:rsidRPr="00A44C36" w:rsidTr="00E032CD">
        <w:trPr>
          <w:jc w:val="center"/>
        </w:trPr>
        <w:tc>
          <w:tcPr>
            <w:tcW w:w="474" w:type="dxa"/>
          </w:tcPr>
          <w:p w:rsidR="007F7A3B" w:rsidRPr="00A44C36" w:rsidRDefault="007F7A3B" w:rsidP="00692EA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740" w:type="dxa"/>
          </w:tcPr>
          <w:p w:rsidR="007F7A3B" w:rsidRPr="00A44C36" w:rsidRDefault="00816904" w:rsidP="00692EA6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1165" w:type="dxa"/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:rsidR="007F7A3B" w:rsidRPr="00A44C36" w:rsidRDefault="007F7A3B" w:rsidP="00692EA6">
            <w:pPr>
              <w:ind w:right="340"/>
              <w:jc w:val="right"/>
              <w:rPr>
                <w:rFonts w:eastAsia="Calibri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:rsidR="00FB6613" w:rsidRPr="00A44C36" w:rsidRDefault="00FB6613" w:rsidP="00692EA6">
            <w:pPr>
              <w:ind w:right="113"/>
              <w:jc w:val="right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>4 070</w:t>
            </w:r>
          </w:p>
        </w:tc>
      </w:tr>
    </w:tbl>
    <w:p w:rsidR="00244204" w:rsidRPr="00A44C36" w:rsidRDefault="00244204" w:rsidP="00692EA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 Изчислява се на хектар независимо от броя на растенията</w:t>
      </w:r>
    </w:p>
    <w:p w:rsidR="007F7A3B" w:rsidRPr="00A44C36" w:rsidRDefault="007F7A3B" w:rsidP="00692EA6">
      <w:pPr>
        <w:spacing w:line="360" w:lineRule="auto"/>
      </w:pPr>
    </w:p>
    <w:p w:rsidR="007F7A3B" w:rsidRPr="00A44C36" w:rsidRDefault="007F7A3B" w:rsidP="00692EA6">
      <w:pPr>
        <w:spacing w:line="360" w:lineRule="auto"/>
        <w:jc w:val="center"/>
        <w:rPr>
          <w:iCs/>
        </w:rPr>
      </w:pPr>
      <w:r w:rsidRPr="00A44C36">
        <w:rPr>
          <w:iCs/>
        </w:rPr>
        <w:t xml:space="preserve">Пределни цени за дейност </w:t>
      </w:r>
      <w:bookmarkStart w:id="1" w:name="_Hlk38620708"/>
      <w:r w:rsidR="00650EE4" w:rsidRPr="00A44C36">
        <w:rPr>
          <w:iCs/>
        </w:rPr>
        <w:t>„</w:t>
      </w:r>
      <w:r w:rsidRPr="00A44C36">
        <w:rPr>
          <w:iCs/>
        </w:rPr>
        <w:t>Изграждане/реконструкция на тераси</w:t>
      </w:r>
      <w:r w:rsidR="00650EE4" w:rsidRPr="00A44C36">
        <w:rPr>
          <w:iCs/>
        </w:rPr>
        <w:t>“</w:t>
      </w:r>
      <w:bookmarkEnd w:id="1"/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34"/>
        <w:gridCol w:w="4780"/>
        <w:gridCol w:w="1177"/>
        <w:gridCol w:w="1548"/>
        <w:gridCol w:w="1417"/>
      </w:tblGrid>
      <w:tr w:rsidR="00A44C36" w:rsidRPr="00A44C36" w:rsidTr="00E032CD">
        <w:trPr>
          <w:jc w:val="center"/>
        </w:trPr>
        <w:tc>
          <w:tcPr>
            <w:tcW w:w="434" w:type="dxa"/>
          </w:tcPr>
          <w:p w:rsidR="00692EA6" w:rsidRPr="00A44C36" w:rsidRDefault="00692EA6" w:rsidP="00E032CD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  <w:b/>
              </w:rPr>
              <w:t>N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A6" w:rsidRPr="00A44C36" w:rsidRDefault="00692EA6" w:rsidP="00E032CD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  <w:b/>
              </w:rPr>
              <w:t>Допустими за подпомагане операции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A6" w:rsidRPr="00A44C36" w:rsidRDefault="00692EA6" w:rsidP="00E032CD">
            <w:pPr>
              <w:jc w:val="center"/>
              <w:rPr>
                <w:rFonts w:eastAsia="Calibri"/>
              </w:rPr>
            </w:pPr>
            <w:r w:rsidRPr="00A44C36">
              <w:rPr>
                <w:rFonts w:eastAsia="Calibri"/>
                <w:b/>
              </w:rPr>
              <w:t>Мярка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A6" w:rsidRPr="00A44C36" w:rsidRDefault="00692EA6" w:rsidP="00E032CD">
            <w:pPr>
              <w:jc w:val="center"/>
            </w:pPr>
            <w:r w:rsidRPr="00A44C36">
              <w:rPr>
                <w:rFonts w:eastAsia="Calibri"/>
                <w:b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A6" w:rsidRPr="00A44C36" w:rsidRDefault="00692EA6" w:rsidP="00E032CD">
            <w:pPr>
              <w:jc w:val="center"/>
            </w:pPr>
            <w:r w:rsidRPr="00A44C36">
              <w:rPr>
                <w:rFonts w:eastAsia="Calibri"/>
                <w:b/>
              </w:rPr>
              <w:t>Цена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Изкоп – подготовка за оформяне на терасни полоси и откоси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jc w:val="center"/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100 m</w:t>
            </w:r>
            <w:r w:rsidRPr="00A44C36">
              <w:rPr>
                <w:rFonts w:eastAsia="Calibri" w:cs="Times New Roman"/>
                <w:vertAlign w:val="superscript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417,03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lastRenderedPageBreak/>
              <w:t xml:space="preserve">2.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Изкопи и преместване за оформяне на терасните платна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jc w:val="center"/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m</w:t>
            </w:r>
            <w:r w:rsidRPr="00A44C36">
              <w:rPr>
                <w:rFonts w:eastAsia="Calibri" w:cs="Times New Roman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2470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2618,67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3.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Подравняване и вертикална планировка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jc w:val="center"/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100 m</w:t>
            </w:r>
            <w:r w:rsidRPr="00A44C36">
              <w:rPr>
                <w:rFonts w:eastAsia="Calibri" w:cs="Times New Roman"/>
                <w:vertAlign w:val="superscript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118,25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 xml:space="preserve">4.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Оформяне на терасните откоси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jc w:val="center"/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944,28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816904" w:rsidRPr="00A44C36" w:rsidRDefault="00816904" w:rsidP="00692EA6">
            <w:pPr>
              <w:jc w:val="right"/>
              <w:rPr>
                <w:rFonts w:eastAsia="Calibri"/>
              </w:rPr>
            </w:pPr>
            <w:r w:rsidRPr="00A44C36">
              <w:rPr>
                <w:rFonts w:eastAsia="Calibri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 xml:space="preserve">Разстилане на </w:t>
            </w:r>
            <w:proofErr w:type="spellStart"/>
            <w:r w:rsidRPr="00A44C36">
              <w:rPr>
                <w:rFonts w:eastAsia="Calibri" w:cs="Times New Roman"/>
              </w:rPr>
              <w:t>хумус</w:t>
            </w:r>
            <w:proofErr w:type="spellEnd"/>
            <w:r w:rsidRPr="00A44C36">
              <w:rPr>
                <w:rFonts w:eastAsia="Calibri" w:cs="Times New Roman"/>
              </w:rPr>
              <w:t xml:space="preserve"> на терасните платна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04" w:rsidRPr="00A44C36" w:rsidRDefault="00816904" w:rsidP="00692EA6">
            <w:pPr>
              <w:jc w:val="center"/>
              <w:rPr>
                <w:rFonts w:eastAsia="Calibri" w:cs="Times New Roman"/>
              </w:rPr>
            </w:pPr>
            <w:r w:rsidRPr="00A44C36">
              <w:rPr>
                <w:rFonts w:eastAsia="Calibri" w:cs="Times New Roman"/>
              </w:rPr>
              <w:t>m</w:t>
            </w:r>
            <w:r w:rsidRPr="00A44C36">
              <w:rPr>
                <w:rFonts w:eastAsia="Calibri" w:cs="Times New Roman"/>
                <w:vertAlign w:val="superscript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340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5025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 w:cs="Times New Roman"/>
              </w:rPr>
            </w:pPr>
            <w:r w:rsidRPr="00A44C36">
              <w:rPr>
                <w:rFonts w:cs="Times New Roman"/>
              </w:rPr>
              <w:t>5426,64</w:t>
            </w:r>
          </w:p>
        </w:tc>
      </w:tr>
      <w:tr w:rsidR="00A44C36" w:rsidRPr="00A44C36" w:rsidTr="00E032CD">
        <w:trPr>
          <w:jc w:val="center"/>
        </w:trPr>
        <w:tc>
          <w:tcPr>
            <w:tcW w:w="434" w:type="dxa"/>
          </w:tcPr>
          <w:p w:rsidR="007F7A3B" w:rsidRPr="00A44C36" w:rsidRDefault="007F7A3B" w:rsidP="00692EA6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</w:tcPr>
          <w:p w:rsidR="007F7A3B" w:rsidRPr="00A44C36" w:rsidRDefault="00816904" w:rsidP="00692EA6">
            <w:pPr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Общо </w:t>
            </w:r>
            <w:proofErr w:type="spellStart"/>
            <w:r w:rsidRPr="00A44C36">
              <w:rPr>
                <w:rFonts w:eastAsia="Calibri"/>
                <w:b/>
              </w:rPr>
              <w:t>лв</w:t>
            </w:r>
            <w:proofErr w:type="spellEnd"/>
            <w:r w:rsidRPr="00A44C36">
              <w:rPr>
                <w:rFonts w:eastAsia="Calibri"/>
                <w:b/>
              </w:rPr>
              <w:t>/ха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F7A3B" w:rsidRPr="00A44C36" w:rsidRDefault="007F7A3B" w:rsidP="00692EA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7F7A3B" w:rsidRPr="00A44C36" w:rsidRDefault="007F7A3B" w:rsidP="00692EA6">
            <w:pPr>
              <w:ind w:right="340"/>
              <w:jc w:val="right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6904" w:rsidRPr="00A44C36" w:rsidRDefault="00816904" w:rsidP="00692EA6">
            <w:pPr>
              <w:ind w:right="113"/>
              <w:jc w:val="right"/>
              <w:rPr>
                <w:rFonts w:eastAsia="Calibri"/>
                <w:b/>
              </w:rPr>
            </w:pPr>
            <w:r w:rsidRPr="00A44C36">
              <w:rPr>
                <w:rFonts w:eastAsia="Calibri"/>
                <w:b/>
              </w:rPr>
              <w:t xml:space="preserve">9 525 </w:t>
            </w:r>
          </w:p>
        </w:tc>
      </w:tr>
    </w:tbl>
    <w:p w:rsidR="00244204" w:rsidRPr="00A44C36" w:rsidRDefault="00244204" w:rsidP="00E032C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 Изчислява се на хектар независимо от броя на растенията</w:t>
      </w:r>
    </w:p>
    <w:p w:rsidR="007F7A3B" w:rsidRPr="00A44C36" w:rsidRDefault="007F7A3B" w:rsidP="00E03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</w:p>
    <w:p w:rsidR="005F496D" w:rsidRPr="00A44C36" w:rsidRDefault="005F496D" w:rsidP="00E03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A44C36">
        <w:rPr>
          <w:iCs/>
        </w:rPr>
        <w:t xml:space="preserve">Пределни цени за дейност </w:t>
      </w:r>
      <w:r w:rsidR="00650EE4" w:rsidRPr="00A44C36">
        <w:rPr>
          <w:iCs/>
        </w:rPr>
        <w:t>„</w:t>
      </w:r>
      <w:r w:rsidRPr="00A44C36">
        <w:rPr>
          <w:iCs/>
        </w:rPr>
        <w:t xml:space="preserve">Изграждане на </w:t>
      </w:r>
      <w:bookmarkStart w:id="2" w:name="_Hlk40275652"/>
      <w:r w:rsidRPr="00A44C36">
        <w:rPr>
          <w:iCs/>
        </w:rPr>
        <w:t>автоматизирани системи за капково напояване</w:t>
      </w:r>
      <w:bookmarkEnd w:id="2"/>
      <w:r w:rsidR="00650EE4" w:rsidRPr="00A44C36">
        <w:rPr>
          <w:iCs/>
        </w:rPr>
        <w:t>“</w:t>
      </w:r>
    </w:p>
    <w:p w:rsidR="00C816A2" w:rsidRPr="00A44C36" w:rsidRDefault="00C816A2" w:rsidP="00E03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44C36">
        <w:t>Пределната цена се сформира от два компонента: постоянна сума и променлива сума според площта на масивите, както следва:</w:t>
      </w:r>
    </w:p>
    <w:p w:rsidR="00BD7F78" w:rsidRPr="00A44C36" w:rsidRDefault="00BD7F78" w:rsidP="00E03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C816A2" w:rsidRPr="00A44C36" w:rsidRDefault="00C816A2" w:rsidP="00E032CD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Постоянен компонент (постоянна сума) </w:t>
      </w:r>
      <w:r w:rsidR="00E032CD" w:rsidRPr="00A44C36">
        <w:rPr>
          <w:iCs/>
        </w:rPr>
        <w:t xml:space="preserve">– </w:t>
      </w:r>
      <w:r w:rsidR="00E46B9C" w:rsidRPr="00A44C36">
        <w:rPr>
          <w:iCs/>
        </w:rPr>
        <w:t xml:space="preserve">пределна </w:t>
      </w:r>
      <w:r w:rsidRPr="00A44C36">
        <w:rPr>
          <w:iCs/>
        </w:rPr>
        <w:t>цена на оборудване за автоматизирани системи за капково напояване</w:t>
      </w:r>
    </w:p>
    <w:tbl>
      <w:tblPr>
        <w:tblpPr w:leftFromText="180" w:rightFromText="180" w:vertAnchor="text" w:horzAnchor="margin" w:tblpXSpec="center" w:tblpY="14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933"/>
        <w:gridCol w:w="1464"/>
        <w:gridCol w:w="1087"/>
        <w:gridCol w:w="1134"/>
        <w:gridCol w:w="1168"/>
      </w:tblGrid>
      <w:tr w:rsidR="00A44C36" w:rsidRPr="00A44C36" w:rsidTr="00D429B8">
        <w:tc>
          <w:tcPr>
            <w:tcW w:w="3570" w:type="dxa"/>
            <w:shd w:val="clear" w:color="auto" w:fill="auto"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r w:rsidRPr="00A44C36">
              <w:rPr>
                <w:b/>
                <w:bCs/>
                <w:iCs/>
                <w:lang w:eastAsia="en-US"/>
              </w:rPr>
              <w:t>Операции и материали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r w:rsidRPr="00A44C36">
              <w:rPr>
                <w:b/>
                <w:bCs/>
                <w:iCs/>
                <w:lang w:eastAsia="en-US"/>
              </w:rPr>
              <w:t>мярка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 w:rsidRPr="00A44C36">
              <w:rPr>
                <w:b/>
                <w:bCs/>
                <w:iCs/>
                <w:lang w:eastAsia="en-US"/>
              </w:rPr>
              <w:t>кoличество</w:t>
            </w:r>
            <w:proofErr w:type="spell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r w:rsidRPr="00A44C36">
              <w:rPr>
                <w:b/>
                <w:bCs/>
                <w:iCs/>
                <w:lang w:eastAsia="en-US"/>
              </w:rPr>
              <w:t>Цена за площи от 1 до 4,99 ха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r w:rsidRPr="00A44C36">
              <w:rPr>
                <w:b/>
                <w:bCs/>
                <w:iCs/>
                <w:lang w:eastAsia="en-US"/>
              </w:rPr>
              <w:t>Цена за площи от 5 до 9,99 ха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iCs/>
                <w:lang w:eastAsia="en-US"/>
              </w:rPr>
            </w:pPr>
            <w:r w:rsidRPr="00A44C36">
              <w:rPr>
                <w:b/>
                <w:bCs/>
                <w:iCs/>
                <w:lang w:eastAsia="en-US"/>
              </w:rPr>
              <w:t>Цена за площи над 10 ха вкл.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>1. помпен агрегат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846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1</w:t>
            </w:r>
            <w:r w:rsidR="00DC3DC8" w:rsidRPr="00A44C36">
              <w:t xml:space="preserve"> </w:t>
            </w:r>
            <w:r w:rsidRPr="00A44C36">
              <w:t>616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3</w:t>
            </w:r>
            <w:r w:rsidR="00DC3DC8" w:rsidRPr="00A44C36">
              <w:t xml:space="preserve"> </w:t>
            </w:r>
            <w:r w:rsidRPr="00A44C36">
              <w:t>800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2. спирателен кран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59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>3. обратна клапа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40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40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4. регулатор налягане (+клапан)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199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199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328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5. устройство за внасяне на тор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169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684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6. филтри за пречистване на вода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</w:pPr>
            <w:r w:rsidRPr="00A44C36">
              <w:t>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283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283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6.1. </w:t>
            </w:r>
            <w:proofErr w:type="spellStart"/>
            <w:r w:rsidRPr="00A44C36">
              <w:rPr>
                <w:lang w:eastAsia="en-US"/>
              </w:rPr>
              <w:t>хифроциклонен</w:t>
            </w:r>
            <w:proofErr w:type="spellEnd"/>
            <w:r w:rsidRPr="00A44C36">
              <w:rPr>
                <w:lang w:eastAsia="en-US"/>
              </w:rPr>
              <w:t xml:space="preserve"> филтър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N/A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N/A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908</w:t>
            </w:r>
          </w:p>
        </w:tc>
      </w:tr>
      <w:tr w:rsidR="00A44C36" w:rsidRPr="00A44C36" w:rsidTr="00D429B8">
        <w:tc>
          <w:tcPr>
            <w:tcW w:w="3570" w:type="dxa"/>
            <w:shd w:val="clear" w:color="auto" w:fill="auto"/>
            <w:noWrap/>
            <w:vAlign w:val="bottom"/>
            <w:hideMark/>
          </w:tcPr>
          <w:p w:rsidR="00DE12EF" w:rsidRPr="00A44C36" w:rsidRDefault="00DE12EF" w:rsidP="00E032CD">
            <w:pPr>
              <w:rPr>
                <w:lang w:eastAsia="en-US"/>
              </w:rPr>
            </w:pPr>
            <w:r w:rsidRPr="00A44C36">
              <w:rPr>
                <w:lang w:eastAsia="en-US"/>
              </w:rPr>
              <w:t xml:space="preserve">7. водомер  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бр.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lang w:eastAsia="en-US"/>
              </w:rPr>
            </w:pPr>
            <w:r w:rsidRPr="00A44C36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334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ind w:right="170"/>
              <w:jc w:val="right"/>
              <w:rPr>
                <w:lang w:eastAsia="en-US"/>
              </w:rPr>
            </w:pPr>
            <w:r w:rsidRPr="00A44C36">
              <w:t>365</w:t>
            </w:r>
          </w:p>
        </w:tc>
      </w:tr>
      <w:tr w:rsidR="00A44C36" w:rsidRPr="00A44C36" w:rsidTr="00D429B8">
        <w:tc>
          <w:tcPr>
            <w:tcW w:w="3570" w:type="dxa"/>
            <w:shd w:val="clear" w:color="000000" w:fill="FFFFFF"/>
            <w:noWrap/>
            <w:vAlign w:val="bottom"/>
            <w:hideMark/>
          </w:tcPr>
          <w:p w:rsidR="00DE12EF" w:rsidRPr="00A44C36" w:rsidRDefault="00002781" w:rsidP="00E032CD">
            <w:pPr>
              <w:jc w:val="right"/>
              <w:rPr>
                <w:b/>
                <w:bCs/>
                <w:lang w:eastAsia="en-US"/>
              </w:rPr>
            </w:pPr>
            <w:r w:rsidRPr="00A44C36">
              <w:rPr>
                <w:b/>
                <w:bCs/>
                <w:lang w:eastAsia="en-US"/>
              </w:rPr>
              <w:t>Общо лв</w:t>
            </w:r>
            <w:r w:rsidR="00801EBB" w:rsidRPr="00A44C36">
              <w:rPr>
                <w:b/>
                <w:bCs/>
                <w:lang w:eastAsia="en-US"/>
              </w:rPr>
              <w:t>.</w:t>
            </w:r>
            <w:r w:rsidR="00DE12EF" w:rsidRPr="00A44C36">
              <w:rPr>
                <w:b/>
                <w:bCs/>
                <w:lang w:eastAsia="en-US"/>
              </w:rPr>
              <w:t>:</w:t>
            </w:r>
          </w:p>
        </w:tc>
        <w:tc>
          <w:tcPr>
            <w:tcW w:w="2397" w:type="dxa"/>
            <w:gridSpan w:val="2"/>
            <w:shd w:val="clear" w:color="000000" w:fill="FFFFFF"/>
            <w:noWrap/>
            <w:vAlign w:val="center"/>
            <w:hideMark/>
          </w:tcPr>
          <w:p w:rsidR="00DE12EF" w:rsidRPr="00A44C36" w:rsidRDefault="00DE12EF" w:rsidP="00D429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right"/>
              <w:rPr>
                <w:b/>
                <w:bCs/>
                <w:lang w:eastAsia="en-US"/>
              </w:rPr>
            </w:pPr>
            <w:r w:rsidRPr="00A44C36">
              <w:rPr>
                <w:b/>
                <w:bCs/>
                <w:lang w:eastAsia="en-US"/>
              </w:rPr>
              <w:t>1</w:t>
            </w:r>
            <w:r w:rsidR="00A33938" w:rsidRPr="00A44C36">
              <w:rPr>
                <w:b/>
                <w:bCs/>
                <w:lang w:eastAsia="en-US"/>
              </w:rPr>
              <w:t> </w:t>
            </w:r>
            <w:r w:rsidRPr="00A44C36">
              <w:rPr>
                <w:b/>
                <w:bCs/>
                <w:lang w:eastAsia="en-US"/>
              </w:rPr>
              <w:t>465</w:t>
            </w:r>
            <w:r w:rsidR="00A33938" w:rsidRPr="00A44C36">
              <w:rPr>
                <w:b/>
                <w:bCs/>
                <w:vertAlign w:val="superscript"/>
                <w:lang w:eastAsia="en-US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right"/>
              <w:rPr>
                <w:b/>
                <w:bCs/>
                <w:lang w:eastAsia="en-US"/>
              </w:rPr>
            </w:pPr>
            <w:r w:rsidRPr="00A44C36">
              <w:rPr>
                <w:b/>
                <w:bCs/>
                <w:lang w:eastAsia="en-US"/>
              </w:rPr>
              <w:t>2</w:t>
            </w:r>
            <w:r w:rsidR="00A33938" w:rsidRPr="00A44C36">
              <w:rPr>
                <w:b/>
                <w:bCs/>
                <w:lang w:eastAsia="en-US"/>
              </w:rPr>
              <w:t> </w:t>
            </w:r>
            <w:r w:rsidRPr="00A44C36">
              <w:rPr>
                <w:b/>
                <w:bCs/>
                <w:lang w:eastAsia="en-US"/>
              </w:rPr>
              <w:t>660</w:t>
            </w:r>
            <w:r w:rsidR="00A33938" w:rsidRPr="00A44C36">
              <w:rPr>
                <w:b/>
                <w:bCs/>
                <w:vertAlign w:val="superscript"/>
                <w:lang w:eastAsia="en-US"/>
              </w:rPr>
              <w:t>**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E12EF" w:rsidRPr="00A44C36" w:rsidRDefault="00DE12EF" w:rsidP="00D429B8">
            <w:pPr>
              <w:jc w:val="right"/>
              <w:rPr>
                <w:b/>
                <w:bCs/>
                <w:lang w:val="en-US" w:eastAsia="en-US"/>
              </w:rPr>
            </w:pPr>
            <w:r w:rsidRPr="00A44C36">
              <w:rPr>
                <w:b/>
                <w:bCs/>
              </w:rPr>
              <w:t>6</w:t>
            </w:r>
            <w:r w:rsidR="00A33938" w:rsidRPr="00A44C36">
              <w:rPr>
                <w:b/>
                <w:bCs/>
              </w:rPr>
              <w:t> </w:t>
            </w:r>
            <w:r w:rsidRPr="00A44C36">
              <w:rPr>
                <w:b/>
                <w:bCs/>
              </w:rPr>
              <w:t>467</w:t>
            </w:r>
            <w:r w:rsidR="00A33938" w:rsidRPr="00A44C36">
              <w:rPr>
                <w:b/>
                <w:bCs/>
                <w:vertAlign w:val="superscript"/>
              </w:rPr>
              <w:t>**</w:t>
            </w:r>
            <w:r w:rsidR="00A44C36" w:rsidRPr="00A44C36">
              <w:rPr>
                <w:b/>
                <w:bCs/>
                <w:vertAlign w:val="superscript"/>
                <w:lang w:val="en-US"/>
              </w:rPr>
              <w:t>*</w:t>
            </w:r>
          </w:p>
        </w:tc>
      </w:tr>
    </w:tbl>
    <w:p w:rsidR="00D429B8" w:rsidRPr="00A44C36" w:rsidRDefault="00A33938" w:rsidP="00E032C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</w:t>
      </w:r>
      <w:r w:rsidR="00E032CD" w:rsidRPr="00A44C36">
        <w:rPr>
          <w:i/>
          <w:iCs/>
        </w:rPr>
        <w:t xml:space="preserve"> </w:t>
      </w:r>
      <w:r w:rsidRPr="00A44C36">
        <w:rPr>
          <w:i/>
          <w:iCs/>
        </w:rPr>
        <w:t>Пределната цена от 1 465 лв. е една и съща за площи с размер от 1 до 4,99 ха</w:t>
      </w:r>
      <w:r w:rsidR="00AB50A5" w:rsidRPr="00A44C36">
        <w:rPr>
          <w:i/>
          <w:iCs/>
        </w:rPr>
        <w:t>, независимо дали площта е 1,52 ха или 3,87 ха.</w:t>
      </w:r>
    </w:p>
    <w:p w:rsidR="00A33938" w:rsidRPr="00A44C36" w:rsidRDefault="00A33938" w:rsidP="00E032C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**</w:t>
      </w:r>
      <w:r w:rsidR="00E032CD" w:rsidRPr="00A44C36">
        <w:rPr>
          <w:i/>
          <w:iCs/>
        </w:rPr>
        <w:t xml:space="preserve"> </w:t>
      </w:r>
      <w:r w:rsidRPr="00A44C36">
        <w:rPr>
          <w:i/>
          <w:iCs/>
        </w:rPr>
        <w:t xml:space="preserve">Пределната цена от 2 660 лв. е една и </w:t>
      </w:r>
      <w:proofErr w:type="spellStart"/>
      <w:r w:rsidRPr="00A44C36">
        <w:rPr>
          <w:i/>
          <w:iCs/>
        </w:rPr>
        <w:t>съша</w:t>
      </w:r>
      <w:proofErr w:type="spellEnd"/>
      <w:r w:rsidRPr="00A44C36">
        <w:rPr>
          <w:i/>
          <w:iCs/>
        </w:rPr>
        <w:t xml:space="preserve"> за площи с размер от 5 до 9,99 ха</w:t>
      </w:r>
    </w:p>
    <w:p w:rsidR="00A33938" w:rsidRPr="00A44C36" w:rsidRDefault="00A33938" w:rsidP="00E032C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***</w:t>
      </w:r>
      <w:r w:rsidR="00E032CD" w:rsidRPr="00A44C36">
        <w:rPr>
          <w:i/>
          <w:iCs/>
        </w:rPr>
        <w:t xml:space="preserve"> </w:t>
      </w:r>
      <w:r w:rsidRPr="00A44C36">
        <w:rPr>
          <w:i/>
          <w:iCs/>
        </w:rPr>
        <w:t>Пределната цена от 6 467 лв. е една и съща за площи с размер над 10 ха вкл.</w:t>
      </w:r>
    </w:p>
    <w:p w:rsidR="00A33938" w:rsidRPr="00A44C36" w:rsidRDefault="00A33938" w:rsidP="00CB5E09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i/>
          <w:iCs/>
        </w:rPr>
      </w:pPr>
    </w:p>
    <w:p w:rsidR="00BD7F78" w:rsidRPr="00A44C36" w:rsidRDefault="00BD7F78" w:rsidP="00E032CD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A44C36">
        <w:rPr>
          <w:iCs/>
        </w:rPr>
        <w:t xml:space="preserve">Променлив компонент (променлива сума) </w:t>
      </w:r>
      <w:r w:rsidR="00D429B8" w:rsidRPr="00A44C36">
        <w:rPr>
          <w:iCs/>
        </w:rPr>
        <w:t>–</w:t>
      </w:r>
      <w:r w:rsidRPr="00A44C36">
        <w:rPr>
          <w:iCs/>
        </w:rPr>
        <w:t xml:space="preserve"> </w:t>
      </w:r>
      <w:r w:rsidR="00D429B8" w:rsidRPr="00A44C36">
        <w:rPr>
          <w:iCs/>
        </w:rPr>
        <w:t xml:space="preserve">пределна </w:t>
      </w:r>
      <w:r w:rsidRPr="00A44C36">
        <w:rPr>
          <w:iCs/>
        </w:rPr>
        <w:t>цена на оборудване за доставка на вода за 1 хектар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842"/>
        <w:gridCol w:w="1239"/>
        <w:gridCol w:w="1716"/>
        <w:gridCol w:w="1559"/>
      </w:tblGrid>
      <w:tr w:rsidR="00A44C36" w:rsidRPr="00A44C36" w:rsidTr="00D429B8">
        <w:trPr>
          <w:trHeight w:val="298"/>
          <w:jc w:val="center"/>
        </w:trPr>
        <w:tc>
          <w:tcPr>
            <w:tcW w:w="4842" w:type="dxa"/>
            <w:vAlign w:val="center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  <w:b/>
                <w:bCs/>
                <w:iCs/>
              </w:rPr>
              <w:t>Операции и материали</w:t>
            </w:r>
          </w:p>
        </w:tc>
        <w:tc>
          <w:tcPr>
            <w:tcW w:w="1239" w:type="dxa"/>
            <w:vAlign w:val="center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  <w:b/>
                <w:bCs/>
                <w:iCs/>
              </w:rPr>
              <w:t>мярка</w:t>
            </w:r>
          </w:p>
        </w:tc>
        <w:tc>
          <w:tcPr>
            <w:tcW w:w="1716" w:type="dxa"/>
            <w:vAlign w:val="center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A44C36">
              <w:rPr>
                <w:rFonts w:cs="Times New Roman"/>
                <w:b/>
                <w:bCs/>
                <w:iCs/>
              </w:rPr>
              <w:t>кoличество</w:t>
            </w:r>
            <w:proofErr w:type="spellEnd"/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</w:rPr>
            </w:pPr>
            <w:r w:rsidRPr="00A44C36">
              <w:rPr>
                <w:rFonts w:cs="Times New Roman"/>
                <w:b/>
                <w:bCs/>
                <w:iCs/>
              </w:rPr>
              <w:t>цена</w:t>
            </w:r>
          </w:p>
        </w:tc>
      </w:tr>
      <w:tr w:rsidR="00A44C36" w:rsidRPr="00A44C36" w:rsidTr="00D429B8">
        <w:trPr>
          <w:jc w:val="center"/>
        </w:trPr>
        <w:tc>
          <w:tcPr>
            <w:tcW w:w="4842" w:type="dxa"/>
            <w:vAlign w:val="bottom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4C36">
              <w:rPr>
                <w:rFonts w:cs="Times New Roman"/>
              </w:rPr>
              <w:t>1.</w:t>
            </w:r>
            <w:r w:rsidR="00D429B8" w:rsidRPr="00A44C36">
              <w:rPr>
                <w:rFonts w:cs="Times New Roman"/>
              </w:rPr>
              <w:t xml:space="preserve"> </w:t>
            </w:r>
            <w:r w:rsidRPr="00A44C36">
              <w:rPr>
                <w:rFonts w:cs="Times New Roman"/>
              </w:rPr>
              <w:t xml:space="preserve">поливни маркучи без </w:t>
            </w:r>
            <w:proofErr w:type="spellStart"/>
            <w:r w:rsidRPr="00A44C36">
              <w:rPr>
                <w:rFonts w:cs="Times New Roman"/>
              </w:rPr>
              <w:t>капкуватели</w:t>
            </w:r>
            <w:proofErr w:type="spellEnd"/>
            <w:r w:rsidRPr="00A44C36">
              <w:rPr>
                <w:rFonts w:cs="Times New Roman"/>
              </w:rPr>
              <w:t xml:space="preserve"> </w:t>
            </w:r>
          </w:p>
        </w:tc>
        <w:tc>
          <w:tcPr>
            <w:tcW w:w="123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метър</w:t>
            </w:r>
          </w:p>
        </w:tc>
        <w:tc>
          <w:tcPr>
            <w:tcW w:w="1716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</w:t>
            </w:r>
            <w:r w:rsidR="00DC3DC8" w:rsidRPr="00A44C36">
              <w:rPr>
                <w:rFonts w:cs="Times New Roman"/>
              </w:rPr>
              <w:t xml:space="preserve"> </w:t>
            </w:r>
            <w:r w:rsidRPr="00A44C36">
              <w:rPr>
                <w:rFonts w:cs="Times New Roman"/>
              </w:rPr>
              <w:t>622</w:t>
            </w:r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1630</w:t>
            </w:r>
          </w:p>
        </w:tc>
      </w:tr>
      <w:tr w:rsidR="00A44C36" w:rsidRPr="00A44C36" w:rsidTr="00D429B8">
        <w:trPr>
          <w:jc w:val="center"/>
        </w:trPr>
        <w:tc>
          <w:tcPr>
            <w:tcW w:w="4842" w:type="dxa"/>
            <w:vAlign w:val="bottom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4C36">
              <w:rPr>
                <w:rFonts w:cs="Times New Roman"/>
              </w:rPr>
              <w:t xml:space="preserve">2. </w:t>
            </w:r>
            <w:proofErr w:type="spellStart"/>
            <w:r w:rsidR="00A33938" w:rsidRPr="00A44C36">
              <w:rPr>
                <w:rFonts w:cs="Times New Roman"/>
              </w:rPr>
              <w:t>к</w:t>
            </w:r>
            <w:r w:rsidRPr="00A44C36">
              <w:rPr>
                <w:rFonts w:cs="Times New Roman"/>
              </w:rPr>
              <w:t>апкообразуватели</w:t>
            </w:r>
            <w:proofErr w:type="spellEnd"/>
            <w:r w:rsidRPr="00A44C36">
              <w:rPr>
                <w:rFonts w:cs="Times New Roman"/>
              </w:rPr>
              <w:t xml:space="preserve"> </w:t>
            </w:r>
          </w:p>
        </w:tc>
        <w:tc>
          <w:tcPr>
            <w:tcW w:w="123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бр.</w:t>
            </w:r>
          </w:p>
        </w:tc>
        <w:tc>
          <w:tcPr>
            <w:tcW w:w="1716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</w:t>
            </w:r>
            <w:r w:rsidR="00DC3DC8" w:rsidRPr="00A44C36">
              <w:rPr>
                <w:rFonts w:cs="Times New Roman"/>
              </w:rPr>
              <w:t xml:space="preserve"> </w:t>
            </w:r>
            <w:r w:rsidRPr="00A44C36">
              <w:rPr>
                <w:rFonts w:cs="Times New Roman"/>
              </w:rPr>
              <w:t>622</w:t>
            </w:r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724</w:t>
            </w:r>
          </w:p>
        </w:tc>
      </w:tr>
      <w:tr w:rsidR="00A44C36" w:rsidRPr="00A44C36" w:rsidTr="00D429B8">
        <w:trPr>
          <w:jc w:val="center"/>
        </w:trPr>
        <w:tc>
          <w:tcPr>
            <w:tcW w:w="4842" w:type="dxa"/>
            <w:vAlign w:val="bottom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4C36">
              <w:rPr>
                <w:rFonts w:cs="Times New Roman"/>
              </w:rPr>
              <w:t>3.</w:t>
            </w:r>
            <w:r w:rsidR="00D429B8" w:rsidRPr="00A44C36">
              <w:rPr>
                <w:rFonts w:cs="Times New Roman"/>
              </w:rPr>
              <w:t xml:space="preserve"> </w:t>
            </w:r>
            <w:r w:rsidRPr="00A44C36">
              <w:rPr>
                <w:rFonts w:cs="Times New Roman"/>
              </w:rPr>
              <w:t xml:space="preserve">тел за окачване на тръбата с </w:t>
            </w:r>
            <w:proofErr w:type="spellStart"/>
            <w:r w:rsidRPr="00A44C36">
              <w:rPr>
                <w:rFonts w:cs="Times New Roman"/>
              </w:rPr>
              <w:t>капкуватели</w:t>
            </w:r>
            <w:proofErr w:type="spellEnd"/>
          </w:p>
        </w:tc>
        <w:tc>
          <w:tcPr>
            <w:tcW w:w="123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метър</w:t>
            </w:r>
          </w:p>
        </w:tc>
        <w:tc>
          <w:tcPr>
            <w:tcW w:w="1716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</w:t>
            </w:r>
            <w:r w:rsidR="00DC3DC8" w:rsidRPr="00A44C36">
              <w:rPr>
                <w:rFonts w:cs="Times New Roman"/>
              </w:rPr>
              <w:t xml:space="preserve"> </w:t>
            </w:r>
            <w:r w:rsidRPr="00A44C36">
              <w:rPr>
                <w:rFonts w:cs="Times New Roman"/>
              </w:rPr>
              <w:t>556</w:t>
            </w:r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356</w:t>
            </w:r>
          </w:p>
        </w:tc>
      </w:tr>
      <w:tr w:rsidR="00A44C36" w:rsidRPr="00A44C36" w:rsidTr="00D429B8">
        <w:trPr>
          <w:jc w:val="center"/>
        </w:trPr>
        <w:tc>
          <w:tcPr>
            <w:tcW w:w="4842" w:type="dxa"/>
            <w:vAlign w:val="bottom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44C36">
              <w:rPr>
                <w:rFonts w:cs="Times New Roman"/>
              </w:rPr>
              <w:t>4. монтаж на капково напояване</w:t>
            </w:r>
          </w:p>
        </w:tc>
        <w:tc>
          <w:tcPr>
            <w:tcW w:w="123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4C36">
              <w:rPr>
                <w:rFonts w:cs="Times New Roman"/>
              </w:rPr>
              <w:t>хектар</w:t>
            </w:r>
          </w:p>
        </w:tc>
        <w:tc>
          <w:tcPr>
            <w:tcW w:w="1716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397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cs="Times New Roman"/>
              </w:rPr>
            </w:pPr>
            <w:r w:rsidRPr="00A44C36">
              <w:rPr>
                <w:rFonts w:cs="Times New Roman"/>
              </w:rPr>
              <w:t>230</w:t>
            </w:r>
          </w:p>
        </w:tc>
      </w:tr>
      <w:tr w:rsidR="00A44C36" w:rsidRPr="00A44C36" w:rsidTr="00D429B8">
        <w:trPr>
          <w:jc w:val="center"/>
        </w:trPr>
        <w:tc>
          <w:tcPr>
            <w:tcW w:w="4842" w:type="dxa"/>
            <w:vAlign w:val="bottom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</w:rPr>
            </w:pPr>
            <w:r w:rsidRPr="00A44C36">
              <w:rPr>
                <w:rFonts w:cs="Times New Roman"/>
                <w:b/>
                <w:bCs/>
              </w:rPr>
              <w:t xml:space="preserve">Общо </w:t>
            </w:r>
            <w:proofErr w:type="spellStart"/>
            <w:r w:rsidRPr="00A44C36">
              <w:rPr>
                <w:rFonts w:cs="Times New Roman"/>
                <w:b/>
                <w:bCs/>
              </w:rPr>
              <w:t>лв</w:t>
            </w:r>
            <w:proofErr w:type="spellEnd"/>
            <w:r w:rsidR="00765FAB" w:rsidRPr="00A44C36">
              <w:rPr>
                <w:rFonts w:cs="Times New Roman"/>
                <w:b/>
                <w:bCs/>
              </w:rPr>
              <w:t>/ха</w:t>
            </w:r>
            <w:r w:rsidRPr="00A44C3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23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716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397"/>
              <w:jc w:val="righ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01EBB" w:rsidRPr="00A44C36" w:rsidRDefault="00801EBB" w:rsidP="00D429B8">
            <w:pPr>
              <w:widowControl w:val="0"/>
              <w:autoSpaceDE w:val="0"/>
              <w:autoSpaceDN w:val="0"/>
              <w:adjustRightInd w:val="0"/>
              <w:ind w:right="170"/>
              <w:jc w:val="right"/>
              <w:rPr>
                <w:rFonts w:cs="Times New Roman"/>
                <w:b/>
                <w:bCs/>
              </w:rPr>
            </w:pPr>
            <w:r w:rsidRPr="00A44C36">
              <w:rPr>
                <w:rFonts w:cs="Times New Roman"/>
                <w:b/>
                <w:bCs/>
              </w:rPr>
              <w:t>2</w:t>
            </w:r>
            <w:r w:rsidR="00DC3DC8" w:rsidRPr="00A44C36">
              <w:rPr>
                <w:rFonts w:cs="Times New Roman"/>
                <w:b/>
                <w:bCs/>
              </w:rPr>
              <w:t xml:space="preserve"> </w:t>
            </w:r>
            <w:r w:rsidRPr="00A44C36">
              <w:rPr>
                <w:rFonts w:cs="Times New Roman"/>
                <w:b/>
                <w:bCs/>
              </w:rPr>
              <w:t>940</w:t>
            </w:r>
          </w:p>
        </w:tc>
      </w:tr>
    </w:tbl>
    <w:p w:rsidR="00801EBB" w:rsidRPr="00A44C36" w:rsidRDefault="00B5686C" w:rsidP="00CB5E0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*</w:t>
      </w:r>
      <w:r w:rsidR="00765FAB" w:rsidRPr="00A44C36">
        <w:rPr>
          <w:i/>
          <w:iCs/>
        </w:rPr>
        <w:t xml:space="preserve">Пример: за площ с лозово насаждения от </w:t>
      </w:r>
      <w:r w:rsidRPr="00A44C36">
        <w:rPr>
          <w:i/>
          <w:iCs/>
        </w:rPr>
        <w:t>7 ха пределната цена</w:t>
      </w:r>
      <w:r w:rsidR="00EC2B8C" w:rsidRPr="00A44C36">
        <w:rPr>
          <w:i/>
          <w:iCs/>
        </w:rPr>
        <w:t xml:space="preserve"> за изграждане на </w:t>
      </w:r>
      <w:r w:rsidR="00EC2B8C" w:rsidRPr="00A44C36">
        <w:rPr>
          <w:i/>
          <w:iCs/>
        </w:rPr>
        <w:lastRenderedPageBreak/>
        <w:t>автомат</w:t>
      </w:r>
      <w:r w:rsidR="004F32F2" w:rsidRPr="00A44C36">
        <w:rPr>
          <w:i/>
          <w:iCs/>
        </w:rPr>
        <w:t>и</w:t>
      </w:r>
      <w:r w:rsidR="00EC2B8C" w:rsidRPr="00A44C36">
        <w:rPr>
          <w:i/>
          <w:iCs/>
        </w:rPr>
        <w:t>з</w:t>
      </w:r>
      <w:r w:rsidR="004F32F2" w:rsidRPr="00A44C36">
        <w:rPr>
          <w:i/>
          <w:iCs/>
        </w:rPr>
        <w:t>и</w:t>
      </w:r>
      <w:r w:rsidR="00EC2B8C" w:rsidRPr="00A44C36">
        <w:rPr>
          <w:i/>
          <w:iCs/>
        </w:rPr>
        <w:t>рана система за капково напояване се изчислява:</w:t>
      </w:r>
      <w:r w:rsidRPr="00A44C36">
        <w:rPr>
          <w:i/>
          <w:iCs/>
        </w:rPr>
        <w:t xml:space="preserve"> 2</w:t>
      </w:r>
      <w:r w:rsidR="00DC3DC8" w:rsidRPr="00A44C36">
        <w:rPr>
          <w:i/>
          <w:iCs/>
        </w:rPr>
        <w:t xml:space="preserve"> </w:t>
      </w:r>
      <w:r w:rsidRPr="00A44C36">
        <w:rPr>
          <w:i/>
          <w:iCs/>
        </w:rPr>
        <w:t>660 лв. + 7*2</w:t>
      </w:r>
      <w:r w:rsidR="00DC3DC8" w:rsidRPr="00A44C36">
        <w:rPr>
          <w:i/>
          <w:iCs/>
        </w:rPr>
        <w:t xml:space="preserve"> </w:t>
      </w:r>
      <w:r w:rsidRPr="00A44C36">
        <w:rPr>
          <w:i/>
          <w:iCs/>
        </w:rPr>
        <w:t>940 лв. = 23 240 лв</w:t>
      </w:r>
      <w:r w:rsidR="004F32F2" w:rsidRPr="00A44C36">
        <w:rPr>
          <w:i/>
          <w:iCs/>
        </w:rPr>
        <w:t>.</w:t>
      </w:r>
      <w:r w:rsidRPr="00A44C36">
        <w:rPr>
          <w:i/>
          <w:iCs/>
        </w:rPr>
        <w:t>/7ха.</w:t>
      </w:r>
    </w:p>
    <w:p w:rsidR="0089524E" w:rsidRPr="00A44C36" w:rsidRDefault="0089524E" w:rsidP="00CB5E0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За площ от 8,25 ха</w:t>
      </w:r>
      <w:r w:rsidR="00396184" w:rsidRPr="00A44C36">
        <w:rPr>
          <w:i/>
          <w:iCs/>
        </w:rPr>
        <w:t xml:space="preserve"> пределната цена е</w:t>
      </w:r>
      <w:r w:rsidRPr="00A44C36">
        <w:rPr>
          <w:i/>
          <w:iCs/>
        </w:rPr>
        <w:t>: 2 660 лв. + 8,25*2 940 лв. = 26 915 лв./8,25ха.</w:t>
      </w:r>
    </w:p>
    <w:p w:rsidR="00E46B9C" w:rsidRPr="00A44C36" w:rsidRDefault="0089524E" w:rsidP="00CB5E0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A44C36">
        <w:rPr>
          <w:i/>
          <w:iCs/>
        </w:rPr>
        <w:t>За площ от 17,658 ха</w:t>
      </w:r>
      <w:r w:rsidR="00396184" w:rsidRPr="00A44C36">
        <w:rPr>
          <w:i/>
          <w:iCs/>
        </w:rPr>
        <w:t xml:space="preserve"> пределната цена е</w:t>
      </w:r>
      <w:r w:rsidRPr="00A44C36">
        <w:rPr>
          <w:i/>
          <w:iCs/>
        </w:rPr>
        <w:t>: 6 467 лв. + 17,658*2 940 лв. = 58 381,52 лв./17,658ха.</w:t>
      </w:r>
    </w:p>
    <w:p w:rsidR="00A33938" w:rsidRPr="00A44C36" w:rsidRDefault="007E7F2E" w:rsidP="00E46B9C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  <w:r w:rsidRPr="00A44C36">
        <w:rPr>
          <w:i/>
          <w:iCs/>
        </w:rPr>
        <w:t>“</w:t>
      </w:r>
    </w:p>
    <w:p w:rsidR="00E46B9C" w:rsidRPr="00A44C36" w:rsidRDefault="00E46B9C" w:rsidP="00CB5E0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F7A3B" w:rsidRPr="00A44C36" w:rsidRDefault="00D72CF2" w:rsidP="00D429B8">
      <w:pPr>
        <w:spacing w:line="360" w:lineRule="auto"/>
        <w:jc w:val="center"/>
        <w:rPr>
          <w:b/>
        </w:rPr>
      </w:pPr>
      <w:r w:rsidRPr="00A44C36">
        <w:rPr>
          <w:b/>
        </w:rPr>
        <w:t>Преходни и заключителни разпоредби</w:t>
      </w:r>
    </w:p>
    <w:p w:rsidR="00E46B9C" w:rsidRPr="00A44C36" w:rsidRDefault="00E46B9C" w:rsidP="00D429B8">
      <w:pPr>
        <w:spacing w:line="360" w:lineRule="auto"/>
        <w:ind w:firstLine="709"/>
        <w:jc w:val="both"/>
        <w:rPr>
          <w:b/>
        </w:rPr>
      </w:pPr>
    </w:p>
    <w:p w:rsidR="003B45F4" w:rsidRDefault="002C53DA" w:rsidP="00D429B8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F003A6" w:rsidRPr="00A44C36">
        <w:rPr>
          <w:b/>
        </w:rPr>
        <w:t xml:space="preserve"> </w:t>
      </w:r>
      <w:r w:rsidR="0070122C" w:rsidRPr="00A44C36">
        <w:rPr>
          <w:b/>
        </w:rPr>
        <w:t>20</w:t>
      </w:r>
      <w:r w:rsidRPr="00A44C36">
        <w:rPr>
          <w:b/>
        </w:rPr>
        <w:t xml:space="preserve">. </w:t>
      </w:r>
      <w:r w:rsidRPr="00A44C36">
        <w:rPr>
          <w:bCs/>
        </w:rPr>
        <w:t xml:space="preserve">За </w:t>
      </w:r>
      <w:r w:rsidR="00F6237C">
        <w:rPr>
          <w:bCs/>
        </w:rPr>
        <w:t xml:space="preserve">прием </w:t>
      </w:r>
      <w:r w:rsidRPr="00A44C36">
        <w:rPr>
          <w:bCs/>
        </w:rPr>
        <w:t>2020 г</w:t>
      </w:r>
      <w:r w:rsidR="003B45F4">
        <w:rPr>
          <w:bCs/>
        </w:rPr>
        <w:t>одина по</w:t>
      </w:r>
      <w:r w:rsidRPr="00A44C36">
        <w:rPr>
          <w:bCs/>
        </w:rPr>
        <w:t xml:space="preserve"> </w:t>
      </w:r>
      <w:r w:rsidR="003B45F4" w:rsidRPr="00A44C36">
        <w:rPr>
          <w:bCs/>
        </w:rPr>
        <w:t>мярка „Преструктуриране и конверсия на лозя“</w:t>
      </w:r>
      <w:r w:rsidR="003B45F4">
        <w:rPr>
          <w:bCs/>
        </w:rPr>
        <w:t>:</w:t>
      </w:r>
    </w:p>
    <w:p w:rsidR="002C53DA" w:rsidRPr="00A44C36" w:rsidRDefault="003B45F4" w:rsidP="00D429B8">
      <w:pPr>
        <w:spacing w:line="360" w:lineRule="auto"/>
        <w:ind w:firstLine="709"/>
        <w:jc w:val="both"/>
        <w:rPr>
          <w:bCs/>
        </w:rPr>
      </w:pPr>
      <w:r>
        <w:rPr>
          <w:bCs/>
        </w:rPr>
        <w:t>1. С</w:t>
      </w:r>
      <w:r w:rsidR="002C53DA" w:rsidRPr="00A44C36">
        <w:rPr>
          <w:bCs/>
        </w:rPr>
        <w:t>рокът по чл. 3, ал. 1 е 14 дни</w:t>
      </w:r>
      <w:r w:rsidR="009E6818" w:rsidRPr="00A44C36">
        <w:rPr>
          <w:bCs/>
        </w:rPr>
        <w:t>.</w:t>
      </w:r>
    </w:p>
    <w:p w:rsidR="00A44C36" w:rsidRPr="00A44C36" w:rsidRDefault="003B45F4" w:rsidP="00A44C36">
      <w:pPr>
        <w:spacing w:line="360" w:lineRule="auto"/>
        <w:ind w:firstLine="709"/>
        <w:jc w:val="both"/>
        <w:rPr>
          <w:bCs/>
        </w:rPr>
      </w:pPr>
      <w:r>
        <w:rPr>
          <w:bCs/>
        </w:rPr>
        <w:t>2. М</w:t>
      </w:r>
      <w:r w:rsidR="00A44C36" w:rsidRPr="00A44C36">
        <w:rPr>
          <w:bCs/>
        </w:rPr>
        <w:t>аксималният размер на финансовата помощ по чл. 8, ал.</w:t>
      </w:r>
      <w:r w:rsidR="00E25C1B" w:rsidRPr="00D91901">
        <w:rPr>
          <w:bCs/>
          <w:lang w:val="ru-RU"/>
        </w:rPr>
        <w:t xml:space="preserve"> </w:t>
      </w:r>
      <w:proofErr w:type="gramStart"/>
      <w:r w:rsidR="00E25C1B" w:rsidRPr="00D91901">
        <w:rPr>
          <w:bCs/>
          <w:lang w:val="ru-RU"/>
        </w:rPr>
        <w:t>1</w:t>
      </w:r>
      <w:r w:rsidR="00A44C36" w:rsidRPr="00A44C36">
        <w:rPr>
          <w:bCs/>
        </w:rPr>
        <w:t xml:space="preserve"> е до 80 на сто от разходите за изпълнение на всяка конкретно определена дейност на база определени пределни цени по приложение № 1 и технологична карта към инвестиционния проект.</w:t>
      </w:r>
      <w:proofErr w:type="gramEnd"/>
    </w:p>
    <w:p w:rsidR="00A44C36" w:rsidRPr="00A44C36" w:rsidRDefault="00A44C36" w:rsidP="00A44C36">
      <w:pPr>
        <w:spacing w:line="360" w:lineRule="auto"/>
        <w:ind w:firstLine="709"/>
        <w:jc w:val="both"/>
        <w:rPr>
          <w:bCs/>
        </w:rPr>
      </w:pPr>
    </w:p>
    <w:p w:rsidR="00A44C36" w:rsidRPr="00A44C36" w:rsidRDefault="00A44C36" w:rsidP="00A44C36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E30C7">
        <w:rPr>
          <w:b/>
        </w:rPr>
        <w:t xml:space="preserve"> </w:t>
      </w:r>
      <w:r w:rsidRPr="00A44C36">
        <w:rPr>
          <w:b/>
        </w:rPr>
        <w:t>2</w:t>
      </w:r>
      <w:r w:rsidR="008C7797">
        <w:rPr>
          <w:b/>
        </w:rPr>
        <w:t>1</w:t>
      </w:r>
      <w:r w:rsidRPr="00A44C36">
        <w:rPr>
          <w:b/>
        </w:rPr>
        <w:t>.</w:t>
      </w:r>
      <w:r w:rsidRPr="00A44C36">
        <w:rPr>
          <w:bCs/>
        </w:rPr>
        <w:t xml:space="preserve"> За </w:t>
      </w:r>
      <w:r w:rsidR="00F6237C">
        <w:rPr>
          <w:bCs/>
        </w:rPr>
        <w:t>прием</w:t>
      </w:r>
      <w:r w:rsidRPr="00A44C36">
        <w:rPr>
          <w:bCs/>
        </w:rPr>
        <w:t xml:space="preserve"> 2020 г</w:t>
      </w:r>
      <w:r w:rsidR="003B45F4">
        <w:rPr>
          <w:bCs/>
        </w:rPr>
        <w:t>одина</w:t>
      </w:r>
      <w:r w:rsidR="008C7797">
        <w:rPr>
          <w:bCs/>
        </w:rPr>
        <w:t xml:space="preserve"> по мярка </w:t>
      </w:r>
      <w:r w:rsidR="008C7797" w:rsidRPr="00A44C36">
        <w:rPr>
          <w:bCs/>
        </w:rPr>
        <w:t xml:space="preserve">„Инвестиции в предприятия“ </w:t>
      </w:r>
      <w:r w:rsidRPr="00A44C36">
        <w:rPr>
          <w:bCs/>
        </w:rPr>
        <w:t xml:space="preserve"> максималният размер на финансовата помощ </w:t>
      </w:r>
      <w:r w:rsidR="008C7797">
        <w:rPr>
          <w:bCs/>
        </w:rPr>
        <w:t>по</w:t>
      </w:r>
      <w:r w:rsidRPr="00A44C36">
        <w:rPr>
          <w:bCs/>
        </w:rPr>
        <w:t xml:space="preserve"> чл. 53, ал. 1, т. 1, 2 и 3 е съответно 60 на сто, 30 на сто и 20 на сто от стойността на действителните разходи за осъществяване на допустимите инвестиционни дейности.</w:t>
      </w:r>
    </w:p>
    <w:p w:rsidR="00A44C36" w:rsidRPr="00A44C36" w:rsidRDefault="00A44C36" w:rsidP="00A44C36">
      <w:pPr>
        <w:spacing w:line="360" w:lineRule="auto"/>
        <w:ind w:firstLine="709"/>
        <w:jc w:val="both"/>
        <w:rPr>
          <w:bCs/>
        </w:rPr>
      </w:pPr>
    </w:p>
    <w:p w:rsidR="00A44C36" w:rsidRPr="00A44C36" w:rsidRDefault="00A44C36" w:rsidP="00A44C36">
      <w:pPr>
        <w:spacing w:line="360" w:lineRule="auto"/>
        <w:ind w:firstLine="709"/>
        <w:jc w:val="both"/>
        <w:rPr>
          <w:bCs/>
        </w:rPr>
      </w:pPr>
      <w:r w:rsidRPr="00A44C36">
        <w:rPr>
          <w:b/>
        </w:rPr>
        <w:t>§</w:t>
      </w:r>
      <w:r w:rsidR="00EE30C7">
        <w:rPr>
          <w:b/>
        </w:rPr>
        <w:t xml:space="preserve"> </w:t>
      </w:r>
      <w:r w:rsidRPr="00A44C36">
        <w:rPr>
          <w:b/>
        </w:rPr>
        <w:t>2</w:t>
      </w:r>
      <w:r w:rsidR="008C7797">
        <w:rPr>
          <w:b/>
        </w:rPr>
        <w:t>2</w:t>
      </w:r>
      <w:r w:rsidRPr="00A44C36">
        <w:rPr>
          <w:b/>
        </w:rPr>
        <w:t>.</w:t>
      </w:r>
      <w:r w:rsidRPr="00A44C36">
        <w:rPr>
          <w:bCs/>
        </w:rPr>
        <w:t xml:space="preserve"> Параграфи 2</w:t>
      </w:r>
      <w:r w:rsidR="008C7797">
        <w:rPr>
          <w:bCs/>
        </w:rPr>
        <w:t>0</w:t>
      </w:r>
      <w:r w:rsidRPr="00A44C36">
        <w:rPr>
          <w:bCs/>
        </w:rPr>
        <w:t xml:space="preserve"> и 2</w:t>
      </w:r>
      <w:r w:rsidR="008C7797">
        <w:rPr>
          <w:bCs/>
        </w:rPr>
        <w:t>1</w:t>
      </w:r>
      <w:r w:rsidRPr="00A44C36">
        <w:rPr>
          <w:bCs/>
        </w:rPr>
        <w:t xml:space="preserve"> се </w:t>
      </w:r>
      <w:r w:rsidR="006D5E9E">
        <w:rPr>
          <w:bCs/>
        </w:rPr>
        <w:t>прилагат</w:t>
      </w:r>
      <w:r w:rsidRPr="00A44C36">
        <w:rPr>
          <w:bCs/>
        </w:rPr>
        <w:t xml:space="preserve"> за дейности</w:t>
      </w:r>
      <w:r w:rsidR="00F6237C">
        <w:rPr>
          <w:bCs/>
        </w:rPr>
        <w:t>, извършени след</w:t>
      </w:r>
      <w:r w:rsidR="008C7797">
        <w:rPr>
          <w:bCs/>
        </w:rPr>
        <w:t xml:space="preserve"> </w:t>
      </w:r>
      <w:r w:rsidR="008A0453">
        <w:rPr>
          <w:bCs/>
        </w:rPr>
        <w:t>04.05.2020 година</w:t>
      </w:r>
      <w:r w:rsidRPr="00A44C36">
        <w:rPr>
          <w:bCs/>
        </w:rPr>
        <w:t xml:space="preserve"> </w:t>
      </w:r>
      <w:r w:rsidR="00F6237C">
        <w:rPr>
          <w:bCs/>
        </w:rPr>
        <w:t xml:space="preserve">и финансирани през финансовата 2020 година, </w:t>
      </w:r>
      <w:r w:rsidRPr="00A44C36">
        <w:rPr>
          <w:bCs/>
        </w:rPr>
        <w:t xml:space="preserve">с цел преодоляване на смущенията на пазара в сектора на плодовете и зеленчуците и </w:t>
      </w:r>
      <w:proofErr w:type="spellStart"/>
      <w:r w:rsidRPr="00A44C36">
        <w:rPr>
          <w:bCs/>
        </w:rPr>
        <w:t>лозаро-винарския</w:t>
      </w:r>
      <w:proofErr w:type="spellEnd"/>
      <w:r w:rsidRPr="00A44C36">
        <w:rPr>
          <w:bCs/>
        </w:rPr>
        <w:t xml:space="preserve"> сектор, породени от пандемията от COVID-19 и свързаните с нея мерки.</w:t>
      </w:r>
    </w:p>
    <w:p w:rsidR="00E46B9C" w:rsidRPr="00A44C36" w:rsidRDefault="00E46B9C" w:rsidP="00D429B8">
      <w:pPr>
        <w:spacing w:line="360" w:lineRule="auto"/>
        <w:ind w:firstLine="709"/>
        <w:jc w:val="both"/>
        <w:rPr>
          <w:b/>
        </w:rPr>
      </w:pPr>
    </w:p>
    <w:p w:rsidR="00D72CF2" w:rsidRPr="00287B5E" w:rsidRDefault="00D72CF2" w:rsidP="00EE30C7">
      <w:pPr>
        <w:spacing w:line="360" w:lineRule="auto"/>
        <w:ind w:firstLine="709"/>
        <w:rPr>
          <w:bCs/>
        </w:rPr>
      </w:pPr>
      <w:r w:rsidRPr="00A44C36">
        <w:rPr>
          <w:b/>
        </w:rPr>
        <w:t>§</w:t>
      </w:r>
      <w:r w:rsidR="00F003A6" w:rsidRPr="00A44C36">
        <w:rPr>
          <w:b/>
        </w:rPr>
        <w:t xml:space="preserve"> </w:t>
      </w:r>
      <w:r w:rsidR="0070122C" w:rsidRPr="00A44C36">
        <w:rPr>
          <w:b/>
        </w:rPr>
        <w:t>2</w:t>
      </w:r>
      <w:r w:rsidR="002C5EB6">
        <w:rPr>
          <w:b/>
        </w:rPr>
        <w:t>3</w:t>
      </w:r>
      <w:r w:rsidRPr="00A44C36">
        <w:rPr>
          <w:b/>
        </w:rPr>
        <w:t xml:space="preserve">. </w:t>
      </w:r>
      <w:r w:rsidRPr="00287B5E">
        <w:rPr>
          <w:bCs/>
        </w:rPr>
        <w:t>Наредбата влиза в сила от деня на об</w:t>
      </w:r>
      <w:r w:rsidR="00211F1F" w:rsidRPr="00287B5E">
        <w:rPr>
          <w:bCs/>
        </w:rPr>
        <w:t>народване</w:t>
      </w:r>
      <w:r w:rsidR="00EE30C7" w:rsidRPr="00287B5E">
        <w:rPr>
          <w:bCs/>
        </w:rPr>
        <w:t>то ѝ в „Държавен вестник“</w:t>
      </w:r>
      <w:r w:rsidR="00211F1F" w:rsidRPr="00287B5E">
        <w:rPr>
          <w:bCs/>
        </w:rPr>
        <w:t xml:space="preserve"> с изключение</w:t>
      </w:r>
      <w:r w:rsidR="00EE30C7" w:rsidRPr="00287B5E">
        <w:rPr>
          <w:bCs/>
        </w:rPr>
        <w:t xml:space="preserve"> </w:t>
      </w:r>
      <w:r w:rsidR="00211F1F" w:rsidRPr="00287B5E">
        <w:rPr>
          <w:bCs/>
        </w:rPr>
        <w:t xml:space="preserve"> на </w:t>
      </w:r>
      <w:r w:rsidRPr="00287B5E">
        <w:rPr>
          <w:bCs/>
        </w:rPr>
        <w:t>§</w:t>
      </w:r>
      <w:r w:rsidR="00D429B8" w:rsidRPr="00287B5E">
        <w:rPr>
          <w:bCs/>
        </w:rPr>
        <w:t xml:space="preserve"> </w:t>
      </w:r>
      <w:r w:rsidRPr="00287B5E">
        <w:rPr>
          <w:bCs/>
        </w:rPr>
        <w:t>1 и §</w:t>
      </w:r>
      <w:r w:rsidR="00D429B8" w:rsidRPr="00287B5E">
        <w:rPr>
          <w:bCs/>
        </w:rPr>
        <w:t xml:space="preserve"> </w:t>
      </w:r>
      <w:r w:rsidRPr="00287B5E">
        <w:rPr>
          <w:bCs/>
        </w:rPr>
        <w:t>1</w:t>
      </w:r>
      <w:r w:rsidR="00EB200D" w:rsidRPr="00287B5E">
        <w:rPr>
          <w:bCs/>
        </w:rPr>
        <w:t>4</w:t>
      </w:r>
      <w:r w:rsidR="00211F1F" w:rsidRPr="00287B5E">
        <w:rPr>
          <w:bCs/>
        </w:rPr>
        <w:t>, които влизат в сила от</w:t>
      </w:r>
      <w:r w:rsidR="006D5E9E">
        <w:rPr>
          <w:bCs/>
        </w:rPr>
        <w:t xml:space="preserve"> 16.10.2020 г. за</w:t>
      </w:r>
      <w:r w:rsidR="00211F1F" w:rsidRPr="00287B5E">
        <w:rPr>
          <w:bCs/>
        </w:rPr>
        <w:t xml:space="preserve"> </w:t>
      </w:r>
      <w:r w:rsidR="00287B5E" w:rsidRPr="00287B5E">
        <w:rPr>
          <w:bCs/>
        </w:rPr>
        <w:t>финансова</w:t>
      </w:r>
      <w:r w:rsidR="006D5E9E">
        <w:rPr>
          <w:bCs/>
        </w:rPr>
        <w:t>та</w:t>
      </w:r>
      <w:r w:rsidR="00287B5E" w:rsidRPr="00287B5E">
        <w:rPr>
          <w:bCs/>
        </w:rPr>
        <w:t xml:space="preserve"> </w:t>
      </w:r>
      <w:r w:rsidR="00211F1F" w:rsidRPr="00287B5E">
        <w:rPr>
          <w:bCs/>
        </w:rPr>
        <w:t>2021 година.</w:t>
      </w:r>
    </w:p>
    <w:p w:rsidR="00D429B8" w:rsidRDefault="00D429B8" w:rsidP="00E66FF3">
      <w:pPr>
        <w:spacing w:line="360" w:lineRule="auto"/>
        <w:jc w:val="both"/>
        <w:rPr>
          <w:b/>
          <w:bCs/>
          <w:shd w:val="clear" w:color="auto" w:fill="FEFEFE"/>
        </w:rPr>
      </w:pPr>
    </w:p>
    <w:p w:rsidR="00EE30C7" w:rsidRDefault="00EE30C7" w:rsidP="00E66FF3">
      <w:pPr>
        <w:spacing w:line="360" w:lineRule="auto"/>
        <w:jc w:val="both"/>
        <w:rPr>
          <w:b/>
          <w:bCs/>
          <w:shd w:val="clear" w:color="auto" w:fill="FEFEFE"/>
        </w:rPr>
      </w:pPr>
    </w:p>
    <w:p w:rsidR="00D429B8" w:rsidRPr="00A44C36" w:rsidRDefault="00D429B8" w:rsidP="00E66FF3">
      <w:pPr>
        <w:spacing w:line="360" w:lineRule="auto"/>
        <w:jc w:val="both"/>
        <w:rPr>
          <w:b/>
          <w:bCs/>
          <w:shd w:val="clear" w:color="auto" w:fill="FEFEFE"/>
        </w:rPr>
      </w:pPr>
    </w:p>
    <w:p w:rsidR="000317FB" w:rsidRPr="00A44C36" w:rsidRDefault="000317FB" w:rsidP="00E66FF3">
      <w:pPr>
        <w:spacing w:line="360" w:lineRule="auto"/>
        <w:jc w:val="both"/>
        <w:rPr>
          <w:b/>
          <w:bCs/>
          <w:shd w:val="clear" w:color="auto" w:fill="FEFEFE"/>
        </w:rPr>
      </w:pPr>
      <w:r w:rsidRPr="00A44C36">
        <w:rPr>
          <w:b/>
          <w:bCs/>
          <w:shd w:val="clear" w:color="auto" w:fill="FEFEFE"/>
        </w:rPr>
        <w:t>ДЕСИСЛАВА ТАНЕВА</w:t>
      </w:r>
    </w:p>
    <w:p w:rsidR="002C53DA" w:rsidRPr="00A44C36" w:rsidRDefault="000317FB" w:rsidP="00E1746D">
      <w:pPr>
        <w:spacing w:line="360" w:lineRule="auto"/>
        <w:jc w:val="both"/>
        <w:rPr>
          <w:smallCaps/>
          <w:sz w:val="18"/>
          <w:szCs w:val="18"/>
        </w:rPr>
      </w:pPr>
      <w:r w:rsidRPr="00A44C36">
        <w:rPr>
          <w:bCs/>
          <w:i/>
          <w:iCs/>
          <w:shd w:val="clear" w:color="auto" w:fill="FEFEFE"/>
        </w:rPr>
        <w:t>Министър на земеделието, храните и горите</w:t>
      </w:r>
      <w:bookmarkStart w:id="3" w:name="_GoBack"/>
      <w:bookmarkEnd w:id="3"/>
    </w:p>
    <w:sectPr w:rsidR="002C53DA" w:rsidRPr="00A44C36" w:rsidSect="00F003A6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80" w:rsidRDefault="00B70680" w:rsidP="00A301D1">
      <w:r>
        <w:separator/>
      </w:r>
    </w:p>
  </w:endnote>
  <w:endnote w:type="continuationSeparator" w:id="0">
    <w:p w:rsidR="00B70680" w:rsidRDefault="00B70680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17" w:rsidRPr="00B13AF0" w:rsidRDefault="00C81017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D91901">
      <w:rPr>
        <w:noProof/>
        <w:sz w:val="20"/>
        <w:szCs w:val="20"/>
      </w:rPr>
      <w:t>8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80" w:rsidRDefault="00B70680" w:rsidP="00A301D1">
      <w:r>
        <w:separator/>
      </w:r>
    </w:p>
  </w:footnote>
  <w:footnote w:type="continuationSeparator" w:id="0">
    <w:p w:rsidR="00B70680" w:rsidRDefault="00B70680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5865A4"/>
    <w:multiLevelType w:val="multilevel"/>
    <w:tmpl w:val="0E3A150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5">
    <w:nsid w:val="379F0AA6"/>
    <w:multiLevelType w:val="hybridMultilevel"/>
    <w:tmpl w:val="6F4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9B15A7"/>
    <w:multiLevelType w:val="multilevel"/>
    <w:tmpl w:val="15C6C91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EF37D55"/>
    <w:multiLevelType w:val="hybridMultilevel"/>
    <w:tmpl w:val="57106730"/>
    <w:lvl w:ilvl="0" w:tplc="58AC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CC16B4"/>
    <w:multiLevelType w:val="multilevel"/>
    <w:tmpl w:val="0E3A1508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327236B"/>
    <w:multiLevelType w:val="hybridMultilevel"/>
    <w:tmpl w:val="1036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5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30263A1"/>
    <w:multiLevelType w:val="hybridMultilevel"/>
    <w:tmpl w:val="BA887E84"/>
    <w:lvl w:ilvl="0" w:tplc="4774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40"/>
  </w:num>
  <w:num w:numId="5">
    <w:abstractNumId w:val="35"/>
  </w:num>
  <w:num w:numId="6">
    <w:abstractNumId w:val="19"/>
  </w:num>
  <w:num w:numId="7">
    <w:abstractNumId w:val="45"/>
  </w:num>
  <w:num w:numId="8">
    <w:abstractNumId w:val="44"/>
  </w:num>
  <w:num w:numId="9">
    <w:abstractNumId w:val="1"/>
  </w:num>
  <w:num w:numId="10">
    <w:abstractNumId w:val="9"/>
  </w:num>
  <w:num w:numId="11">
    <w:abstractNumId w:val="37"/>
  </w:num>
  <w:num w:numId="12">
    <w:abstractNumId w:val="21"/>
  </w:num>
  <w:num w:numId="13">
    <w:abstractNumId w:val="5"/>
  </w:num>
  <w:num w:numId="14">
    <w:abstractNumId w:val="16"/>
  </w:num>
  <w:num w:numId="15">
    <w:abstractNumId w:val="24"/>
  </w:num>
  <w:num w:numId="16">
    <w:abstractNumId w:val="43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  <w:num w:numId="21">
    <w:abstractNumId w:val="32"/>
  </w:num>
  <w:num w:numId="22">
    <w:abstractNumId w:val="42"/>
  </w:num>
  <w:num w:numId="23">
    <w:abstractNumId w:val="26"/>
  </w:num>
  <w:num w:numId="24">
    <w:abstractNumId w:val="13"/>
  </w:num>
  <w:num w:numId="25">
    <w:abstractNumId w:val="28"/>
  </w:num>
  <w:num w:numId="26">
    <w:abstractNumId w:val="36"/>
  </w:num>
  <w:num w:numId="27">
    <w:abstractNumId w:val="2"/>
  </w:num>
  <w:num w:numId="28">
    <w:abstractNumId w:val="17"/>
  </w:num>
  <w:num w:numId="29">
    <w:abstractNumId w:val="41"/>
  </w:num>
  <w:num w:numId="30">
    <w:abstractNumId w:val="10"/>
  </w:num>
  <w:num w:numId="31">
    <w:abstractNumId w:val="3"/>
  </w:num>
  <w:num w:numId="32">
    <w:abstractNumId w:val="8"/>
  </w:num>
  <w:num w:numId="33">
    <w:abstractNumId w:val="20"/>
  </w:num>
  <w:num w:numId="34">
    <w:abstractNumId w:val="6"/>
  </w:num>
  <w:num w:numId="35">
    <w:abstractNumId w:val="39"/>
  </w:num>
  <w:num w:numId="36">
    <w:abstractNumId w:val="27"/>
  </w:num>
  <w:num w:numId="37">
    <w:abstractNumId w:val="30"/>
  </w:num>
  <w:num w:numId="38">
    <w:abstractNumId w:val="4"/>
  </w:num>
  <w:num w:numId="39">
    <w:abstractNumId w:val="31"/>
  </w:num>
  <w:num w:numId="40">
    <w:abstractNumId w:val="25"/>
  </w:num>
  <w:num w:numId="41">
    <w:abstractNumId w:val="29"/>
  </w:num>
  <w:num w:numId="42">
    <w:abstractNumId w:val="15"/>
  </w:num>
  <w:num w:numId="43">
    <w:abstractNumId w:val="33"/>
  </w:num>
  <w:num w:numId="44">
    <w:abstractNumId w:val="38"/>
  </w:num>
  <w:num w:numId="45">
    <w:abstractNumId w:val="2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2781"/>
    <w:rsid w:val="00006BF7"/>
    <w:rsid w:val="00010357"/>
    <w:rsid w:val="0001142D"/>
    <w:rsid w:val="000125DE"/>
    <w:rsid w:val="0001307A"/>
    <w:rsid w:val="00013290"/>
    <w:rsid w:val="00015225"/>
    <w:rsid w:val="00020EE7"/>
    <w:rsid w:val="0002572D"/>
    <w:rsid w:val="00025B4F"/>
    <w:rsid w:val="00026042"/>
    <w:rsid w:val="00026BA8"/>
    <w:rsid w:val="000270B2"/>
    <w:rsid w:val="000317FB"/>
    <w:rsid w:val="00031B73"/>
    <w:rsid w:val="00034F06"/>
    <w:rsid w:val="00043AF8"/>
    <w:rsid w:val="00044703"/>
    <w:rsid w:val="00045716"/>
    <w:rsid w:val="00046A92"/>
    <w:rsid w:val="00051EBD"/>
    <w:rsid w:val="000522C2"/>
    <w:rsid w:val="000558E9"/>
    <w:rsid w:val="00055DCC"/>
    <w:rsid w:val="00057D13"/>
    <w:rsid w:val="000622CB"/>
    <w:rsid w:val="000635B8"/>
    <w:rsid w:val="00063C82"/>
    <w:rsid w:val="00064734"/>
    <w:rsid w:val="0006794B"/>
    <w:rsid w:val="00073CD4"/>
    <w:rsid w:val="00074EAE"/>
    <w:rsid w:val="00075828"/>
    <w:rsid w:val="00077835"/>
    <w:rsid w:val="00081409"/>
    <w:rsid w:val="000818A8"/>
    <w:rsid w:val="000823DE"/>
    <w:rsid w:val="00084640"/>
    <w:rsid w:val="00093BC4"/>
    <w:rsid w:val="00094BEB"/>
    <w:rsid w:val="00095B15"/>
    <w:rsid w:val="0009691C"/>
    <w:rsid w:val="00097741"/>
    <w:rsid w:val="000A2DA6"/>
    <w:rsid w:val="000A41AC"/>
    <w:rsid w:val="000B0983"/>
    <w:rsid w:val="000B31DB"/>
    <w:rsid w:val="000B5A2F"/>
    <w:rsid w:val="000C007C"/>
    <w:rsid w:val="000C0F26"/>
    <w:rsid w:val="000C3E15"/>
    <w:rsid w:val="000C4CA5"/>
    <w:rsid w:val="000C798F"/>
    <w:rsid w:val="000D1D06"/>
    <w:rsid w:val="000D3CE4"/>
    <w:rsid w:val="000D4F1A"/>
    <w:rsid w:val="000D69DC"/>
    <w:rsid w:val="000D768B"/>
    <w:rsid w:val="000E2CBE"/>
    <w:rsid w:val="000E3DD7"/>
    <w:rsid w:val="000E5EEC"/>
    <w:rsid w:val="000E5F2F"/>
    <w:rsid w:val="000F10C7"/>
    <w:rsid w:val="000F178E"/>
    <w:rsid w:val="000F1F71"/>
    <w:rsid w:val="000F32DD"/>
    <w:rsid w:val="000F624B"/>
    <w:rsid w:val="000F65C5"/>
    <w:rsid w:val="000F68D2"/>
    <w:rsid w:val="000F7343"/>
    <w:rsid w:val="00102D4F"/>
    <w:rsid w:val="001040AA"/>
    <w:rsid w:val="0010412B"/>
    <w:rsid w:val="001069E2"/>
    <w:rsid w:val="00112DC7"/>
    <w:rsid w:val="00116407"/>
    <w:rsid w:val="001168D1"/>
    <w:rsid w:val="00123894"/>
    <w:rsid w:val="00124E64"/>
    <w:rsid w:val="001250CF"/>
    <w:rsid w:val="00126305"/>
    <w:rsid w:val="00132AB0"/>
    <w:rsid w:val="00133E2D"/>
    <w:rsid w:val="00136BFC"/>
    <w:rsid w:val="001377E2"/>
    <w:rsid w:val="001437AC"/>
    <w:rsid w:val="00144F4F"/>
    <w:rsid w:val="00156731"/>
    <w:rsid w:val="00160C3D"/>
    <w:rsid w:val="00172214"/>
    <w:rsid w:val="0017608F"/>
    <w:rsid w:val="001802F1"/>
    <w:rsid w:val="00180BF9"/>
    <w:rsid w:val="001812CC"/>
    <w:rsid w:val="0018404D"/>
    <w:rsid w:val="00187EFB"/>
    <w:rsid w:val="001957B5"/>
    <w:rsid w:val="0019581A"/>
    <w:rsid w:val="001A1857"/>
    <w:rsid w:val="001A1EF3"/>
    <w:rsid w:val="001A2AD2"/>
    <w:rsid w:val="001A3BA8"/>
    <w:rsid w:val="001B1EA1"/>
    <w:rsid w:val="001B2441"/>
    <w:rsid w:val="001C3D27"/>
    <w:rsid w:val="001C7A4F"/>
    <w:rsid w:val="001D16D4"/>
    <w:rsid w:val="001D19C7"/>
    <w:rsid w:val="001D1F94"/>
    <w:rsid w:val="001D319D"/>
    <w:rsid w:val="001E132B"/>
    <w:rsid w:val="001E3E83"/>
    <w:rsid w:val="001E3EAF"/>
    <w:rsid w:val="001E4922"/>
    <w:rsid w:val="001E594A"/>
    <w:rsid w:val="001E69DC"/>
    <w:rsid w:val="001F1617"/>
    <w:rsid w:val="001F2770"/>
    <w:rsid w:val="001F2AA1"/>
    <w:rsid w:val="001F2AD7"/>
    <w:rsid w:val="001F329E"/>
    <w:rsid w:val="001F4450"/>
    <w:rsid w:val="001F4CB3"/>
    <w:rsid w:val="00200A8B"/>
    <w:rsid w:val="00211F1F"/>
    <w:rsid w:val="002128E5"/>
    <w:rsid w:val="00214918"/>
    <w:rsid w:val="0021634C"/>
    <w:rsid w:val="00224B26"/>
    <w:rsid w:val="0023338D"/>
    <w:rsid w:val="00233D87"/>
    <w:rsid w:val="00234296"/>
    <w:rsid w:val="0023684E"/>
    <w:rsid w:val="0023745E"/>
    <w:rsid w:val="002376E3"/>
    <w:rsid w:val="0024211B"/>
    <w:rsid w:val="0024366B"/>
    <w:rsid w:val="002436F5"/>
    <w:rsid w:val="00244204"/>
    <w:rsid w:val="00244A4A"/>
    <w:rsid w:val="00245049"/>
    <w:rsid w:val="00250AF3"/>
    <w:rsid w:val="00252652"/>
    <w:rsid w:val="0025489B"/>
    <w:rsid w:val="002549E7"/>
    <w:rsid w:val="002549F0"/>
    <w:rsid w:val="002555C9"/>
    <w:rsid w:val="00256CE9"/>
    <w:rsid w:val="00257479"/>
    <w:rsid w:val="00261657"/>
    <w:rsid w:val="002618BF"/>
    <w:rsid w:val="00264EEC"/>
    <w:rsid w:val="002650FB"/>
    <w:rsid w:val="00266D83"/>
    <w:rsid w:val="002671B7"/>
    <w:rsid w:val="00272387"/>
    <w:rsid w:val="00272A3C"/>
    <w:rsid w:val="00274E3A"/>
    <w:rsid w:val="002841F7"/>
    <w:rsid w:val="00285097"/>
    <w:rsid w:val="002870A2"/>
    <w:rsid w:val="00287B5E"/>
    <w:rsid w:val="0029468E"/>
    <w:rsid w:val="00294C13"/>
    <w:rsid w:val="00294C24"/>
    <w:rsid w:val="002A1507"/>
    <w:rsid w:val="002A1B31"/>
    <w:rsid w:val="002A2CCD"/>
    <w:rsid w:val="002A3259"/>
    <w:rsid w:val="002A4255"/>
    <w:rsid w:val="002A49B1"/>
    <w:rsid w:val="002B26BC"/>
    <w:rsid w:val="002B2984"/>
    <w:rsid w:val="002B2B78"/>
    <w:rsid w:val="002B6005"/>
    <w:rsid w:val="002C0E73"/>
    <w:rsid w:val="002C100B"/>
    <w:rsid w:val="002C53DA"/>
    <w:rsid w:val="002C5EB6"/>
    <w:rsid w:val="002D1258"/>
    <w:rsid w:val="002D26E4"/>
    <w:rsid w:val="002D321E"/>
    <w:rsid w:val="002D684A"/>
    <w:rsid w:val="002D6B4C"/>
    <w:rsid w:val="002D7360"/>
    <w:rsid w:val="002D7C5F"/>
    <w:rsid w:val="002D7E18"/>
    <w:rsid w:val="002E1AD5"/>
    <w:rsid w:val="002E30D4"/>
    <w:rsid w:val="002F1931"/>
    <w:rsid w:val="002F4B2E"/>
    <w:rsid w:val="003056D5"/>
    <w:rsid w:val="00306085"/>
    <w:rsid w:val="00314A19"/>
    <w:rsid w:val="00317B91"/>
    <w:rsid w:val="003223C9"/>
    <w:rsid w:val="00322B09"/>
    <w:rsid w:val="003255E3"/>
    <w:rsid w:val="00326694"/>
    <w:rsid w:val="003300BE"/>
    <w:rsid w:val="00331FC7"/>
    <w:rsid w:val="00332C2F"/>
    <w:rsid w:val="00337E41"/>
    <w:rsid w:val="00340282"/>
    <w:rsid w:val="00341E78"/>
    <w:rsid w:val="0034354C"/>
    <w:rsid w:val="003454BD"/>
    <w:rsid w:val="00346FD5"/>
    <w:rsid w:val="00347203"/>
    <w:rsid w:val="003475FB"/>
    <w:rsid w:val="003575FF"/>
    <w:rsid w:val="00362214"/>
    <w:rsid w:val="00365CB8"/>
    <w:rsid w:val="0036632B"/>
    <w:rsid w:val="003665CD"/>
    <w:rsid w:val="003706EA"/>
    <w:rsid w:val="003720AB"/>
    <w:rsid w:val="00374FDE"/>
    <w:rsid w:val="00375F4B"/>
    <w:rsid w:val="00376B51"/>
    <w:rsid w:val="00377FE5"/>
    <w:rsid w:val="00380398"/>
    <w:rsid w:val="00382C81"/>
    <w:rsid w:val="00385307"/>
    <w:rsid w:val="00390078"/>
    <w:rsid w:val="00396184"/>
    <w:rsid w:val="00396E3B"/>
    <w:rsid w:val="003A05EE"/>
    <w:rsid w:val="003A1E19"/>
    <w:rsid w:val="003A26B7"/>
    <w:rsid w:val="003A55E0"/>
    <w:rsid w:val="003A5F3D"/>
    <w:rsid w:val="003A69B6"/>
    <w:rsid w:val="003A6C69"/>
    <w:rsid w:val="003A7014"/>
    <w:rsid w:val="003A7C32"/>
    <w:rsid w:val="003B0266"/>
    <w:rsid w:val="003B0B13"/>
    <w:rsid w:val="003B0EBC"/>
    <w:rsid w:val="003B1741"/>
    <w:rsid w:val="003B18F0"/>
    <w:rsid w:val="003B1BB5"/>
    <w:rsid w:val="003B45F4"/>
    <w:rsid w:val="003C11D7"/>
    <w:rsid w:val="003C2196"/>
    <w:rsid w:val="003C4190"/>
    <w:rsid w:val="003C66A9"/>
    <w:rsid w:val="003C795D"/>
    <w:rsid w:val="003D3598"/>
    <w:rsid w:val="003D3B14"/>
    <w:rsid w:val="003D4653"/>
    <w:rsid w:val="003D67EC"/>
    <w:rsid w:val="003E779E"/>
    <w:rsid w:val="003E7893"/>
    <w:rsid w:val="003F0478"/>
    <w:rsid w:val="003F1B12"/>
    <w:rsid w:val="00403D38"/>
    <w:rsid w:val="00405FD3"/>
    <w:rsid w:val="00406096"/>
    <w:rsid w:val="0041648E"/>
    <w:rsid w:val="004206BE"/>
    <w:rsid w:val="00426A9F"/>
    <w:rsid w:val="00427316"/>
    <w:rsid w:val="0042748E"/>
    <w:rsid w:val="004319E9"/>
    <w:rsid w:val="004322B0"/>
    <w:rsid w:val="00441C9F"/>
    <w:rsid w:val="00442A0B"/>
    <w:rsid w:val="004442A3"/>
    <w:rsid w:val="004442EC"/>
    <w:rsid w:val="00444ACA"/>
    <w:rsid w:val="004506C0"/>
    <w:rsid w:val="00451705"/>
    <w:rsid w:val="00454A39"/>
    <w:rsid w:val="00454F45"/>
    <w:rsid w:val="004615C5"/>
    <w:rsid w:val="00465CA8"/>
    <w:rsid w:val="00472F9C"/>
    <w:rsid w:val="0047642C"/>
    <w:rsid w:val="00476CF2"/>
    <w:rsid w:val="00480A5C"/>
    <w:rsid w:val="00481360"/>
    <w:rsid w:val="00481E7F"/>
    <w:rsid w:val="004930D4"/>
    <w:rsid w:val="00496728"/>
    <w:rsid w:val="00497710"/>
    <w:rsid w:val="004A6850"/>
    <w:rsid w:val="004B2348"/>
    <w:rsid w:val="004B32BA"/>
    <w:rsid w:val="004B3F04"/>
    <w:rsid w:val="004D0C02"/>
    <w:rsid w:val="004D0EB0"/>
    <w:rsid w:val="004D5E88"/>
    <w:rsid w:val="004D6145"/>
    <w:rsid w:val="004E0E59"/>
    <w:rsid w:val="004F26E1"/>
    <w:rsid w:val="004F32F2"/>
    <w:rsid w:val="004F53B6"/>
    <w:rsid w:val="00501558"/>
    <w:rsid w:val="00502E2F"/>
    <w:rsid w:val="0050318D"/>
    <w:rsid w:val="00510FB5"/>
    <w:rsid w:val="005208DA"/>
    <w:rsid w:val="00521885"/>
    <w:rsid w:val="00522BA4"/>
    <w:rsid w:val="00524E61"/>
    <w:rsid w:val="00530ED2"/>
    <w:rsid w:val="00531B10"/>
    <w:rsid w:val="00533F38"/>
    <w:rsid w:val="00535C49"/>
    <w:rsid w:val="005362A0"/>
    <w:rsid w:val="0054344F"/>
    <w:rsid w:val="005439AD"/>
    <w:rsid w:val="00544378"/>
    <w:rsid w:val="00547D00"/>
    <w:rsid w:val="005545D8"/>
    <w:rsid w:val="00555F79"/>
    <w:rsid w:val="00557E34"/>
    <w:rsid w:val="0056348A"/>
    <w:rsid w:val="005634F5"/>
    <w:rsid w:val="005638C7"/>
    <w:rsid w:val="00571E6A"/>
    <w:rsid w:val="0057315B"/>
    <w:rsid w:val="0057518E"/>
    <w:rsid w:val="00575427"/>
    <w:rsid w:val="00576762"/>
    <w:rsid w:val="00577373"/>
    <w:rsid w:val="00580B95"/>
    <w:rsid w:val="00581142"/>
    <w:rsid w:val="0058500C"/>
    <w:rsid w:val="0059657B"/>
    <w:rsid w:val="005A0219"/>
    <w:rsid w:val="005A12D3"/>
    <w:rsid w:val="005A2326"/>
    <w:rsid w:val="005A7091"/>
    <w:rsid w:val="005B2C94"/>
    <w:rsid w:val="005B46DF"/>
    <w:rsid w:val="005B79DD"/>
    <w:rsid w:val="005C0368"/>
    <w:rsid w:val="005C20C2"/>
    <w:rsid w:val="005C2B30"/>
    <w:rsid w:val="005C2BD6"/>
    <w:rsid w:val="005E03C0"/>
    <w:rsid w:val="005E2795"/>
    <w:rsid w:val="005E3CD1"/>
    <w:rsid w:val="005E5B0F"/>
    <w:rsid w:val="005E5F61"/>
    <w:rsid w:val="005F0956"/>
    <w:rsid w:val="005F0F9D"/>
    <w:rsid w:val="005F1577"/>
    <w:rsid w:val="005F1629"/>
    <w:rsid w:val="005F496D"/>
    <w:rsid w:val="005F4C71"/>
    <w:rsid w:val="00600D2F"/>
    <w:rsid w:val="006041B6"/>
    <w:rsid w:val="006049F8"/>
    <w:rsid w:val="006067E4"/>
    <w:rsid w:val="006071CE"/>
    <w:rsid w:val="00607611"/>
    <w:rsid w:val="00610984"/>
    <w:rsid w:val="0061681A"/>
    <w:rsid w:val="00617732"/>
    <w:rsid w:val="0062353C"/>
    <w:rsid w:val="00625135"/>
    <w:rsid w:val="0062545D"/>
    <w:rsid w:val="0062670F"/>
    <w:rsid w:val="00632879"/>
    <w:rsid w:val="00633A3C"/>
    <w:rsid w:val="0063638E"/>
    <w:rsid w:val="00637796"/>
    <w:rsid w:val="0064339B"/>
    <w:rsid w:val="00644374"/>
    <w:rsid w:val="00644C87"/>
    <w:rsid w:val="006474B5"/>
    <w:rsid w:val="00650EE4"/>
    <w:rsid w:val="00660016"/>
    <w:rsid w:val="0066050F"/>
    <w:rsid w:val="00661BC0"/>
    <w:rsid w:val="00662C7C"/>
    <w:rsid w:val="0066354E"/>
    <w:rsid w:val="006649B2"/>
    <w:rsid w:val="00666F96"/>
    <w:rsid w:val="0067161D"/>
    <w:rsid w:val="006716DD"/>
    <w:rsid w:val="0067233B"/>
    <w:rsid w:val="00672B85"/>
    <w:rsid w:val="00675FF6"/>
    <w:rsid w:val="00683ED8"/>
    <w:rsid w:val="00686586"/>
    <w:rsid w:val="00686993"/>
    <w:rsid w:val="00690003"/>
    <w:rsid w:val="00692EA6"/>
    <w:rsid w:val="00693A63"/>
    <w:rsid w:val="006A07DC"/>
    <w:rsid w:val="006A164D"/>
    <w:rsid w:val="006A217D"/>
    <w:rsid w:val="006A4D3C"/>
    <w:rsid w:val="006B2C50"/>
    <w:rsid w:val="006B2CAF"/>
    <w:rsid w:val="006B4366"/>
    <w:rsid w:val="006B4AD9"/>
    <w:rsid w:val="006B542E"/>
    <w:rsid w:val="006B6DA8"/>
    <w:rsid w:val="006C2107"/>
    <w:rsid w:val="006C3EB1"/>
    <w:rsid w:val="006C458F"/>
    <w:rsid w:val="006C6794"/>
    <w:rsid w:val="006D10D1"/>
    <w:rsid w:val="006D2AF7"/>
    <w:rsid w:val="006D4D2C"/>
    <w:rsid w:val="006D5E9E"/>
    <w:rsid w:val="006D7D87"/>
    <w:rsid w:val="006E100C"/>
    <w:rsid w:val="006E3357"/>
    <w:rsid w:val="006E378B"/>
    <w:rsid w:val="006E712B"/>
    <w:rsid w:val="006E7FB0"/>
    <w:rsid w:val="006F0106"/>
    <w:rsid w:val="006F0278"/>
    <w:rsid w:val="006F087D"/>
    <w:rsid w:val="006F0C61"/>
    <w:rsid w:val="006F2534"/>
    <w:rsid w:val="00700C38"/>
    <w:rsid w:val="0070122C"/>
    <w:rsid w:val="00712065"/>
    <w:rsid w:val="00714133"/>
    <w:rsid w:val="00716CC5"/>
    <w:rsid w:val="0071737F"/>
    <w:rsid w:val="00720106"/>
    <w:rsid w:val="00723224"/>
    <w:rsid w:val="0072445C"/>
    <w:rsid w:val="0072646D"/>
    <w:rsid w:val="007413D3"/>
    <w:rsid w:val="007448CD"/>
    <w:rsid w:val="00744966"/>
    <w:rsid w:val="00744F6F"/>
    <w:rsid w:val="00750A62"/>
    <w:rsid w:val="00751058"/>
    <w:rsid w:val="00751162"/>
    <w:rsid w:val="00751249"/>
    <w:rsid w:val="00755A87"/>
    <w:rsid w:val="00756897"/>
    <w:rsid w:val="0075762F"/>
    <w:rsid w:val="0076017F"/>
    <w:rsid w:val="00760F02"/>
    <w:rsid w:val="00761FDF"/>
    <w:rsid w:val="0076317C"/>
    <w:rsid w:val="00763DD3"/>
    <w:rsid w:val="007645CC"/>
    <w:rsid w:val="00764A70"/>
    <w:rsid w:val="00765FAB"/>
    <w:rsid w:val="007676FD"/>
    <w:rsid w:val="00775DC6"/>
    <w:rsid w:val="00777B02"/>
    <w:rsid w:val="00783553"/>
    <w:rsid w:val="0078634E"/>
    <w:rsid w:val="00786CF6"/>
    <w:rsid w:val="007A2F35"/>
    <w:rsid w:val="007A3016"/>
    <w:rsid w:val="007A35DD"/>
    <w:rsid w:val="007A49B0"/>
    <w:rsid w:val="007A49BC"/>
    <w:rsid w:val="007A7956"/>
    <w:rsid w:val="007B081D"/>
    <w:rsid w:val="007B1C08"/>
    <w:rsid w:val="007B2C97"/>
    <w:rsid w:val="007B5099"/>
    <w:rsid w:val="007C452C"/>
    <w:rsid w:val="007C540B"/>
    <w:rsid w:val="007C6D47"/>
    <w:rsid w:val="007D2E09"/>
    <w:rsid w:val="007E01B7"/>
    <w:rsid w:val="007E1675"/>
    <w:rsid w:val="007E44F1"/>
    <w:rsid w:val="007E7F2E"/>
    <w:rsid w:val="007F2ECE"/>
    <w:rsid w:val="007F6FEF"/>
    <w:rsid w:val="007F78E9"/>
    <w:rsid w:val="007F7A3B"/>
    <w:rsid w:val="0080016C"/>
    <w:rsid w:val="00801DD2"/>
    <w:rsid w:val="00801EBB"/>
    <w:rsid w:val="00803B4C"/>
    <w:rsid w:val="00804E95"/>
    <w:rsid w:val="00811F98"/>
    <w:rsid w:val="00815284"/>
    <w:rsid w:val="0081572D"/>
    <w:rsid w:val="00816904"/>
    <w:rsid w:val="0082139A"/>
    <w:rsid w:val="008223FF"/>
    <w:rsid w:val="008260B0"/>
    <w:rsid w:val="00826C2E"/>
    <w:rsid w:val="0083049D"/>
    <w:rsid w:val="00830963"/>
    <w:rsid w:val="00833C10"/>
    <w:rsid w:val="00835724"/>
    <w:rsid w:val="00841718"/>
    <w:rsid w:val="008417C9"/>
    <w:rsid w:val="00842B20"/>
    <w:rsid w:val="00844AFD"/>
    <w:rsid w:val="00860DB0"/>
    <w:rsid w:val="00864C39"/>
    <w:rsid w:val="00865F4F"/>
    <w:rsid w:val="008668E0"/>
    <w:rsid w:val="00866F00"/>
    <w:rsid w:val="00873CE8"/>
    <w:rsid w:val="008748DC"/>
    <w:rsid w:val="00875152"/>
    <w:rsid w:val="00877C94"/>
    <w:rsid w:val="00893CF2"/>
    <w:rsid w:val="008951E7"/>
    <w:rsid w:val="0089524E"/>
    <w:rsid w:val="008961AF"/>
    <w:rsid w:val="00897AAC"/>
    <w:rsid w:val="008A0453"/>
    <w:rsid w:val="008A54A6"/>
    <w:rsid w:val="008A5C60"/>
    <w:rsid w:val="008B0D0A"/>
    <w:rsid w:val="008B4FE6"/>
    <w:rsid w:val="008B5FC2"/>
    <w:rsid w:val="008C0327"/>
    <w:rsid w:val="008C47DC"/>
    <w:rsid w:val="008C76DB"/>
    <w:rsid w:val="008C7797"/>
    <w:rsid w:val="008D008B"/>
    <w:rsid w:val="008D2D5D"/>
    <w:rsid w:val="008D3E7B"/>
    <w:rsid w:val="008D7610"/>
    <w:rsid w:val="008D797A"/>
    <w:rsid w:val="008E0F0B"/>
    <w:rsid w:val="008E32E7"/>
    <w:rsid w:val="008E49D9"/>
    <w:rsid w:val="008F4909"/>
    <w:rsid w:val="008F57C1"/>
    <w:rsid w:val="008F7245"/>
    <w:rsid w:val="009006DC"/>
    <w:rsid w:val="009058A2"/>
    <w:rsid w:val="00911067"/>
    <w:rsid w:val="00913D38"/>
    <w:rsid w:val="0091515C"/>
    <w:rsid w:val="009168A7"/>
    <w:rsid w:val="00917078"/>
    <w:rsid w:val="00922999"/>
    <w:rsid w:val="009261AD"/>
    <w:rsid w:val="009314A5"/>
    <w:rsid w:val="00931631"/>
    <w:rsid w:val="0093347A"/>
    <w:rsid w:val="00934FFC"/>
    <w:rsid w:val="009372E3"/>
    <w:rsid w:val="00937325"/>
    <w:rsid w:val="0094688C"/>
    <w:rsid w:val="009474B2"/>
    <w:rsid w:val="009541BD"/>
    <w:rsid w:val="00954934"/>
    <w:rsid w:val="00956532"/>
    <w:rsid w:val="0095694E"/>
    <w:rsid w:val="0096458E"/>
    <w:rsid w:val="00965462"/>
    <w:rsid w:val="00965F40"/>
    <w:rsid w:val="009677F7"/>
    <w:rsid w:val="00967E70"/>
    <w:rsid w:val="00973D7B"/>
    <w:rsid w:val="009759BC"/>
    <w:rsid w:val="0097631C"/>
    <w:rsid w:val="0097683C"/>
    <w:rsid w:val="00976FFA"/>
    <w:rsid w:val="009774A6"/>
    <w:rsid w:val="009820AD"/>
    <w:rsid w:val="00982F68"/>
    <w:rsid w:val="009836D1"/>
    <w:rsid w:val="00983DBF"/>
    <w:rsid w:val="009879CF"/>
    <w:rsid w:val="00993CAA"/>
    <w:rsid w:val="0099666E"/>
    <w:rsid w:val="00997B2B"/>
    <w:rsid w:val="009A27B5"/>
    <w:rsid w:val="009A6EAA"/>
    <w:rsid w:val="009B2C34"/>
    <w:rsid w:val="009B426A"/>
    <w:rsid w:val="009C115D"/>
    <w:rsid w:val="009C2070"/>
    <w:rsid w:val="009C5BA6"/>
    <w:rsid w:val="009C64E3"/>
    <w:rsid w:val="009C701E"/>
    <w:rsid w:val="009C7DE2"/>
    <w:rsid w:val="009D549B"/>
    <w:rsid w:val="009E0AA0"/>
    <w:rsid w:val="009E1B5D"/>
    <w:rsid w:val="009E22B7"/>
    <w:rsid w:val="009E30F1"/>
    <w:rsid w:val="009E4CDC"/>
    <w:rsid w:val="009E5381"/>
    <w:rsid w:val="009E6818"/>
    <w:rsid w:val="009F0A8D"/>
    <w:rsid w:val="009F3D7C"/>
    <w:rsid w:val="00A02FA0"/>
    <w:rsid w:val="00A05B30"/>
    <w:rsid w:val="00A05FA8"/>
    <w:rsid w:val="00A07807"/>
    <w:rsid w:val="00A107E4"/>
    <w:rsid w:val="00A10FB6"/>
    <w:rsid w:val="00A13A10"/>
    <w:rsid w:val="00A22C0C"/>
    <w:rsid w:val="00A255DD"/>
    <w:rsid w:val="00A301D1"/>
    <w:rsid w:val="00A32DC2"/>
    <w:rsid w:val="00A33938"/>
    <w:rsid w:val="00A33B31"/>
    <w:rsid w:val="00A34C46"/>
    <w:rsid w:val="00A3501D"/>
    <w:rsid w:val="00A4163B"/>
    <w:rsid w:val="00A417BE"/>
    <w:rsid w:val="00A41E09"/>
    <w:rsid w:val="00A44AAF"/>
    <w:rsid w:val="00A44BD2"/>
    <w:rsid w:val="00A44C36"/>
    <w:rsid w:val="00A4564B"/>
    <w:rsid w:val="00A579B5"/>
    <w:rsid w:val="00A676F2"/>
    <w:rsid w:val="00A739B0"/>
    <w:rsid w:val="00A7410F"/>
    <w:rsid w:val="00A75F81"/>
    <w:rsid w:val="00A803A4"/>
    <w:rsid w:val="00A83914"/>
    <w:rsid w:val="00A85103"/>
    <w:rsid w:val="00A9102E"/>
    <w:rsid w:val="00A94CDB"/>
    <w:rsid w:val="00A970AF"/>
    <w:rsid w:val="00AA0BD8"/>
    <w:rsid w:val="00AA30DF"/>
    <w:rsid w:val="00AA40A3"/>
    <w:rsid w:val="00AA59BA"/>
    <w:rsid w:val="00AB29E9"/>
    <w:rsid w:val="00AB3263"/>
    <w:rsid w:val="00AB50A5"/>
    <w:rsid w:val="00AC2BA8"/>
    <w:rsid w:val="00AD0798"/>
    <w:rsid w:val="00AD431A"/>
    <w:rsid w:val="00AD71B1"/>
    <w:rsid w:val="00AE0892"/>
    <w:rsid w:val="00AE29BD"/>
    <w:rsid w:val="00AE6357"/>
    <w:rsid w:val="00AF4561"/>
    <w:rsid w:val="00AF697B"/>
    <w:rsid w:val="00AF69AC"/>
    <w:rsid w:val="00B003BA"/>
    <w:rsid w:val="00B1026B"/>
    <w:rsid w:val="00B11019"/>
    <w:rsid w:val="00B13AF0"/>
    <w:rsid w:val="00B14101"/>
    <w:rsid w:val="00B1749E"/>
    <w:rsid w:val="00B17745"/>
    <w:rsid w:val="00B23299"/>
    <w:rsid w:val="00B246DE"/>
    <w:rsid w:val="00B248A2"/>
    <w:rsid w:val="00B30521"/>
    <w:rsid w:val="00B346BE"/>
    <w:rsid w:val="00B34A19"/>
    <w:rsid w:val="00B37881"/>
    <w:rsid w:val="00B46C42"/>
    <w:rsid w:val="00B51527"/>
    <w:rsid w:val="00B53267"/>
    <w:rsid w:val="00B55FCC"/>
    <w:rsid w:val="00B5686C"/>
    <w:rsid w:val="00B570E4"/>
    <w:rsid w:val="00B609A7"/>
    <w:rsid w:val="00B615CF"/>
    <w:rsid w:val="00B6250C"/>
    <w:rsid w:val="00B6343E"/>
    <w:rsid w:val="00B6773C"/>
    <w:rsid w:val="00B70680"/>
    <w:rsid w:val="00B723F6"/>
    <w:rsid w:val="00B747A8"/>
    <w:rsid w:val="00B8021D"/>
    <w:rsid w:val="00B80969"/>
    <w:rsid w:val="00B80D11"/>
    <w:rsid w:val="00B817D3"/>
    <w:rsid w:val="00B8450C"/>
    <w:rsid w:val="00B87E76"/>
    <w:rsid w:val="00B93DBA"/>
    <w:rsid w:val="00B96614"/>
    <w:rsid w:val="00B977D2"/>
    <w:rsid w:val="00BA0C59"/>
    <w:rsid w:val="00BA7593"/>
    <w:rsid w:val="00BB0204"/>
    <w:rsid w:val="00BB3C4C"/>
    <w:rsid w:val="00BB5009"/>
    <w:rsid w:val="00BC171A"/>
    <w:rsid w:val="00BC1F1D"/>
    <w:rsid w:val="00BC7DA4"/>
    <w:rsid w:val="00BC7DD3"/>
    <w:rsid w:val="00BD3918"/>
    <w:rsid w:val="00BD7F78"/>
    <w:rsid w:val="00BE1AF5"/>
    <w:rsid w:val="00BE349F"/>
    <w:rsid w:val="00BE5162"/>
    <w:rsid w:val="00BE7836"/>
    <w:rsid w:val="00BF25E0"/>
    <w:rsid w:val="00BF3368"/>
    <w:rsid w:val="00BF5431"/>
    <w:rsid w:val="00C00DB7"/>
    <w:rsid w:val="00C01FF5"/>
    <w:rsid w:val="00C03882"/>
    <w:rsid w:val="00C03C44"/>
    <w:rsid w:val="00C04015"/>
    <w:rsid w:val="00C04BAB"/>
    <w:rsid w:val="00C0693A"/>
    <w:rsid w:val="00C10233"/>
    <w:rsid w:val="00C15A5B"/>
    <w:rsid w:val="00C24694"/>
    <w:rsid w:val="00C32F68"/>
    <w:rsid w:val="00C34E26"/>
    <w:rsid w:val="00C400D2"/>
    <w:rsid w:val="00C41308"/>
    <w:rsid w:val="00C42FA9"/>
    <w:rsid w:val="00C44B68"/>
    <w:rsid w:val="00C47E51"/>
    <w:rsid w:val="00C5206D"/>
    <w:rsid w:val="00C53814"/>
    <w:rsid w:val="00C55B17"/>
    <w:rsid w:val="00C6043D"/>
    <w:rsid w:val="00C638E4"/>
    <w:rsid w:val="00C6398B"/>
    <w:rsid w:val="00C70D1B"/>
    <w:rsid w:val="00C72320"/>
    <w:rsid w:val="00C735C5"/>
    <w:rsid w:val="00C73FFD"/>
    <w:rsid w:val="00C7721F"/>
    <w:rsid w:val="00C7761D"/>
    <w:rsid w:val="00C81017"/>
    <w:rsid w:val="00C816A2"/>
    <w:rsid w:val="00C8409F"/>
    <w:rsid w:val="00C8439C"/>
    <w:rsid w:val="00C84EE5"/>
    <w:rsid w:val="00C877E3"/>
    <w:rsid w:val="00C9025A"/>
    <w:rsid w:val="00C969C9"/>
    <w:rsid w:val="00CA2930"/>
    <w:rsid w:val="00CA2E80"/>
    <w:rsid w:val="00CA3878"/>
    <w:rsid w:val="00CA7A9A"/>
    <w:rsid w:val="00CB371B"/>
    <w:rsid w:val="00CB44EE"/>
    <w:rsid w:val="00CB47A1"/>
    <w:rsid w:val="00CB5E09"/>
    <w:rsid w:val="00CC0914"/>
    <w:rsid w:val="00CC2FA4"/>
    <w:rsid w:val="00CD1136"/>
    <w:rsid w:val="00CD1E0E"/>
    <w:rsid w:val="00CD3784"/>
    <w:rsid w:val="00CD7464"/>
    <w:rsid w:val="00CE3F4D"/>
    <w:rsid w:val="00CE46D9"/>
    <w:rsid w:val="00D01F3A"/>
    <w:rsid w:val="00D11096"/>
    <w:rsid w:val="00D1246C"/>
    <w:rsid w:val="00D12704"/>
    <w:rsid w:val="00D17750"/>
    <w:rsid w:val="00D2258B"/>
    <w:rsid w:val="00D2336D"/>
    <w:rsid w:val="00D2418F"/>
    <w:rsid w:val="00D242CC"/>
    <w:rsid w:val="00D252AC"/>
    <w:rsid w:val="00D34EF0"/>
    <w:rsid w:val="00D3698A"/>
    <w:rsid w:val="00D36D9C"/>
    <w:rsid w:val="00D37C5B"/>
    <w:rsid w:val="00D429B8"/>
    <w:rsid w:val="00D45972"/>
    <w:rsid w:val="00D46193"/>
    <w:rsid w:val="00D50536"/>
    <w:rsid w:val="00D54037"/>
    <w:rsid w:val="00D55B6A"/>
    <w:rsid w:val="00D55BF2"/>
    <w:rsid w:val="00D562AA"/>
    <w:rsid w:val="00D654B2"/>
    <w:rsid w:val="00D66C75"/>
    <w:rsid w:val="00D67596"/>
    <w:rsid w:val="00D67B4D"/>
    <w:rsid w:val="00D72013"/>
    <w:rsid w:val="00D729F8"/>
    <w:rsid w:val="00D72CF2"/>
    <w:rsid w:val="00D8091B"/>
    <w:rsid w:val="00D82168"/>
    <w:rsid w:val="00D82BE6"/>
    <w:rsid w:val="00D83EBC"/>
    <w:rsid w:val="00D90B6E"/>
    <w:rsid w:val="00D91901"/>
    <w:rsid w:val="00D95058"/>
    <w:rsid w:val="00D95188"/>
    <w:rsid w:val="00D95C94"/>
    <w:rsid w:val="00DA0921"/>
    <w:rsid w:val="00DA44E3"/>
    <w:rsid w:val="00DA79AC"/>
    <w:rsid w:val="00DB4CF7"/>
    <w:rsid w:val="00DB62D5"/>
    <w:rsid w:val="00DB6E76"/>
    <w:rsid w:val="00DC23C8"/>
    <w:rsid w:val="00DC23EB"/>
    <w:rsid w:val="00DC3D5D"/>
    <w:rsid w:val="00DC3DC8"/>
    <w:rsid w:val="00DC464F"/>
    <w:rsid w:val="00DC4A9F"/>
    <w:rsid w:val="00DC6163"/>
    <w:rsid w:val="00DC6B67"/>
    <w:rsid w:val="00DC6F2E"/>
    <w:rsid w:val="00DD7B7A"/>
    <w:rsid w:val="00DE12EF"/>
    <w:rsid w:val="00DE6391"/>
    <w:rsid w:val="00DF0924"/>
    <w:rsid w:val="00DF0BA4"/>
    <w:rsid w:val="00DF1388"/>
    <w:rsid w:val="00DF6E76"/>
    <w:rsid w:val="00E032CD"/>
    <w:rsid w:val="00E04065"/>
    <w:rsid w:val="00E0584A"/>
    <w:rsid w:val="00E10496"/>
    <w:rsid w:val="00E14291"/>
    <w:rsid w:val="00E1746D"/>
    <w:rsid w:val="00E17DE0"/>
    <w:rsid w:val="00E231F2"/>
    <w:rsid w:val="00E25C1B"/>
    <w:rsid w:val="00E27F16"/>
    <w:rsid w:val="00E31C4D"/>
    <w:rsid w:val="00E34278"/>
    <w:rsid w:val="00E35E11"/>
    <w:rsid w:val="00E4032D"/>
    <w:rsid w:val="00E412B1"/>
    <w:rsid w:val="00E449B5"/>
    <w:rsid w:val="00E46B9C"/>
    <w:rsid w:val="00E54721"/>
    <w:rsid w:val="00E66FF3"/>
    <w:rsid w:val="00E678D4"/>
    <w:rsid w:val="00E726A3"/>
    <w:rsid w:val="00E73601"/>
    <w:rsid w:val="00E753C7"/>
    <w:rsid w:val="00E75913"/>
    <w:rsid w:val="00E80E13"/>
    <w:rsid w:val="00E8541B"/>
    <w:rsid w:val="00E855D6"/>
    <w:rsid w:val="00E90732"/>
    <w:rsid w:val="00E94B32"/>
    <w:rsid w:val="00E94E35"/>
    <w:rsid w:val="00E95DBB"/>
    <w:rsid w:val="00E96F40"/>
    <w:rsid w:val="00EA0019"/>
    <w:rsid w:val="00EA6A3D"/>
    <w:rsid w:val="00EA7FA8"/>
    <w:rsid w:val="00EB200D"/>
    <w:rsid w:val="00EB2C0E"/>
    <w:rsid w:val="00EB4D51"/>
    <w:rsid w:val="00EB77B6"/>
    <w:rsid w:val="00EC1AD9"/>
    <w:rsid w:val="00EC2B8C"/>
    <w:rsid w:val="00EC2CFD"/>
    <w:rsid w:val="00ED137A"/>
    <w:rsid w:val="00ED475D"/>
    <w:rsid w:val="00ED5898"/>
    <w:rsid w:val="00ED764B"/>
    <w:rsid w:val="00EE1FBF"/>
    <w:rsid w:val="00EE30C7"/>
    <w:rsid w:val="00EE594E"/>
    <w:rsid w:val="00EF4738"/>
    <w:rsid w:val="00EF48B0"/>
    <w:rsid w:val="00EF742C"/>
    <w:rsid w:val="00F003A6"/>
    <w:rsid w:val="00F023C9"/>
    <w:rsid w:val="00F110FE"/>
    <w:rsid w:val="00F160D8"/>
    <w:rsid w:val="00F202EC"/>
    <w:rsid w:val="00F216E5"/>
    <w:rsid w:val="00F25DD3"/>
    <w:rsid w:val="00F33AF3"/>
    <w:rsid w:val="00F40695"/>
    <w:rsid w:val="00F40A3A"/>
    <w:rsid w:val="00F44FDF"/>
    <w:rsid w:val="00F6237C"/>
    <w:rsid w:val="00F6270C"/>
    <w:rsid w:val="00F641CD"/>
    <w:rsid w:val="00F64E0F"/>
    <w:rsid w:val="00F65D01"/>
    <w:rsid w:val="00F6652B"/>
    <w:rsid w:val="00F70CF2"/>
    <w:rsid w:val="00F72710"/>
    <w:rsid w:val="00F73BB7"/>
    <w:rsid w:val="00F74F6F"/>
    <w:rsid w:val="00F76C7A"/>
    <w:rsid w:val="00F77C40"/>
    <w:rsid w:val="00F802CC"/>
    <w:rsid w:val="00F809EB"/>
    <w:rsid w:val="00F824AB"/>
    <w:rsid w:val="00F82D1F"/>
    <w:rsid w:val="00F82E95"/>
    <w:rsid w:val="00F84AF6"/>
    <w:rsid w:val="00F874C9"/>
    <w:rsid w:val="00F879F2"/>
    <w:rsid w:val="00F95992"/>
    <w:rsid w:val="00F97F4C"/>
    <w:rsid w:val="00FA3406"/>
    <w:rsid w:val="00FA6339"/>
    <w:rsid w:val="00FA71C0"/>
    <w:rsid w:val="00FB2025"/>
    <w:rsid w:val="00FB25F0"/>
    <w:rsid w:val="00FB4B5C"/>
    <w:rsid w:val="00FB6613"/>
    <w:rsid w:val="00FC1204"/>
    <w:rsid w:val="00FC24F4"/>
    <w:rsid w:val="00FC2DCC"/>
    <w:rsid w:val="00FC4C45"/>
    <w:rsid w:val="00FC5529"/>
    <w:rsid w:val="00FC5A23"/>
    <w:rsid w:val="00FC63AB"/>
    <w:rsid w:val="00FD18B7"/>
    <w:rsid w:val="00FD3271"/>
    <w:rsid w:val="00FE0809"/>
    <w:rsid w:val="00FE51A8"/>
    <w:rsid w:val="00FE528B"/>
    <w:rsid w:val="00FE53D7"/>
    <w:rsid w:val="00FE5555"/>
    <w:rsid w:val="00FE7FF6"/>
    <w:rsid w:val="00FF09FF"/>
    <w:rsid w:val="00FF0ED0"/>
    <w:rsid w:val="00FF2A77"/>
    <w:rsid w:val="00FF2D3E"/>
    <w:rsid w:val="00FF2E42"/>
    <w:rsid w:val="00FF46D5"/>
    <w:rsid w:val="00FF5A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2F63-CB51-4EB9-AFED-0D3A9CA2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2437</Words>
  <Characters>11623</Characters>
  <Application>Microsoft Office Word</Application>
  <DocSecurity>0</DocSecurity>
  <Lines>96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Aleksandar Angelov</cp:lastModifiedBy>
  <cp:revision>4</cp:revision>
  <cp:lastPrinted>2020-05-18T12:30:00Z</cp:lastPrinted>
  <dcterms:created xsi:type="dcterms:W3CDTF">2020-05-18T12:53:00Z</dcterms:created>
  <dcterms:modified xsi:type="dcterms:W3CDTF">2020-05-18T14:08:00Z</dcterms:modified>
</cp:coreProperties>
</file>