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6151F235" w14:textId="77777777" w:rsidP="009541FC" w:rsidR="009D42BA" w:rsidRDefault="009D42BA">
      <w:pPr>
        <w:spacing w:line="360" w:lineRule="auto"/>
        <w:jc w:val="center"/>
        <w:rPr>
          <w:rFonts w:ascii="Verdana" w:hAnsi="Verdana"/>
          <w:b/>
          <w:bCs/>
          <w:sz w:val="20"/>
          <w:szCs w:val="20"/>
          <w:lang w:val="bg-BG"/>
        </w:rPr>
      </w:pPr>
    </w:p>
    <w:p w14:paraId="2FBEDCA2" w14:textId="6CC1611C" w:rsidP="009541FC" w:rsidR="009541FC" w:rsidRDefault="009541FC">
      <w:pPr>
        <w:spacing w:line="360" w:lineRule="auto"/>
        <w:jc w:val="center"/>
        <w:rPr>
          <w:rFonts w:ascii="Verdana" w:hAnsi="Verdana"/>
          <w:b/>
          <w:bCs/>
          <w:sz w:val="20"/>
          <w:szCs w:val="20"/>
          <w:lang w:val="bg-BG"/>
        </w:rPr>
      </w:pPr>
      <w:r>
        <w:rPr>
          <w:rFonts w:ascii="Verdana" w:hAnsi="Verdana"/>
          <w:b/>
          <w:bCs/>
          <w:sz w:val="20"/>
          <w:szCs w:val="20"/>
          <w:lang w:val="bg-BG"/>
        </w:rPr>
        <w:t>Отговори на въпроси, поставени в заседания на областни съвети по животновъдство</w:t>
      </w:r>
    </w:p>
    <w:p w14:paraId="51B772AC" w14:textId="77777777" w:rsidP="009541FC" w:rsidR="009541FC" w:rsidRDefault="009541FC" w:rsidRPr="009541FC">
      <w:pPr>
        <w:spacing w:line="360" w:lineRule="auto"/>
        <w:jc w:val="center"/>
        <w:rPr>
          <w:rFonts w:ascii="Verdana" w:hAnsi="Verdana"/>
          <w:b/>
          <w:bCs/>
          <w:sz w:val="20"/>
          <w:szCs w:val="20"/>
          <w:lang w:val="bg-BG"/>
        </w:rPr>
      </w:pPr>
    </w:p>
    <w:p w14:paraId="083DBB51" w14:textId="73E78718" w:rsidP="00B1388A" w:rsidR="008742A0" w:rsidRDefault="00B1388A">
      <w:pPr>
        <w:spacing w:line="360" w:lineRule="auto"/>
        <w:rPr>
          <w:rFonts w:ascii="Verdana" w:hAnsi="Verdana"/>
          <w:sz w:val="20"/>
          <w:szCs w:val="20"/>
          <w:lang w:val="bg-BG"/>
        </w:rPr>
      </w:pPr>
      <w:proofErr w:type="spellStart"/>
      <w:r w:rsidRPr="00B1388A">
        <w:rPr>
          <w:rFonts w:ascii="Verdana" w:hAnsi="Verdana"/>
          <w:b/>
          <w:bCs/>
          <w:sz w:val="20"/>
          <w:szCs w:val="20"/>
        </w:rPr>
        <w:t>Въпрос</w:t>
      </w:r>
      <w:proofErr w:type="spellEnd"/>
      <w:r w:rsidR="009541FC">
        <w:rPr>
          <w:rFonts w:ascii="Verdana" w:hAnsi="Verdana"/>
          <w:b/>
          <w:bCs/>
          <w:sz w:val="20"/>
          <w:szCs w:val="20"/>
          <w:lang w:val="bg-BG"/>
        </w:rPr>
        <w:t xml:space="preserve"> 1</w:t>
      </w:r>
      <w:r w:rsidRPr="00B1388A">
        <w:rPr>
          <w:rFonts w:ascii="Verdana" w:hAnsi="Verdana"/>
          <w:b/>
          <w:bCs/>
          <w:sz w:val="20"/>
          <w:szCs w:val="20"/>
        </w:rPr>
        <w:t>:</w:t>
      </w:r>
      <w:r w:rsidRPr="00B1388A">
        <w:rPr>
          <w:rFonts w:ascii="Verdana" w:hAnsi="Verdana"/>
          <w:sz w:val="20"/>
          <w:szCs w:val="20"/>
        </w:rPr>
        <w:t xml:space="preserve"> </w:t>
      </w:r>
      <w:r w:rsidR="009541FC">
        <w:rPr>
          <w:rFonts w:ascii="Verdana" w:hAnsi="Verdana"/>
          <w:sz w:val="20"/>
          <w:szCs w:val="20"/>
          <w:lang w:val="bg-BG"/>
        </w:rPr>
        <w:t>„</w:t>
      </w:r>
      <w:r w:rsidRPr="00B1388A">
        <w:rPr>
          <w:rFonts w:ascii="Verdana" w:hAnsi="Verdana"/>
          <w:sz w:val="20"/>
          <w:szCs w:val="20"/>
          <w:lang w:val="bg-BG"/>
        </w:rPr>
        <w:t xml:space="preserve">Защо когато едно стадо е от смесен тип и млечни и месодайни крави, и не съм покрил литрите с мляко ме санкционират и не вземам субсидии и за месодайните крави и </w:t>
      </w:r>
      <w:proofErr w:type="gramStart"/>
      <w:r w:rsidRPr="00B1388A">
        <w:rPr>
          <w:rFonts w:ascii="Verdana" w:hAnsi="Verdana"/>
          <w:sz w:val="20"/>
          <w:szCs w:val="20"/>
          <w:lang w:val="bg-BG"/>
        </w:rPr>
        <w:t>юници?</w:t>
      </w:r>
      <w:r w:rsidR="009541FC">
        <w:rPr>
          <w:rFonts w:ascii="Verdana" w:hAnsi="Verdana"/>
          <w:sz w:val="20"/>
          <w:szCs w:val="20"/>
          <w:lang w:val="bg-BG"/>
        </w:rPr>
        <w:t>“</w:t>
      </w:r>
      <w:proofErr w:type="gramEnd"/>
    </w:p>
    <w:p w14:paraId="38B656C2" w14:textId="10041870" w:rsidP="00B1388A" w:rsidR="00B1388A" w:rsidRDefault="00B1388A">
      <w:pPr>
        <w:spacing w:line="360" w:lineRule="auto"/>
        <w:jc w:val="both"/>
        <w:rPr>
          <w:rFonts w:ascii="Verdana" w:hAnsi="Verdana"/>
          <w:sz w:val="20"/>
          <w:szCs w:val="20"/>
          <w:lang w:val="bg-BG"/>
        </w:rPr>
      </w:pPr>
      <w:r w:rsidRPr="00B1388A">
        <w:rPr>
          <w:rFonts w:ascii="Verdana" w:hAnsi="Verdana"/>
          <w:b/>
          <w:bCs/>
          <w:sz w:val="20"/>
          <w:szCs w:val="20"/>
          <w:lang w:val="bg-BG"/>
        </w:rPr>
        <w:t>Отговор:</w:t>
      </w:r>
      <w:r>
        <w:rPr>
          <w:rFonts w:ascii="Verdana" w:hAnsi="Verdana"/>
          <w:b/>
          <w:bCs/>
          <w:sz w:val="20"/>
          <w:szCs w:val="20"/>
          <w:lang w:val="bg-BG"/>
        </w:rPr>
        <w:t xml:space="preserve"> </w:t>
      </w:r>
      <w:r w:rsidRPr="00B1388A">
        <w:rPr>
          <w:rFonts w:ascii="Verdana" w:hAnsi="Verdana"/>
          <w:sz w:val="20"/>
          <w:szCs w:val="20"/>
          <w:lang w:val="bg-BG"/>
        </w:rPr>
        <w:t>В случаите, при които в едно стадо се отглеждат животни с различни направления</w:t>
      </w:r>
      <w:r>
        <w:rPr>
          <w:rFonts w:ascii="Verdana" w:hAnsi="Verdana"/>
          <w:sz w:val="20"/>
          <w:szCs w:val="20"/>
          <w:lang w:val="bg-BG"/>
        </w:rPr>
        <w:t xml:space="preserve"> и земеделският стопанин е подал заявление за </w:t>
      </w:r>
      <w:r w:rsidR="009541FC">
        <w:rPr>
          <w:rFonts w:ascii="Verdana" w:hAnsi="Verdana"/>
          <w:sz w:val="20"/>
          <w:szCs w:val="20"/>
          <w:lang w:val="bg-BG"/>
        </w:rPr>
        <w:t>обвързана подкрепа</w:t>
      </w:r>
      <w:r>
        <w:rPr>
          <w:rFonts w:ascii="Verdana" w:hAnsi="Verdana"/>
          <w:sz w:val="20"/>
          <w:szCs w:val="20"/>
          <w:lang w:val="bg-BG"/>
        </w:rPr>
        <w:t xml:space="preserve"> по две различни схеми за обвързано подпомагане: </w:t>
      </w:r>
    </w:p>
    <w:p w14:paraId="6BAAE61B" w14:textId="65CC01D4" w:rsidP="00D76779" w:rsidR="00B1388A" w:rsidRDefault="00B1388A" w:rsidRPr="00D76779">
      <w:pPr>
        <w:pStyle w:val="a3"/>
        <w:numPr>
          <w:ilvl w:val="0"/>
          <w:numId w:val="1"/>
        </w:numPr>
        <w:spacing w:line="360" w:lineRule="auto"/>
        <w:jc w:val="both"/>
        <w:rPr>
          <w:rFonts w:ascii="Verdana" w:hAnsi="Verdana"/>
          <w:sz w:val="20"/>
          <w:szCs w:val="20"/>
          <w:lang w:val="bg-BG"/>
        </w:rPr>
      </w:pPr>
      <w:r w:rsidRPr="00D76779">
        <w:rPr>
          <w:rFonts w:ascii="Verdana" w:hAnsi="Verdana"/>
          <w:sz w:val="20"/>
          <w:szCs w:val="20"/>
          <w:lang w:val="bg-BG"/>
        </w:rPr>
        <w:t>„Схема за обвързано подпомагане за млечни крави“</w:t>
      </w:r>
    </w:p>
    <w:p w14:paraId="7464E060" w14:textId="34598E34" w:rsidP="00B1388A" w:rsidR="00B1388A" w:rsidRDefault="00B1388A">
      <w:pPr>
        <w:pStyle w:val="a3"/>
        <w:numPr>
          <w:ilvl w:val="0"/>
          <w:numId w:val="1"/>
        </w:numPr>
        <w:spacing w:line="360" w:lineRule="auto"/>
        <w:jc w:val="both"/>
        <w:rPr>
          <w:rFonts w:ascii="Verdana" w:hAnsi="Verdana"/>
          <w:sz w:val="20"/>
          <w:szCs w:val="20"/>
          <w:lang w:val="bg-BG"/>
        </w:rPr>
      </w:pPr>
      <w:r w:rsidRPr="00B1388A">
        <w:rPr>
          <w:rFonts w:ascii="Verdana" w:hAnsi="Verdana"/>
          <w:sz w:val="20"/>
          <w:szCs w:val="20"/>
          <w:lang w:val="bg-BG"/>
        </w:rPr>
        <w:t>„Схема за обвързано подпомагане за месодайни крави и/или юници“</w:t>
      </w:r>
      <w:r>
        <w:rPr>
          <w:rFonts w:ascii="Verdana" w:hAnsi="Verdana"/>
          <w:sz w:val="20"/>
          <w:szCs w:val="20"/>
          <w:lang w:val="bg-BG"/>
        </w:rPr>
        <w:t>,</w:t>
      </w:r>
    </w:p>
    <w:p w14:paraId="54BAC0E4" w14:textId="082A3418" w:rsidP="00D76779" w:rsidR="00D76779" w:rsidRDefault="00D76779">
      <w:pPr>
        <w:spacing w:line="360" w:lineRule="auto"/>
        <w:jc w:val="both"/>
        <w:rPr>
          <w:rFonts w:ascii="Verdana" w:hAnsi="Verdana"/>
          <w:sz w:val="20"/>
          <w:szCs w:val="20"/>
          <w:lang w:val="bg-BG"/>
        </w:rPr>
      </w:pPr>
      <w:r w:rsidRPr="0006239E">
        <w:rPr>
          <w:rFonts w:ascii="Verdana" w:hAnsi="Verdana"/>
          <w:b/>
          <w:bCs/>
          <w:sz w:val="20"/>
          <w:szCs w:val="20"/>
          <w:lang w:val="bg-BG"/>
        </w:rPr>
        <w:t>р</w:t>
      </w:r>
      <w:r w:rsidR="00B1388A" w:rsidRPr="0006239E">
        <w:rPr>
          <w:rFonts w:ascii="Verdana" w:hAnsi="Verdana"/>
          <w:b/>
          <w:bCs/>
          <w:sz w:val="20"/>
          <w:szCs w:val="20"/>
          <w:lang w:val="bg-BG"/>
        </w:rPr>
        <w:t xml:space="preserve">азмерът на помощта </w:t>
      </w:r>
      <w:r w:rsidR="00B1388A" w:rsidRPr="0006239E">
        <w:rPr>
          <w:rFonts w:ascii="Verdana" w:hAnsi="Verdana"/>
          <w:b/>
          <w:bCs/>
          <w:sz w:val="20"/>
          <w:szCs w:val="20"/>
          <w:u w:val="single"/>
          <w:lang w:val="bg-BG"/>
        </w:rPr>
        <w:t xml:space="preserve">по всяка една от схемите </w:t>
      </w:r>
      <w:r w:rsidR="00B1388A" w:rsidRPr="0006239E">
        <w:rPr>
          <w:rFonts w:ascii="Verdana" w:hAnsi="Verdana"/>
          <w:sz w:val="20"/>
          <w:szCs w:val="20"/>
          <w:u w:val="single"/>
          <w:lang w:val="bg-BG"/>
        </w:rPr>
        <w:t>се</w:t>
      </w:r>
      <w:r w:rsidR="00B1388A" w:rsidRPr="00D76779">
        <w:rPr>
          <w:rFonts w:ascii="Verdana" w:hAnsi="Verdana"/>
          <w:sz w:val="20"/>
          <w:szCs w:val="20"/>
          <w:u w:val="single"/>
          <w:lang w:val="bg-BG"/>
        </w:rPr>
        <w:t xml:space="preserve"> определя въз основа на броя </w:t>
      </w:r>
      <w:r w:rsidRPr="00D76779">
        <w:rPr>
          <w:rFonts w:ascii="Verdana" w:hAnsi="Verdana"/>
          <w:sz w:val="20"/>
          <w:szCs w:val="20"/>
          <w:u w:val="single"/>
          <w:lang w:val="bg-BG"/>
        </w:rPr>
        <w:t xml:space="preserve">допустими </w:t>
      </w:r>
      <w:r w:rsidR="00B1388A" w:rsidRPr="00D76779">
        <w:rPr>
          <w:rFonts w:ascii="Verdana" w:hAnsi="Verdana"/>
          <w:sz w:val="20"/>
          <w:szCs w:val="20"/>
          <w:u w:val="single"/>
          <w:lang w:val="bg-BG"/>
        </w:rPr>
        <w:t>животни</w:t>
      </w:r>
      <w:r>
        <w:rPr>
          <w:rFonts w:ascii="Verdana" w:hAnsi="Verdana"/>
          <w:sz w:val="20"/>
          <w:szCs w:val="20"/>
          <w:u w:val="single"/>
          <w:lang w:val="bg-BG"/>
        </w:rPr>
        <w:t>,</w:t>
      </w:r>
      <w:r w:rsidR="00B1388A" w:rsidRPr="00D76779">
        <w:rPr>
          <w:rFonts w:ascii="Verdana" w:hAnsi="Verdana"/>
          <w:sz w:val="20"/>
          <w:szCs w:val="20"/>
          <w:u w:val="single"/>
          <w:lang w:val="bg-BG"/>
        </w:rPr>
        <w:t xml:space="preserve"> за които са изпълнени </w:t>
      </w:r>
      <w:r w:rsidRPr="00D76779">
        <w:rPr>
          <w:rFonts w:ascii="Verdana" w:hAnsi="Verdana"/>
          <w:sz w:val="20"/>
          <w:szCs w:val="20"/>
          <w:u w:val="single"/>
          <w:lang w:val="bg-BG"/>
        </w:rPr>
        <w:t xml:space="preserve">изискванията за реализирани </w:t>
      </w:r>
      <w:r>
        <w:rPr>
          <w:rFonts w:ascii="Verdana" w:hAnsi="Verdana"/>
          <w:sz w:val="20"/>
          <w:szCs w:val="20"/>
          <w:u w:val="single"/>
          <w:lang w:val="bg-BG"/>
        </w:rPr>
        <w:t xml:space="preserve">минимални </w:t>
      </w:r>
      <w:r w:rsidRPr="00D76779">
        <w:rPr>
          <w:rFonts w:ascii="Verdana" w:hAnsi="Verdana"/>
          <w:sz w:val="20"/>
          <w:szCs w:val="20"/>
          <w:u w:val="single"/>
          <w:lang w:val="bg-BG"/>
        </w:rPr>
        <w:t>количества</w:t>
      </w:r>
      <w:r>
        <w:rPr>
          <w:rFonts w:ascii="Verdana" w:hAnsi="Verdana"/>
          <w:sz w:val="20"/>
          <w:szCs w:val="20"/>
          <w:lang w:val="bg-BG"/>
        </w:rPr>
        <w:t xml:space="preserve"> мляко (по схемата по т. 1) и реализиран брой животни (по схемата по т.2). </w:t>
      </w:r>
    </w:p>
    <w:p w14:paraId="7105E35F" w14:textId="6FB82B56" w:rsidP="00DD4265" w:rsidR="00D515D4" w:rsidRDefault="00D515D4">
      <w:pPr>
        <w:spacing w:after="0" w:line="360" w:lineRule="auto"/>
        <w:jc w:val="both"/>
        <w:rPr>
          <w:rFonts w:ascii="Verdana" w:hAnsi="Verdana"/>
          <w:sz w:val="20"/>
          <w:szCs w:val="20"/>
          <w:lang w:val="bg-BG"/>
        </w:rPr>
      </w:pPr>
      <w:r w:rsidRPr="009541FC">
        <w:rPr>
          <w:rFonts w:ascii="Verdana" w:hAnsi="Verdana"/>
          <w:b/>
          <w:bCs/>
          <w:sz w:val="20"/>
          <w:szCs w:val="20"/>
          <w:u w:val="single"/>
          <w:lang w:val="bg-BG"/>
        </w:rPr>
        <w:t>П</w:t>
      </w:r>
      <w:r w:rsidR="00D76779" w:rsidRPr="009541FC">
        <w:rPr>
          <w:rFonts w:ascii="Verdana" w:hAnsi="Verdana"/>
          <w:b/>
          <w:bCs/>
          <w:sz w:val="20"/>
          <w:szCs w:val="20"/>
          <w:u w:val="single"/>
          <w:lang w:val="bg-BG"/>
        </w:rPr>
        <w:t>ример:</w:t>
      </w:r>
      <w:r>
        <w:rPr>
          <w:rFonts w:ascii="Verdana" w:hAnsi="Verdana"/>
          <w:sz w:val="20"/>
          <w:szCs w:val="20"/>
          <w:lang w:val="bg-BG"/>
        </w:rPr>
        <w:t xml:space="preserve"> </w:t>
      </w:r>
      <w:r w:rsidR="00D76779">
        <w:rPr>
          <w:rFonts w:ascii="Verdana" w:hAnsi="Verdana"/>
          <w:sz w:val="20"/>
          <w:szCs w:val="20"/>
          <w:lang w:val="bg-BG"/>
        </w:rPr>
        <w:t>ЗС</w:t>
      </w:r>
      <w:r>
        <w:rPr>
          <w:rFonts w:ascii="Verdana" w:hAnsi="Verdana"/>
          <w:sz w:val="20"/>
          <w:szCs w:val="20"/>
          <w:lang w:val="bg-BG"/>
        </w:rPr>
        <w:t>, чието стопанство се намира в равнинен район</w:t>
      </w:r>
      <w:r w:rsidR="00D76779">
        <w:rPr>
          <w:rFonts w:ascii="Verdana" w:hAnsi="Verdana"/>
          <w:sz w:val="20"/>
          <w:szCs w:val="20"/>
          <w:lang w:val="bg-BG"/>
        </w:rPr>
        <w:t xml:space="preserve"> е подал </w:t>
      </w:r>
      <w:r w:rsidR="000F2011">
        <w:rPr>
          <w:rFonts w:ascii="Verdana" w:hAnsi="Verdana"/>
          <w:sz w:val="20"/>
          <w:szCs w:val="20"/>
          <w:lang w:val="bg-BG"/>
        </w:rPr>
        <w:t xml:space="preserve">за Кампания 2019 г. </w:t>
      </w:r>
      <w:r w:rsidR="00D76779">
        <w:rPr>
          <w:rFonts w:ascii="Verdana" w:hAnsi="Verdana"/>
          <w:sz w:val="20"/>
          <w:szCs w:val="20"/>
          <w:lang w:val="bg-BG"/>
        </w:rPr>
        <w:t xml:space="preserve">заявление за </w:t>
      </w:r>
      <w:r>
        <w:rPr>
          <w:rFonts w:ascii="Verdana" w:hAnsi="Verdana"/>
          <w:sz w:val="20"/>
          <w:szCs w:val="20"/>
          <w:lang w:val="bg-BG"/>
        </w:rPr>
        <w:t xml:space="preserve">обвързано подпомагане за 10 млечни крави и 10 крави и/или юници с предназначение за месо. </w:t>
      </w:r>
    </w:p>
    <w:p w14:paraId="1D4E87EC" w14:textId="3BAA533E" w:rsidP="00DD4265" w:rsidR="000F2011" w:rsidRDefault="000F2011">
      <w:pPr>
        <w:spacing w:after="0" w:line="360" w:lineRule="auto"/>
        <w:jc w:val="both"/>
        <w:rPr>
          <w:rFonts w:ascii="Verdana" w:hAnsi="Verdana"/>
          <w:sz w:val="20"/>
          <w:szCs w:val="20"/>
          <w:lang w:val="bg-BG"/>
        </w:rPr>
      </w:pPr>
      <w:r>
        <w:rPr>
          <w:rFonts w:ascii="Verdana" w:hAnsi="Verdana"/>
          <w:sz w:val="20"/>
          <w:szCs w:val="20"/>
          <w:lang w:val="bg-BG"/>
        </w:rPr>
        <w:tab/>
        <w:t>Реализацията на мляко</w:t>
      </w:r>
      <w:r w:rsidR="0006239E">
        <w:rPr>
          <w:rFonts w:ascii="Verdana" w:hAnsi="Verdana"/>
          <w:sz w:val="20"/>
          <w:szCs w:val="20"/>
          <w:lang w:val="bg-BG"/>
        </w:rPr>
        <w:t xml:space="preserve"> и </w:t>
      </w:r>
      <w:r>
        <w:rPr>
          <w:rFonts w:ascii="Verdana" w:hAnsi="Verdana"/>
          <w:sz w:val="20"/>
          <w:szCs w:val="20"/>
          <w:lang w:val="bg-BG"/>
        </w:rPr>
        <w:t xml:space="preserve">животни по двете схеми </w:t>
      </w:r>
      <w:r w:rsidR="00DD4265">
        <w:rPr>
          <w:rFonts w:ascii="Verdana" w:hAnsi="Verdana"/>
          <w:sz w:val="20"/>
          <w:szCs w:val="20"/>
          <w:lang w:val="bg-BG"/>
        </w:rPr>
        <w:t xml:space="preserve"> е </w:t>
      </w:r>
      <w:r w:rsidR="0006239E">
        <w:rPr>
          <w:rFonts w:ascii="Verdana" w:hAnsi="Verdana"/>
          <w:sz w:val="20"/>
          <w:szCs w:val="20"/>
          <w:lang w:val="bg-BG"/>
        </w:rPr>
        <w:t>следва</w:t>
      </w:r>
      <w:r w:rsidR="00DD4265">
        <w:rPr>
          <w:rFonts w:ascii="Verdana" w:hAnsi="Verdana"/>
          <w:sz w:val="20"/>
          <w:szCs w:val="20"/>
          <w:lang w:val="bg-BG"/>
        </w:rPr>
        <w:t>ло</w:t>
      </w:r>
      <w:r w:rsidR="0006239E">
        <w:rPr>
          <w:rFonts w:ascii="Verdana" w:hAnsi="Verdana"/>
          <w:sz w:val="20"/>
          <w:szCs w:val="20"/>
          <w:lang w:val="bg-BG"/>
        </w:rPr>
        <w:t xml:space="preserve"> </w:t>
      </w:r>
      <w:r>
        <w:rPr>
          <w:rFonts w:ascii="Verdana" w:hAnsi="Verdana"/>
          <w:sz w:val="20"/>
          <w:szCs w:val="20"/>
          <w:lang w:val="bg-BG"/>
        </w:rPr>
        <w:t xml:space="preserve">да е осъществена </w:t>
      </w:r>
      <w:r w:rsidRPr="000F2011">
        <w:rPr>
          <w:rFonts w:ascii="Verdana" w:hAnsi="Verdana"/>
          <w:sz w:val="20"/>
          <w:szCs w:val="20"/>
          <w:lang w:val="bg-BG"/>
        </w:rPr>
        <w:t xml:space="preserve">в периода от 1 октомври </w:t>
      </w:r>
      <w:r>
        <w:rPr>
          <w:rFonts w:ascii="Verdana" w:hAnsi="Verdana"/>
          <w:sz w:val="20"/>
          <w:szCs w:val="20"/>
          <w:lang w:val="bg-BG"/>
        </w:rPr>
        <w:t>2018</w:t>
      </w:r>
      <w:r w:rsidRPr="000F2011">
        <w:rPr>
          <w:rFonts w:ascii="Verdana" w:hAnsi="Verdana"/>
          <w:sz w:val="20"/>
          <w:szCs w:val="20"/>
          <w:lang w:val="bg-BG"/>
        </w:rPr>
        <w:t xml:space="preserve"> г</w:t>
      </w:r>
      <w:r w:rsidR="008309EE">
        <w:rPr>
          <w:rFonts w:ascii="Verdana" w:hAnsi="Verdana"/>
          <w:sz w:val="20"/>
          <w:szCs w:val="20"/>
          <w:lang w:val="bg-BG"/>
        </w:rPr>
        <w:t>.</w:t>
      </w:r>
      <w:r w:rsidRPr="000F2011">
        <w:rPr>
          <w:rFonts w:ascii="Verdana" w:hAnsi="Verdana"/>
          <w:sz w:val="20"/>
          <w:szCs w:val="20"/>
          <w:lang w:val="bg-BG"/>
        </w:rPr>
        <w:t xml:space="preserve"> до 30 септември </w:t>
      </w:r>
      <w:r>
        <w:rPr>
          <w:rFonts w:ascii="Verdana" w:hAnsi="Verdana"/>
          <w:sz w:val="20"/>
          <w:szCs w:val="20"/>
          <w:lang w:val="bg-BG"/>
        </w:rPr>
        <w:t xml:space="preserve"> 2019 г.</w:t>
      </w:r>
      <w:r w:rsidR="00DD4265">
        <w:rPr>
          <w:rFonts w:ascii="Verdana" w:hAnsi="Verdana"/>
          <w:sz w:val="20"/>
          <w:szCs w:val="20"/>
          <w:lang w:val="bg-BG"/>
        </w:rPr>
        <w:t xml:space="preserve"> (За Кампания 2020 г. - </w:t>
      </w:r>
      <w:r w:rsidR="00DD4265" w:rsidRPr="000F2011">
        <w:rPr>
          <w:rFonts w:ascii="Verdana" w:hAnsi="Verdana"/>
          <w:sz w:val="20"/>
          <w:szCs w:val="20"/>
          <w:lang w:val="bg-BG"/>
        </w:rPr>
        <w:t xml:space="preserve">1 октомври </w:t>
      </w:r>
      <w:r w:rsidR="00DD4265">
        <w:rPr>
          <w:rFonts w:ascii="Verdana" w:hAnsi="Verdana"/>
          <w:sz w:val="20"/>
          <w:szCs w:val="20"/>
          <w:lang w:val="bg-BG"/>
        </w:rPr>
        <w:t>2019</w:t>
      </w:r>
      <w:r w:rsidR="00DD4265" w:rsidRPr="000F2011">
        <w:rPr>
          <w:rFonts w:ascii="Verdana" w:hAnsi="Verdana"/>
          <w:sz w:val="20"/>
          <w:szCs w:val="20"/>
          <w:lang w:val="bg-BG"/>
        </w:rPr>
        <w:t xml:space="preserve"> г</w:t>
      </w:r>
      <w:r w:rsidR="00DD4265">
        <w:rPr>
          <w:rFonts w:ascii="Verdana" w:hAnsi="Verdana"/>
          <w:sz w:val="20"/>
          <w:szCs w:val="20"/>
          <w:lang w:val="bg-BG"/>
        </w:rPr>
        <w:t>.</w:t>
      </w:r>
      <w:r w:rsidR="00DD4265" w:rsidRPr="000F2011">
        <w:rPr>
          <w:rFonts w:ascii="Verdana" w:hAnsi="Verdana"/>
          <w:sz w:val="20"/>
          <w:szCs w:val="20"/>
          <w:lang w:val="bg-BG"/>
        </w:rPr>
        <w:t xml:space="preserve"> до 30 септември </w:t>
      </w:r>
      <w:r w:rsidR="00DD4265">
        <w:rPr>
          <w:rFonts w:ascii="Verdana" w:hAnsi="Verdana"/>
          <w:sz w:val="20"/>
          <w:szCs w:val="20"/>
          <w:lang w:val="bg-BG"/>
        </w:rPr>
        <w:t xml:space="preserve"> 2020 г.)</w:t>
      </w:r>
    </w:p>
    <w:p w14:paraId="56AD6A6D" w14:textId="68F54578" w:rsidP="00DD4265" w:rsidR="00D76779" w:rsidRDefault="00D515D4">
      <w:pPr>
        <w:spacing w:after="0" w:line="360" w:lineRule="auto"/>
        <w:ind w:firstLine="720"/>
        <w:jc w:val="both"/>
        <w:rPr>
          <w:rFonts w:ascii="Verdana" w:hAnsi="Verdana"/>
          <w:sz w:val="20"/>
          <w:szCs w:val="20"/>
          <w:lang w:val="bg-BG"/>
        </w:rPr>
      </w:pPr>
      <w:r>
        <w:rPr>
          <w:rFonts w:ascii="Verdana" w:hAnsi="Verdana"/>
          <w:sz w:val="20"/>
          <w:szCs w:val="20"/>
          <w:lang w:val="bg-BG"/>
        </w:rPr>
        <w:t xml:space="preserve">За да получи подпомагане за всички заявени животни по схемата по т.1 ЗС е </w:t>
      </w:r>
      <w:r w:rsidR="00DD4265">
        <w:rPr>
          <w:rFonts w:ascii="Verdana" w:hAnsi="Verdana"/>
          <w:sz w:val="20"/>
          <w:szCs w:val="20"/>
          <w:lang w:val="bg-BG"/>
        </w:rPr>
        <w:t xml:space="preserve">било </w:t>
      </w:r>
      <w:r>
        <w:rPr>
          <w:rFonts w:ascii="Verdana" w:hAnsi="Verdana"/>
          <w:sz w:val="20"/>
          <w:szCs w:val="20"/>
          <w:lang w:val="bg-BG"/>
        </w:rPr>
        <w:t>необходимо да реализира на пазара 20 000 кг мляко</w:t>
      </w:r>
      <w:r w:rsidR="0006239E">
        <w:rPr>
          <w:rFonts w:ascii="Verdana" w:hAnsi="Verdana"/>
          <w:sz w:val="20"/>
          <w:szCs w:val="20"/>
          <w:lang w:val="bg-BG"/>
        </w:rPr>
        <w:t xml:space="preserve"> (2000 кг/крава)</w:t>
      </w:r>
      <w:r>
        <w:rPr>
          <w:rFonts w:ascii="Verdana" w:hAnsi="Verdana"/>
          <w:sz w:val="20"/>
          <w:szCs w:val="20"/>
          <w:lang w:val="bg-BG"/>
        </w:rPr>
        <w:t xml:space="preserve">. Ако ЗС е доказал реализация на 10 000 кг мляко, то би следвало да получи подпомагане за 5 </w:t>
      </w:r>
      <w:r w:rsidR="000F2011">
        <w:rPr>
          <w:rFonts w:ascii="Verdana" w:hAnsi="Verdana"/>
          <w:sz w:val="20"/>
          <w:szCs w:val="20"/>
          <w:lang w:val="bg-BG"/>
        </w:rPr>
        <w:t xml:space="preserve">броя млечни </w:t>
      </w:r>
      <w:r>
        <w:rPr>
          <w:rFonts w:ascii="Verdana" w:hAnsi="Verdana"/>
          <w:sz w:val="20"/>
          <w:szCs w:val="20"/>
          <w:lang w:val="bg-BG"/>
        </w:rPr>
        <w:t>крави.</w:t>
      </w:r>
    </w:p>
    <w:p w14:paraId="2DF3D281" w14:textId="3770FA67" w:rsidP="00DD4265" w:rsidR="00D515D4" w:rsidRDefault="00D515D4">
      <w:pPr>
        <w:spacing w:after="0" w:line="360" w:lineRule="auto"/>
        <w:ind w:firstLine="720"/>
        <w:jc w:val="both"/>
        <w:rPr>
          <w:rFonts w:ascii="Verdana" w:hAnsi="Verdana"/>
          <w:sz w:val="20"/>
          <w:szCs w:val="20"/>
          <w:lang w:val="bg-BG"/>
        </w:rPr>
      </w:pPr>
      <w:r>
        <w:rPr>
          <w:rFonts w:ascii="Verdana" w:hAnsi="Verdana"/>
          <w:sz w:val="20"/>
          <w:szCs w:val="20"/>
          <w:lang w:val="bg-BG"/>
        </w:rPr>
        <w:t xml:space="preserve">За да получи подпомагане </w:t>
      </w:r>
      <w:r w:rsidRPr="00D515D4">
        <w:rPr>
          <w:rFonts w:ascii="Verdana" w:hAnsi="Verdana"/>
          <w:sz w:val="20"/>
          <w:szCs w:val="20"/>
          <w:lang w:val="bg-BG"/>
        </w:rPr>
        <w:t>за всички заявени животни по схемата по т.</w:t>
      </w:r>
      <w:r>
        <w:rPr>
          <w:rFonts w:ascii="Verdana" w:hAnsi="Verdana"/>
          <w:sz w:val="20"/>
          <w:szCs w:val="20"/>
          <w:lang w:val="bg-BG"/>
        </w:rPr>
        <w:t xml:space="preserve">2 е </w:t>
      </w:r>
      <w:r w:rsidR="00DD4265">
        <w:rPr>
          <w:rFonts w:ascii="Verdana" w:hAnsi="Verdana"/>
          <w:sz w:val="20"/>
          <w:szCs w:val="20"/>
          <w:lang w:val="bg-BG"/>
        </w:rPr>
        <w:t xml:space="preserve">било </w:t>
      </w:r>
      <w:r>
        <w:rPr>
          <w:rFonts w:ascii="Verdana" w:hAnsi="Verdana"/>
          <w:sz w:val="20"/>
          <w:szCs w:val="20"/>
          <w:lang w:val="bg-BG"/>
        </w:rPr>
        <w:t xml:space="preserve">необходимо да реализира на пазара </w:t>
      </w:r>
      <w:r w:rsidR="000F2011">
        <w:rPr>
          <w:rFonts w:ascii="Verdana" w:hAnsi="Verdana"/>
          <w:sz w:val="20"/>
          <w:szCs w:val="20"/>
          <w:lang w:val="bg-BG"/>
        </w:rPr>
        <w:t>2 животни</w:t>
      </w:r>
      <w:r w:rsidR="0006239E">
        <w:rPr>
          <w:rFonts w:ascii="Verdana" w:hAnsi="Verdana"/>
          <w:sz w:val="20"/>
          <w:szCs w:val="20"/>
          <w:lang w:val="bg-BG"/>
        </w:rPr>
        <w:t xml:space="preserve"> (0,2 животни на крава/юница) </w:t>
      </w:r>
      <w:r w:rsidR="000F2011">
        <w:rPr>
          <w:rFonts w:ascii="Verdana" w:hAnsi="Verdana"/>
          <w:sz w:val="20"/>
          <w:szCs w:val="20"/>
          <w:lang w:val="bg-BG"/>
        </w:rPr>
        <w:t>. Ако ЗС е доказал реализация на 1 животно по схемата по т.2, то би следвало да получи подпомагане за 5 бр. заявени месодайни крави и/или юници.</w:t>
      </w:r>
    </w:p>
    <w:p w14:paraId="6A37818F" w14:textId="77777777" w:rsidP="00DD4265" w:rsidR="0007330B" w:rsidRDefault="0007330B">
      <w:pPr>
        <w:spacing w:after="0" w:line="360" w:lineRule="auto"/>
        <w:ind w:firstLine="720"/>
        <w:jc w:val="both"/>
        <w:rPr>
          <w:rFonts w:ascii="Verdana" w:hAnsi="Verdana"/>
          <w:sz w:val="20"/>
          <w:szCs w:val="20"/>
          <w:lang w:val="bg-BG"/>
        </w:rPr>
      </w:pPr>
    </w:p>
    <w:p w14:paraId="4EE7FAE4" w14:textId="26FA1934" w:rsidP="009541FC" w:rsidR="009541FC" w:rsidRDefault="009541FC" w:rsidRPr="009541FC">
      <w:pPr>
        <w:spacing w:line="360" w:lineRule="auto"/>
        <w:ind w:firstLine="720"/>
        <w:jc w:val="both"/>
        <w:rPr>
          <w:rFonts w:ascii="Verdana" w:hAnsi="Verdana"/>
          <w:sz w:val="20"/>
          <w:szCs w:val="20"/>
          <w:lang w:val="bg-BG"/>
        </w:rPr>
      </w:pPr>
      <w:r w:rsidRPr="009541FC">
        <w:rPr>
          <w:rFonts w:ascii="Verdana" w:hAnsi="Verdana"/>
          <w:b/>
          <w:bCs/>
          <w:sz w:val="20"/>
          <w:szCs w:val="20"/>
          <w:lang w:val="bg-BG"/>
        </w:rPr>
        <w:lastRenderedPageBreak/>
        <w:t>Въпрос</w:t>
      </w:r>
      <w:r>
        <w:rPr>
          <w:rFonts w:ascii="Verdana" w:hAnsi="Verdana"/>
          <w:b/>
          <w:bCs/>
          <w:sz w:val="20"/>
          <w:szCs w:val="20"/>
          <w:lang w:val="bg-BG"/>
        </w:rPr>
        <w:t xml:space="preserve"> 2</w:t>
      </w:r>
      <w:r w:rsidRPr="009541FC">
        <w:rPr>
          <w:rFonts w:ascii="Verdana" w:hAnsi="Verdana"/>
          <w:sz w:val="20"/>
          <w:szCs w:val="20"/>
          <w:lang w:val="bg-BG"/>
        </w:rPr>
        <w:t xml:space="preserve">: </w:t>
      </w:r>
      <w:r>
        <w:rPr>
          <w:rFonts w:ascii="Verdana" w:hAnsi="Verdana"/>
          <w:sz w:val="20"/>
          <w:szCs w:val="20"/>
          <w:lang w:val="bg-BG"/>
        </w:rPr>
        <w:t>„</w:t>
      </w:r>
      <w:r w:rsidRPr="009541FC">
        <w:rPr>
          <w:rFonts w:ascii="Verdana" w:hAnsi="Verdana"/>
          <w:sz w:val="20"/>
          <w:szCs w:val="20"/>
          <w:lang w:val="bg-BG"/>
        </w:rPr>
        <w:t>Как следва да се извърши прехвърляне на собствеността на един ЖО, който е регистриран по чл. 137 от ЗВМД – трябва ли да се п</w:t>
      </w:r>
      <w:r w:rsidR="008309EE">
        <w:rPr>
          <w:rFonts w:ascii="Verdana" w:hAnsi="Verdana"/>
          <w:sz w:val="20"/>
          <w:szCs w:val="20"/>
          <w:lang w:val="bg-BG"/>
        </w:rPr>
        <w:t>о</w:t>
      </w:r>
      <w:r w:rsidRPr="009541FC">
        <w:rPr>
          <w:rFonts w:ascii="Verdana" w:hAnsi="Verdana"/>
          <w:sz w:val="20"/>
          <w:szCs w:val="20"/>
          <w:lang w:val="bg-BG"/>
        </w:rPr>
        <w:t xml:space="preserve">дават </w:t>
      </w:r>
      <w:r w:rsidR="008309EE">
        <w:rPr>
          <w:rFonts w:ascii="Verdana" w:hAnsi="Verdana"/>
          <w:sz w:val="20"/>
          <w:szCs w:val="20"/>
          <w:lang w:val="bg-BG"/>
        </w:rPr>
        <w:t>отново</w:t>
      </w:r>
      <w:r w:rsidRPr="009541FC">
        <w:rPr>
          <w:rFonts w:ascii="Verdana" w:hAnsi="Verdana"/>
          <w:sz w:val="20"/>
          <w:szCs w:val="20"/>
          <w:lang w:val="bg-BG"/>
        </w:rPr>
        <w:t xml:space="preserve"> всички документи като за нов ЖО или има по-облекчена процедура?</w:t>
      </w:r>
      <w:r>
        <w:rPr>
          <w:rFonts w:ascii="Verdana" w:hAnsi="Verdana"/>
          <w:sz w:val="20"/>
          <w:szCs w:val="20"/>
          <w:lang w:val="bg-BG"/>
        </w:rPr>
        <w:t>“</w:t>
      </w:r>
    </w:p>
    <w:p w14:paraId="0624402F" w14:textId="77777777" w:rsidP="00EA7116" w:rsidR="00EA7116" w:rsidRDefault="009541FC" w:rsidRPr="00EA7116">
      <w:pPr>
        <w:spacing w:line="360" w:lineRule="auto"/>
        <w:ind w:firstLine="720"/>
        <w:jc w:val="both"/>
        <w:rPr>
          <w:rFonts w:ascii="Verdana" w:hAnsi="Verdana"/>
          <w:sz w:val="20"/>
          <w:szCs w:val="20"/>
          <w:lang w:val="bg-BG"/>
        </w:rPr>
      </w:pPr>
      <w:r w:rsidRPr="009541FC">
        <w:rPr>
          <w:rFonts w:ascii="Verdana" w:hAnsi="Verdana"/>
          <w:b/>
          <w:bCs/>
          <w:sz w:val="20"/>
          <w:szCs w:val="20"/>
          <w:lang w:val="bg-BG"/>
        </w:rPr>
        <w:t>Отговор:</w:t>
      </w:r>
      <w:r>
        <w:rPr>
          <w:rFonts w:ascii="Verdana" w:hAnsi="Verdana"/>
          <w:b/>
          <w:bCs/>
          <w:sz w:val="20"/>
          <w:szCs w:val="20"/>
          <w:lang w:val="bg-BG"/>
        </w:rPr>
        <w:t xml:space="preserve"> </w:t>
      </w:r>
      <w:r w:rsidR="00EA7116" w:rsidRPr="00EA7116">
        <w:rPr>
          <w:rFonts w:ascii="Verdana" w:hAnsi="Verdana"/>
          <w:sz w:val="20"/>
          <w:szCs w:val="20"/>
          <w:lang w:val="bg-BG"/>
        </w:rPr>
        <w:t>Съгласно чл. 137в от ЗВМД (в сила от 14.02.2020 г.) при промяна на обстоятелства, посочени в чл. 137, ал. 9, т. 3-7 от ЗВМД, стопанина (собственик или ползвател) на обекта в 7-дневен срок от настъпване на промяната трябва да подаде до директора на ОДБХ заявление, към което да приложи документите, свързани с промяната, както и да заплати такса в размер, определен в Тарифата на БАБХ.</w:t>
      </w:r>
    </w:p>
    <w:p w14:paraId="261B1B6F" w14:textId="77777777" w:rsidP="00D5467F" w:rsidR="00D5467F" w:rsidRDefault="00EA7116">
      <w:pPr>
        <w:pStyle w:val="a3"/>
        <w:numPr>
          <w:ilvl w:val="0"/>
          <w:numId w:val="3"/>
        </w:numPr>
        <w:spacing w:line="360" w:lineRule="auto"/>
        <w:jc w:val="both"/>
        <w:rPr>
          <w:rFonts w:ascii="Verdana" w:hAnsi="Verdana"/>
          <w:sz w:val="20"/>
          <w:szCs w:val="20"/>
          <w:lang w:val="bg-BG"/>
        </w:rPr>
      </w:pPr>
      <w:r w:rsidRPr="00D5467F">
        <w:rPr>
          <w:rFonts w:ascii="Verdana" w:hAnsi="Verdana"/>
          <w:sz w:val="20"/>
          <w:szCs w:val="20"/>
          <w:lang w:val="bg-BG"/>
        </w:rPr>
        <w:t>При промяна в обстоятелствата по чл. 137, ал. 9, т. 3, относно смяна на името и постоянния адрес на собственика или ползвателя на обекта,  се подава заявление в свободен текст. Директорът на ОДБХ в 7-дневен срок от подаване на заявлението вписва промените в регистъра и издава ново удостоверение за регистрация на обекта. В случая документите, свързани с промяната на обстоятелствата относно новия стопанин са тези, удостоверяващи смяна на собственост или право на ползване на обекта.</w:t>
      </w:r>
    </w:p>
    <w:p w14:paraId="0DA89ACA" w14:textId="03210DCD" w:rsidP="00D5467F" w:rsidR="001E3706" w:rsidRDefault="00EA7116" w:rsidRPr="00D5467F">
      <w:pPr>
        <w:pStyle w:val="a3"/>
        <w:numPr>
          <w:ilvl w:val="0"/>
          <w:numId w:val="3"/>
        </w:numPr>
        <w:spacing w:line="360" w:lineRule="auto"/>
        <w:jc w:val="both"/>
        <w:rPr>
          <w:rFonts w:ascii="Verdana" w:hAnsi="Verdana"/>
          <w:sz w:val="20"/>
          <w:szCs w:val="20"/>
          <w:lang w:val="bg-BG"/>
        </w:rPr>
      </w:pPr>
      <w:r w:rsidRPr="00D5467F">
        <w:rPr>
          <w:rFonts w:ascii="Verdana" w:hAnsi="Verdana"/>
          <w:sz w:val="20"/>
          <w:szCs w:val="20"/>
          <w:lang w:val="bg-BG"/>
        </w:rPr>
        <w:t>При промяна в обстоятелствата по чл. 137, ал. 9, т. 4 – 7, относно смяна на адрес/местонахождение и вид на обекта; капацитет на обекта, с изключение на пчелините, за които се вписва брой отглеждани пчелни семейства; вид, категория и предназначение на животните в обекта; технология на отглеждане на животните, се прилага редът по чл. 137, ал. 2 – 7, т.е. по стандартния ред</w:t>
      </w:r>
      <w:r w:rsidR="00D5467F" w:rsidRPr="00D5467F">
        <w:rPr>
          <w:rFonts w:ascii="Verdana" w:hAnsi="Verdana"/>
          <w:sz w:val="20"/>
          <w:szCs w:val="20"/>
          <w:lang w:val="bg-BG"/>
        </w:rPr>
        <w:t>,</w:t>
      </w:r>
      <w:r w:rsidRPr="00D5467F">
        <w:rPr>
          <w:rFonts w:ascii="Verdana" w:hAnsi="Verdana"/>
          <w:sz w:val="20"/>
          <w:szCs w:val="20"/>
          <w:lang w:val="bg-BG"/>
        </w:rPr>
        <w:t xml:space="preserve"> приложим при заявление за регистрация на ЖО, при който назначена комисия от ОДБХ извършва проверка за съответствието на обекта с ветеринарномедицинските изисквания за отглеждане на животни и хуманно отношение към тях.</w:t>
      </w:r>
    </w:p>
    <w:p w14:paraId="5457C5BD" w14:textId="3ACA6B0C" w:rsidP="009541FC" w:rsidR="000F2011" w:rsidRDefault="009541FC">
      <w:pPr>
        <w:spacing w:line="360" w:lineRule="auto"/>
        <w:ind w:firstLine="720"/>
        <w:jc w:val="both"/>
        <w:rPr>
          <w:rFonts w:ascii="Verdana" w:hAnsi="Verdana"/>
          <w:sz w:val="20"/>
          <w:szCs w:val="20"/>
          <w:lang w:val="bg-BG"/>
        </w:rPr>
      </w:pPr>
      <w:r w:rsidRPr="009541FC">
        <w:rPr>
          <w:rFonts w:ascii="Verdana" w:hAnsi="Verdana"/>
          <w:b/>
          <w:bCs/>
          <w:sz w:val="20"/>
          <w:szCs w:val="20"/>
          <w:lang w:val="bg-BG"/>
        </w:rPr>
        <w:t>Въпрос</w:t>
      </w:r>
      <w:r w:rsidR="000A2F9D">
        <w:rPr>
          <w:rFonts w:ascii="Verdana" w:hAnsi="Verdana"/>
          <w:b/>
          <w:bCs/>
          <w:sz w:val="20"/>
          <w:szCs w:val="20"/>
          <w:lang w:val="bg-BG"/>
        </w:rPr>
        <w:t xml:space="preserve"> 3</w:t>
      </w:r>
      <w:r w:rsidRPr="009541FC">
        <w:rPr>
          <w:rFonts w:ascii="Verdana" w:hAnsi="Verdana"/>
          <w:b/>
          <w:bCs/>
          <w:sz w:val="20"/>
          <w:szCs w:val="20"/>
          <w:lang w:val="bg-BG"/>
        </w:rPr>
        <w:t>:</w:t>
      </w:r>
      <w:r w:rsidRPr="009541FC">
        <w:rPr>
          <w:rFonts w:ascii="Verdana" w:hAnsi="Verdana"/>
          <w:sz w:val="20"/>
          <w:szCs w:val="20"/>
          <w:lang w:val="bg-BG"/>
        </w:rPr>
        <w:t xml:space="preserve"> </w:t>
      </w:r>
      <w:r>
        <w:rPr>
          <w:rFonts w:ascii="Verdana" w:hAnsi="Verdana"/>
          <w:sz w:val="20"/>
          <w:szCs w:val="20"/>
          <w:lang w:val="bg-BG"/>
        </w:rPr>
        <w:t>„</w:t>
      </w:r>
      <w:r w:rsidRPr="009541FC">
        <w:rPr>
          <w:rFonts w:ascii="Verdana" w:hAnsi="Verdana"/>
          <w:sz w:val="20"/>
          <w:szCs w:val="20"/>
          <w:lang w:val="bg-BG"/>
        </w:rPr>
        <w:t>Възможно ли е в една сграда, която има два входа от двете страни и е предназначена за отглеждане на 100 крави, но се гледат 30 крави, друг земеделски стопанин желае да отглежда 20 крави и да раздели сградата на два самостоятелни обекта – ще бъде ли регистриран друг ЖО от страна на БАБХ?</w:t>
      </w:r>
      <w:r>
        <w:rPr>
          <w:rFonts w:ascii="Verdana" w:hAnsi="Verdana"/>
          <w:sz w:val="20"/>
          <w:szCs w:val="20"/>
          <w:lang w:val="bg-BG"/>
        </w:rPr>
        <w:t>“</w:t>
      </w:r>
    </w:p>
    <w:p w14:paraId="6E22D2E6" w14:textId="4651FFE7" w:rsidP="00EA7116" w:rsidR="00EA7116" w:rsidRDefault="000A2F9D" w:rsidRPr="00EA7116">
      <w:pPr>
        <w:spacing w:line="360" w:lineRule="auto"/>
        <w:ind w:firstLine="720"/>
        <w:jc w:val="both"/>
        <w:rPr>
          <w:rFonts w:ascii="Verdana" w:hAnsi="Verdana"/>
          <w:sz w:val="20"/>
          <w:szCs w:val="20"/>
          <w:lang w:val="bg-BG"/>
        </w:rPr>
      </w:pPr>
      <w:r w:rsidRPr="000A2F9D">
        <w:rPr>
          <w:rFonts w:ascii="Verdana" w:hAnsi="Verdana"/>
          <w:b/>
          <w:bCs/>
          <w:sz w:val="20"/>
          <w:szCs w:val="20"/>
          <w:lang w:val="bg-BG"/>
        </w:rPr>
        <w:t>Отговор:</w:t>
      </w:r>
      <w:r>
        <w:rPr>
          <w:rFonts w:ascii="Verdana" w:hAnsi="Verdana"/>
          <w:b/>
          <w:bCs/>
          <w:sz w:val="20"/>
          <w:szCs w:val="20"/>
          <w:lang w:val="bg-BG"/>
        </w:rPr>
        <w:t xml:space="preserve"> </w:t>
      </w:r>
      <w:r w:rsidR="00EA7116" w:rsidRPr="00EA7116">
        <w:rPr>
          <w:rFonts w:ascii="Verdana" w:hAnsi="Verdana"/>
          <w:sz w:val="20"/>
          <w:szCs w:val="20"/>
          <w:lang w:val="bg-BG"/>
        </w:rPr>
        <w:t>Съгласно чл. 13</w:t>
      </w:r>
      <w:r w:rsidR="00EA7116">
        <w:rPr>
          <w:rFonts w:ascii="Verdana" w:hAnsi="Verdana"/>
          <w:sz w:val="20"/>
          <w:szCs w:val="20"/>
          <w:lang w:val="bg-BG"/>
        </w:rPr>
        <w:t xml:space="preserve">, ал.5 </w:t>
      </w:r>
      <w:r w:rsidR="00EA7116" w:rsidRPr="00EA7116">
        <w:rPr>
          <w:rFonts w:ascii="Verdana" w:hAnsi="Verdana"/>
          <w:sz w:val="20"/>
          <w:szCs w:val="20"/>
          <w:lang w:val="bg-BG"/>
        </w:rPr>
        <w:t>от Закона за животновъдството (ЗЖ), регистрирани обекти по реда на Закона за ветеринарномедицинската дейност, в които се отглеждат животни с цел добив на суровини и храни предназначени за пазара, се определят като ферми. Съгласно чл. 13б</w:t>
      </w:r>
      <w:r w:rsidR="00EA7116">
        <w:rPr>
          <w:rFonts w:ascii="Verdana" w:hAnsi="Verdana"/>
          <w:sz w:val="20"/>
          <w:szCs w:val="20"/>
          <w:lang w:val="bg-BG"/>
        </w:rPr>
        <w:t>, ал. 4</w:t>
      </w:r>
      <w:r w:rsidR="00EA7116" w:rsidRPr="00EA7116">
        <w:rPr>
          <w:rFonts w:ascii="Verdana" w:hAnsi="Verdana"/>
          <w:sz w:val="20"/>
          <w:szCs w:val="20"/>
          <w:lang w:val="bg-BG"/>
        </w:rPr>
        <w:t xml:space="preserve"> от ЗЖ, селскостопанската дейност в една ферма трябва да се извършва само от едно лице.</w:t>
      </w:r>
      <w:r w:rsidR="00EA7116">
        <w:rPr>
          <w:rFonts w:ascii="Verdana" w:hAnsi="Verdana"/>
          <w:sz w:val="20"/>
          <w:szCs w:val="20"/>
          <w:lang w:val="bg-BG"/>
        </w:rPr>
        <w:t xml:space="preserve"> </w:t>
      </w:r>
      <w:r w:rsidR="00EA7116" w:rsidRPr="00EA7116">
        <w:rPr>
          <w:rFonts w:ascii="Verdana" w:hAnsi="Verdana"/>
          <w:sz w:val="20"/>
          <w:szCs w:val="20"/>
          <w:lang w:val="bg-BG"/>
        </w:rPr>
        <w:t xml:space="preserve">Също така, обектите за отглеждане на селскостопански животни, съгласно чл. 13а от посочения закон трябва да отговарят на </w:t>
      </w:r>
      <w:r w:rsidR="00EA7116" w:rsidRPr="00EA7116">
        <w:rPr>
          <w:rFonts w:ascii="Verdana" w:hAnsi="Verdana"/>
          <w:sz w:val="20"/>
          <w:szCs w:val="20"/>
          <w:lang w:val="bg-BG"/>
        </w:rPr>
        <w:lastRenderedPageBreak/>
        <w:t xml:space="preserve">нормативните изисквания, които са специфични за всеки вид селскостопански животни, съгласно зоотехническите, </w:t>
      </w:r>
      <w:proofErr w:type="spellStart"/>
      <w:r w:rsidR="00EA7116" w:rsidRPr="00EA7116">
        <w:rPr>
          <w:rFonts w:ascii="Verdana" w:hAnsi="Verdana"/>
          <w:sz w:val="20"/>
          <w:szCs w:val="20"/>
          <w:lang w:val="bg-BG"/>
        </w:rPr>
        <w:t>зоохигиенните</w:t>
      </w:r>
      <w:proofErr w:type="spellEnd"/>
      <w:r w:rsidR="00EA7116" w:rsidRPr="00EA7116">
        <w:rPr>
          <w:rFonts w:ascii="Verdana" w:hAnsi="Verdana"/>
          <w:sz w:val="20"/>
          <w:szCs w:val="20"/>
          <w:lang w:val="bg-BG"/>
        </w:rPr>
        <w:t>, ветеринарно-санитарните и изисквания, и свързаните с опазването на околната среда.</w:t>
      </w:r>
    </w:p>
    <w:p w14:paraId="4901B877" w14:textId="3B1EF75D" w:rsidP="00EA7116" w:rsidR="00EA7116" w:rsidRDefault="00EA7116" w:rsidRPr="00EA7116">
      <w:pPr>
        <w:spacing w:line="360" w:lineRule="auto"/>
        <w:ind w:firstLine="720"/>
        <w:jc w:val="both"/>
        <w:rPr>
          <w:rFonts w:ascii="Verdana" w:hAnsi="Verdana"/>
          <w:sz w:val="20"/>
          <w:szCs w:val="20"/>
          <w:lang w:val="bg-BG"/>
        </w:rPr>
      </w:pPr>
      <w:r w:rsidRPr="00EA7116">
        <w:rPr>
          <w:rFonts w:ascii="Verdana" w:hAnsi="Verdana"/>
          <w:sz w:val="20"/>
          <w:szCs w:val="20"/>
          <w:lang w:val="bg-BG"/>
        </w:rPr>
        <w:t>Принципно в посочения случай</w:t>
      </w:r>
      <w:r>
        <w:rPr>
          <w:rFonts w:ascii="Verdana" w:hAnsi="Verdana"/>
          <w:sz w:val="20"/>
          <w:szCs w:val="20"/>
          <w:lang w:val="bg-BG"/>
        </w:rPr>
        <w:t xml:space="preserve"> (</w:t>
      </w:r>
      <w:r w:rsidRPr="00EA7116">
        <w:rPr>
          <w:rFonts w:ascii="Verdana" w:hAnsi="Verdana"/>
          <w:i/>
          <w:iCs/>
          <w:sz w:val="20"/>
          <w:szCs w:val="20"/>
          <w:lang w:val="bg-BG"/>
        </w:rPr>
        <w:t>регистрация на 2 ЖО</w:t>
      </w:r>
      <w:r>
        <w:rPr>
          <w:rFonts w:ascii="Verdana" w:hAnsi="Verdana"/>
          <w:sz w:val="20"/>
          <w:szCs w:val="20"/>
          <w:lang w:val="bg-BG"/>
        </w:rPr>
        <w:t>)</w:t>
      </w:r>
      <w:r w:rsidRPr="00EA7116">
        <w:rPr>
          <w:rFonts w:ascii="Verdana" w:hAnsi="Verdana"/>
          <w:sz w:val="20"/>
          <w:szCs w:val="20"/>
          <w:lang w:val="bg-BG"/>
        </w:rPr>
        <w:t xml:space="preserve"> това е възможно, когато се осигурят отделни входове и изходи за сградата, напълно отделяне на помещенията, с цел изключване на всякакъв контакт между животните, и са изпълнени всички останали изисквания към животновъдните обекти, съобразно вида на животните. </w:t>
      </w:r>
    </w:p>
    <w:p w14:paraId="2AF2A061" w14:textId="554A5973" w:rsidP="00EA7116" w:rsidR="00CA05D7" w:rsidRDefault="00EA7116">
      <w:pPr>
        <w:spacing w:line="360" w:lineRule="auto"/>
        <w:ind w:firstLine="720"/>
        <w:jc w:val="both"/>
        <w:rPr>
          <w:rFonts w:ascii="Verdana" w:hAnsi="Verdana"/>
          <w:sz w:val="20"/>
          <w:szCs w:val="20"/>
          <w:lang w:val="bg-BG"/>
        </w:rPr>
      </w:pPr>
      <w:r w:rsidRPr="00EA7116">
        <w:rPr>
          <w:rFonts w:ascii="Verdana" w:hAnsi="Verdana"/>
          <w:sz w:val="20"/>
          <w:szCs w:val="20"/>
          <w:lang w:val="bg-BG"/>
        </w:rPr>
        <w:t xml:space="preserve">За да бъде възможна такава регистрация, за всеки един от тях трябва да има пълен индивидуален набор документи, изискуеми съгласно чл. 137, ал. 1 от ЗВД, </w:t>
      </w:r>
      <w:r w:rsidR="00D5467F">
        <w:rPr>
          <w:rFonts w:ascii="Verdana" w:hAnsi="Verdana"/>
          <w:sz w:val="20"/>
          <w:szCs w:val="20"/>
          <w:lang w:val="bg-BG"/>
        </w:rPr>
        <w:t>като</w:t>
      </w:r>
      <w:r w:rsidRPr="00EA7116">
        <w:rPr>
          <w:rFonts w:ascii="Verdana" w:hAnsi="Verdana"/>
          <w:sz w:val="20"/>
          <w:szCs w:val="20"/>
          <w:lang w:val="bg-BG"/>
        </w:rPr>
        <w:t xml:space="preserve"> за целта стопаните следва първо да се обърнат към съответната община. </w:t>
      </w:r>
    </w:p>
    <w:p w14:paraId="3B7DC264" w14:textId="20567808" w:rsidP="00EA7116" w:rsidR="00A015B9" w:rsidRDefault="00A015B9">
      <w:pPr>
        <w:spacing w:line="360" w:lineRule="auto"/>
        <w:ind w:firstLine="720"/>
        <w:jc w:val="both"/>
        <w:rPr>
          <w:rFonts w:ascii="Verdana" w:hAnsi="Verdana"/>
          <w:sz w:val="20"/>
          <w:szCs w:val="20"/>
          <w:lang w:val="bg-BG"/>
        </w:rPr>
      </w:pPr>
      <w:r w:rsidRPr="00A015B9">
        <w:rPr>
          <w:rFonts w:ascii="Verdana" w:hAnsi="Verdana"/>
          <w:b/>
          <w:bCs/>
          <w:sz w:val="20"/>
          <w:szCs w:val="20"/>
          <w:lang w:val="bg-BG"/>
        </w:rPr>
        <w:t>Въпрос 4:</w:t>
      </w:r>
      <w:r>
        <w:rPr>
          <w:rFonts w:ascii="Verdana" w:hAnsi="Verdana"/>
          <w:sz w:val="20"/>
          <w:szCs w:val="20"/>
          <w:lang w:val="bg-BG"/>
        </w:rPr>
        <w:t xml:space="preserve"> „</w:t>
      </w:r>
      <w:r w:rsidR="00EA7116" w:rsidRPr="00EA7116">
        <w:rPr>
          <w:rFonts w:ascii="Verdana" w:hAnsi="Verdana"/>
          <w:sz w:val="20"/>
          <w:szCs w:val="20"/>
          <w:lang w:val="bg-BG"/>
        </w:rPr>
        <w:t>Може ли БАБХ да публикува списък с документите, които ще се изискват при проверка?</w:t>
      </w:r>
      <w:r w:rsidR="00EA7116">
        <w:rPr>
          <w:rFonts w:ascii="Verdana" w:hAnsi="Verdana"/>
          <w:sz w:val="20"/>
          <w:szCs w:val="20"/>
          <w:lang w:val="bg-BG"/>
        </w:rPr>
        <w:t xml:space="preserve"> </w:t>
      </w:r>
      <w:r w:rsidR="00EA7116" w:rsidRPr="00EA7116">
        <w:rPr>
          <w:rFonts w:ascii="Verdana" w:hAnsi="Verdana"/>
          <w:sz w:val="20"/>
          <w:szCs w:val="20"/>
          <w:lang w:val="bg-BG"/>
        </w:rPr>
        <w:t xml:space="preserve">Поставяме искане да се изготви и </w:t>
      </w:r>
      <w:r w:rsidR="00F2631A" w:rsidRPr="00EA7116">
        <w:rPr>
          <w:rFonts w:ascii="Verdana" w:hAnsi="Verdana"/>
          <w:sz w:val="20"/>
          <w:szCs w:val="20"/>
          <w:lang w:val="bg-BG"/>
        </w:rPr>
        <w:t>публикува</w:t>
      </w:r>
      <w:r w:rsidR="00EA7116" w:rsidRPr="00EA7116">
        <w:rPr>
          <w:rFonts w:ascii="Verdana" w:hAnsi="Verdana"/>
          <w:sz w:val="20"/>
          <w:szCs w:val="20"/>
          <w:lang w:val="bg-BG"/>
        </w:rPr>
        <w:t xml:space="preserve"> такъв списък, тъй като различните проверяващи искат различни документи, които са извън упоменатите в чл.132 от ЗВМД. Това създава не</w:t>
      </w:r>
      <w:r w:rsidR="00EA7116">
        <w:rPr>
          <w:rFonts w:ascii="Verdana" w:hAnsi="Verdana"/>
          <w:sz w:val="20"/>
          <w:szCs w:val="20"/>
          <w:lang w:val="bg-BG"/>
        </w:rPr>
        <w:t>у</w:t>
      </w:r>
      <w:r w:rsidR="00EA7116" w:rsidRPr="00EA7116">
        <w:rPr>
          <w:rFonts w:ascii="Verdana" w:hAnsi="Verdana"/>
          <w:sz w:val="20"/>
          <w:szCs w:val="20"/>
          <w:lang w:val="bg-BG"/>
        </w:rPr>
        <w:t>добства</w:t>
      </w:r>
      <w:r w:rsidR="00D5467F">
        <w:rPr>
          <w:rFonts w:ascii="Verdana" w:hAnsi="Verdana"/>
          <w:sz w:val="20"/>
          <w:szCs w:val="20"/>
          <w:lang w:val="bg-BG"/>
        </w:rPr>
        <w:t>,</w:t>
      </w:r>
      <w:r w:rsidR="00EA7116" w:rsidRPr="00EA7116">
        <w:rPr>
          <w:rFonts w:ascii="Verdana" w:hAnsi="Verdana"/>
          <w:sz w:val="20"/>
          <w:szCs w:val="20"/>
          <w:lang w:val="bg-BG"/>
        </w:rPr>
        <w:t xml:space="preserve"> особено на нови животновъди.</w:t>
      </w:r>
      <w:r w:rsidR="00EA7116">
        <w:rPr>
          <w:rFonts w:ascii="Verdana" w:hAnsi="Verdana"/>
          <w:sz w:val="20"/>
          <w:szCs w:val="20"/>
          <w:lang w:val="bg-BG"/>
        </w:rPr>
        <w:t>“</w:t>
      </w:r>
    </w:p>
    <w:p w14:paraId="63E76875" w14:textId="11BED4FC" w:rsidP="00F2631A" w:rsidR="00F2631A" w:rsidRDefault="00F2631A" w:rsidRPr="00F2631A">
      <w:pPr>
        <w:spacing w:line="360" w:lineRule="auto"/>
        <w:ind w:firstLine="720"/>
        <w:jc w:val="both"/>
        <w:rPr>
          <w:rFonts w:ascii="Verdana" w:hAnsi="Verdana"/>
          <w:sz w:val="20"/>
          <w:szCs w:val="20"/>
          <w:lang w:val="bg-BG"/>
        </w:rPr>
      </w:pPr>
      <w:r w:rsidRPr="00F2631A">
        <w:rPr>
          <w:rFonts w:ascii="Verdana" w:hAnsi="Verdana"/>
          <w:b/>
          <w:bCs/>
          <w:sz w:val="20"/>
          <w:szCs w:val="20"/>
          <w:lang w:val="bg-BG"/>
        </w:rPr>
        <w:t>Отговор:</w:t>
      </w:r>
      <w:r>
        <w:rPr>
          <w:rFonts w:ascii="Verdana" w:hAnsi="Verdana"/>
          <w:b/>
          <w:bCs/>
          <w:sz w:val="20"/>
          <w:szCs w:val="20"/>
          <w:lang w:val="bg-BG"/>
        </w:rPr>
        <w:t xml:space="preserve"> </w:t>
      </w:r>
      <w:r w:rsidRPr="00F2631A">
        <w:rPr>
          <w:rFonts w:ascii="Verdana" w:hAnsi="Verdana"/>
          <w:sz w:val="20"/>
          <w:szCs w:val="20"/>
          <w:lang w:val="bg-BG"/>
        </w:rPr>
        <w:t>В чл. 132 от ЗВМД, са посочени изисквания към собствениците, съответно ползвателите на животновъдни обекти със селскостопански животни, съобразно които стопаните трябва да поддържат в животновъдния обект съответни</w:t>
      </w:r>
      <w:r w:rsidR="00D5467F">
        <w:rPr>
          <w:rFonts w:ascii="Verdana" w:hAnsi="Verdana"/>
          <w:sz w:val="20"/>
          <w:szCs w:val="20"/>
          <w:lang w:val="bg-BG"/>
        </w:rPr>
        <w:t>те</w:t>
      </w:r>
      <w:r w:rsidRPr="00F2631A">
        <w:rPr>
          <w:rFonts w:ascii="Verdana" w:hAnsi="Verdana"/>
          <w:sz w:val="20"/>
          <w:szCs w:val="20"/>
          <w:lang w:val="bg-BG"/>
        </w:rPr>
        <w:t xml:space="preserve"> документи</w:t>
      </w:r>
      <w:r w:rsidR="00D5467F">
        <w:rPr>
          <w:rFonts w:ascii="Verdana" w:hAnsi="Verdana"/>
          <w:sz w:val="20"/>
          <w:szCs w:val="20"/>
          <w:lang w:val="bg-BG"/>
        </w:rPr>
        <w:t>,</w:t>
      </w:r>
      <w:r w:rsidRPr="00F2631A">
        <w:rPr>
          <w:rFonts w:ascii="Verdana" w:hAnsi="Verdana"/>
          <w:sz w:val="20"/>
          <w:szCs w:val="20"/>
          <w:lang w:val="bg-BG"/>
        </w:rPr>
        <w:t xml:space="preserve"> удостоверяващи изпълнение на изискванията. Съгласно чл. 132, ал. 1, т. 25 документите свързани с дейността на обекта и животните в него трябва да се поддържат на електронен или писмен носител и да бъдат предоставени на компетентния орган при поискване. </w:t>
      </w:r>
    </w:p>
    <w:p w14:paraId="5B082288" w14:textId="30A7FCCB" w:rsidP="00F2631A" w:rsidR="00F2631A" w:rsidRDefault="00F2631A" w:rsidRPr="00F2631A">
      <w:pPr>
        <w:spacing w:line="360" w:lineRule="auto"/>
        <w:ind w:firstLine="720"/>
        <w:jc w:val="both"/>
        <w:rPr>
          <w:rFonts w:ascii="Verdana" w:hAnsi="Verdana"/>
          <w:sz w:val="20"/>
          <w:szCs w:val="20"/>
          <w:lang w:val="bg-BG"/>
        </w:rPr>
      </w:pPr>
      <w:r w:rsidRPr="00D5467F">
        <w:rPr>
          <w:rFonts w:ascii="Verdana" w:hAnsi="Verdana"/>
          <w:sz w:val="20"/>
          <w:szCs w:val="20"/>
          <w:u w:val="single"/>
          <w:lang w:val="bg-BG"/>
        </w:rPr>
        <w:t>Образци на документи</w:t>
      </w:r>
      <w:r w:rsidR="00D5467F">
        <w:rPr>
          <w:rFonts w:ascii="Verdana" w:hAnsi="Verdana"/>
          <w:sz w:val="20"/>
          <w:szCs w:val="20"/>
          <w:lang w:val="bg-BG"/>
        </w:rPr>
        <w:t>,</w:t>
      </w:r>
      <w:r w:rsidRPr="00F2631A">
        <w:rPr>
          <w:rFonts w:ascii="Verdana" w:hAnsi="Verdana"/>
          <w:sz w:val="20"/>
          <w:szCs w:val="20"/>
          <w:lang w:val="bg-BG"/>
        </w:rPr>
        <w:t xml:space="preserve"> касаещи здравеопазване и хуманно отношение към животните</w:t>
      </w:r>
      <w:r w:rsidR="00D5467F">
        <w:rPr>
          <w:rFonts w:ascii="Verdana" w:hAnsi="Verdana"/>
          <w:sz w:val="20"/>
          <w:szCs w:val="20"/>
          <w:lang w:val="bg-BG"/>
        </w:rPr>
        <w:t>,</w:t>
      </w:r>
      <w:r w:rsidRPr="00F2631A">
        <w:rPr>
          <w:rFonts w:ascii="Verdana" w:hAnsi="Verdana"/>
          <w:sz w:val="20"/>
          <w:szCs w:val="20"/>
          <w:lang w:val="bg-BG"/>
        </w:rPr>
        <w:t xml:space="preserve"> са налични на електронната страница на БАБХ: секция „Документи”, рубрика „Образци на документи“,  </w:t>
      </w:r>
      <w:proofErr w:type="spellStart"/>
      <w:r w:rsidRPr="00F2631A">
        <w:rPr>
          <w:rFonts w:ascii="Verdana" w:hAnsi="Verdana"/>
          <w:sz w:val="20"/>
          <w:szCs w:val="20"/>
          <w:lang w:val="bg-BG"/>
        </w:rPr>
        <w:t>подрубрика</w:t>
      </w:r>
      <w:proofErr w:type="spellEnd"/>
      <w:r w:rsidRPr="00F2631A">
        <w:rPr>
          <w:rFonts w:ascii="Verdana" w:hAnsi="Verdana"/>
          <w:sz w:val="20"/>
          <w:szCs w:val="20"/>
          <w:lang w:val="bg-BG"/>
        </w:rPr>
        <w:t xml:space="preserve"> „Здравеопазване и хуманно отношение към животните“. Също така, полезна информация за стопаните е налична в секция „За бизнеса”: </w:t>
      </w:r>
      <w:proofErr w:type="spellStart"/>
      <w:r w:rsidRPr="00F2631A">
        <w:rPr>
          <w:rFonts w:ascii="Verdana" w:hAnsi="Verdana"/>
          <w:sz w:val="20"/>
          <w:szCs w:val="20"/>
          <w:lang w:val="bg-BG"/>
        </w:rPr>
        <w:t>подрубрики</w:t>
      </w:r>
      <w:proofErr w:type="spellEnd"/>
      <w:r w:rsidRPr="00F2631A">
        <w:rPr>
          <w:rFonts w:ascii="Verdana" w:hAnsi="Verdana"/>
          <w:sz w:val="20"/>
          <w:szCs w:val="20"/>
          <w:lang w:val="bg-BG"/>
        </w:rPr>
        <w:t xml:space="preserve"> „Здравеопазване и хуманно отношение към животните“, „Фуражи“ и „Ветеринарномедицински продукти“.</w:t>
      </w:r>
    </w:p>
    <w:p w14:paraId="4036033A" w14:textId="72C40EC1" w:rsidP="00E7181D" w:rsidR="00F2631A" w:rsidRDefault="00F2631A" w:rsidRPr="00D5467F">
      <w:pPr>
        <w:spacing w:after="0" w:line="360" w:lineRule="auto"/>
        <w:ind w:firstLine="720"/>
        <w:jc w:val="both"/>
        <w:rPr>
          <w:rFonts w:ascii="Verdana" w:hAnsi="Verdana"/>
          <w:b/>
          <w:bCs/>
          <w:sz w:val="20"/>
          <w:szCs w:val="20"/>
          <w:u w:val="single"/>
          <w:lang w:val="bg-BG"/>
        </w:rPr>
      </w:pPr>
      <w:proofErr w:type="spellStart"/>
      <w:r w:rsidRPr="00D5467F">
        <w:rPr>
          <w:rFonts w:ascii="Verdana" w:hAnsi="Verdana"/>
          <w:b/>
          <w:bCs/>
          <w:sz w:val="20"/>
          <w:szCs w:val="20"/>
          <w:u w:val="single"/>
          <w:lang w:val="bg-BG"/>
        </w:rPr>
        <w:t>Съотносими</w:t>
      </w:r>
      <w:proofErr w:type="spellEnd"/>
      <w:r w:rsidRPr="00D5467F">
        <w:rPr>
          <w:rFonts w:ascii="Verdana" w:hAnsi="Verdana"/>
          <w:b/>
          <w:bCs/>
          <w:sz w:val="20"/>
          <w:szCs w:val="20"/>
          <w:u w:val="single"/>
          <w:lang w:val="bg-BG"/>
        </w:rPr>
        <w:t xml:space="preserve"> документи към изискванията по чл. 132 от ЗВМД, които най-малко следва да се поддържат в ЖО: </w:t>
      </w:r>
    </w:p>
    <w:p w14:paraId="2CE1B086" w14:textId="3799C1ED" w:rsidP="00E7181D" w:rsidR="00F2631A" w:rsidRDefault="00F2631A" w:rsidRPr="004B5520">
      <w:pPr>
        <w:spacing w:after="0" w:line="360" w:lineRule="auto"/>
        <w:ind w:firstLine="720"/>
        <w:jc w:val="both"/>
        <w:rPr>
          <w:rFonts w:ascii="Verdana" w:hAnsi="Verdana"/>
          <w:b/>
          <w:bCs/>
          <w:sz w:val="20"/>
          <w:szCs w:val="20"/>
          <w:lang w:val="bg-BG"/>
        </w:rPr>
      </w:pPr>
      <w:r w:rsidRPr="004B5520">
        <w:rPr>
          <w:rFonts w:ascii="Verdana" w:hAnsi="Verdana"/>
          <w:b/>
          <w:bCs/>
          <w:sz w:val="20"/>
          <w:szCs w:val="20"/>
          <w:lang w:val="bg-BG"/>
        </w:rPr>
        <w:t xml:space="preserve">I. Документи, удостоверяващи спазване </w:t>
      </w:r>
      <w:r w:rsidR="00BF54D0">
        <w:rPr>
          <w:rFonts w:ascii="Verdana" w:hAnsi="Verdana"/>
          <w:b/>
          <w:bCs/>
          <w:sz w:val="20"/>
          <w:szCs w:val="20"/>
          <w:lang w:val="bg-BG"/>
        </w:rPr>
        <w:t xml:space="preserve">на </w:t>
      </w:r>
      <w:r w:rsidRPr="004B5520">
        <w:rPr>
          <w:rFonts w:ascii="Verdana" w:hAnsi="Verdana"/>
          <w:b/>
          <w:bCs/>
          <w:sz w:val="20"/>
          <w:szCs w:val="20"/>
          <w:lang w:val="bg-BG"/>
        </w:rPr>
        <w:t xml:space="preserve">изискванията </w:t>
      </w:r>
      <w:r w:rsidR="00BF54D0">
        <w:rPr>
          <w:rFonts w:ascii="Verdana" w:hAnsi="Verdana"/>
          <w:b/>
          <w:bCs/>
          <w:sz w:val="20"/>
          <w:szCs w:val="20"/>
          <w:lang w:val="bg-BG"/>
        </w:rPr>
        <w:t>з</w:t>
      </w:r>
      <w:r w:rsidRPr="004B5520">
        <w:rPr>
          <w:rFonts w:ascii="Verdana" w:hAnsi="Verdana"/>
          <w:b/>
          <w:bCs/>
          <w:sz w:val="20"/>
          <w:szCs w:val="20"/>
          <w:lang w:val="bg-BG"/>
        </w:rPr>
        <w:t>а хуманно отношение към животните:</w:t>
      </w:r>
    </w:p>
    <w:p w14:paraId="7E0942D4" w14:textId="77777777" w:rsidP="00E06C18" w:rsidR="00E06C18" w:rsidRDefault="00F2631A" w:rsidRPr="00E06C18">
      <w:pPr>
        <w:pStyle w:val="a3"/>
        <w:numPr>
          <w:ilvl w:val="0"/>
          <w:numId w:val="16"/>
        </w:numPr>
        <w:spacing w:after="0" w:line="360" w:lineRule="auto"/>
        <w:jc w:val="both"/>
        <w:rPr>
          <w:rFonts w:ascii="Verdana" w:hAnsi="Verdana"/>
          <w:sz w:val="20"/>
          <w:szCs w:val="20"/>
          <w:lang w:val="bg-BG"/>
        </w:rPr>
      </w:pPr>
      <w:r w:rsidRPr="00E06C18">
        <w:rPr>
          <w:rFonts w:ascii="Verdana" w:hAnsi="Verdana"/>
          <w:sz w:val="20"/>
          <w:szCs w:val="20"/>
          <w:lang w:val="bg-BG"/>
        </w:rPr>
        <w:t xml:space="preserve">за проведените с ветеринарномедицински продукти лечебни третирания; </w:t>
      </w:r>
    </w:p>
    <w:p w14:paraId="7E5E3DEE" w14:textId="192365E8" w:rsidP="00E06C18" w:rsidR="004B5520" w:rsidRDefault="00F2631A" w:rsidRPr="00E06C18">
      <w:pPr>
        <w:pStyle w:val="a3"/>
        <w:numPr>
          <w:ilvl w:val="0"/>
          <w:numId w:val="16"/>
        </w:numPr>
        <w:spacing w:after="0" w:line="360" w:lineRule="auto"/>
        <w:jc w:val="both"/>
        <w:rPr>
          <w:rFonts w:ascii="Verdana" w:hAnsi="Verdana"/>
          <w:sz w:val="20"/>
          <w:szCs w:val="20"/>
          <w:lang w:val="bg-BG"/>
        </w:rPr>
      </w:pPr>
      <w:r w:rsidRPr="00E06C18">
        <w:rPr>
          <w:rFonts w:ascii="Verdana" w:hAnsi="Verdana"/>
          <w:sz w:val="20"/>
          <w:szCs w:val="20"/>
          <w:lang w:val="bg-BG"/>
        </w:rPr>
        <w:t>за манипулации;</w:t>
      </w:r>
    </w:p>
    <w:p w14:paraId="03C27AAF" w14:textId="007AD35E" w:rsidP="00E06C18" w:rsidR="00F2631A" w:rsidRDefault="00F2631A" w:rsidRPr="00E06C18">
      <w:pPr>
        <w:pStyle w:val="a3"/>
        <w:numPr>
          <w:ilvl w:val="0"/>
          <w:numId w:val="16"/>
        </w:numPr>
        <w:spacing w:after="0" w:line="360" w:lineRule="auto"/>
        <w:jc w:val="both"/>
        <w:rPr>
          <w:rFonts w:ascii="Verdana" w:hAnsi="Verdana"/>
          <w:sz w:val="20"/>
          <w:szCs w:val="20"/>
          <w:lang w:val="bg-BG"/>
        </w:rPr>
      </w:pPr>
      <w:r w:rsidRPr="00E06C18">
        <w:rPr>
          <w:rFonts w:ascii="Verdana" w:hAnsi="Verdana"/>
          <w:sz w:val="20"/>
          <w:szCs w:val="20"/>
          <w:lang w:val="bg-BG"/>
        </w:rPr>
        <w:lastRenderedPageBreak/>
        <w:t>удостоверяващи умрелите животни;</w:t>
      </w:r>
    </w:p>
    <w:p w14:paraId="56E945CB" w14:textId="1C236280" w:rsidP="00E06C18" w:rsidR="00F2631A" w:rsidRDefault="00F2631A" w:rsidRPr="00E06C18">
      <w:pPr>
        <w:pStyle w:val="a3"/>
        <w:numPr>
          <w:ilvl w:val="0"/>
          <w:numId w:val="16"/>
        </w:numPr>
        <w:spacing w:line="360" w:lineRule="auto"/>
        <w:jc w:val="both"/>
        <w:rPr>
          <w:rFonts w:ascii="Verdana" w:hAnsi="Verdana"/>
          <w:sz w:val="20"/>
          <w:szCs w:val="20"/>
          <w:lang w:val="bg-BG"/>
        </w:rPr>
      </w:pPr>
      <w:r w:rsidRPr="00E06C18">
        <w:rPr>
          <w:rFonts w:ascii="Verdana" w:hAnsi="Verdana"/>
          <w:sz w:val="20"/>
          <w:szCs w:val="20"/>
          <w:lang w:val="bg-BG"/>
        </w:rPr>
        <w:t>удостоверяващи отглежданите животни;</w:t>
      </w:r>
    </w:p>
    <w:p w14:paraId="4E275BC1" w14:textId="4C6BF3B1" w:rsidP="004B5520" w:rsidR="00F2631A" w:rsidRDefault="00F2631A" w:rsidRPr="004B5520">
      <w:pPr>
        <w:pStyle w:val="a3"/>
        <w:numPr>
          <w:ilvl w:val="0"/>
          <w:numId w:val="8"/>
        </w:numPr>
        <w:spacing w:line="360" w:lineRule="auto"/>
        <w:jc w:val="both"/>
        <w:rPr>
          <w:rFonts w:ascii="Verdana" w:hAnsi="Verdana"/>
          <w:sz w:val="20"/>
          <w:szCs w:val="20"/>
          <w:lang w:val="bg-BG"/>
        </w:rPr>
      </w:pPr>
      <w:r w:rsidRPr="004B5520">
        <w:rPr>
          <w:rFonts w:ascii="Verdana" w:hAnsi="Verdana"/>
          <w:sz w:val="20"/>
          <w:szCs w:val="20"/>
          <w:lang w:val="bg-BG"/>
        </w:rPr>
        <w:t>удостоверяващи измерените параметри на околната среда (амоняк, въглероден диоксид);</w:t>
      </w:r>
    </w:p>
    <w:p w14:paraId="56F7E13D" w14:textId="224F2CCB" w:rsidP="004B5520" w:rsidR="00F2631A" w:rsidRDefault="00F2631A" w:rsidRPr="004B5520">
      <w:pPr>
        <w:pStyle w:val="a3"/>
        <w:numPr>
          <w:ilvl w:val="0"/>
          <w:numId w:val="8"/>
        </w:numPr>
        <w:spacing w:line="360" w:lineRule="auto"/>
        <w:jc w:val="both"/>
        <w:rPr>
          <w:rFonts w:ascii="Verdana" w:hAnsi="Verdana"/>
          <w:sz w:val="20"/>
          <w:szCs w:val="20"/>
          <w:lang w:val="bg-BG"/>
        </w:rPr>
      </w:pPr>
      <w:r w:rsidRPr="004B5520">
        <w:rPr>
          <w:rFonts w:ascii="Verdana" w:hAnsi="Verdana"/>
          <w:sz w:val="20"/>
          <w:szCs w:val="20"/>
          <w:lang w:val="bg-BG"/>
        </w:rPr>
        <w:t>свързан</w:t>
      </w:r>
      <w:r w:rsidR="004B5520" w:rsidRPr="004B5520">
        <w:rPr>
          <w:rFonts w:ascii="Verdana" w:hAnsi="Verdana"/>
          <w:sz w:val="20"/>
          <w:szCs w:val="20"/>
          <w:lang w:val="bg-BG"/>
        </w:rPr>
        <w:t>и</w:t>
      </w:r>
      <w:r w:rsidRPr="004B5520">
        <w:rPr>
          <w:rFonts w:ascii="Verdana" w:hAnsi="Verdana"/>
          <w:sz w:val="20"/>
          <w:szCs w:val="20"/>
          <w:lang w:val="bg-BG"/>
        </w:rPr>
        <w:t xml:space="preserve"> с вътрешни правила и лица/гледачи преминали обучение от собственика на ЖО, удостоверяващи достатъчен брой гледачи с необходимата квалификация и опит за полагане на грижи за животните с оглед на техния брой, вид, възраст и здравословно състояние; че са спазени правилата за защита на животните; че е организирано първоначално и последващо обучение на персонала</w:t>
      </w:r>
      <w:r w:rsidR="004B5520" w:rsidRPr="004B5520">
        <w:rPr>
          <w:rFonts w:ascii="Verdana" w:hAnsi="Verdana"/>
          <w:sz w:val="20"/>
          <w:szCs w:val="20"/>
          <w:lang w:val="bg-BG"/>
        </w:rPr>
        <w:t>;</w:t>
      </w:r>
    </w:p>
    <w:p w14:paraId="7E88D119" w14:textId="3C6E8DE1" w:rsidP="004B5520" w:rsidR="00F2631A" w:rsidRDefault="00F2631A" w:rsidRPr="004B5520">
      <w:pPr>
        <w:pStyle w:val="a3"/>
        <w:numPr>
          <w:ilvl w:val="0"/>
          <w:numId w:val="8"/>
        </w:numPr>
        <w:spacing w:line="360" w:lineRule="auto"/>
        <w:jc w:val="both"/>
        <w:rPr>
          <w:rFonts w:ascii="Verdana" w:hAnsi="Verdana"/>
          <w:sz w:val="20"/>
          <w:szCs w:val="20"/>
          <w:lang w:val="bg-BG"/>
        </w:rPr>
      </w:pPr>
      <w:r w:rsidRPr="004B5520">
        <w:rPr>
          <w:rFonts w:ascii="Verdana" w:hAnsi="Verdana"/>
          <w:sz w:val="20"/>
          <w:szCs w:val="20"/>
          <w:lang w:val="bg-BG"/>
        </w:rPr>
        <w:t xml:space="preserve">удостоверяващи светлинен режим, </w:t>
      </w:r>
      <w:proofErr w:type="spellStart"/>
      <w:r w:rsidRPr="004B5520">
        <w:rPr>
          <w:rFonts w:ascii="Verdana" w:hAnsi="Verdana"/>
          <w:sz w:val="20"/>
          <w:szCs w:val="20"/>
          <w:lang w:val="bg-BG"/>
        </w:rPr>
        <w:t>купиране</w:t>
      </w:r>
      <w:proofErr w:type="spellEnd"/>
      <w:r w:rsidRPr="004B5520">
        <w:rPr>
          <w:rFonts w:ascii="Verdana" w:hAnsi="Verdana"/>
          <w:sz w:val="20"/>
          <w:szCs w:val="20"/>
          <w:lang w:val="bg-BG"/>
        </w:rPr>
        <w:t xml:space="preserve"> на опашките (за свиневъдни обекти);</w:t>
      </w:r>
    </w:p>
    <w:p w14:paraId="61CABA85" w14:textId="3F4E4E55" w:rsidP="004B5520" w:rsidR="00F2631A" w:rsidRDefault="00F2631A" w:rsidRPr="004B5520">
      <w:pPr>
        <w:pStyle w:val="a3"/>
        <w:numPr>
          <w:ilvl w:val="0"/>
          <w:numId w:val="9"/>
        </w:numPr>
        <w:spacing w:line="360" w:lineRule="auto"/>
        <w:jc w:val="both"/>
        <w:rPr>
          <w:rFonts w:ascii="Verdana" w:hAnsi="Verdana"/>
          <w:sz w:val="20"/>
          <w:szCs w:val="20"/>
          <w:lang w:val="bg-BG"/>
        </w:rPr>
      </w:pPr>
      <w:r w:rsidRPr="004B5520">
        <w:rPr>
          <w:rFonts w:ascii="Verdana" w:hAnsi="Verdana"/>
          <w:sz w:val="20"/>
          <w:szCs w:val="20"/>
          <w:lang w:val="bg-BG"/>
        </w:rPr>
        <w:t xml:space="preserve">удостоверяващи вложени силикатни материали (за птицевъдни обекти на </w:t>
      </w:r>
      <w:proofErr w:type="spellStart"/>
      <w:r w:rsidRPr="004B5520">
        <w:rPr>
          <w:rFonts w:ascii="Verdana" w:hAnsi="Verdana"/>
          <w:sz w:val="20"/>
          <w:szCs w:val="20"/>
          <w:lang w:val="bg-BG"/>
        </w:rPr>
        <w:t>бенефициери</w:t>
      </w:r>
      <w:proofErr w:type="spellEnd"/>
      <w:r w:rsidRPr="004B5520">
        <w:rPr>
          <w:rFonts w:ascii="Verdana" w:hAnsi="Verdana"/>
          <w:sz w:val="20"/>
          <w:szCs w:val="20"/>
          <w:lang w:val="bg-BG"/>
        </w:rPr>
        <w:t>);</w:t>
      </w:r>
    </w:p>
    <w:p w14:paraId="396265B2" w14:textId="771C5141" w:rsidP="004B5520" w:rsidR="00F2631A" w:rsidRDefault="00F2631A" w:rsidRPr="004B5520">
      <w:pPr>
        <w:pStyle w:val="a3"/>
        <w:numPr>
          <w:ilvl w:val="0"/>
          <w:numId w:val="9"/>
        </w:numPr>
        <w:spacing w:line="360" w:lineRule="auto"/>
        <w:jc w:val="both"/>
        <w:rPr>
          <w:rFonts w:ascii="Verdana" w:hAnsi="Verdana"/>
          <w:sz w:val="20"/>
          <w:szCs w:val="20"/>
          <w:lang w:val="bg-BG"/>
        </w:rPr>
      </w:pPr>
      <w:r w:rsidRPr="004B5520">
        <w:rPr>
          <w:rFonts w:ascii="Verdana" w:hAnsi="Verdana"/>
          <w:sz w:val="20"/>
          <w:szCs w:val="20"/>
          <w:lang w:val="bg-BG"/>
        </w:rPr>
        <w:t>Добри фермерски практики, съгласно Регламент 2016/429 (препоръчително към момента);</w:t>
      </w:r>
    </w:p>
    <w:p w14:paraId="0EE42E4A" w14:textId="3DA75BFB" w:rsidP="004B5520" w:rsidR="00F2631A" w:rsidRDefault="00F2631A" w:rsidRPr="004B5520">
      <w:pPr>
        <w:pStyle w:val="a3"/>
        <w:numPr>
          <w:ilvl w:val="0"/>
          <w:numId w:val="9"/>
        </w:numPr>
        <w:spacing w:line="360" w:lineRule="auto"/>
        <w:jc w:val="both"/>
        <w:rPr>
          <w:rFonts w:ascii="Verdana" w:hAnsi="Verdana"/>
          <w:sz w:val="20"/>
          <w:szCs w:val="20"/>
          <w:lang w:val="bg-BG"/>
        </w:rPr>
      </w:pPr>
      <w:r w:rsidRPr="004B5520">
        <w:rPr>
          <w:rFonts w:ascii="Verdana" w:hAnsi="Verdana"/>
          <w:sz w:val="20"/>
          <w:szCs w:val="20"/>
          <w:lang w:val="bg-BG"/>
        </w:rPr>
        <w:t>програма за хуманно умъртвяване на еднодневни птици, необходимо оборудване, обучен персонал и сключени договори за доставка на консумативи (люпилни)</w:t>
      </w:r>
      <w:r w:rsidR="00E06C18">
        <w:rPr>
          <w:rFonts w:ascii="Verdana" w:hAnsi="Verdana"/>
          <w:sz w:val="20"/>
          <w:szCs w:val="20"/>
          <w:lang w:val="bg-BG"/>
        </w:rPr>
        <w:t>.</w:t>
      </w:r>
    </w:p>
    <w:p w14:paraId="76687D9B" w14:textId="2D400927" w:rsidP="00F2631A" w:rsidR="00F2631A" w:rsidRDefault="00F2631A" w:rsidRPr="004B5520">
      <w:pPr>
        <w:spacing w:line="360" w:lineRule="auto"/>
        <w:ind w:firstLine="720"/>
        <w:jc w:val="both"/>
        <w:rPr>
          <w:rFonts w:ascii="Verdana" w:hAnsi="Verdana"/>
          <w:b/>
          <w:bCs/>
          <w:sz w:val="20"/>
          <w:szCs w:val="20"/>
          <w:lang w:val="bg-BG"/>
        </w:rPr>
      </w:pPr>
      <w:r w:rsidRPr="004B5520">
        <w:rPr>
          <w:rFonts w:ascii="Verdana" w:hAnsi="Verdana"/>
          <w:b/>
          <w:bCs/>
          <w:sz w:val="20"/>
          <w:szCs w:val="20"/>
          <w:lang w:val="bg-BG"/>
        </w:rPr>
        <w:t>II. Документи във връзка с отглеждан</w:t>
      </w:r>
      <w:r w:rsidR="00BF54D0">
        <w:rPr>
          <w:rFonts w:ascii="Verdana" w:hAnsi="Verdana"/>
          <w:b/>
          <w:bCs/>
          <w:sz w:val="20"/>
          <w:szCs w:val="20"/>
          <w:lang w:val="bg-BG"/>
        </w:rPr>
        <w:t>е</w:t>
      </w:r>
      <w:r w:rsidRPr="004B5520">
        <w:rPr>
          <w:rFonts w:ascii="Verdana" w:hAnsi="Verdana"/>
          <w:b/>
          <w:bCs/>
          <w:sz w:val="20"/>
          <w:szCs w:val="20"/>
          <w:lang w:val="bg-BG"/>
        </w:rPr>
        <w:t>, придвижван</w:t>
      </w:r>
      <w:r w:rsidR="00BF54D0">
        <w:rPr>
          <w:rFonts w:ascii="Verdana" w:hAnsi="Verdana"/>
          <w:b/>
          <w:bCs/>
          <w:sz w:val="20"/>
          <w:szCs w:val="20"/>
          <w:lang w:val="bg-BG"/>
        </w:rPr>
        <w:t>е</w:t>
      </w:r>
      <w:r w:rsidRPr="004B5520">
        <w:rPr>
          <w:rFonts w:ascii="Verdana" w:hAnsi="Verdana"/>
          <w:b/>
          <w:bCs/>
          <w:sz w:val="20"/>
          <w:szCs w:val="20"/>
          <w:lang w:val="bg-BG"/>
        </w:rPr>
        <w:t xml:space="preserve"> или транспортиран</w:t>
      </w:r>
      <w:r w:rsidR="00BF54D0">
        <w:rPr>
          <w:rFonts w:ascii="Verdana" w:hAnsi="Verdana"/>
          <w:b/>
          <w:bCs/>
          <w:sz w:val="20"/>
          <w:szCs w:val="20"/>
          <w:lang w:val="bg-BG"/>
        </w:rPr>
        <w:t>е</w:t>
      </w:r>
      <w:r w:rsidRPr="004B5520">
        <w:rPr>
          <w:rFonts w:ascii="Verdana" w:hAnsi="Verdana"/>
          <w:b/>
          <w:bCs/>
          <w:sz w:val="20"/>
          <w:szCs w:val="20"/>
          <w:lang w:val="bg-BG"/>
        </w:rPr>
        <w:t xml:space="preserve"> </w:t>
      </w:r>
      <w:r w:rsidR="00BF54D0">
        <w:rPr>
          <w:rFonts w:ascii="Verdana" w:hAnsi="Verdana"/>
          <w:b/>
          <w:bCs/>
          <w:sz w:val="20"/>
          <w:szCs w:val="20"/>
          <w:lang w:val="bg-BG"/>
        </w:rPr>
        <w:t xml:space="preserve">на </w:t>
      </w:r>
      <w:r w:rsidRPr="004B5520">
        <w:rPr>
          <w:rFonts w:ascii="Verdana" w:hAnsi="Verdana"/>
          <w:b/>
          <w:bCs/>
          <w:sz w:val="20"/>
          <w:szCs w:val="20"/>
          <w:lang w:val="bg-BG"/>
        </w:rPr>
        <w:t>животни:</w:t>
      </w:r>
    </w:p>
    <w:p w14:paraId="21A7902E" w14:textId="24A84053" w:rsidP="004B5520" w:rsidR="00F2631A" w:rsidRDefault="00F2631A" w:rsidRPr="004B5520">
      <w:pPr>
        <w:pStyle w:val="a3"/>
        <w:numPr>
          <w:ilvl w:val="0"/>
          <w:numId w:val="10"/>
        </w:numPr>
        <w:spacing w:line="360" w:lineRule="auto"/>
        <w:jc w:val="both"/>
        <w:rPr>
          <w:rFonts w:ascii="Verdana" w:hAnsi="Verdana"/>
          <w:sz w:val="20"/>
          <w:szCs w:val="20"/>
          <w:lang w:val="bg-BG"/>
        </w:rPr>
      </w:pPr>
      <w:r w:rsidRPr="004B5520">
        <w:rPr>
          <w:rFonts w:ascii="Verdana" w:hAnsi="Verdana"/>
          <w:sz w:val="20"/>
          <w:szCs w:val="20"/>
          <w:lang w:val="bg-BG"/>
        </w:rPr>
        <w:t>Ветеринарномедицинско свидетелство за придвижване/транспортиране на животни (ВМС);</w:t>
      </w:r>
    </w:p>
    <w:p w14:paraId="34530BB4" w14:textId="6EEF7C5B" w:rsidP="004B5520" w:rsidR="00F2631A" w:rsidRDefault="00F2631A" w:rsidRPr="004B5520">
      <w:pPr>
        <w:pStyle w:val="a3"/>
        <w:numPr>
          <w:ilvl w:val="0"/>
          <w:numId w:val="10"/>
        </w:numPr>
        <w:spacing w:line="360" w:lineRule="auto"/>
        <w:jc w:val="both"/>
        <w:rPr>
          <w:rFonts w:ascii="Verdana" w:hAnsi="Verdana"/>
          <w:sz w:val="20"/>
          <w:szCs w:val="20"/>
          <w:lang w:val="bg-BG"/>
        </w:rPr>
      </w:pPr>
      <w:r w:rsidRPr="004B5520">
        <w:rPr>
          <w:rFonts w:ascii="Verdana" w:hAnsi="Verdana"/>
          <w:sz w:val="20"/>
          <w:szCs w:val="20"/>
          <w:lang w:val="bg-BG"/>
        </w:rPr>
        <w:t xml:space="preserve">Сертификат от система </w:t>
      </w:r>
      <w:proofErr w:type="spellStart"/>
      <w:r w:rsidRPr="004B5520">
        <w:rPr>
          <w:rFonts w:ascii="Verdana" w:hAnsi="Verdana"/>
          <w:sz w:val="20"/>
          <w:szCs w:val="20"/>
          <w:lang w:val="bg-BG"/>
        </w:rPr>
        <w:t>Трейсис</w:t>
      </w:r>
      <w:proofErr w:type="spellEnd"/>
      <w:r w:rsidRPr="004B5520">
        <w:rPr>
          <w:rFonts w:ascii="Verdana" w:hAnsi="Verdana"/>
          <w:sz w:val="20"/>
          <w:szCs w:val="20"/>
          <w:lang w:val="bg-BG"/>
        </w:rPr>
        <w:t xml:space="preserve"> за постъпили или напуснали обекта животни при </w:t>
      </w:r>
      <w:proofErr w:type="spellStart"/>
      <w:r w:rsidRPr="004B5520">
        <w:rPr>
          <w:rFonts w:ascii="Verdana" w:hAnsi="Verdana"/>
          <w:sz w:val="20"/>
          <w:szCs w:val="20"/>
          <w:lang w:val="bg-BG"/>
        </w:rPr>
        <w:t>при</w:t>
      </w:r>
      <w:proofErr w:type="spellEnd"/>
      <w:r w:rsidRPr="004B5520">
        <w:rPr>
          <w:rFonts w:ascii="Verdana" w:hAnsi="Verdana"/>
          <w:sz w:val="20"/>
          <w:szCs w:val="20"/>
          <w:lang w:val="bg-BG"/>
        </w:rPr>
        <w:t xml:space="preserve"> транспортиране от/към друга Държава член на ЕС;</w:t>
      </w:r>
    </w:p>
    <w:p w14:paraId="70F4CDCE" w14:textId="50D2F9D1" w:rsidP="004B5520" w:rsidR="00F2631A" w:rsidRDefault="00F2631A" w:rsidRPr="004B5520">
      <w:pPr>
        <w:pStyle w:val="a3"/>
        <w:numPr>
          <w:ilvl w:val="0"/>
          <w:numId w:val="10"/>
        </w:numPr>
        <w:spacing w:line="360" w:lineRule="auto"/>
        <w:jc w:val="both"/>
        <w:rPr>
          <w:rFonts w:ascii="Verdana" w:hAnsi="Verdana"/>
          <w:sz w:val="20"/>
          <w:szCs w:val="20"/>
          <w:lang w:val="bg-BG"/>
        </w:rPr>
      </w:pPr>
      <w:r w:rsidRPr="004B5520">
        <w:rPr>
          <w:rFonts w:ascii="Verdana" w:hAnsi="Verdana"/>
          <w:sz w:val="20"/>
          <w:szCs w:val="20"/>
          <w:lang w:val="bg-BG"/>
        </w:rPr>
        <w:t>Сертификат по образец за постъпили или напуснали обекта животни при транспортиране от/към Трети страни;</w:t>
      </w:r>
    </w:p>
    <w:p w14:paraId="7A885ABB" w14:textId="0A372CAB" w:rsidP="004B5520" w:rsidR="00F2631A" w:rsidRDefault="00F2631A" w:rsidRPr="004B5520">
      <w:pPr>
        <w:pStyle w:val="a3"/>
        <w:numPr>
          <w:ilvl w:val="0"/>
          <w:numId w:val="10"/>
        </w:numPr>
        <w:spacing w:line="360" w:lineRule="auto"/>
        <w:jc w:val="both"/>
        <w:rPr>
          <w:rFonts w:ascii="Verdana" w:hAnsi="Verdana"/>
          <w:sz w:val="20"/>
          <w:szCs w:val="20"/>
          <w:lang w:val="bg-BG"/>
        </w:rPr>
      </w:pPr>
      <w:r w:rsidRPr="004B5520">
        <w:rPr>
          <w:rFonts w:ascii="Verdana" w:hAnsi="Verdana"/>
          <w:sz w:val="20"/>
          <w:szCs w:val="20"/>
          <w:lang w:val="bg-BG"/>
        </w:rPr>
        <w:t>Договор за прехвърляне правото на собственост или друг документ удостоверяващ придобиване, в случаите на придобита собствеността на животните;</w:t>
      </w:r>
    </w:p>
    <w:p w14:paraId="5C0DC4B9" w14:textId="3CAB3834" w:rsidP="004B5520" w:rsidR="00F2631A" w:rsidRDefault="00F2631A" w:rsidRPr="004B5520">
      <w:pPr>
        <w:pStyle w:val="a3"/>
        <w:numPr>
          <w:ilvl w:val="0"/>
          <w:numId w:val="11"/>
        </w:numPr>
        <w:spacing w:line="360" w:lineRule="auto"/>
        <w:jc w:val="both"/>
        <w:rPr>
          <w:rFonts w:ascii="Verdana" w:hAnsi="Verdana"/>
          <w:sz w:val="20"/>
          <w:szCs w:val="20"/>
          <w:lang w:val="bg-BG"/>
        </w:rPr>
      </w:pPr>
      <w:r w:rsidRPr="004B5520">
        <w:rPr>
          <w:rFonts w:ascii="Verdana" w:hAnsi="Verdana"/>
          <w:sz w:val="20"/>
          <w:szCs w:val="20"/>
          <w:lang w:val="bg-BG"/>
        </w:rPr>
        <w:t>Уведомления към РВЛ за събития с животни: за новородени; закупени; продадени; откраднати; умрели; убити; за предназначените за транспорт, за промяна на собствеността, или за клане за собствена консумация; за предназначените за идентификация или за вече идентифицираните; за падналите или за невъзможни за разчитане средства за официална идентификация; за животни със влошено здравословно състояние;</w:t>
      </w:r>
    </w:p>
    <w:p w14:paraId="1740D2BD" w14:textId="4D166E13" w:rsidP="004B5520" w:rsidR="00F2631A" w:rsidRDefault="00F2631A" w:rsidRPr="004B5520">
      <w:pPr>
        <w:pStyle w:val="a3"/>
        <w:numPr>
          <w:ilvl w:val="0"/>
          <w:numId w:val="11"/>
        </w:numPr>
        <w:spacing w:line="360" w:lineRule="auto"/>
        <w:jc w:val="both"/>
        <w:rPr>
          <w:rFonts w:ascii="Verdana" w:hAnsi="Verdana"/>
          <w:sz w:val="20"/>
          <w:szCs w:val="20"/>
          <w:lang w:val="bg-BG"/>
        </w:rPr>
      </w:pPr>
      <w:r w:rsidRPr="004B5520">
        <w:rPr>
          <w:rFonts w:ascii="Verdana" w:hAnsi="Verdana"/>
          <w:sz w:val="20"/>
          <w:szCs w:val="20"/>
          <w:lang w:val="bg-BG"/>
        </w:rPr>
        <w:t>Регистър на животните в животновъдния обект по образец, с актуални и пълни данни за новородените, закланите, откраднатите, убитите, продадените, придобитите животни, напусналите с ВМС и др.;</w:t>
      </w:r>
    </w:p>
    <w:p w14:paraId="2CE154DC" w14:textId="6F7C8BC4" w:rsidP="004B5520" w:rsidR="00F2631A" w:rsidRDefault="00F2631A" w:rsidRPr="004B5520">
      <w:pPr>
        <w:pStyle w:val="a3"/>
        <w:numPr>
          <w:ilvl w:val="0"/>
          <w:numId w:val="11"/>
        </w:numPr>
        <w:spacing w:line="360" w:lineRule="auto"/>
        <w:jc w:val="both"/>
        <w:rPr>
          <w:rFonts w:ascii="Verdana" w:hAnsi="Verdana"/>
          <w:sz w:val="20"/>
          <w:szCs w:val="20"/>
          <w:lang w:val="bg-BG"/>
        </w:rPr>
      </w:pPr>
      <w:r w:rsidRPr="004B5520">
        <w:rPr>
          <w:rFonts w:ascii="Verdana" w:hAnsi="Verdana"/>
          <w:sz w:val="20"/>
          <w:szCs w:val="20"/>
          <w:lang w:val="bg-BG"/>
        </w:rPr>
        <w:lastRenderedPageBreak/>
        <w:t>Дневник за отразяване на външни лица (с изключение на пасище);</w:t>
      </w:r>
    </w:p>
    <w:p w14:paraId="5B81383D" w14:textId="72092449" w:rsidP="004B5520" w:rsidR="00F2631A" w:rsidRDefault="00F2631A" w:rsidRPr="004B5520">
      <w:pPr>
        <w:pStyle w:val="a3"/>
        <w:numPr>
          <w:ilvl w:val="0"/>
          <w:numId w:val="11"/>
        </w:numPr>
        <w:spacing w:line="360" w:lineRule="auto"/>
        <w:jc w:val="both"/>
        <w:rPr>
          <w:rFonts w:ascii="Verdana" w:hAnsi="Verdana"/>
          <w:sz w:val="20"/>
          <w:szCs w:val="20"/>
          <w:lang w:val="bg-BG"/>
        </w:rPr>
      </w:pPr>
      <w:r w:rsidRPr="004B5520">
        <w:rPr>
          <w:rFonts w:ascii="Verdana" w:hAnsi="Verdana"/>
          <w:sz w:val="20"/>
          <w:szCs w:val="20"/>
          <w:lang w:val="bg-BG"/>
        </w:rPr>
        <w:t>Ветеринарномедицински дневник на пчелина;</w:t>
      </w:r>
    </w:p>
    <w:p w14:paraId="07575E78" w14:textId="25AC19FD" w:rsidP="004B5520" w:rsidR="00F2631A" w:rsidRDefault="00F2631A" w:rsidRPr="004B5520">
      <w:pPr>
        <w:pStyle w:val="a3"/>
        <w:numPr>
          <w:ilvl w:val="0"/>
          <w:numId w:val="11"/>
        </w:numPr>
        <w:spacing w:line="360" w:lineRule="auto"/>
        <w:jc w:val="both"/>
        <w:rPr>
          <w:rFonts w:ascii="Verdana" w:hAnsi="Verdana"/>
          <w:sz w:val="20"/>
          <w:szCs w:val="20"/>
          <w:lang w:val="bg-BG"/>
        </w:rPr>
      </w:pPr>
      <w:r w:rsidRPr="004B5520">
        <w:rPr>
          <w:rFonts w:ascii="Verdana" w:hAnsi="Verdana"/>
          <w:sz w:val="20"/>
          <w:szCs w:val="20"/>
          <w:lang w:val="bg-BG"/>
        </w:rPr>
        <w:t>Дневници по образец в обекти за отглеждане на охлюви и калифорнийски червеи;</w:t>
      </w:r>
    </w:p>
    <w:p w14:paraId="3DCFE10F" w14:textId="557A27A9" w:rsidP="004B5520" w:rsidR="00F2631A" w:rsidRDefault="00F2631A">
      <w:pPr>
        <w:pStyle w:val="a3"/>
        <w:numPr>
          <w:ilvl w:val="0"/>
          <w:numId w:val="11"/>
        </w:numPr>
        <w:spacing w:line="360" w:lineRule="auto"/>
        <w:jc w:val="both"/>
        <w:rPr>
          <w:rFonts w:ascii="Verdana" w:hAnsi="Verdana"/>
          <w:sz w:val="20"/>
          <w:szCs w:val="20"/>
          <w:lang w:val="bg-BG"/>
        </w:rPr>
      </w:pPr>
      <w:r w:rsidRPr="004B5520">
        <w:rPr>
          <w:rFonts w:ascii="Verdana" w:hAnsi="Verdana"/>
          <w:sz w:val="20"/>
          <w:szCs w:val="20"/>
          <w:lang w:val="bg-BG"/>
        </w:rPr>
        <w:t xml:space="preserve">Документи, удостоверяващи извършена дезинфекция, дезинсекция, </w:t>
      </w:r>
      <w:proofErr w:type="spellStart"/>
      <w:r w:rsidRPr="004B5520">
        <w:rPr>
          <w:rFonts w:ascii="Verdana" w:hAnsi="Verdana"/>
          <w:sz w:val="20"/>
          <w:szCs w:val="20"/>
          <w:lang w:val="bg-BG"/>
        </w:rPr>
        <w:t>дератизация</w:t>
      </w:r>
      <w:proofErr w:type="spellEnd"/>
      <w:r w:rsidRPr="004B5520">
        <w:rPr>
          <w:rFonts w:ascii="Verdana" w:hAnsi="Verdana"/>
          <w:sz w:val="20"/>
          <w:szCs w:val="20"/>
          <w:lang w:val="bg-BG"/>
        </w:rPr>
        <w:t xml:space="preserve"> в обекта (включително помещения, оборудване и пр.,) и на транспортните средства (с изключение на пасища, обекти за калифорнийски червеи)</w:t>
      </w:r>
      <w:r w:rsidR="00E06C18">
        <w:rPr>
          <w:rFonts w:ascii="Verdana" w:hAnsi="Verdana"/>
          <w:sz w:val="20"/>
          <w:szCs w:val="20"/>
          <w:lang w:val="bg-BG"/>
        </w:rPr>
        <w:t>.</w:t>
      </w:r>
    </w:p>
    <w:p w14:paraId="0CC15084" w14:textId="77777777" w:rsidP="00F2631A" w:rsidR="00F2631A" w:rsidRDefault="00F2631A" w:rsidRPr="004B5520">
      <w:pPr>
        <w:spacing w:line="360" w:lineRule="auto"/>
        <w:ind w:firstLine="720"/>
        <w:jc w:val="both"/>
        <w:rPr>
          <w:rFonts w:ascii="Verdana" w:hAnsi="Verdana"/>
          <w:b/>
          <w:bCs/>
          <w:sz w:val="20"/>
          <w:szCs w:val="20"/>
          <w:lang w:val="bg-BG"/>
        </w:rPr>
      </w:pPr>
      <w:r w:rsidRPr="004B5520">
        <w:rPr>
          <w:rFonts w:ascii="Verdana" w:hAnsi="Verdana"/>
          <w:b/>
          <w:bCs/>
          <w:sz w:val="20"/>
          <w:szCs w:val="20"/>
          <w:lang w:val="bg-BG"/>
        </w:rPr>
        <w:t xml:space="preserve">IІІ. Документи във връзка с официалната идентификация и за изпълнението на мерките по държавната профилактична програма и програмите за надзор и ликвидиране на болести по животните и </w:t>
      </w:r>
      <w:proofErr w:type="spellStart"/>
      <w:r w:rsidRPr="004B5520">
        <w:rPr>
          <w:rFonts w:ascii="Verdana" w:hAnsi="Verdana"/>
          <w:b/>
          <w:bCs/>
          <w:sz w:val="20"/>
          <w:szCs w:val="20"/>
          <w:lang w:val="bg-BG"/>
        </w:rPr>
        <w:t>зоонози</w:t>
      </w:r>
      <w:proofErr w:type="spellEnd"/>
      <w:r w:rsidRPr="004B5520">
        <w:rPr>
          <w:rFonts w:ascii="Verdana" w:hAnsi="Verdana"/>
          <w:b/>
          <w:bCs/>
          <w:sz w:val="20"/>
          <w:szCs w:val="20"/>
          <w:lang w:val="bg-BG"/>
        </w:rPr>
        <w:t>:</w:t>
      </w:r>
    </w:p>
    <w:p w14:paraId="6F3A9577" w14:textId="7933B646" w:rsidP="004B5520" w:rsidR="00F2631A" w:rsidRDefault="00F2631A" w:rsidRPr="004B5520">
      <w:pPr>
        <w:pStyle w:val="a3"/>
        <w:numPr>
          <w:ilvl w:val="0"/>
          <w:numId w:val="12"/>
        </w:numPr>
        <w:spacing w:line="360" w:lineRule="auto"/>
        <w:jc w:val="both"/>
        <w:rPr>
          <w:rFonts w:ascii="Verdana" w:hAnsi="Verdana"/>
          <w:sz w:val="20"/>
          <w:szCs w:val="20"/>
          <w:lang w:val="bg-BG"/>
        </w:rPr>
      </w:pPr>
      <w:r w:rsidRPr="004B5520">
        <w:rPr>
          <w:rFonts w:ascii="Verdana" w:hAnsi="Verdana"/>
          <w:sz w:val="20"/>
          <w:szCs w:val="20"/>
          <w:lang w:val="bg-BG"/>
        </w:rPr>
        <w:t>Декларация по образец за идентифицирани животни;</w:t>
      </w:r>
    </w:p>
    <w:p w14:paraId="3584FB4E" w14:textId="0D92C5DD" w:rsidP="004B5520" w:rsidR="00F2631A" w:rsidRDefault="00F2631A" w:rsidRPr="004B5520">
      <w:pPr>
        <w:pStyle w:val="a3"/>
        <w:numPr>
          <w:ilvl w:val="0"/>
          <w:numId w:val="12"/>
        </w:numPr>
        <w:spacing w:line="360" w:lineRule="auto"/>
        <w:jc w:val="both"/>
        <w:rPr>
          <w:rFonts w:ascii="Verdana" w:hAnsi="Verdana"/>
          <w:sz w:val="20"/>
          <w:szCs w:val="20"/>
          <w:lang w:val="bg-BG"/>
        </w:rPr>
      </w:pPr>
      <w:r w:rsidRPr="004B5520">
        <w:rPr>
          <w:rFonts w:ascii="Verdana" w:hAnsi="Verdana"/>
          <w:sz w:val="20"/>
          <w:szCs w:val="20"/>
          <w:lang w:val="bg-BG"/>
        </w:rPr>
        <w:t>Паспорт по образец за едри преживни животни и за еднокопитни животни, подписани от стопаните;</w:t>
      </w:r>
    </w:p>
    <w:p w14:paraId="49A9A997" w14:textId="4845F035" w:rsidP="004B5520" w:rsidR="00F2631A" w:rsidRDefault="00F2631A" w:rsidRPr="004B5520">
      <w:pPr>
        <w:pStyle w:val="a3"/>
        <w:numPr>
          <w:ilvl w:val="0"/>
          <w:numId w:val="12"/>
        </w:numPr>
        <w:spacing w:line="360" w:lineRule="auto"/>
        <w:jc w:val="both"/>
        <w:rPr>
          <w:rFonts w:ascii="Verdana" w:hAnsi="Verdana"/>
          <w:sz w:val="20"/>
          <w:szCs w:val="20"/>
          <w:lang w:val="bg-BG"/>
        </w:rPr>
      </w:pPr>
      <w:r w:rsidRPr="004B5520">
        <w:rPr>
          <w:rFonts w:ascii="Verdana" w:hAnsi="Verdana"/>
          <w:sz w:val="20"/>
          <w:szCs w:val="20"/>
          <w:lang w:val="bg-BG"/>
        </w:rPr>
        <w:t>Протокол за предадени на РВЛ средства за официална идентификация, както и паспорт на заклани за лична консумация животни; средства за официална идентификация, които са повредени, бракувани /нечетливи/;</w:t>
      </w:r>
    </w:p>
    <w:p w14:paraId="0CDBDFEC" w14:textId="798EB13D" w:rsidP="004B5520" w:rsidR="00F2631A" w:rsidRDefault="00F2631A" w:rsidRPr="004B5520">
      <w:pPr>
        <w:pStyle w:val="a3"/>
        <w:numPr>
          <w:ilvl w:val="0"/>
          <w:numId w:val="12"/>
        </w:numPr>
        <w:spacing w:line="360" w:lineRule="auto"/>
        <w:jc w:val="both"/>
        <w:rPr>
          <w:rFonts w:ascii="Verdana" w:hAnsi="Verdana"/>
          <w:sz w:val="20"/>
          <w:szCs w:val="20"/>
          <w:lang w:val="bg-BG"/>
        </w:rPr>
      </w:pPr>
      <w:r w:rsidRPr="004B5520">
        <w:rPr>
          <w:rFonts w:ascii="Verdana" w:hAnsi="Verdana"/>
          <w:sz w:val="20"/>
          <w:szCs w:val="20"/>
          <w:lang w:val="bg-BG"/>
        </w:rPr>
        <w:t xml:space="preserve">Документи от предадени в екарисаж или </w:t>
      </w:r>
      <w:proofErr w:type="spellStart"/>
      <w:r w:rsidRPr="004B5520">
        <w:rPr>
          <w:rFonts w:ascii="Verdana" w:hAnsi="Verdana"/>
          <w:sz w:val="20"/>
          <w:szCs w:val="20"/>
          <w:lang w:val="bg-BG"/>
        </w:rPr>
        <w:t>инсинератор</w:t>
      </w:r>
      <w:proofErr w:type="spellEnd"/>
      <w:r w:rsidRPr="004B5520">
        <w:rPr>
          <w:rFonts w:ascii="Verdana" w:hAnsi="Verdana"/>
          <w:sz w:val="20"/>
          <w:szCs w:val="20"/>
          <w:lang w:val="bg-BG"/>
        </w:rPr>
        <w:t xml:space="preserve"> умрели животни, техни паспорти, и странични животински продукти;</w:t>
      </w:r>
    </w:p>
    <w:p w14:paraId="6A2A20F2" w14:textId="15789FD9" w:rsidP="004B5520" w:rsidR="00F2631A" w:rsidRDefault="00F2631A" w:rsidRPr="004B5520">
      <w:pPr>
        <w:pStyle w:val="a3"/>
        <w:numPr>
          <w:ilvl w:val="0"/>
          <w:numId w:val="12"/>
        </w:numPr>
        <w:spacing w:line="360" w:lineRule="auto"/>
        <w:jc w:val="both"/>
        <w:rPr>
          <w:rFonts w:ascii="Verdana" w:hAnsi="Verdana"/>
          <w:sz w:val="20"/>
          <w:szCs w:val="20"/>
          <w:lang w:val="bg-BG"/>
        </w:rPr>
      </w:pPr>
      <w:r w:rsidRPr="004B5520">
        <w:rPr>
          <w:rFonts w:ascii="Verdana" w:hAnsi="Verdana"/>
          <w:sz w:val="20"/>
          <w:szCs w:val="20"/>
          <w:lang w:val="bg-BG"/>
        </w:rPr>
        <w:t>Декларация по образец съдържаща данни от годишен (ежегоден) инвентаризационен опис на животните в обекта;</w:t>
      </w:r>
    </w:p>
    <w:p w14:paraId="6D3ED74D" w14:textId="3A136133" w:rsidP="004B5520" w:rsidR="00F2631A" w:rsidRDefault="00F2631A" w:rsidRPr="004B5520">
      <w:pPr>
        <w:pStyle w:val="a3"/>
        <w:numPr>
          <w:ilvl w:val="0"/>
          <w:numId w:val="12"/>
        </w:numPr>
        <w:spacing w:line="360" w:lineRule="auto"/>
        <w:jc w:val="both"/>
        <w:rPr>
          <w:rFonts w:ascii="Verdana" w:hAnsi="Verdana"/>
          <w:sz w:val="20"/>
          <w:szCs w:val="20"/>
          <w:lang w:val="bg-BG"/>
        </w:rPr>
      </w:pPr>
      <w:r w:rsidRPr="004B5520">
        <w:rPr>
          <w:rFonts w:ascii="Verdana" w:hAnsi="Verdana"/>
          <w:sz w:val="20"/>
          <w:szCs w:val="20"/>
          <w:lang w:val="bg-BG"/>
        </w:rPr>
        <w:t>Технологична схема; правила за вътрешния ред и хигиена; правила за употреба на подходящо работно облекло на персонала, а за посетителите – подходящо защитно облекло; резултатите от лабораторните изследвания при възникване на заразна болест; документи от извършен от стопанина микробиологичен качествен контрол чрез вземане на проби за санитарни и патогенни микроорганизми; документацията за партидите яйца в люпилнята; документацията за партидите яйца в люпилнята (люпилня);</w:t>
      </w:r>
    </w:p>
    <w:p w14:paraId="1ED69AB0" w14:textId="36D99A82" w:rsidP="004B5520" w:rsidR="00F2631A" w:rsidRDefault="00F2631A" w:rsidRPr="004B5520">
      <w:pPr>
        <w:pStyle w:val="a3"/>
        <w:numPr>
          <w:ilvl w:val="0"/>
          <w:numId w:val="13"/>
        </w:numPr>
        <w:spacing w:line="360" w:lineRule="auto"/>
        <w:jc w:val="both"/>
        <w:rPr>
          <w:rFonts w:ascii="Verdana" w:hAnsi="Verdana"/>
          <w:sz w:val="20"/>
          <w:szCs w:val="20"/>
          <w:lang w:val="bg-BG"/>
        </w:rPr>
      </w:pPr>
      <w:r w:rsidRPr="004B5520">
        <w:rPr>
          <w:rFonts w:ascii="Verdana" w:hAnsi="Verdana"/>
          <w:sz w:val="20"/>
          <w:szCs w:val="20"/>
          <w:lang w:val="bg-BG"/>
        </w:rPr>
        <w:t>Изготвен и одобрен план за прилагане на спешни мерки при констатиране на заразна болест в животновъдните обекти с изключение на животновъдните обекти – лични стопанства (люпилня, животновъден обект за отглеждане на птици и свине в индустриална ферма и фамилна ферма за свине);</w:t>
      </w:r>
    </w:p>
    <w:p w14:paraId="29F91334" w14:textId="5EE9F501" w:rsidP="004B5520" w:rsidR="00F2631A" w:rsidRDefault="00F2631A" w:rsidRPr="004B5520">
      <w:pPr>
        <w:pStyle w:val="a3"/>
        <w:numPr>
          <w:ilvl w:val="0"/>
          <w:numId w:val="13"/>
        </w:numPr>
        <w:spacing w:line="360" w:lineRule="auto"/>
        <w:jc w:val="both"/>
        <w:rPr>
          <w:rFonts w:ascii="Verdana" w:hAnsi="Verdana"/>
          <w:sz w:val="20"/>
          <w:szCs w:val="20"/>
          <w:lang w:val="bg-BG"/>
        </w:rPr>
      </w:pPr>
      <w:r w:rsidRPr="004B5520">
        <w:rPr>
          <w:rFonts w:ascii="Verdana" w:hAnsi="Verdana"/>
          <w:sz w:val="20"/>
          <w:szCs w:val="20"/>
          <w:lang w:val="bg-BG"/>
        </w:rPr>
        <w:t xml:space="preserve">Изготвена и одобрена програма за почистване, дезинфекция, дезинсекция и </w:t>
      </w:r>
      <w:proofErr w:type="spellStart"/>
      <w:r w:rsidRPr="004B5520">
        <w:rPr>
          <w:rFonts w:ascii="Verdana" w:hAnsi="Verdana"/>
          <w:sz w:val="20"/>
          <w:szCs w:val="20"/>
          <w:lang w:val="bg-BG"/>
        </w:rPr>
        <w:t>дератизация</w:t>
      </w:r>
      <w:proofErr w:type="spellEnd"/>
      <w:r w:rsidRPr="004B5520">
        <w:rPr>
          <w:rFonts w:ascii="Verdana" w:hAnsi="Verdana"/>
          <w:sz w:val="20"/>
          <w:szCs w:val="20"/>
          <w:lang w:val="bg-BG"/>
        </w:rPr>
        <w:t xml:space="preserve"> с въведени процедури и тяхното документиране (люпилня, животновъден обект за отглеждане на птици и свине в индустриална ферма); </w:t>
      </w:r>
    </w:p>
    <w:p w14:paraId="53626D62" w14:textId="67DE73DF" w:rsidP="004B5520" w:rsidR="00F2631A" w:rsidRDefault="00F2631A" w:rsidRPr="004B5520">
      <w:pPr>
        <w:pStyle w:val="a3"/>
        <w:numPr>
          <w:ilvl w:val="0"/>
          <w:numId w:val="13"/>
        </w:numPr>
        <w:spacing w:line="360" w:lineRule="auto"/>
        <w:jc w:val="both"/>
        <w:rPr>
          <w:rFonts w:ascii="Verdana" w:hAnsi="Verdana"/>
          <w:sz w:val="20"/>
          <w:szCs w:val="20"/>
          <w:lang w:val="bg-BG"/>
        </w:rPr>
      </w:pPr>
      <w:r w:rsidRPr="004B5520">
        <w:rPr>
          <w:rFonts w:ascii="Verdana" w:hAnsi="Verdana"/>
          <w:sz w:val="20"/>
          <w:szCs w:val="20"/>
          <w:lang w:val="bg-BG"/>
        </w:rPr>
        <w:t xml:space="preserve">Изготвен и одобрен индивидуален план за биосигурност с определяне на критичните контролни точки в обекта и процедури за тяхното управление </w:t>
      </w:r>
      <w:r w:rsidRPr="004B5520">
        <w:rPr>
          <w:rFonts w:ascii="Verdana" w:hAnsi="Verdana"/>
          <w:sz w:val="20"/>
          <w:szCs w:val="20"/>
          <w:lang w:val="bg-BG"/>
        </w:rPr>
        <w:lastRenderedPageBreak/>
        <w:t xml:space="preserve">(люпилня, животновъден обект за отглеждане на птици и свине в индустриална ферма и фамилна ферма за свине); </w:t>
      </w:r>
    </w:p>
    <w:p w14:paraId="1CE4752E" w14:textId="77777777" w:rsidP="004B5520" w:rsidR="004B5520" w:rsidRDefault="00F2631A" w:rsidRPr="004B5520">
      <w:pPr>
        <w:pStyle w:val="a3"/>
        <w:numPr>
          <w:ilvl w:val="0"/>
          <w:numId w:val="13"/>
        </w:numPr>
        <w:spacing w:line="360" w:lineRule="auto"/>
        <w:jc w:val="both"/>
        <w:rPr>
          <w:rFonts w:ascii="Verdana" w:hAnsi="Verdana"/>
          <w:sz w:val="20"/>
          <w:szCs w:val="20"/>
          <w:lang w:val="bg-BG"/>
        </w:rPr>
      </w:pPr>
      <w:r w:rsidRPr="004B5520">
        <w:rPr>
          <w:rFonts w:ascii="Verdana" w:hAnsi="Verdana"/>
          <w:sz w:val="20"/>
          <w:szCs w:val="20"/>
          <w:lang w:val="bg-BG"/>
        </w:rPr>
        <w:t>Програми за самоконтрол на заболяванията за съответния вид животни, утвърдена от изпълнителния директор на БАБХ;</w:t>
      </w:r>
    </w:p>
    <w:p w14:paraId="017CCBFC" w14:textId="03703570" w:rsidP="004B5520" w:rsidR="00F2631A" w:rsidRDefault="00F2631A" w:rsidRPr="004B5520">
      <w:pPr>
        <w:pStyle w:val="a3"/>
        <w:numPr>
          <w:ilvl w:val="0"/>
          <w:numId w:val="13"/>
        </w:numPr>
        <w:spacing w:line="360" w:lineRule="auto"/>
        <w:jc w:val="both"/>
        <w:rPr>
          <w:rFonts w:ascii="Verdana" w:hAnsi="Verdana"/>
          <w:sz w:val="20"/>
          <w:szCs w:val="20"/>
          <w:lang w:val="bg-BG"/>
        </w:rPr>
      </w:pPr>
      <w:r w:rsidRPr="004B5520">
        <w:rPr>
          <w:rFonts w:ascii="Verdana" w:hAnsi="Verdana"/>
          <w:sz w:val="20"/>
          <w:szCs w:val="20"/>
          <w:lang w:val="bg-BG"/>
        </w:rPr>
        <w:t>Разрешение за населване на животни;</w:t>
      </w:r>
    </w:p>
    <w:p w14:paraId="5BF90ACE" w14:textId="0D59797C" w:rsidP="00F2631A" w:rsidR="00F2631A" w:rsidRDefault="00F2631A" w:rsidRPr="004B5520">
      <w:pPr>
        <w:spacing w:line="360" w:lineRule="auto"/>
        <w:ind w:firstLine="720"/>
        <w:jc w:val="both"/>
        <w:rPr>
          <w:rFonts w:ascii="Verdana" w:hAnsi="Verdana"/>
          <w:b/>
          <w:bCs/>
          <w:sz w:val="20"/>
          <w:szCs w:val="20"/>
          <w:lang w:val="bg-BG"/>
        </w:rPr>
      </w:pPr>
      <w:r w:rsidRPr="004B5520">
        <w:rPr>
          <w:rFonts w:ascii="Verdana" w:hAnsi="Verdana"/>
          <w:b/>
          <w:bCs/>
          <w:sz w:val="20"/>
          <w:szCs w:val="20"/>
          <w:lang w:val="bg-BG"/>
        </w:rPr>
        <w:t>ІV. Други документи:</w:t>
      </w:r>
    </w:p>
    <w:p w14:paraId="7C206EAD" w14:textId="6C60FCBA"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 xml:space="preserve">Действащ договор за предоставяне на ветеринарномедицински услуги, сключен по чл. 137а или 137б от ЗВМД между стопанина и регистриран ветеринарен лекар (РВЛ), за изпълнение на мерките по държавната профилактична програма и програмите за надзор и ликвидиране на болести по животните и </w:t>
      </w:r>
      <w:proofErr w:type="spellStart"/>
      <w:r w:rsidRPr="004B5520">
        <w:rPr>
          <w:rFonts w:ascii="Verdana" w:hAnsi="Verdana"/>
          <w:sz w:val="20"/>
          <w:szCs w:val="20"/>
          <w:lang w:val="bg-BG"/>
        </w:rPr>
        <w:t>зоонози</w:t>
      </w:r>
      <w:proofErr w:type="spellEnd"/>
      <w:r w:rsidRPr="004B5520">
        <w:rPr>
          <w:rFonts w:ascii="Verdana" w:hAnsi="Verdana"/>
          <w:sz w:val="20"/>
          <w:szCs w:val="20"/>
          <w:lang w:val="bg-BG"/>
        </w:rPr>
        <w:t>;</w:t>
      </w:r>
    </w:p>
    <w:p w14:paraId="0342EDFE" w14:textId="3D8C3C7E"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Действащ договор, сключен по чл. 137а или 137б от ЗВМД между стопанина и РВЛ за профилактика, лечение и диагностика на болестите по животните и други, свързани с тях дейности;</w:t>
      </w:r>
    </w:p>
    <w:p w14:paraId="39B0E897" w14:textId="48815E7A"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Актуално удостоверение за регистрация на животновъдния обект по реда на чл. 137 от ЗВМД;</w:t>
      </w:r>
    </w:p>
    <w:p w14:paraId="52D7AEFD" w14:textId="27B1AFB2"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Документи, удостоверяващи извършено подходящо обучение на персонала на обекта относно изпълнението на изискванията на Наредба № 44 от 20.04.2006 г;</w:t>
      </w:r>
    </w:p>
    <w:p w14:paraId="3761115A" w14:textId="3DFBB3B8"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Становище за първоначална категоризация на животновъдния обект, съгласно Регламент 853/2004 относно качество на млякото и Наредба № 2 от 23.02.2017 г.;</w:t>
      </w:r>
    </w:p>
    <w:p w14:paraId="21E383B0" w14:textId="0414ED35"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Приемо-предавателни документи за транспорт на сурово мляко;</w:t>
      </w:r>
    </w:p>
    <w:p w14:paraId="303FB02F" w14:textId="7B424DCB"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Информация за резултатите от средно-геометрични стойности за изследване на сурово краве мляко, съгласно Наредба № 2 от 23.02.2017 г.;</w:t>
      </w:r>
    </w:p>
    <w:p w14:paraId="1656CC39" w14:textId="187013A6"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Документи от извършените проверки на обекта, животните или продуктите от животински произход;</w:t>
      </w:r>
    </w:p>
    <w:p w14:paraId="1AE575AF" w14:textId="27AEB090"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 xml:space="preserve">Дневник по образец, в който РВЛ вписва проведените лечебно-профилактични мероприятия и данни за използваните ветеринарномедицински продукти (ВМП), определен </w:t>
      </w:r>
      <w:proofErr w:type="spellStart"/>
      <w:r w:rsidRPr="004B5520">
        <w:rPr>
          <w:rFonts w:ascii="Verdana" w:hAnsi="Verdana"/>
          <w:sz w:val="20"/>
          <w:szCs w:val="20"/>
          <w:lang w:val="bg-BG"/>
        </w:rPr>
        <w:t>карентен</w:t>
      </w:r>
      <w:proofErr w:type="spellEnd"/>
      <w:r w:rsidRPr="004B5520">
        <w:rPr>
          <w:rFonts w:ascii="Verdana" w:hAnsi="Verdana"/>
          <w:sz w:val="20"/>
          <w:szCs w:val="20"/>
          <w:lang w:val="bg-BG"/>
        </w:rPr>
        <w:t xml:space="preserve"> срок и др.;</w:t>
      </w:r>
    </w:p>
    <w:p w14:paraId="6FE07F48" w14:textId="7E7A63F4" w:rsidP="004B5520" w:rsidR="00F2631A" w:rsidRDefault="00F2631A" w:rsidRPr="004B5520">
      <w:pPr>
        <w:pStyle w:val="a3"/>
        <w:numPr>
          <w:ilvl w:val="0"/>
          <w:numId w:val="14"/>
        </w:numPr>
        <w:spacing w:line="360" w:lineRule="auto"/>
        <w:jc w:val="both"/>
        <w:rPr>
          <w:rFonts w:ascii="Verdana" w:hAnsi="Verdana"/>
          <w:sz w:val="20"/>
          <w:szCs w:val="20"/>
          <w:lang w:val="bg-BG"/>
        </w:rPr>
      </w:pPr>
      <w:r w:rsidRPr="004B5520">
        <w:rPr>
          <w:rFonts w:ascii="Verdana" w:hAnsi="Verdana"/>
          <w:sz w:val="20"/>
          <w:szCs w:val="20"/>
          <w:lang w:val="bg-BG"/>
        </w:rPr>
        <w:t xml:space="preserve">Документи с които е наложен </w:t>
      </w:r>
      <w:proofErr w:type="spellStart"/>
      <w:r w:rsidRPr="004B5520">
        <w:rPr>
          <w:rFonts w:ascii="Verdana" w:hAnsi="Verdana"/>
          <w:sz w:val="20"/>
          <w:szCs w:val="20"/>
          <w:lang w:val="bg-BG"/>
        </w:rPr>
        <w:t>карентен</w:t>
      </w:r>
      <w:proofErr w:type="spellEnd"/>
      <w:r w:rsidRPr="004B5520">
        <w:rPr>
          <w:rFonts w:ascii="Verdana" w:hAnsi="Verdana"/>
          <w:sz w:val="20"/>
          <w:szCs w:val="20"/>
          <w:lang w:val="bg-BG"/>
        </w:rPr>
        <w:t xml:space="preserve"> срок за използвани ВМП, и/или медикаментозни фуражи;</w:t>
      </w:r>
    </w:p>
    <w:p w14:paraId="127FDCA7" w14:textId="138197E4" w:rsidP="004B5520" w:rsidR="00F2631A" w:rsidRDefault="00F2631A" w:rsidRPr="004B5520">
      <w:pPr>
        <w:pStyle w:val="a3"/>
        <w:numPr>
          <w:ilvl w:val="0"/>
          <w:numId w:val="15"/>
        </w:numPr>
        <w:spacing w:line="360" w:lineRule="auto"/>
        <w:jc w:val="both"/>
        <w:rPr>
          <w:rFonts w:ascii="Verdana" w:hAnsi="Verdana"/>
          <w:sz w:val="20"/>
          <w:szCs w:val="20"/>
          <w:lang w:val="bg-BG"/>
        </w:rPr>
      </w:pPr>
      <w:r w:rsidRPr="004B5520">
        <w:rPr>
          <w:rFonts w:ascii="Verdana" w:hAnsi="Verdana"/>
          <w:sz w:val="20"/>
          <w:szCs w:val="20"/>
          <w:lang w:val="bg-BG"/>
        </w:rPr>
        <w:t>Рецепти от ветеринарен лекар с предписани дози за третиране на животни с ВМП и/или медикаментозни фуражи;</w:t>
      </w:r>
    </w:p>
    <w:p w14:paraId="4E40B0EF" w14:textId="19643372" w:rsidP="004B5520" w:rsidR="00F2631A" w:rsidRDefault="00F2631A" w:rsidRPr="004B5520">
      <w:pPr>
        <w:pStyle w:val="a3"/>
        <w:numPr>
          <w:ilvl w:val="0"/>
          <w:numId w:val="15"/>
        </w:numPr>
        <w:spacing w:line="360" w:lineRule="auto"/>
        <w:jc w:val="both"/>
        <w:rPr>
          <w:rFonts w:ascii="Verdana" w:hAnsi="Verdana"/>
          <w:sz w:val="20"/>
          <w:szCs w:val="20"/>
          <w:lang w:val="bg-BG"/>
        </w:rPr>
      </w:pPr>
      <w:r w:rsidRPr="004B5520">
        <w:rPr>
          <w:rFonts w:ascii="Verdana" w:hAnsi="Verdana"/>
          <w:sz w:val="20"/>
          <w:szCs w:val="20"/>
          <w:lang w:val="bg-BG"/>
        </w:rPr>
        <w:t>Предписания и разпореждания на ветеринарни лекари, свързани с прилагане на ветеринарномедицински контрол;</w:t>
      </w:r>
    </w:p>
    <w:p w14:paraId="22D0987E" w14:textId="63B1C2B5" w:rsidP="004B5520" w:rsidR="00F2631A" w:rsidRDefault="00F2631A" w:rsidRPr="004B5520">
      <w:pPr>
        <w:pStyle w:val="a3"/>
        <w:numPr>
          <w:ilvl w:val="0"/>
          <w:numId w:val="15"/>
        </w:numPr>
        <w:spacing w:line="360" w:lineRule="auto"/>
        <w:jc w:val="both"/>
        <w:rPr>
          <w:rFonts w:ascii="Verdana" w:hAnsi="Verdana"/>
          <w:sz w:val="20"/>
          <w:szCs w:val="20"/>
          <w:lang w:val="bg-BG"/>
        </w:rPr>
      </w:pPr>
      <w:r w:rsidRPr="004B5520">
        <w:rPr>
          <w:rFonts w:ascii="Verdana" w:hAnsi="Verdana"/>
          <w:sz w:val="20"/>
          <w:szCs w:val="20"/>
          <w:lang w:val="bg-BG"/>
        </w:rPr>
        <w:t>Списък на персонала, обслужващ обекта;</w:t>
      </w:r>
    </w:p>
    <w:p w14:paraId="3776E12E" w14:textId="2902B90A" w:rsidP="004B5520" w:rsidR="00F2631A" w:rsidRDefault="00F2631A" w:rsidRPr="004B5520">
      <w:pPr>
        <w:pStyle w:val="a3"/>
        <w:numPr>
          <w:ilvl w:val="0"/>
          <w:numId w:val="15"/>
        </w:numPr>
        <w:spacing w:line="360" w:lineRule="auto"/>
        <w:jc w:val="both"/>
        <w:rPr>
          <w:rFonts w:ascii="Verdana" w:hAnsi="Verdana"/>
          <w:sz w:val="20"/>
          <w:szCs w:val="20"/>
          <w:lang w:val="bg-BG"/>
        </w:rPr>
      </w:pPr>
      <w:r w:rsidRPr="004B5520">
        <w:rPr>
          <w:rFonts w:ascii="Verdana" w:hAnsi="Verdana"/>
          <w:sz w:val="20"/>
          <w:szCs w:val="20"/>
          <w:lang w:val="bg-BG"/>
        </w:rPr>
        <w:lastRenderedPageBreak/>
        <w:t xml:space="preserve">Документи, удостоверяващи изпълнение на програма от мерки за ограничаване и предотвратяване на замърсяване с нитрати от земеделски източници в уязвимите зони; или документи удостоверяващи изпълнението на сключен договор с преработвателно предприятие за ежедневно извозване на торовите маси  (нитратно уязвими зони, според вида на обектите, както и според общите изисквания на Наредба № 44 от 20.04.2006 г.). </w:t>
      </w:r>
    </w:p>
    <w:p w14:paraId="66A97F85" w14:textId="03731241" w:rsidP="004B5520" w:rsidR="00F2631A" w:rsidRDefault="00F2631A" w:rsidRPr="004B5520">
      <w:pPr>
        <w:pStyle w:val="a3"/>
        <w:numPr>
          <w:ilvl w:val="0"/>
          <w:numId w:val="15"/>
        </w:numPr>
        <w:spacing w:line="360" w:lineRule="auto"/>
        <w:jc w:val="both"/>
        <w:rPr>
          <w:rFonts w:ascii="Verdana" w:hAnsi="Verdana"/>
          <w:sz w:val="20"/>
          <w:szCs w:val="20"/>
          <w:lang w:val="bg-BG"/>
        </w:rPr>
      </w:pPr>
      <w:r w:rsidRPr="004B5520">
        <w:rPr>
          <w:rFonts w:ascii="Verdana" w:hAnsi="Verdana"/>
          <w:sz w:val="20"/>
          <w:szCs w:val="20"/>
          <w:lang w:val="bg-BG"/>
        </w:rPr>
        <w:t>Документи, удостоверяващи извозване от обособеното място за временно съхранение на тор и обеззаразяване на торови маси от животновъдния обект</w:t>
      </w:r>
      <w:r w:rsidR="004B5520" w:rsidRPr="004B5520">
        <w:rPr>
          <w:rFonts w:ascii="Verdana" w:hAnsi="Verdana"/>
          <w:sz w:val="20"/>
          <w:szCs w:val="20"/>
          <w:lang w:val="bg-BG"/>
        </w:rPr>
        <w:t xml:space="preserve">; </w:t>
      </w:r>
      <w:r w:rsidRPr="004B5520">
        <w:rPr>
          <w:rFonts w:ascii="Verdana" w:hAnsi="Verdana"/>
          <w:sz w:val="20"/>
          <w:szCs w:val="20"/>
          <w:lang w:val="bg-BG"/>
        </w:rPr>
        <w:t>или документи удостоверяващи изпълнението на сключен договор с преработвателно предприятие за ежедневно извозване на торовите маси;  или в някои случаи (едри, дребни преживни) върху терени извън регулация на населено място или на място, определено от местната административна власт, при наличие на официално разрешение (според вида на обектите, както и според общите изисквания на Наредба № 44 от 20.04.2006 г.);</w:t>
      </w:r>
    </w:p>
    <w:p w14:paraId="60066819" w14:textId="241B1690" w:rsidP="00F2631A" w:rsidR="00F2631A" w:rsidRDefault="00F2631A" w:rsidRPr="00F2631A">
      <w:pPr>
        <w:spacing w:line="360" w:lineRule="auto"/>
        <w:ind w:firstLine="720"/>
        <w:jc w:val="both"/>
        <w:rPr>
          <w:rFonts w:ascii="Verdana" w:hAnsi="Verdana"/>
          <w:sz w:val="20"/>
          <w:szCs w:val="20"/>
          <w:lang w:val="bg-BG"/>
        </w:rPr>
      </w:pPr>
      <w:r w:rsidRPr="004B5520">
        <w:rPr>
          <w:rFonts w:ascii="Verdana" w:hAnsi="Verdana"/>
          <w:b/>
          <w:bCs/>
          <w:sz w:val="20"/>
          <w:szCs w:val="20"/>
          <w:lang w:val="bg-BG"/>
        </w:rPr>
        <w:t>V. Документи, удостоверяващи спазването на изискванията за безопасност на фуражите</w:t>
      </w:r>
      <w:r w:rsidR="00E7181D">
        <w:rPr>
          <w:rFonts w:ascii="Verdana" w:hAnsi="Verdana"/>
          <w:b/>
          <w:bCs/>
          <w:sz w:val="20"/>
          <w:szCs w:val="20"/>
          <w:lang w:val="bg-BG"/>
        </w:rPr>
        <w:t xml:space="preserve">. </w:t>
      </w:r>
      <w:r w:rsidRPr="00F2631A">
        <w:rPr>
          <w:rFonts w:ascii="Verdana" w:hAnsi="Verdana"/>
          <w:sz w:val="20"/>
          <w:szCs w:val="20"/>
          <w:lang w:val="bg-BG"/>
        </w:rPr>
        <w:t>При извършването на проверки в животновъдните ферми (от инспекторите отговорни за контрола на фуражите) се изисква наличието на:</w:t>
      </w:r>
    </w:p>
    <w:p w14:paraId="2300BC95" w14:textId="01F51CB2" w:rsidP="00DD4265" w:rsidR="00F2631A" w:rsidRDefault="00F2631A" w:rsidRPr="00DD4265">
      <w:pPr>
        <w:pStyle w:val="a3"/>
        <w:numPr>
          <w:ilvl w:val="0"/>
          <w:numId w:val="18"/>
        </w:numPr>
        <w:spacing w:line="360" w:lineRule="auto"/>
        <w:jc w:val="both"/>
        <w:rPr>
          <w:rFonts w:ascii="Verdana" w:hAnsi="Verdana"/>
          <w:sz w:val="20"/>
          <w:szCs w:val="20"/>
          <w:lang w:val="bg-BG"/>
        </w:rPr>
      </w:pPr>
      <w:r w:rsidRPr="00DD4265">
        <w:rPr>
          <w:rFonts w:ascii="Verdana" w:hAnsi="Verdana"/>
          <w:b/>
          <w:bCs/>
          <w:sz w:val="20"/>
          <w:szCs w:val="20"/>
          <w:lang w:val="bg-BG"/>
        </w:rPr>
        <w:t xml:space="preserve">Записи за всички фуражи, влизащи в стопанството (купени фуражи). </w:t>
      </w:r>
      <w:r w:rsidRPr="00DD4265">
        <w:rPr>
          <w:rFonts w:ascii="Verdana" w:hAnsi="Verdana"/>
          <w:sz w:val="20"/>
          <w:szCs w:val="20"/>
          <w:lang w:val="bg-BG"/>
        </w:rPr>
        <w:t xml:space="preserve">Записите трябва да съдържат минимална информация за всеки закупен фураж  и може да се поддържат и в табличен вид, на електронен и/или хартиен носител, </w:t>
      </w:r>
      <w:r w:rsidRPr="00DD4265">
        <w:rPr>
          <w:rFonts w:ascii="Verdana" w:hAnsi="Verdana"/>
          <w:sz w:val="20"/>
          <w:szCs w:val="20"/>
          <w:u w:val="single"/>
          <w:lang w:val="bg-BG"/>
        </w:rPr>
        <w:t>например</w:t>
      </w:r>
      <w:r w:rsidRPr="00DD4265">
        <w:rPr>
          <w:rFonts w:ascii="Verdana" w:hAnsi="Verdana"/>
          <w:sz w:val="20"/>
          <w:szCs w:val="20"/>
          <w:lang w:val="bg-BG"/>
        </w:rPr>
        <w:t xml:space="preserve">:  </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984"/>
        <w:gridCol w:w="1305"/>
        <w:gridCol w:w="1845"/>
        <w:gridCol w:w="1954"/>
        <w:gridCol w:w="1165"/>
      </w:tblGrid>
      <w:tr w14:paraId="6E676AA3" w14:textId="77777777" w:rsidR="004B5520" w:rsidRPr="004B5520" w:rsidTr="0071132F">
        <w:trPr>
          <w:jc w:val="center"/>
        </w:trPr>
        <w:tc>
          <w:tcPr>
            <w:tcW w:type="dxa" w:w="1984"/>
            <w:vAlign w:val="center"/>
          </w:tcPr>
          <w:p w14:paraId="1593732A"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От кого е закупен фуражът (име и адрес)</w:t>
            </w:r>
          </w:p>
        </w:tc>
        <w:tc>
          <w:tcPr>
            <w:tcW w:type="dxa" w:w="1305"/>
            <w:vAlign w:val="center"/>
          </w:tcPr>
          <w:p w14:paraId="54B5DF35"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Дата на покупка</w:t>
            </w:r>
          </w:p>
        </w:tc>
        <w:tc>
          <w:tcPr>
            <w:tcW w:type="dxa" w:w="1845"/>
            <w:vAlign w:val="center"/>
          </w:tcPr>
          <w:p w14:paraId="6040E2FF"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Вид и количество на фуража</w:t>
            </w:r>
          </w:p>
        </w:tc>
        <w:tc>
          <w:tcPr>
            <w:tcW w:type="dxa" w:w="1954"/>
            <w:vAlign w:val="center"/>
          </w:tcPr>
          <w:p w14:paraId="34513C4F" w14:textId="77777777" w:rsidP="004B5520" w:rsidR="004B5520" w:rsidRDefault="004B5520" w:rsidRPr="004B5520">
            <w:pPr>
              <w:spacing w:after="0" w:line="276" w:lineRule="auto"/>
              <w:ind w:right="-143"/>
              <w:contextualSpacing/>
              <w:jc w:val="center"/>
              <w:rPr>
                <w:rFonts w:ascii="Times New Roman" w:cs="Times New Roman" w:eastAsia="Times New Roman" w:hAnsi="Times New Roman"/>
                <w:b/>
                <w:sz w:val="20"/>
                <w:szCs w:val="20"/>
                <w:lang w:eastAsia="bg-BG" w:val="bg-BG"/>
              </w:rPr>
            </w:pPr>
            <w:r w:rsidRPr="004B5520">
              <w:rPr>
                <w:rFonts w:ascii="Times New Roman" w:cs="Times New Roman" w:eastAsia="Times New Roman" w:hAnsi="Times New Roman"/>
                <w:b/>
                <w:sz w:val="20"/>
                <w:szCs w:val="20"/>
                <w:lang w:val="bg-BG"/>
              </w:rPr>
              <w:t>Партиден № на закупения фураж</w:t>
            </w:r>
            <w:r w:rsidRPr="004B5520">
              <w:rPr>
                <w:rFonts w:ascii="Times New Roman" w:cs="Times New Roman" w:eastAsia="Times New Roman" w:hAnsi="Times New Roman"/>
                <w:b/>
                <w:sz w:val="20"/>
                <w:szCs w:val="20"/>
                <w:vertAlign w:val="superscript"/>
                <w:lang w:val="bg-BG"/>
              </w:rPr>
              <w:footnoteReference w:id="1"/>
            </w:r>
          </w:p>
        </w:tc>
        <w:tc>
          <w:tcPr>
            <w:tcW w:type="dxa" w:w="1165"/>
            <w:vAlign w:val="center"/>
          </w:tcPr>
          <w:p w14:paraId="2B837D37"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Срок на годност</w:t>
            </w:r>
          </w:p>
        </w:tc>
      </w:tr>
      <w:tr w14:paraId="0EF6BDC6" w14:textId="77777777" w:rsidR="004B5520" w:rsidRPr="004B5520" w:rsidTr="0071132F">
        <w:trPr>
          <w:jc w:val="center"/>
        </w:trPr>
        <w:tc>
          <w:tcPr>
            <w:tcW w:type="dxa" w:w="1984"/>
          </w:tcPr>
          <w:p w14:paraId="1072F03F"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305"/>
          </w:tcPr>
          <w:p w14:paraId="24774C46"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845"/>
          </w:tcPr>
          <w:p w14:paraId="0FB5D36D"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954"/>
          </w:tcPr>
          <w:p w14:paraId="4D7CC6B4"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165"/>
          </w:tcPr>
          <w:p w14:paraId="46DFB385"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r>
    </w:tbl>
    <w:p w14:paraId="04FBF2B7" w14:textId="77777777" w:rsidP="00DD4265" w:rsidR="00DD4265" w:rsidRDefault="00DD4265">
      <w:pPr>
        <w:spacing w:line="360" w:lineRule="auto"/>
        <w:jc w:val="both"/>
        <w:rPr>
          <w:rFonts w:ascii="Verdana" w:hAnsi="Verdana"/>
          <w:b/>
          <w:bCs/>
          <w:sz w:val="20"/>
          <w:szCs w:val="20"/>
          <w:lang w:val="bg-BG"/>
        </w:rPr>
      </w:pPr>
    </w:p>
    <w:p w14:paraId="7FF7C716" w14:textId="7743F431" w:rsidP="00DD4265" w:rsidR="00F2631A" w:rsidRDefault="00F2631A" w:rsidRPr="00DD4265">
      <w:pPr>
        <w:pStyle w:val="a3"/>
        <w:numPr>
          <w:ilvl w:val="0"/>
          <w:numId w:val="18"/>
        </w:numPr>
        <w:spacing w:line="360" w:lineRule="auto"/>
        <w:jc w:val="both"/>
        <w:rPr>
          <w:rFonts w:ascii="Verdana" w:hAnsi="Verdana"/>
          <w:sz w:val="20"/>
          <w:szCs w:val="20"/>
          <w:lang w:val="bg-BG"/>
        </w:rPr>
      </w:pPr>
      <w:r w:rsidRPr="00DD4265">
        <w:rPr>
          <w:rFonts w:ascii="Verdana" w:hAnsi="Verdana"/>
          <w:b/>
          <w:bCs/>
          <w:sz w:val="20"/>
          <w:szCs w:val="20"/>
          <w:lang w:val="bg-BG"/>
        </w:rPr>
        <w:t>Записи за всички фуражи, напускащи стопанството (продадени фуражи)</w:t>
      </w:r>
      <w:r w:rsidRPr="00DD4265">
        <w:rPr>
          <w:rFonts w:ascii="Verdana" w:hAnsi="Verdana"/>
          <w:sz w:val="20"/>
          <w:szCs w:val="20"/>
          <w:lang w:val="bg-BG"/>
        </w:rPr>
        <w:t xml:space="preserve">. Записите трябва да съдържат минимална информация за всеки продаден фураж и може да се поддържат и в табличен вид, на електронен и/или хартиен носител, </w:t>
      </w:r>
      <w:r w:rsidRPr="00DD4265">
        <w:rPr>
          <w:rFonts w:ascii="Verdana" w:hAnsi="Verdana"/>
          <w:sz w:val="20"/>
          <w:szCs w:val="20"/>
          <w:u w:val="single"/>
          <w:lang w:val="bg-BG"/>
        </w:rPr>
        <w:t>например:</w:t>
      </w:r>
      <w:r w:rsidRPr="00DD4265">
        <w:rPr>
          <w:rFonts w:ascii="Verdana" w:hAnsi="Verdana"/>
          <w:sz w:val="20"/>
          <w:szCs w:val="20"/>
          <w:lang w:val="bg-BG"/>
        </w:rPr>
        <w:t xml:space="preserve">  </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2032"/>
        <w:gridCol w:w="1283"/>
        <w:gridCol w:w="1514"/>
        <w:gridCol w:w="2641"/>
        <w:gridCol w:w="1880"/>
      </w:tblGrid>
      <w:tr w14:paraId="2328633D" w14:textId="77777777" w:rsidR="004B5520" w:rsidRPr="004B5520" w:rsidTr="0071132F">
        <w:trPr>
          <w:jc w:val="center"/>
        </w:trPr>
        <w:tc>
          <w:tcPr>
            <w:tcW w:type="dxa" w:w="2101"/>
            <w:vAlign w:val="center"/>
          </w:tcPr>
          <w:p w14:paraId="30B4289E"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lastRenderedPageBreak/>
              <w:t>На кого е продаден фуражът (име и адрес)</w:t>
            </w:r>
          </w:p>
        </w:tc>
        <w:tc>
          <w:tcPr>
            <w:tcW w:type="dxa" w:w="1287"/>
            <w:vAlign w:val="center"/>
          </w:tcPr>
          <w:p w14:paraId="0A870786"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Дата на продажбата</w:t>
            </w:r>
          </w:p>
        </w:tc>
        <w:tc>
          <w:tcPr>
            <w:tcW w:type="dxa" w:w="1535"/>
            <w:vAlign w:val="center"/>
          </w:tcPr>
          <w:p w14:paraId="79385626"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Вид и количество на фуража</w:t>
            </w:r>
          </w:p>
        </w:tc>
        <w:tc>
          <w:tcPr>
            <w:tcW w:type="dxa" w:w="2733"/>
            <w:vAlign w:val="center"/>
          </w:tcPr>
          <w:p w14:paraId="014DF209" w14:textId="77777777" w:rsidP="004B5520" w:rsidR="004B5520" w:rsidRDefault="004B5520" w:rsidRPr="004B5520">
            <w:pPr>
              <w:spacing w:after="0" w:line="276" w:lineRule="auto"/>
              <w:ind w:right="-143"/>
              <w:contextualSpacing/>
              <w:jc w:val="center"/>
              <w:rPr>
                <w:rFonts w:ascii="Times New Roman" w:cs="Times New Roman" w:eastAsia="Times New Roman" w:hAnsi="Times New Roman"/>
                <w:b/>
                <w:sz w:val="20"/>
                <w:szCs w:val="20"/>
                <w:lang w:eastAsia="bg-BG" w:val="bg-BG"/>
              </w:rPr>
            </w:pPr>
            <w:r w:rsidRPr="004B5520">
              <w:rPr>
                <w:rFonts w:ascii="Times New Roman" w:cs="Times New Roman" w:eastAsia="Times New Roman" w:hAnsi="Times New Roman"/>
                <w:b/>
                <w:sz w:val="20"/>
                <w:szCs w:val="20"/>
                <w:lang w:val="bg-BG"/>
              </w:rPr>
              <w:t>Партиден № на продадения фураж/ от коя реколта е</w:t>
            </w:r>
            <w:r w:rsidRPr="004B5520">
              <w:rPr>
                <w:rFonts w:ascii="Times New Roman" w:cs="Times New Roman" w:eastAsia="Times New Roman" w:hAnsi="Times New Roman"/>
                <w:b/>
                <w:sz w:val="20"/>
                <w:szCs w:val="20"/>
                <w:vertAlign w:val="superscript"/>
                <w:lang w:val="bg-BG"/>
              </w:rPr>
              <w:footnoteReference w:id="2"/>
            </w:r>
          </w:p>
        </w:tc>
        <w:tc>
          <w:tcPr>
            <w:tcW w:type="dxa" w:w="1949"/>
            <w:vAlign w:val="center"/>
          </w:tcPr>
          <w:p w14:paraId="264AEB0F" w14:textId="77777777" w:rsidP="004B5520" w:rsidR="004B5520" w:rsidRDefault="004B5520" w:rsidRPr="004B5520">
            <w:pPr>
              <w:spacing w:after="0" w:line="276" w:lineRule="auto"/>
              <w:ind w:left="-59" w:right="-37"/>
              <w:contextualSpacing/>
              <w:jc w:val="center"/>
              <w:rPr>
                <w:rFonts w:ascii="Times New Roman" w:cs="Times New Roman" w:eastAsia="Times New Roman" w:hAnsi="Times New Roman"/>
                <w:b/>
                <w:sz w:val="20"/>
                <w:szCs w:val="20"/>
                <w:lang w:val="bg-BG"/>
              </w:rPr>
            </w:pPr>
            <w:r w:rsidRPr="004B5520">
              <w:rPr>
                <w:rFonts w:ascii="Times New Roman" w:cs="Times New Roman" w:eastAsia="Times New Roman" w:hAnsi="Times New Roman"/>
                <w:b/>
                <w:sz w:val="20"/>
                <w:szCs w:val="20"/>
                <w:lang w:val="bg-BG"/>
              </w:rPr>
              <w:t>Срок на годност</w:t>
            </w:r>
          </w:p>
        </w:tc>
      </w:tr>
      <w:tr w14:paraId="00D8F21C" w14:textId="77777777" w:rsidR="004B5520" w:rsidRPr="004B5520" w:rsidTr="0071132F">
        <w:trPr>
          <w:jc w:val="center"/>
        </w:trPr>
        <w:tc>
          <w:tcPr>
            <w:tcW w:type="dxa" w:w="2101"/>
          </w:tcPr>
          <w:p w14:paraId="5F73D065"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287"/>
          </w:tcPr>
          <w:p w14:paraId="790EA1D8"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5"/>
          </w:tcPr>
          <w:p w14:paraId="4163DA3F"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2733"/>
          </w:tcPr>
          <w:p w14:paraId="2EB8899D"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949"/>
          </w:tcPr>
          <w:p w14:paraId="788426FF" w14:textId="77777777" w:rsidP="004B5520" w:rsidR="004B5520" w:rsidRDefault="004B5520" w:rsidRPr="004B5520">
            <w:pPr>
              <w:spacing w:after="0" w:line="276" w:lineRule="auto"/>
              <w:ind w:right="-143"/>
              <w:contextualSpacing/>
              <w:jc w:val="both"/>
              <w:rPr>
                <w:rFonts w:ascii="Times New Roman" w:cs="Times New Roman" w:eastAsia="Times New Roman" w:hAnsi="Times New Roman"/>
                <w:b/>
                <w:sz w:val="20"/>
                <w:szCs w:val="20"/>
                <w:lang w:eastAsia="bg-BG" w:val="bg-BG"/>
              </w:rPr>
            </w:pPr>
          </w:p>
        </w:tc>
      </w:tr>
    </w:tbl>
    <w:p w14:paraId="3AB89A51" w14:textId="77777777" w:rsidP="00F2631A" w:rsidR="00E06C18" w:rsidRDefault="00E06C18">
      <w:pPr>
        <w:spacing w:line="360" w:lineRule="auto"/>
        <w:ind w:firstLine="720"/>
        <w:jc w:val="both"/>
        <w:rPr>
          <w:rFonts w:ascii="Verdana" w:hAnsi="Verdana"/>
          <w:b/>
          <w:bCs/>
          <w:sz w:val="20"/>
          <w:szCs w:val="20"/>
          <w:lang w:val="bg-BG"/>
        </w:rPr>
      </w:pPr>
    </w:p>
    <w:p w14:paraId="63CD0735" w14:textId="12AD0686" w:rsidP="00DD4265" w:rsidR="00F2631A" w:rsidRDefault="00F2631A" w:rsidRPr="00DD4265">
      <w:pPr>
        <w:pStyle w:val="a3"/>
        <w:numPr>
          <w:ilvl w:val="0"/>
          <w:numId w:val="18"/>
        </w:numPr>
        <w:spacing w:line="360" w:lineRule="auto"/>
        <w:jc w:val="both"/>
        <w:rPr>
          <w:rFonts w:ascii="Verdana" w:hAnsi="Verdana"/>
          <w:sz w:val="20"/>
          <w:szCs w:val="20"/>
          <w:lang w:val="bg-BG"/>
        </w:rPr>
      </w:pPr>
      <w:r w:rsidRPr="00DD4265">
        <w:rPr>
          <w:rFonts w:ascii="Verdana" w:hAnsi="Verdana"/>
          <w:b/>
          <w:bCs/>
          <w:sz w:val="20"/>
          <w:szCs w:val="20"/>
          <w:lang w:val="bg-BG"/>
        </w:rPr>
        <w:t>Записи за всички фуражи, с които се хранят животните.</w:t>
      </w:r>
      <w:r w:rsidRPr="00DD4265">
        <w:rPr>
          <w:rFonts w:ascii="Verdana" w:hAnsi="Verdana"/>
          <w:sz w:val="20"/>
          <w:szCs w:val="20"/>
          <w:lang w:val="bg-BG"/>
        </w:rPr>
        <w:t xml:space="preserve"> Записите трябва да съдържат минимална информация за всеки фураж и може да се поддържат и в табличен вид, на електронен и/или хартиен носител, </w:t>
      </w:r>
      <w:r w:rsidRPr="00DD4265">
        <w:rPr>
          <w:rFonts w:ascii="Verdana" w:hAnsi="Verdana"/>
          <w:sz w:val="20"/>
          <w:szCs w:val="20"/>
          <w:u w:val="single"/>
          <w:lang w:val="bg-BG"/>
        </w:rPr>
        <w:t>например:</w:t>
      </w:r>
      <w:r w:rsidRPr="00DD4265">
        <w:rPr>
          <w:rFonts w:ascii="Verdana" w:hAnsi="Verdana"/>
          <w:sz w:val="20"/>
          <w:szCs w:val="20"/>
          <w:lang w:val="bg-BG"/>
        </w:rPr>
        <w:t xml:space="preserve">  </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535"/>
        <w:gridCol w:w="1535"/>
        <w:gridCol w:w="1535"/>
        <w:gridCol w:w="1535"/>
        <w:gridCol w:w="1535"/>
        <w:gridCol w:w="1535"/>
      </w:tblGrid>
      <w:tr w14:paraId="61521EA7" w14:textId="77777777" w:rsidR="00AD6B6B" w:rsidRPr="00AD6B6B" w:rsidTr="0071132F">
        <w:trPr>
          <w:jc w:val="center"/>
        </w:trPr>
        <w:tc>
          <w:tcPr>
            <w:tcW w:type="dxa" w:w="1535"/>
            <w:vAlign w:val="center"/>
          </w:tcPr>
          <w:p w14:paraId="5427049F"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Дата</w:t>
            </w:r>
          </w:p>
        </w:tc>
        <w:tc>
          <w:tcPr>
            <w:tcW w:type="dxa" w:w="1535"/>
            <w:vAlign w:val="center"/>
          </w:tcPr>
          <w:p w14:paraId="77E918AE"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Вид и количество на фуража</w:t>
            </w:r>
          </w:p>
        </w:tc>
        <w:tc>
          <w:tcPr>
            <w:tcW w:type="dxa" w:w="1535"/>
            <w:vAlign w:val="center"/>
          </w:tcPr>
          <w:p w14:paraId="4464D202"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Фуражът е купен/ собствено производство</w:t>
            </w:r>
          </w:p>
        </w:tc>
        <w:tc>
          <w:tcPr>
            <w:tcW w:type="dxa" w:w="1535"/>
            <w:vAlign w:val="center"/>
          </w:tcPr>
          <w:p w14:paraId="6AD967DF"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Партиден № на фуража/ от коя реколта е</w:t>
            </w:r>
          </w:p>
        </w:tc>
        <w:tc>
          <w:tcPr>
            <w:tcW w:type="dxa" w:w="1535"/>
            <w:vAlign w:val="center"/>
          </w:tcPr>
          <w:p w14:paraId="3172CB5A"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Партиден № на продадения фураж/ от коя реколта е</w:t>
            </w:r>
          </w:p>
        </w:tc>
        <w:tc>
          <w:tcPr>
            <w:tcW w:type="dxa" w:w="1535"/>
            <w:vAlign w:val="center"/>
          </w:tcPr>
          <w:p w14:paraId="1BF0008F"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На какви животни е изхранен фуража</w:t>
            </w:r>
          </w:p>
        </w:tc>
      </w:tr>
      <w:tr w14:paraId="3EAA8CA0" w14:textId="77777777" w:rsidR="00AD6B6B" w:rsidRPr="00AD6B6B" w:rsidTr="0071132F">
        <w:trPr>
          <w:jc w:val="center"/>
        </w:trPr>
        <w:tc>
          <w:tcPr>
            <w:tcW w:type="dxa" w:w="1535"/>
          </w:tcPr>
          <w:p w14:paraId="266EC90E"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5"/>
          </w:tcPr>
          <w:p w14:paraId="0323F681"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5"/>
          </w:tcPr>
          <w:p w14:paraId="15B4733B"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5"/>
          </w:tcPr>
          <w:p w14:paraId="46B55309"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5"/>
          </w:tcPr>
          <w:p w14:paraId="353F5E61"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5"/>
          </w:tcPr>
          <w:p w14:paraId="5B148E79"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r>
    </w:tbl>
    <w:p w14:paraId="76D9585B" w14:textId="77777777" w:rsidP="00F2631A" w:rsidR="00F2631A" w:rsidRDefault="00F2631A" w:rsidRPr="00F2631A">
      <w:pPr>
        <w:spacing w:line="360" w:lineRule="auto"/>
        <w:ind w:firstLine="720"/>
        <w:jc w:val="both"/>
        <w:rPr>
          <w:rFonts w:ascii="Verdana" w:hAnsi="Verdana"/>
          <w:sz w:val="20"/>
          <w:szCs w:val="20"/>
          <w:lang w:val="bg-BG"/>
        </w:rPr>
      </w:pPr>
    </w:p>
    <w:p w14:paraId="576ED32A" w14:textId="141A84DC" w:rsidP="00DD4265" w:rsidR="00AD6B6B" w:rsidRDefault="00F2631A" w:rsidRPr="00DD4265">
      <w:pPr>
        <w:pStyle w:val="a3"/>
        <w:numPr>
          <w:ilvl w:val="0"/>
          <w:numId w:val="18"/>
        </w:numPr>
        <w:spacing w:line="360" w:lineRule="auto"/>
        <w:jc w:val="both"/>
        <w:rPr>
          <w:rFonts w:ascii="Verdana" w:hAnsi="Verdana"/>
          <w:sz w:val="20"/>
          <w:szCs w:val="20"/>
          <w:lang w:val="bg-BG"/>
        </w:rPr>
      </w:pPr>
      <w:r w:rsidRPr="00DD4265">
        <w:rPr>
          <w:rFonts w:ascii="Verdana" w:hAnsi="Verdana"/>
          <w:b/>
          <w:bCs/>
          <w:sz w:val="20"/>
          <w:szCs w:val="20"/>
          <w:lang w:val="bg-BG"/>
        </w:rPr>
        <w:t>Протокол от анализ на водата</w:t>
      </w:r>
      <w:r w:rsidRPr="00DD4265">
        <w:rPr>
          <w:rFonts w:ascii="Verdana" w:hAnsi="Verdana"/>
          <w:sz w:val="20"/>
          <w:szCs w:val="20"/>
          <w:lang w:val="bg-BG"/>
        </w:rPr>
        <w:t xml:space="preserve"> – този анализ се извършва минимум веднъж годишно, ако водата във фермата не е от обществената В и К – мрежа, а е от собствен водоизточник;</w:t>
      </w:r>
    </w:p>
    <w:p w14:paraId="52AEB7E3" w14:textId="1CF45079" w:rsidP="00DD4265" w:rsidR="00F2631A" w:rsidRDefault="00F2631A" w:rsidRPr="00DD4265">
      <w:pPr>
        <w:pStyle w:val="a3"/>
        <w:numPr>
          <w:ilvl w:val="0"/>
          <w:numId w:val="18"/>
        </w:numPr>
        <w:spacing w:line="360" w:lineRule="auto"/>
        <w:jc w:val="both"/>
        <w:rPr>
          <w:rFonts w:ascii="Verdana" w:hAnsi="Verdana"/>
          <w:sz w:val="20"/>
          <w:szCs w:val="20"/>
          <w:lang w:val="bg-BG"/>
        </w:rPr>
      </w:pPr>
      <w:r w:rsidRPr="00DD4265">
        <w:rPr>
          <w:rFonts w:ascii="Verdana" w:hAnsi="Verdana"/>
          <w:b/>
          <w:bCs/>
          <w:sz w:val="20"/>
          <w:szCs w:val="20"/>
          <w:lang w:val="bg-BG"/>
        </w:rPr>
        <w:t>Записи за почистването на помещенията</w:t>
      </w:r>
      <w:r w:rsidRPr="00DD4265">
        <w:rPr>
          <w:rFonts w:ascii="Verdana" w:hAnsi="Verdana"/>
          <w:sz w:val="20"/>
          <w:szCs w:val="20"/>
          <w:lang w:val="bg-BG"/>
        </w:rPr>
        <w:t>, в които се съхраняват фуражи, на хранилките и на собствените транспортни средства, с които се транспортират фуражи (ако са фермерът притежава такива). При използване на химични препарати трябва да се уточни видът на препарата и активното му вещество. Поддържането на такива записи е част от добрите фермерски практики. Може да се поддържат на електронен и/или хартиен носител;</w:t>
      </w:r>
    </w:p>
    <w:p w14:paraId="62DFE58C" w14:textId="6B740683" w:rsidP="00DD4265" w:rsidR="00F2631A" w:rsidRDefault="00F2631A" w:rsidRPr="00DD4265">
      <w:pPr>
        <w:pStyle w:val="a3"/>
        <w:numPr>
          <w:ilvl w:val="0"/>
          <w:numId w:val="18"/>
        </w:numPr>
        <w:spacing w:line="360" w:lineRule="auto"/>
        <w:jc w:val="both"/>
        <w:rPr>
          <w:rFonts w:ascii="Verdana" w:hAnsi="Verdana"/>
          <w:sz w:val="20"/>
          <w:szCs w:val="20"/>
          <w:lang w:val="bg-BG"/>
        </w:rPr>
      </w:pPr>
      <w:r w:rsidRPr="00DD4265">
        <w:rPr>
          <w:rFonts w:ascii="Verdana" w:hAnsi="Verdana"/>
          <w:b/>
          <w:bCs/>
          <w:sz w:val="20"/>
          <w:szCs w:val="20"/>
          <w:lang w:val="bg-BG"/>
        </w:rPr>
        <w:t>Записи за транспортираните фуражи (при наличие на собствени транспортни средства за превоз на фуражи)</w:t>
      </w:r>
      <w:r w:rsidRPr="00DD4265">
        <w:rPr>
          <w:rFonts w:ascii="Verdana" w:hAnsi="Verdana"/>
          <w:sz w:val="20"/>
          <w:szCs w:val="20"/>
          <w:lang w:val="bg-BG"/>
        </w:rPr>
        <w:t>. Може да се поддържат в табличен вид, на електронен и/или хартиен носител, като данните които се вписват са минимум следните:</w:t>
      </w:r>
    </w:p>
    <w:tbl>
      <w:tblPr>
        <w:tblW w:type="dxa" w:w="952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519"/>
        <w:gridCol w:w="1917"/>
        <w:gridCol w:w="1519"/>
        <w:gridCol w:w="1508"/>
        <w:gridCol w:w="1537"/>
        <w:gridCol w:w="1523"/>
      </w:tblGrid>
      <w:tr w14:paraId="7C12E642" w14:textId="77777777" w:rsidR="00AD6B6B" w:rsidRPr="00AD6B6B" w:rsidTr="0071132F">
        <w:trPr>
          <w:jc w:val="center"/>
        </w:trPr>
        <w:tc>
          <w:tcPr>
            <w:tcW w:type="dxa" w:w="1519"/>
            <w:vAlign w:val="center"/>
          </w:tcPr>
          <w:p w14:paraId="3CBAD378"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Дата на транспорта</w:t>
            </w:r>
          </w:p>
        </w:tc>
        <w:tc>
          <w:tcPr>
            <w:tcW w:type="dxa" w:w="1917"/>
            <w:vAlign w:val="center"/>
          </w:tcPr>
          <w:p w14:paraId="664F6FEB"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Регистрационен № на превозното средство (камион, влекач с ремарке или др.)</w:t>
            </w:r>
          </w:p>
        </w:tc>
        <w:tc>
          <w:tcPr>
            <w:tcW w:type="dxa" w:w="1519"/>
            <w:vAlign w:val="center"/>
          </w:tcPr>
          <w:p w14:paraId="10857599"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Вид и количество на фуража</w:t>
            </w:r>
          </w:p>
        </w:tc>
        <w:tc>
          <w:tcPr>
            <w:tcW w:type="dxa" w:w="1508"/>
            <w:vAlign w:val="center"/>
          </w:tcPr>
          <w:p w14:paraId="6AFD1F48"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Фуражът е купен от/ продаден на</w:t>
            </w:r>
          </w:p>
        </w:tc>
        <w:tc>
          <w:tcPr>
            <w:tcW w:type="dxa" w:w="1537"/>
            <w:vAlign w:val="center"/>
          </w:tcPr>
          <w:p w14:paraId="0BA60FE9"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eastAsia="bg-BG" w:val="bg-BG"/>
              </w:rPr>
            </w:pPr>
            <w:r w:rsidRPr="00AD6B6B">
              <w:rPr>
                <w:rFonts w:ascii="Times New Roman" w:cs="Times New Roman" w:eastAsia="Times New Roman" w:hAnsi="Times New Roman"/>
                <w:b/>
                <w:sz w:val="20"/>
                <w:szCs w:val="20"/>
                <w:lang w:val="bg-BG"/>
              </w:rPr>
              <w:t>До къде/ от къде се транспортира фуражът</w:t>
            </w:r>
          </w:p>
        </w:tc>
        <w:tc>
          <w:tcPr>
            <w:tcW w:type="dxa" w:w="1523"/>
            <w:vAlign w:val="center"/>
          </w:tcPr>
          <w:p w14:paraId="7CBD0FC5" w14:textId="77777777" w:rsidP="00AD6B6B" w:rsidR="00AD6B6B" w:rsidRDefault="00AD6B6B" w:rsidRPr="00AD6B6B">
            <w:pPr>
              <w:spacing w:after="0" w:line="276" w:lineRule="auto"/>
              <w:ind w:left="-59" w:right="-37"/>
              <w:contextualSpacing/>
              <w:jc w:val="center"/>
              <w:rPr>
                <w:rFonts w:ascii="Times New Roman" w:cs="Times New Roman" w:eastAsia="Times New Roman" w:hAnsi="Times New Roman"/>
                <w:b/>
                <w:sz w:val="20"/>
                <w:szCs w:val="20"/>
                <w:lang w:val="bg-BG"/>
              </w:rPr>
            </w:pPr>
            <w:r w:rsidRPr="00AD6B6B">
              <w:rPr>
                <w:rFonts w:ascii="Times New Roman" w:cs="Times New Roman" w:eastAsia="Times New Roman" w:hAnsi="Times New Roman"/>
                <w:b/>
                <w:sz w:val="20"/>
                <w:szCs w:val="20"/>
                <w:lang w:val="bg-BG"/>
              </w:rPr>
              <w:t>Партиден №/ реколта на продадения/ закупен  фураж</w:t>
            </w:r>
          </w:p>
        </w:tc>
      </w:tr>
      <w:tr w14:paraId="34AAA2D6" w14:textId="77777777" w:rsidR="00AD6B6B" w:rsidRPr="00AD6B6B" w:rsidTr="0071132F">
        <w:trPr>
          <w:jc w:val="center"/>
        </w:trPr>
        <w:tc>
          <w:tcPr>
            <w:tcW w:type="dxa" w:w="1519"/>
          </w:tcPr>
          <w:p w14:paraId="7C186F2E"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917"/>
          </w:tcPr>
          <w:p w14:paraId="506E25A1"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19"/>
          </w:tcPr>
          <w:p w14:paraId="2CA67D50"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08"/>
          </w:tcPr>
          <w:p w14:paraId="0A222827"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37"/>
          </w:tcPr>
          <w:p w14:paraId="5B6B1B96"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c>
          <w:tcPr>
            <w:tcW w:type="dxa" w:w="1523"/>
          </w:tcPr>
          <w:p w14:paraId="370E24E8" w14:textId="77777777" w:rsidP="00AD6B6B" w:rsidR="00AD6B6B" w:rsidRDefault="00AD6B6B" w:rsidRPr="00AD6B6B">
            <w:pPr>
              <w:spacing w:after="0" w:line="276" w:lineRule="auto"/>
              <w:ind w:right="-143"/>
              <w:contextualSpacing/>
              <w:jc w:val="both"/>
              <w:rPr>
                <w:rFonts w:ascii="Times New Roman" w:cs="Times New Roman" w:eastAsia="Times New Roman" w:hAnsi="Times New Roman"/>
                <w:b/>
                <w:sz w:val="20"/>
                <w:szCs w:val="20"/>
                <w:lang w:eastAsia="bg-BG" w:val="bg-BG"/>
              </w:rPr>
            </w:pPr>
          </w:p>
        </w:tc>
      </w:tr>
    </w:tbl>
    <w:p w14:paraId="28BE2C32" w14:textId="48DC947A" w:rsidP="00F2631A" w:rsidR="00F2631A" w:rsidRDefault="00F2631A" w:rsidRPr="00E7181D">
      <w:pPr>
        <w:spacing w:line="360" w:lineRule="auto"/>
        <w:ind w:firstLine="720"/>
        <w:jc w:val="both"/>
        <w:rPr>
          <w:rFonts w:ascii="Verdana" w:hAnsi="Verdana"/>
          <w:b/>
          <w:bCs/>
          <w:sz w:val="20"/>
          <w:szCs w:val="20"/>
          <w:lang w:val="bg-BG"/>
        </w:rPr>
      </w:pPr>
      <w:r w:rsidRPr="00E7181D">
        <w:rPr>
          <w:rFonts w:ascii="Verdana" w:hAnsi="Verdana"/>
          <w:b/>
          <w:bCs/>
          <w:sz w:val="20"/>
          <w:szCs w:val="20"/>
          <w:lang w:val="bg-BG"/>
        </w:rPr>
        <w:tab/>
      </w:r>
      <w:r w:rsidRPr="00E7181D">
        <w:rPr>
          <w:rFonts w:ascii="Verdana" w:hAnsi="Verdana"/>
          <w:b/>
          <w:bCs/>
          <w:sz w:val="20"/>
          <w:szCs w:val="20"/>
          <w:lang w:val="bg-BG"/>
        </w:rPr>
        <w:tab/>
      </w:r>
      <w:r w:rsidRPr="00E7181D">
        <w:rPr>
          <w:rFonts w:ascii="Verdana" w:hAnsi="Verdana"/>
          <w:b/>
          <w:bCs/>
          <w:sz w:val="20"/>
          <w:szCs w:val="20"/>
          <w:lang w:val="bg-BG"/>
        </w:rPr>
        <w:tab/>
      </w:r>
      <w:r w:rsidRPr="00E7181D">
        <w:rPr>
          <w:rFonts w:ascii="Verdana" w:hAnsi="Verdana"/>
          <w:b/>
          <w:bCs/>
          <w:sz w:val="20"/>
          <w:szCs w:val="20"/>
          <w:lang w:val="bg-BG"/>
        </w:rPr>
        <w:tab/>
      </w:r>
      <w:r w:rsidRPr="00E7181D">
        <w:rPr>
          <w:rFonts w:ascii="Verdana" w:hAnsi="Verdana"/>
          <w:b/>
          <w:bCs/>
          <w:sz w:val="20"/>
          <w:szCs w:val="20"/>
          <w:lang w:val="bg-BG"/>
        </w:rPr>
        <w:tab/>
      </w:r>
    </w:p>
    <w:p w14:paraId="22B23296" w14:textId="69C11EBF" w:rsidP="00DD4265" w:rsidR="00F2631A" w:rsidRDefault="00F2631A" w:rsidRPr="00DD4265">
      <w:pPr>
        <w:pStyle w:val="a3"/>
        <w:numPr>
          <w:ilvl w:val="0"/>
          <w:numId w:val="19"/>
        </w:numPr>
        <w:spacing w:after="0" w:line="360" w:lineRule="auto"/>
        <w:jc w:val="both"/>
        <w:rPr>
          <w:rFonts w:ascii="Verdana" w:hAnsi="Verdana"/>
          <w:sz w:val="20"/>
          <w:szCs w:val="20"/>
          <w:lang w:val="bg-BG"/>
        </w:rPr>
      </w:pPr>
      <w:r w:rsidRPr="00DD4265">
        <w:rPr>
          <w:rFonts w:ascii="Verdana" w:hAnsi="Verdana"/>
          <w:b/>
          <w:bCs/>
          <w:sz w:val="20"/>
          <w:szCs w:val="20"/>
          <w:lang w:val="bg-BG"/>
        </w:rPr>
        <w:lastRenderedPageBreak/>
        <w:t>Процедура за минимизиране достъпа на вредители във фермата</w:t>
      </w:r>
      <w:r w:rsidRPr="00DD4265">
        <w:rPr>
          <w:rFonts w:ascii="Verdana" w:hAnsi="Verdana"/>
          <w:sz w:val="20"/>
          <w:szCs w:val="20"/>
          <w:lang w:val="bg-BG"/>
        </w:rPr>
        <w:t xml:space="preserve"> (насекоми, гризачи, птици), по конкретно в помещенията за съхранение и изхранване на фуражите. Това е част от добрите фермерски практики. </w:t>
      </w:r>
    </w:p>
    <w:p w14:paraId="294B75B7" w14:textId="77777777" w:rsidP="00DD4265" w:rsidR="00F2631A" w:rsidRDefault="00F2631A" w:rsidRPr="00F2631A">
      <w:pPr>
        <w:spacing w:after="0" w:line="360" w:lineRule="auto"/>
        <w:ind w:firstLine="360"/>
        <w:jc w:val="both"/>
        <w:rPr>
          <w:rFonts w:ascii="Verdana" w:hAnsi="Verdana"/>
          <w:sz w:val="20"/>
          <w:szCs w:val="20"/>
          <w:lang w:val="bg-BG"/>
        </w:rPr>
      </w:pPr>
      <w:r w:rsidRPr="00F2631A">
        <w:rPr>
          <w:rFonts w:ascii="Verdana" w:hAnsi="Verdana"/>
          <w:sz w:val="20"/>
          <w:szCs w:val="20"/>
          <w:lang w:val="bg-BG"/>
        </w:rPr>
        <w:t xml:space="preserve">Фермерът трябва да има сключен договор с лице, което да извършва процедурите по дезинфекция, дезинсекция, </w:t>
      </w:r>
      <w:proofErr w:type="spellStart"/>
      <w:r w:rsidRPr="00F2631A">
        <w:rPr>
          <w:rFonts w:ascii="Verdana" w:hAnsi="Verdana"/>
          <w:sz w:val="20"/>
          <w:szCs w:val="20"/>
          <w:lang w:val="bg-BG"/>
        </w:rPr>
        <w:t>дератизация</w:t>
      </w:r>
      <w:proofErr w:type="spellEnd"/>
      <w:r w:rsidRPr="00F2631A">
        <w:rPr>
          <w:rFonts w:ascii="Verdana" w:hAnsi="Verdana"/>
          <w:sz w:val="20"/>
          <w:szCs w:val="20"/>
          <w:lang w:val="bg-BG"/>
        </w:rPr>
        <w:t xml:space="preserve"> във фермата. Такова лице може да бъде ветеринарния лекар, който обслужва фермата или друг. Дезинфекцията, дезинсекцията и </w:t>
      </w:r>
      <w:proofErr w:type="spellStart"/>
      <w:r w:rsidRPr="00F2631A">
        <w:rPr>
          <w:rFonts w:ascii="Verdana" w:hAnsi="Verdana"/>
          <w:sz w:val="20"/>
          <w:szCs w:val="20"/>
          <w:lang w:val="bg-BG"/>
        </w:rPr>
        <w:t>дератизацията</w:t>
      </w:r>
      <w:proofErr w:type="spellEnd"/>
      <w:r w:rsidRPr="00F2631A">
        <w:rPr>
          <w:rFonts w:ascii="Verdana" w:hAnsi="Verdana"/>
          <w:sz w:val="20"/>
          <w:szCs w:val="20"/>
          <w:lang w:val="bg-BG"/>
        </w:rPr>
        <w:t xml:space="preserve"> се извършват от обучени лица. Дейностите се извършват съгласно Наредба № 1 от 5 януари 2018 г. за условията и реда за извършване на дезинфекции, </w:t>
      </w:r>
      <w:proofErr w:type="spellStart"/>
      <w:r w:rsidRPr="00F2631A">
        <w:rPr>
          <w:rFonts w:ascii="Verdana" w:hAnsi="Verdana"/>
          <w:sz w:val="20"/>
          <w:szCs w:val="20"/>
          <w:lang w:val="bg-BG"/>
        </w:rPr>
        <w:t>дезинсекции</w:t>
      </w:r>
      <w:proofErr w:type="spellEnd"/>
      <w:r w:rsidRPr="00F2631A">
        <w:rPr>
          <w:rFonts w:ascii="Verdana" w:hAnsi="Verdana"/>
          <w:sz w:val="20"/>
          <w:szCs w:val="20"/>
          <w:lang w:val="bg-BG"/>
        </w:rPr>
        <w:t xml:space="preserve"> и </w:t>
      </w:r>
      <w:proofErr w:type="spellStart"/>
      <w:r w:rsidRPr="00F2631A">
        <w:rPr>
          <w:rFonts w:ascii="Verdana" w:hAnsi="Verdana"/>
          <w:sz w:val="20"/>
          <w:szCs w:val="20"/>
          <w:lang w:val="bg-BG"/>
        </w:rPr>
        <w:t>дератизации</w:t>
      </w:r>
      <w:proofErr w:type="spellEnd"/>
      <w:r w:rsidRPr="00F2631A">
        <w:rPr>
          <w:rFonts w:ascii="Verdana" w:hAnsi="Verdana"/>
          <w:sz w:val="20"/>
          <w:szCs w:val="20"/>
          <w:lang w:val="bg-BG"/>
        </w:rPr>
        <w:t xml:space="preserve">, във връзка с чл. 62, ал. 2 от Закона за здравето. </w:t>
      </w:r>
    </w:p>
    <w:p w14:paraId="4EEFC36C" w14:textId="1D39BBF8" w:rsidP="00E7181D" w:rsidR="00F2631A" w:rsidRDefault="00AD6B6B" w:rsidRPr="00F2631A">
      <w:pPr>
        <w:spacing w:after="0" w:line="360" w:lineRule="auto"/>
        <w:ind w:firstLine="720"/>
        <w:jc w:val="both"/>
        <w:rPr>
          <w:rFonts w:ascii="Verdana" w:hAnsi="Verdana"/>
          <w:sz w:val="20"/>
          <w:szCs w:val="20"/>
          <w:lang w:val="bg-BG"/>
        </w:rPr>
      </w:pPr>
      <w:r>
        <w:rPr>
          <w:rFonts w:ascii="Verdana" w:hAnsi="Verdana"/>
          <w:sz w:val="20"/>
          <w:szCs w:val="20"/>
          <w:lang w:val="bg-BG"/>
        </w:rPr>
        <w:t>П</w:t>
      </w:r>
      <w:r w:rsidRPr="00F2631A">
        <w:rPr>
          <w:rFonts w:ascii="Verdana" w:hAnsi="Verdana"/>
          <w:sz w:val="20"/>
          <w:szCs w:val="20"/>
          <w:lang w:val="bg-BG"/>
        </w:rPr>
        <w:t xml:space="preserve">ри фермера </w:t>
      </w:r>
      <w:r>
        <w:rPr>
          <w:rFonts w:ascii="Verdana" w:hAnsi="Verdana"/>
          <w:sz w:val="20"/>
          <w:szCs w:val="20"/>
          <w:lang w:val="bg-BG"/>
        </w:rPr>
        <w:t>т</w:t>
      </w:r>
      <w:r w:rsidR="00F2631A" w:rsidRPr="00F2631A">
        <w:rPr>
          <w:rFonts w:ascii="Verdana" w:hAnsi="Verdana"/>
          <w:sz w:val="20"/>
          <w:szCs w:val="20"/>
          <w:lang w:val="bg-BG"/>
        </w:rPr>
        <w:t>рябва да са налични документи, в които да са определени честотата и вида на мероприятията (т.е. кога и какво трябва да се извърши). Трябва да има и схема на отровните точки във фермата.</w:t>
      </w:r>
    </w:p>
    <w:p w14:paraId="5F28ED2F" w14:textId="6D5B514F" w:rsidP="00E7181D" w:rsidR="00F2631A" w:rsidRDefault="00F2631A">
      <w:pPr>
        <w:spacing w:after="0" w:line="360" w:lineRule="auto"/>
        <w:ind w:firstLine="720"/>
        <w:jc w:val="both"/>
        <w:rPr>
          <w:rFonts w:ascii="Verdana" w:hAnsi="Verdana"/>
          <w:sz w:val="20"/>
          <w:szCs w:val="20"/>
          <w:lang w:val="bg-BG"/>
        </w:rPr>
      </w:pPr>
      <w:r w:rsidRPr="00F2631A">
        <w:rPr>
          <w:rFonts w:ascii="Verdana" w:hAnsi="Verdana"/>
          <w:sz w:val="20"/>
          <w:szCs w:val="20"/>
          <w:lang w:val="bg-BG"/>
        </w:rPr>
        <w:t xml:space="preserve">При фермера трябва да са налични и документи, удостоверяващи извършените мероприятия, които се издават от обученото лице (какво е извършено и кога);  </w:t>
      </w:r>
    </w:p>
    <w:p w14:paraId="634B27BA" w14:textId="77777777" w:rsidP="00E7181D" w:rsidR="00E7181D" w:rsidRDefault="00E7181D" w:rsidRPr="00F2631A">
      <w:pPr>
        <w:spacing w:after="0" w:line="360" w:lineRule="auto"/>
        <w:ind w:firstLine="720"/>
        <w:jc w:val="both"/>
        <w:rPr>
          <w:rFonts w:ascii="Verdana" w:hAnsi="Verdana"/>
          <w:sz w:val="20"/>
          <w:szCs w:val="20"/>
          <w:lang w:val="bg-BG"/>
        </w:rPr>
      </w:pPr>
    </w:p>
    <w:p w14:paraId="402013F1" w14:textId="65D08BC2" w:rsidP="00DD4265" w:rsidR="00F2631A" w:rsidRDefault="00F2631A" w:rsidRPr="00DD4265">
      <w:pPr>
        <w:pStyle w:val="a3"/>
        <w:numPr>
          <w:ilvl w:val="0"/>
          <w:numId w:val="19"/>
        </w:numPr>
        <w:spacing w:line="360" w:lineRule="auto"/>
        <w:jc w:val="both"/>
        <w:rPr>
          <w:rFonts w:ascii="Verdana" w:hAnsi="Verdana"/>
          <w:b/>
          <w:bCs/>
          <w:sz w:val="20"/>
          <w:szCs w:val="20"/>
          <w:lang w:val="bg-BG"/>
        </w:rPr>
      </w:pPr>
      <w:r w:rsidRPr="00DD4265">
        <w:rPr>
          <w:rFonts w:ascii="Verdana" w:hAnsi="Verdana"/>
          <w:b/>
          <w:bCs/>
          <w:sz w:val="20"/>
          <w:szCs w:val="20"/>
          <w:lang w:val="bg-BG"/>
        </w:rPr>
        <w:t>Програма за контрол на опасностите (програма за самоконтрол)</w:t>
      </w:r>
    </w:p>
    <w:p w14:paraId="29A9E5A9" w14:textId="77777777" w:rsidP="00E7181D" w:rsidR="00F2631A" w:rsidRDefault="00F2631A" w:rsidRPr="00F2631A">
      <w:pPr>
        <w:spacing w:after="0" w:line="360" w:lineRule="auto"/>
        <w:ind w:firstLine="720"/>
        <w:jc w:val="both"/>
        <w:rPr>
          <w:rFonts w:ascii="Verdana" w:hAnsi="Verdana"/>
          <w:sz w:val="20"/>
          <w:szCs w:val="20"/>
          <w:lang w:val="bg-BG"/>
        </w:rPr>
      </w:pPr>
      <w:r w:rsidRPr="00F2631A">
        <w:rPr>
          <w:rFonts w:ascii="Verdana" w:hAnsi="Verdana"/>
          <w:sz w:val="20"/>
          <w:szCs w:val="20"/>
          <w:lang w:val="bg-BG"/>
        </w:rPr>
        <w:t xml:space="preserve">Фермерът трябва да извършва ежегодно оценка какви са опасностите за фуражите, които притежава (напр.: опасност от замърсяване със салмонела, от развитие  на микотоксини и/или др.). На основание на извършената оценка фермерът, трябва да изготви програма за самоконтрол, т.е. колко пъти в годината ще взема проба от фураж, от къде ще я взема (напр.: склад за фуражи, силоз, хранилки) и ще я изпраща за анализ в лаборатория по определен показател. Например: 2 бр. проби/ годишно за наличие на салмонела, пробите ще се вземат от хранилките). </w:t>
      </w:r>
    </w:p>
    <w:p w14:paraId="75DC4774" w14:textId="77777777" w:rsidP="00E7181D" w:rsidR="00F2631A" w:rsidRDefault="00F2631A" w:rsidRPr="00F2631A">
      <w:pPr>
        <w:spacing w:after="0" w:line="360" w:lineRule="auto"/>
        <w:ind w:firstLine="720"/>
        <w:jc w:val="both"/>
        <w:rPr>
          <w:rFonts w:ascii="Verdana" w:hAnsi="Verdana"/>
          <w:sz w:val="20"/>
          <w:szCs w:val="20"/>
          <w:lang w:val="bg-BG"/>
        </w:rPr>
      </w:pPr>
      <w:r w:rsidRPr="00F2631A">
        <w:rPr>
          <w:rFonts w:ascii="Verdana" w:hAnsi="Verdana"/>
          <w:sz w:val="20"/>
          <w:szCs w:val="20"/>
          <w:lang w:val="bg-BG"/>
        </w:rPr>
        <w:t xml:space="preserve">При извършването на проверка във фермата, инспекторът отговорен за контрола на фуражите при ОДБХ проверява правилно ли са оценени опасностите и изпълнява ли фермерът програмата за самоконтрол. При установяване на неизпълнение на програмата или неправилна оценка на опасностите, инспекторът дава предписание. Ако предписанието не бъде изпълнено в определения срок, се съставя акт за установено административно нарушение, съгласно Закона за фуражите. </w:t>
      </w:r>
    </w:p>
    <w:p w14:paraId="1EAE1CC9" w14:textId="77777777" w:rsidP="00E7181D" w:rsidR="00F2631A" w:rsidRDefault="00F2631A" w:rsidRPr="00F2631A">
      <w:pPr>
        <w:spacing w:after="0" w:line="360" w:lineRule="auto"/>
        <w:ind w:firstLine="720"/>
        <w:jc w:val="both"/>
        <w:rPr>
          <w:rFonts w:ascii="Verdana" w:hAnsi="Verdana"/>
          <w:sz w:val="20"/>
          <w:szCs w:val="20"/>
          <w:lang w:val="bg-BG"/>
        </w:rPr>
      </w:pPr>
      <w:r w:rsidRPr="00F2631A">
        <w:rPr>
          <w:rFonts w:ascii="Verdana" w:hAnsi="Verdana"/>
          <w:sz w:val="20"/>
          <w:szCs w:val="20"/>
          <w:lang w:val="bg-BG"/>
        </w:rPr>
        <w:t>Фермерът трябва да има изготвена тази програма и да я предоставя при поискване, заедно с протоколите от лабораторните анализи, на пробите, които е взел и изпратил за анализ. Фермерът сам избира лабораторията, в която да изпрати пробите и заплаща анализирането на същите.</w:t>
      </w:r>
    </w:p>
    <w:p w14:paraId="18931760" w14:textId="77777777" w:rsidP="00E7181D" w:rsidR="00F2631A" w:rsidRDefault="00F2631A" w:rsidRPr="00F2631A">
      <w:pPr>
        <w:spacing w:after="0" w:line="360" w:lineRule="auto"/>
        <w:ind w:firstLine="720"/>
        <w:jc w:val="both"/>
        <w:rPr>
          <w:rFonts w:ascii="Verdana" w:hAnsi="Verdana"/>
          <w:sz w:val="20"/>
          <w:szCs w:val="20"/>
          <w:lang w:val="bg-BG"/>
        </w:rPr>
      </w:pPr>
      <w:r w:rsidRPr="00F2631A">
        <w:rPr>
          <w:rFonts w:ascii="Verdana" w:hAnsi="Verdana"/>
          <w:sz w:val="20"/>
          <w:szCs w:val="20"/>
          <w:lang w:val="bg-BG"/>
        </w:rPr>
        <w:t>При необходимост програмата може да се актуализира (променя) през календарната година;</w:t>
      </w:r>
    </w:p>
    <w:p w14:paraId="5DF474DF" w14:textId="7BA11F2B" w:rsidP="00DD4265" w:rsidR="00F2631A" w:rsidRDefault="00F2631A" w:rsidRPr="00DD4265">
      <w:pPr>
        <w:pStyle w:val="a3"/>
        <w:numPr>
          <w:ilvl w:val="0"/>
          <w:numId w:val="19"/>
        </w:numPr>
        <w:spacing w:line="360" w:lineRule="auto"/>
        <w:jc w:val="both"/>
        <w:rPr>
          <w:rFonts w:ascii="Verdana" w:hAnsi="Verdana"/>
          <w:sz w:val="20"/>
          <w:szCs w:val="20"/>
          <w:lang w:val="bg-BG"/>
        </w:rPr>
      </w:pPr>
      <w:r w:rsidRPr="00DD4265">
        <w:rPr>
          <w:rFonts w:ascii="Verdana" w:hAnsi="Verdana"/>
          <w:b/>
          <w:bCs/>
          <w:sz w:val="20"/>
          <w:szCs w:val="20"/>
          <w:lang w:val="bg-BG"/>
        </w:rPr>
        <w:lastRenderedPageBreak/>
        <w:t xml:space="preserve">Екземпляри от документите, удостоверяващи извършения официален контрол на фуражите във фермата </w:t>
      </w:r>
      <w:r w:rsidRPr="00DD4265">
        <w:rPr>
          <w:rFonts w:ascii="Verdana" w:hAnsi="Verdana"/>
          <w:sz w:val="20"/>
          <w:szCs w:val="20"/>
          <w:lang w:val="bg-BG"/>
        </w:rPr>
        <w:t xml:space="preserve">(констативни протоколи, протоколи за вземане на проби и др.); </w:t>
      </w:r>
    </w:p>
    <w:p w14:paraId="0634754B" w14:textId="74421506" w:rsidP="00DD4265" w:rsidR="00F2631A" w:rsidRDefault="00F2631A" w:rsidRPr="00DD4265">
      <w:pPr>
        <w:pStyle w:val="a3"/>
        <w:numPr>
          <w:ilvl w:val="0"/>
          <w:numId w:val="19"/>
        </w:numPr>
        <w:spacing w:line="360" w:lineRule="auto"/>
        <w:jc w:val="both"/>
        <w:rPr>
          <w:rFonts w:ascii="Verdana" w:hAnsi="Verdana"/>
          <w:sz w:val="20"/>
          <w:szCs w:val="20"/>
          <w:lang w:val="bg-BG"/>
        </w:rPr>
      </w:pPr>
      <w:r w:rsidRPr="00DD4265">
        <w:rPr>
          <w:rFonts w:ascii="Verdana" w:hAnsi="Verdana"/>
          <w:b/>
          <w:bCs/>
          <w:sz w:val="20"/>
          <w:szCs w:val="20"/>
          <w:lang w:val="bg-BG"/>
        </w:rPr>
        <w:t>Ако фермерът получава подпомагане</w:t>
      </w:r>
      <w:r w:rsidRPr="00DD4265">
        <w:rPr>
          <w:rFonts w:ascii="Verdana" w:hAnsi="Verdana"/>
          <w:sz w:val="20"/>
          <w:szCs w:val="20"/>
          <w:lang w:val="bg-BG"/>
        </w:rPr>
        <w:t xml:space="preserve"> по схемите за директни плащания в съответствие с Общата селскостопанска политика на Европейския съюз или друга държавна помощ за селскостопанската си дейност, </w:t>
      </w:r>
      <w:r w:rsidRPr="00DD4265">
        <w:rPr>
          <w:rFonts w:ascii="Verdana" w:hAnsi="Verdana"/>
          <w:b/>
          <w:bCs/>
          <w:sz w:val="20"/>
          <w:szCs w:val="20"/>
          <w:lang w:val="bg-BG"/>
        </w:rPr>
        <w:t xml:space="preserve">трябва да е регистриран, в съответствие с изискванията на Наредба № 3/1999 за създаване и поддържане на регистър на земеделските стопани. </w:t>
      </w:r>
      <w:r w:rsidRPr="00DD4265">
        <w:rPr>
          <w:rFonts w:ascii="Verdana" w:hAnsi="Verdana"/>
          <w:sz w:val="20"/>
          <w:szCs w:val="20"/>
          <w:lang w:val="bg-BG"/>
        </w:rPr>
        <w:t>Във фермата трябва да са налични регистрационна карта – по образец съгласно приложение № 1 към наредбата и справка, генерирана от регистъра, за декларираната от него дейност като неразделна част от регистрационната карта. Документите се издават съгласно чл. 5, ал. 2 от наредбата.</w:t>
      </w:r>
    </w:p>
    <w:p w14:paraId="25846F67" w14:textId="5D431285" w:rsidP="00F2631A" w:rsidR="00F2631A" w:rsidRDefault="00F2631A" w:rsidRPr="00F2631A">
      <w:pPr>
        <w:spacing w:line="360" w:lineRule="auto"/>
        <w:ind w:firstLine="720"/>
        <w:jc w:val="both"/>
        <w:rPr>
          <w:rFonts w:ascii="Verdana" w:hAnsi="Verdana"/>
          <w:sz w:val="20"/>
          <w:szCs w:val="20"/>
          <w:lang w:val="bg-BG"/>
        </w:rPr>
      </w:pPr>
      <w:r w:rsidRPr="00AD6B6B">
        <w:rPr>
          <w:rFonts w:ascii="Verdana" w:hAnsi="Verdana"/>
          <w:b/>
          <w:bCs/>
          <w:sz w:val="20"/>
          <w:szCs w:val="20"/>
          <w:lang w:val="bg-BG"/>
        </w:rPr>
        <w:t xml:space="preserve">Във връзка с гореизложената информация за сектора на фуражите, </w:t>
      </w:r>
      <w:r w:rsidR="00DD4265" w:rsidRPr="00AD6B6B">
        <w:rPr>
          <w:rFonts w:ascii="Verdana" w:hAnsi="Verdana"/>
          <w:b/>
          <w:bCs/>
          <w:sz w:val="20"/>
          <w:szCs w:val="20"/>
          <w:lang w:val="bg-BG"/>
        </w:rPr>
        <w:t xml:space="preserve">фермерите </w:t>
      </w:r>
      <w:r w:rsidRPr="00AD6B6B">
        <w:rPr>
          <w:rFonts w:ascii="Verdana" w:hAnsi="Verdana"/>
          <w:b/>
          <w:bCs/>
          <w:sz w:val="20"/>
          <w:szCs w:val="20"/>
          <w:lang w:val="bg-BG"/>
        </w:rPr>
        <w:t xml:space="preserve">трябва да са запознати с изискването, че </w:t>
      </w:r>
      <w:r w:rsidR="00DD4265" w:rsidRPr="00AD6B6B">
        <w:rPr>
          <w:rFonts w:ascii="Verdana" w:hAnsi="Verdana"/>
          <w:b/>
          <w:bCs/>
          <w:sz w:val="20"/>
          <w:szCs w:val="20"/>
          <w:lang w:val="bg-BG"/>
        </w:rPr>
        <w:t xml:space="preserve">в животновъдния обект </w:t>
      </w:r>
      <w:r w:rsidRPr="00AD6B6B">
        <w:rPr>
          <w:rFonts w:ascii="Verdana" w:hAnsi="Verdana"/>
          <w:b/>
          <w:bCs/>
          <w:sz w:val="20"/>
          <w:szCs w:val="20"/>
          <w:lang w:val="bg-BG"/>
        </w:rPr>
        <w:t>трябва да съхраняват</w:t>
      </w:r>
      <w:r w:rsidRPr="00F2631A">
        <w:rPr>
          <w:rFonts w:ascii="Verdana" w:hAnsi="Verdana"/>
          <w:sz w:val="20"/>
          <w:szCs w:val="20"/>
          <w:lang w:val="bg-BG"/>
        </w:rPr>
        <w:t xml:space="preserve">, на електронен и/или на хартиен носител, всички документи, свързани с дейността на обекта и да ги предоставят на компетентния орган при поискване, съгласно чл. 132, ал. 1, т. 25 от  Закона за ветеринарномедицинската дейност. Записите и документите, имащи отношение към безопасността на фуражите, трябва да се съхраняват за срок от 3 години, съгласно чл. 27, ал. 3 от Закона за фуражите. </w:t>
      </w:r>
    </w:p>
    <w:p w14:paraId="64B27BE3" w14:textId="77777777" w:rsidP="00F2631A" w:rsidR="00F2631A" w:rsidRDefault="00F2631A" w:rsidRPr="00F2631A">
      <w:pPr>
        <w:spacing w:line="360" w:lineRule="auto"/>
        <w:ind w:firstLine="720"/>
        <w:jc w:val="both"/>
        <w:rPr>
          <w:rFonts w:ascii="Verdana" w:hAnsi="Verdana"/>
          <w:sz w:val="20"/>
          <w:szCs w:val="20"/>
          <w:lang w:val="bg-BG"/>
        </w:rPr>
      </w:pPr>
      <w:r w:rsidRPr="00AD6B6B">
        <w:rPr>
          <w:rFonts w:ascii="Verdana" w:hAnsi="Verdana"/>
          <w:b/>
          <w:bCs/>
          <w:sz w:val="20"/>
          <w:szCs w:val="20"/>
          <w:lang w:val="bg-BG"/>
        </w:rPr>
        <w:t xml:space="preserve">Фермерите трябва да са запознати с разпоредбата </w:t>
      </w:r>
      <w:r w:rsidRPr="00F2631A">
        <w:rPr>
          <w:rFonts w:ascii="Verdana" w:hAnsi="Verdana"/>
          <w:sz w:val="20"/>
          <w:szCs w:val="20"/>
          <w:lang w:val="bg-BG"/>
        </w:rPr>
        <w:t xml:space="preserve">на чл. 17 от Регламент (ЕО) № 178/2002 и съображение (6) от Регламент (ЕО) № 183/2005, във връзка с чл. 24 от Закона за фуражите, а именно че отговорността за безопасността на фуражите е тяхна, на фермерите. </w:t>
      </w:r>
    </w:p>
    <w:p w14:paraId="2E479985" w14:textId="77777777" w:rsidP="00F2631A" w:rsidR="00F2631A" w:rsidRDefault="00F2631A" w:rsidRPr="00F2631A">
      <w:pPr>
        <w:spacing w:line="360" w:lineRule="auto"/>
        <w:ind w:firstLine="720"/>
        <w:jc w:val="both"/>
        <w:rPr>
          <w:rFonts w:ascii="Verdana" w:hAnsi="Verdana"/>
          <w:sz w:val="20"/>
          <w:szCs w:val="20"/>
          <w:lang w:val="bg-BG"/>
        </w:rPr>
      </w:pPr>
      <w:r w:rsidRPr="00AD6B6B">
        <w:rPr>
          <w:rFonts w:ascii="Verdana" w:hAnsi="Verdana"/>
          <w:b/>
          <w:bCs/>
          <w:sz w:val="20"/>
          <w:szCs w:val="20"/>
          <w:lang w:val="bg-BG"/>
        </w:rPr>
        <w:t>Българска агенция по безопасност на храните</w:t>
      </w:r>
      <w:r w:rsidRPr="00F2631A">
        <w:rPr>
          <w:rFonts w:ascii="Verdana" w:hAnsi="Verdana"/>
          <w:sz w:val="20"/>
          <w:szCs w:val="20"/>
          <w:lang w:val="bg-BG"/>
        </w:rPr>
        <w:t xml:space="preserve">, чрез инспекторите в областните дирекции по безопасност на храните, </w:t>
      </w:r>
      <w:r w:rsidRPr="00AD6B6B">
        <w:rPr>
          <w:rFonts w:ascii="Verdana" w:hAnsi="Verdana"/>
          <w:b/>
          <w:bCs/>
          <w:sz w:val="20"/>
          <w:szCs w:val="20"/>
          <w:lang w:val="bg-BG"/>
        </w:rPr>
        <w:t>проверява дали фермерът спазва изискванията на законодателството. Проверките се извършват без предварително  уведомяване</w:t>
      </w:r>
      <w:r w:rsidRPr="00F2631A">
        <w:rPr>
          <w:rFonts w:ascii="Verdana" w:hAnsi="Verdana"/>
          <w:sz w:val="20"/>
          <w:szCs w:val="20"/>
          <w:lang w:val="bg-BG"/>
        </w:rPr>
        <w:t xml:space="preserve">, съгласно чл. 9, параграф 4 от Регламент (ЕС) 2017/625, във връзка с чл. 33а от Закона за фуражите. При установяване на несъответствие с изискванията на законодателството се дава предписание за отстраняване на несъответствието. Срокът за изпълнение на предписанието е съобразен с тежестта на несъответствието. При нарушение на  императивна разпоредба на законодателството или при неизпълнение на дадено предписание се съставя акт за установено административно нарушение съгласно административно наказателните разпоредби на Закона за фуражите. </w:t>
      </w:r>
      <w:r w:rsidRPr="00AD6B6B">
        <w:rPr>
          <w:rFonts w:ascii="Verdana" w:hAnsi="Verdana"/>
          <w:b/>
          <w:bCs/>
          <w:sz w:val="20"/>
          <w:szCs w:val="20"/>
          <w:lang w:val="bg-BG"/>
        </w:rPr>
        <w:t xml:space="preserve">За сведение на фермерите, с цел по-добрата им информираност, </w:t>
      </w:r>
      <w:r w:rsidRPr="00AD6B6B">
        <w:rPr>
          <w:rFonts w:ascii="Verdana" w:hAnsi="Verdana"/>
          <w:b/>
          <w:bCs/>
          <w:sz w:val="20"/>
          <w:szCs w:val="20"/>
          <w:lang w:val="bg-BG"/>
        </w:rPr>
        <w:lastRenderedPageBreak/>
        <w:t>Българска агенция по безопасност на храните предоставя и следната допълнителна информация относно официалния контрол на фуражите:</w:t>
      </w:r>
    </w:p>
    <w:p w14:paraId="0BD945EE" w14:textId="7C480DFD" w:rsidP="00F2631A" w:rsidR="00F2631A" w:rsidRDefault="00F2631A" w:rsidRPr="00F2631A">
      <w:pPr>
        <w:spacing w:line="360" w:lineRule="auto"/>
        <w:ind w:firstLine="720"/>
        <w:jc w:val="both"/>
        <w:rPr>
          <w:rFonts w:ascii="Verdana" w:hAnsi="Verdana"/>
          <w:sz w:val="20"/>
          <w:szCs w:val="20"/>
          <w:lang w:val="bg-BG"/>
        </w:rPr>
      </w:pPr>
      <w:r w:rsidRPr="00F2631A">
        <w:rPr>
          <w:rFonts w:ascii="Verdana" w:hAnsi="Verdana"/>
          <w:sz w:val="20"/>
          <w:szCs w:val="20"/>
          <w:lang w:val="bg-BG"/>
        </w:rPr>
        <w:t>Законодателството в сектора на фуражите е публично, публикувано в електронната страница на БАБХ (рубрика „</w:t>
      </w:r>
      <w:r w:rsidR="00AD6B6B">
        <w:rPr>
          <w:rFonts w:ascii="Verdana" w:hAnsi="Verdana"/>
          <w:sz w:val="20"/>
          <w:szCs w:val="20"/>
          <w:lang w:val="bg-BG"/>
        </w:rPr>
        <w:t>Д</w:t>
      </w:r>
      <w:r w:rsidRPr="00F2631A">
        <w:rPr>
          <w:rFonts w:ascii="Verdana" w:hAnsi="Verdana"/>
          <w:sz w:val="20"/>
          <w:szCs w:val="20"/>
          <w:lang w:val="bg-BG"/>
        </w:rPr>
        <w:t xml:space="preserve">окументи“, </w:t>
      </w:r>
      <w:proofErr w:type="spellStart"/>
      <w:r w:rsidRPr="00F2631A">
        <w:rPr>
          <w:rFonts w:ascii="Verdana" w:hAnsi="Verdana"/>
          <w:sz w:val="20"/>
          <w:szCs w:val="20"/>
          <w:lang w:val="bg-BG"/>
        </w:rPr>
        <w:t>подрубрика</w:t>
      </w:r>
      <w:proofErr w:type="spellEnd"/>
      <w:r w:rsidRPr="00F2631A">
        <w:rPr>
          <w:rFonts w:ascii="Verdana" w:hAnsi="Verdana"/>
          <w:sz w:val="20"/>
          <w:szCs w:val="20"/>
          <w:lang w:val="bg-BG"/>
        </w:rPr>
        <w:t xml:space="preserve"> „Законодателство“, </w:t>
      </w:r>
      <w:proofErr w:type="spellStart"/>
      <w:r w:rsidRPr="00F2631A">
        <w:rPr>
          <w:rFonts w:ascii="Verdana" w:hAnsi="Verdana"/>
          <w:sz w:val="20"/>
          <w:szCs w:val="20"/>
          <w:lang w:val="bg-BG"/>
        </w:rPr>
        <w:t>подрубрики</w:t>
      </w:r>
      <w:proofErr w:type="spellEnd"/>
      <w:r w:rsidRPr="00F2631A">
        <w:rPr>
          <w:rFonts w:ascii="Verdana" w:hAnsi="Verdana"/>
          <w:sz w:val="20"/>
          <w:szCs w:val="20"/>
          <w:lang w:val="bg-BG"/>
        </w:rPr>
        <w:t xml:space="preserve"> „Европейско законодателство“ и „Българско законодателство), на линк: </w:t>
      </w:r>
      <w:hyperlink r:id="rId7" w:history="1">
        <w:r w:rsidRPr="00260349">
          <w:rPr>
            <w:rStyle w:val="a4"/>
            <w:rFonts w:ascii="Verdana" w:hAnsi="Verdana"/>
            <w:sz w:val="20"/>
            <w:szCs w:val="20"/>
            <w:lang w:val="bg-BG"/>
          </w:rPr>
          <w:t>http://www.babh.government.bg/bg/Page/legislation/index/legislation/</w:t>
        </w:r>
      </w:hyperlink>
      <w:r>
        <w:rPr>
          <w:rFonts w:ascii="Verdana" w:hAnsi="Verdana"/>
          <w:sz w:val="20"/>
          <w:szCs w:val="20"/>
          <w:lang w:val="bg-BG"/>
        </w:rPr>
        <w:t xml:space="preserve"> </w:t>
      </w:r>
    </w:p>
    <w:p w14:paraId="295C814C" w14:textId="77777777" w:rsidP="00F2631A" w:rsidR="00F2631A" w:rsidRDefault="00F2631A" w:rsidRPr="00F2631A">
      <w:pPr>
        <w:spacing w:line="360" w:lineRule="auto"/>
        <w:ind w:firstLine="720"/>
        <w:jc w:val="both"/>
        <w:rPr>
          <w:rFonts w:ascii="Verdana" w:hAnsi="Verdana"/>
          <w:sz w:val="20"/>
          <w:szCs w:val="20"/>
          <w:lang w:val="bg-BG"/>
        </w:rPr>
      </w:pPr>
      <w:r w:rsidRPr="00F2631A">
        <w:rPr>
          <w:rFonts w:ascii="Verdana" w:hAnsi="Verdana"/>
          <w:sz w:val="20"/>
          <w:szCs w:val="20"/>
          <w:lang w:val="bg-BG"/>
        </w:rPr>
        <w:t>Служителите на Българска агенция по безопасност на храните, сектор „Фуражи“, са на разположение за предоставяне на допълнителна информация. Въпроси може да бъдат задавани по телефон, чрез електронна поща, писмено (по официален ред) или на място в областните дирекции по безопасност на храните или в Централно управление на БАБХ – дирекция „Здравеопазване и хуманно отношение към животните, и контрол на фуражите“, отдел „Контрол на фуражите“. Данните за контакт са публикувани в електронната страница на БАБХ, както следва:</w:t>
      </w:r>
    </w:p>
    <w:p w14:paraId="5CD8FF2C" w14:textId="47257A80" w:rsidP="00F2631A" w:rsidR="00F2631A" w:rsidRDefault="00F2631A" w:rsidRPr="00F2631A">
      <w:pPr>
        <w:spacing w:line="360" w:lineRule="auto"/>
        <w:ind w:firstLine="720"/>
        <w:jc w:val="both"/>
        <w:rPr>
          <w:rFonts w:ascii="Verdana" w:hAnsi="Verdana"/>
          <w:sz w:val="20"/>
          <w:szCs w:val="20"/>
          <w:lang w:val="bg-BG"/>
        </w:rPr>
      </w:pPr>
      <w:r w:rsidRPr="00F2631A">
        <w:rPr>
          <w:rFonts w:ascii="Verdana" w:hAnsi="Verdana"/>
          <w:sz w:val="20"/>
          <w:szCs w:val="20"/>
          <w:lang w:val="bg-BG"/>
        </w:rPr>
        <w:t xml:space="preserve">- с областните дирекции по безопасност на храните – в рубрика „За нас“, </w:t>
      </w:r>
      <w:proofErr w:type="spellStart"/>
      <w:r w:rsidRPr="00F2631A">
        <w:rPr>
          <w:rFonts w:ascii="Verdana" w:hAnsi="Verdana"/>
          <w:sz w:val="20"/>
          <w:szCs w:val="20"/>
          <w:lang w:val="bg-BG"/>
        </w:rPr>
        <w:t>подрубрика</w:t>
      </w:r>
      <w:proofErr w:type="spellEnd"/>
      <w:r w:rsidRPr="00F2631A">
        <w:rPr>
          <w:rFonts w:ascii="Verdana" w:hAnsi="Verdana"/>
          <w:sz w:val="20"/>
          <w:szCs w:val="20"/>
          <w:lang w:val="bg-BG"/>
        </w:rPr>
        <w:t xml:space="preserve"> „Областни дирекции по безопасност на храните“, на линк: </w:t>
      </w:r>
      <w:hyperlink r:id="rId8" w:history="1">
        <w:r w:rsidRPr="00260349">
          <w:rPr>
            <w:rStyle w:val="a4"/>
            <w:rFonts w:ascii="Verdana" w:hAnsi="Verdana"/>
            <w:sz w:val="20"/>
            <w:szCs w:val="20"/>
            <w:lang w:val="bg-BG"/>
          </w:rPr>
          <w:t>http://www.babh.government.bg/bg/Page/contacts-regions/index/contacts-regions</w:t>
        </w:r>
      </w:hyperlink>
      <w:r>
        <w:rPr>
          <w:rFonts w:ascii="Verdana" w:hAnsi="Verdana"/>
          <w:sz w:val="20"/>
          <w:szCs w:val="20"/>
          <w:lang w:val="bg-BG"/>
        </w:rPr>
        <w:t xml:space="preserve"> </w:t>
      </w:r>
      <w:r w:rsidRPr="00F2631A">
        <w:rPr>
          <w:rFonts w:ascii="Verdana" w:hAnsi="Verdana"/>
          <w:sz w:val="20"/>
          <w:szCs w:val="20"/>
          <w:lang w:val="bg-BG"/>
        </w:rPr>
        <w:t xml:space="preserve"> </w:t>
      </w:r>
    </w:p>
    <w:p w14:paraId="0BC22E87" w14:textId="3E313003" w:rsidP="00F2631A" w:rsidR="00F2631A" w:rsidRDefault="00F2631A" w:rsidRPr="00F2631A">
      <w:pPr>
        <w:spacing w:line="360" w:lineRule="auto"/>
        <w:ind w:firstLine="720"/>
        <w:jc w:val="both"/>
        <w:rPr>
          <w:rFonts w:ascii="Verdana" w:hAnsi="Verdana"/>
          <w:sz w:val="20"/>
          <w:szCs w:val="20"/>
          <w:lang w:val="bg-BG"/>
        </w:rPr>
      </w:pPr>
      <w:r w:rsidRPr="00F2631A">
        <w:rPr>
          <w:rFonts w:ascii="Verdana" w:hAnsi="Verdana"/>
          <w:sz w:val="20"/>
          <w:szCs w:val="20"/>
          <w:lang w:val="bg-BG"/>
        </w:rPr>
        <w:t xml:space="preserve">- директно със служителите на БАБХ отговорни за официалния контрол на фуражите (вж. Оперативен план за действие при извънредни ситуации) – рубрика „За бизнеса“, </w:t>
      </w:r>
      <w:proofErr w:type="spellStart"/>
      <w:r w:rsidRPr="00F2631A">
        <w:rPr>
          <w:rFonts w:ascii="Verdana" w:hAnsi="Verdana"/>
          <w:sz w:val="20"/>
          <w:szCs w:val="20"/>
          <w:lang w:val="bg-BG"/>
        </w:rPr>
        <w:t>подрубрика</w:t>
      </w:r>
      <w:proofErr w:type="spellEnd"/>
      <w:r w:rsidRPr="00F2631A">
        <w:rPr>
          <w:rFonts w:ascii="Verdana" w:hAnsi="Verdana"/>
          <w:sz w:val="20"/>
          <w:szCs w:val="20"/>
          <w:lang w:val="bg-BG"/>
        </w:rPr>
        <w:t xml:space="preserve"> „Фуражи“,  </w:t>
      </w:r>
      <w:proofErr w:type="spellStart"/>
      <w:r w:rsidRPr="00F2631A">
        <w:rPr>
          <w:rFonts w:ascii="Verdana" w:hAnsi="Verdana"/>
          <w:sz w:val="20"/>
          <w:szCs w:val="20"/>
          <w:lang w:val="bg-BG"/>
        </w:rPr>
        <w:t>подрубрика</w:t>
      </w:r>
      <w:proofErr w:type="spellEnd"/>
      <w:r w:rsidRPr="00F2631A">
        <w:rPr>
          <w:rFonts w:ascii="Verdana" w:hAnsi="Verdana"/>
          <w:sz w:val="20"/>
          <w:szCs w:val="20"/>
          <w:lang w:val="bg-BG"/>
        </w:rPr>
        <w:t xml:space="preserve"> „Оперативен план за действие при извънредни ситуации“, на линк: </w:t>
      </w:r>
      <w:hyperlink r:id="rId9" w:history="1">
        <w:r w:rsidRPr="00260349">
          <w:rPr>
            <w:rStyle w:val="a4"/>
            <w:rFonts w:ascii="Verdana" w:hAnsi="Verdana"/>
            <w:sz w:val="20"/>
            <w:szCs w:val="20"/>
            <w:lang w:val="bg-BG"/>
          </w:rPr>
          <w:t>http://www.babh.government.bg/bg/Page/381/index/381</w:t>
        </w:r>
      </w:hyperlink>
      <w:r>
        <w:rPr>
          <w:rFonts w:ascii="Verdana" w:hAnsi="Verdana"/>
          <w:sz w:val="20"/>
          <w:szCs w:val="20"/>
          <w:lang w:val="bg-BG"/>
        </w:rPr>
        <w:t xml:space="preserve"> </w:t>
      </w:r>
      <w:r w:rsidRPr="00F2631A">
        <w:rPr>
          <w:rFonts w:ascii="Verdana" w:hAnsi="Verdana"/>
          <w:sz w:val="20"/>
          <w:szCs w:val="20"/>
          <w:lang w:val="bg-BG"/>
        </w:rPr>
        <w:t xml:space="preserve"> </w:t>
      </w:r>
    </w:p>
    <w:p w14:paraId="337FA7F7" w14:textId="77777777" w:rsidP="00F2631A" w:rsidR="00F2631A" w:rsidRDefault="00F2631A" w:rsidRPr="00F2631A">
      <w:pPr>
        <w:spacing w:line="360" w:lineRule="auto"/>
        <w:ind w:firstLine="720"/>
        <w:jc w:val="both"/>
        <w:rPr>
          <w:rFonts w:ascii="Verdana" w:hAnsi="Verdana"/>
          <w:sz w:val="20"/>
          <w:szCs w:val="20"/>
          <w:lang w:val="bg-BG"/>
        </w:rPr>
      </w:pPr>
      <w:r w:rsidRPr="00F2631A">
        <w:rPr>
          <w:rFonts w:ascii="Verdana" w:hAnsi="Verdana"/>
          <w:sz w:val="20"/>
          <w:szCs w:val="20"/>
          <w:lang w:val="bg-BG"/>
        </w:rPr>
        <w:t xml:space="preserve"> </w:t>
      </w:r>
    </w:p>
    <w:p w14:paraId="435B8E0A" w14:textId="77777777" w:rsidP="00F2631A" w:rsidR="00F2631A" w:rsidRDefault="00F2631A" w:rsidRPr="00F2631A">
      <w:pPr>
        <w:spacing w:line="360" w:lineRule="auto"/>
        <w:ind w:firstLine="720"/>
        <w:jc w:val="both"/>
        <w:rPr>
          <w:rFonts w:ascii="Verdana" w:hAnsi="Verdana"/>
          <w:sz w:val="20"/>
          <w:szCs w:val="20"/>
          <w:lang w:val="bg-BG"/>
        </w:rPr>
      </w:pPr>
    </w:p>
    <w:p w14:paraId="2A64F146" w14:textId="77777777" w:rsidP="00F2631A" w:rsidR="00F2631A" w:rsidRDefault="00F2631A" w:rsidRPr="00F2631A">
      <w:pPr>
        <w:spacing w:line="360" w:lineRule="auto"/>
        <w:ind w:firstLine="720"/>
        <w:jc w:val="both"/>
        <w:rPr>
          <w:rFonts w:ascii="Verdana" w:hAnsi="Verdana"/>
          <w:sz w:val="20"/>
          <w:szCs w:val="20"/>
          <w:lang w:val="bg-BG"/>
        </w:rPr>
      </w:pPr>
    </w:p>
    <w:p w14:paraId="7D88C386" w14:textId="77777777" w:rsidP="00F2631A" w:rsidR="00F2631A" w:rsidRDefault="00F2631A" w:rsidRPr="00F2631A">
      <w:pPr>
        <w:spacing w:line="360" w:lineRule="auto"/>
        <w:ind w:firstLine="720"/>
        <w:jc w:val="both"/>
        <w:rPr>
          <w:rFonts w:ascii="Verdana" w:hAnsi="Verdana"/>
          <w:sz w:val="20"/>
          <w:szCs w:val="20"/>
          <w:lang w:val="bg-BG"/>
        </w:rPr>
      </w:pPr>
    </w:p>
    <w:p w14:paraId="240690C3" w14:textId="77777777" w:rsidP="009541FC" w:rsidR="00CA05D7" w:rsidRDefault="00CA05D7" w:rsidRPr="00F2631A">
      <w:pPr>
        <w:spacing w:line="360" w:lineRule="auto"/>
        <w:ind w:firstLine="720"/>
        <w:jc w:val="both"/>
        <w:rPr>
          <w:rFonts w:ascii="Verdana" w:hAnsi="Verdana"/>
          <w:sz w:val="20"/>
          <w:szCs w:val="20"/>
          <w:lang w:val="bg-BG"/>
        </w:rPr>
      </w:pPr>
    </w:p>
    <w:p>
      <w:r>
        <w:t>С уважение,</w:t>
        <w:br/>
        <w:drawing>
          <wp:inline distT="0" distB="0" distL="0" distR="0">
            <wp:extent cx="1200000" cy="523847"/>
            <wp:docPr id="4098" name="Picture 4098"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12"/>
                    <a:stretch>
                      <a:fillRect/>
                    </a:stretch>
                  </pic:blipFill>
                  <pic:spPr>
                    <a:xfrm>
                      <a:off x="0" y="0"/>
                      <a:ext cx="1200000" cy="523847"/>
                    </a:xfrm>
                    <a:prstGeom prst="rect">
                      <a:avLst/>
                    </a:prstGeom>
                  </pic:spPr>
                </pic:pic>
              </a:graphicData>
            </a:graphic>
          </wp:inline>
        </w:drawing>
        <w:br/>
        <w:t>Силвия Василева (Директор)</w:t>
        <w:br/>
        <w:t>Дирекция "Животновъдство"</w:t>
        <w:br/>
        <w:t>15.05.2020г. 09:09ч.</w:t>
        <w:br/>
        <w:t>МЗХГ</w:t>
        <w:br/>
        <w:br/>
        <w:br/>
        <w:t>Електронният подпис се намира в отделен файл с название signature.txt.p7s</w:t>
      </w:r>
    </w:p>
    <w:sectPr w:rsidR="00CA05D7" w:rsidRPr="00F2631A" w:rsidSect="00E7181D">
      <w:pgSz w:h="15840" w:w="12240"/>
      <w:pgMar w:bottom="1418" w:footer="720" w:gutter="0" w:header="720" w:left="1440" w:right="1440" w:top="1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0C5C" w14:textId="77777777" w:rsidR="000E4D6C" w:rsidRDefault="000E4D6C" w:rsidP="004B5520">
      <w:pPr>
        <w:spacing w:after="0" w:line="240" w:lineRule="auto"/>
      </w:pPr>
      <w:r>
        <w:separator/>
      </w:r>
    </w:p>
  </w:endnote>
  <w:endnote w:type="continuationSeparator" w:id="0">
    <w:p w14:paraId="5DA88E79" w14:textId="77777777" w:rsidR="000E4D6C" w:rsidRDefault="000E4D6C" w:rsidP="004B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774C987C" w14:textId="77777777" w:rsidP="004B5520" w:rsidR="000E4D6C" w:rsidRDefault="000E4D6C">
      <w:pPr>
        <w:spacing w:after="0" w:line="240" w:lineRule="auto"/>
      </w:pPr>
      <w:r>
        <w:separator/>
      </w:r>
    </w:p>
  </w:footnote>
  <w:footnote w:id="0" w:type="continuationSeparator">
    <w:p w14:paraId="41686BB2" w14:textId="77777777" w:rsidP="004B5520" w:rsidR="000E4D6C" w:rsidRDefault="000E4D6C">
      <w:pPr>
        <w:spacing w:after="0" w:line="240" w:lineRule="auto"/>
      </w:pPr>
      <w:r>
        <w:continuationSeparator/>
      </w:r>
    </w:p>
  </w:footnote>
  <w:footnote w:id="1">
    <w:p w14:paraId="41D7FFAD" w14:textId="06DACD6E" w:rsidP="004B5520" w:rsidR="00E7181D" w:rsidRDefault="00E06C18" w:rsidRPr="00E7181D">
      <w:pPr>
        <w:pStyle w:val="a5"/>
        <w:jc w:val="both"/>
        <w:rPr>
          <w:rFonts w:ascii="Times New Roman" w:hAnsi="Times New Roman"/>
          <w:lang w:val="bg-BG"/>
        </w:rPr>
      </w:pPr>
      <w:r>
        <w:rPr>
          <w:rFonts w:ascii="Times New Roman" w:hAnsi="Times New Roman"/>
          <w:lang w:val="bg-BG"/>
        </w:rPr>
        <w:t xml:space="preserve">1. </w:t>
      </w:r>
      <w:r w:rsidR="00E7181D">
        <w:rPr>
          <w:rFonts w:ascii="Times New Roman" w:hAnsi="Times New Roman"/>
          <w:lang w:val="bg-BG"/>
        </w:rPr>
        <w:t>Данните посочени в таблицата не с изчерпателни – може да бъдат допълвани от фермера с данни по</w:t>
      </w:r>
      <w:r>
        <w:rPr>
          <w:rFonts w:ascii="Times New Roman" w:hAnsi="Times New Roman"/>
          <w:lang w:val="bg-BG"/>
        </w:rPr>
        <w:t xml:space="preserve"> </w:t>
      </w:r>
      <w:r w:rsidR="00E7181D">
        <w:rPr>
          <w:rFonts w:ascii="Times New Roman" w:hAnsi="Times New Roman"/>
          <w:lang w:val="bg-BG"/>
        </w:rPr>
        <w:t>негова преценка.</w:t>
      </w:r>
    </w:p>
    <w:p w14:paraId="2ADB2135" w14:textId="13079E2D" w:rsidP="004B5520" w:rsidR="004B5520" w:rsidRDefault="00E7181D" w:rsidRPr="00E06C18">
      <w:pPr>
        <w:pStyle w:val="a5"/>
        <w:jc w:val="both"/>
        <w:rPr>
          <w:rFonts w:ascii="Times New Roman" w:hAnsi="Times New Roman"/>
          <w:lang w:val="bg-BG"/>
        </w:rPr>
      </w:pPr>
      <w:r>
        <w:rPr>
          <w:rFonts w:ascii="Times New Roman" w:hAnsi="Times New Roman"/>
          <w:lang w:val="bg-BG"/>
        </w:rPr>
        <w:t>2</w:t>
      </w:r>
      <w:r w:rsidRPr="00E06C18">
        <w:rPr>
          <w:rFonts w:ascii="Times New Roman" w:hAnsi="Times New Roman"/>
          <w:lang w:val="bg-BG"/>
        </w:rPr>
        <w:t>.</w:t>
      </w:r>
      <w:r w:rsidR="00E06C18">
        <w:rPr>
          <w:rFonts w:ascii="Times New Roman" w:hAnsi="Times New Roman"/>
          <w:lang w:val="bg-BG"/>
        </w:rPr>
        <w:t xml:space="preserve"> </w:t>
      </w:r>
      <w:r w:rsidR="004B5520" w:rsidRPr="00E06C18">
        <w:rPr>
          <w:rFonts w:ascii="Times New Roman" w:hAnsi="Times New Roman"/>
          <w:lang w:val="bg-BG"/>
        </w:rPr>
        <w:t>Ако фуражът е опакован – номерът е изписан върху етикета на фуража. Ако фуражът е насипен – номерът е изписан в документа, който придружава фуража</w:t>
      </w:r>
      <w:r w:rsidR="004B5520" w:rsidRPr="00E06C18">
        <w:rPr>
          <w:rFonts w:ascii="Times New Roman" w:hAnsi="Times New Roman"/>
          <w:sz w:val="24"/>
          <w:szCs w:val="24"/>
          <w:lang w:val="bg-BG"/>
        </w:rPr>
        <w:t>.</w:t>
      </w:r>
    </w:p>
  </w:footnote>
  <w:footnote w:id="2">
    <w:p w14:paraId="1DCCDE30" w14:textId="3489F5DF" w:rsidP="004B5520" w:rsidR="004B5520" w:rsidRDefault="00E7181D" w:rsidRPr="00E06C18">
      <w:pPr>
        <w:pStyle w:val="a5"/>
        <w:rPr>
          <w:rFonts w:ascii="Times New Roman" w:hAnsi="Times New Roman"/>
          <w:lang w:val="bg-BG"/>
        </w:rPr>
      </w:pPr>
      <w:r w:rsidRPr="00E06C18">
        <w:rPr>
          <w:rFonts w:ascii="Times New Roman" w:hAnsi="Times New Roman"/>
          <w:lang w:val="bg-BG"/>
        </w:rPr>
        <w:t>3.</w:t>
      </w:r>
      <w:r w:rsidR="004B5520" w:rsidRPr="00E06C18">
        <w:rPr>
          <w:rFonts w:ascii="Times New Roman" w:hAnsi="Times New Roman"/>
          <w:lang w:val="bg-BG"/>
        </w:rPr>
        <w:t xml:space="preserve"> Реколтата се посочва за произведените от фермера фуражи – царевица, сено, овес и др.</w:t>
      </w:r>
    </w:p>
    <w:p w14:paraId="0E0153E0" w14:textId="77777777" w:rsidP="004B5520" w:rsidR="00E7181D" w:rsidRDefault="00E7181D">
      <w:pPr>
        <w:pStyle w:val="a5"/>
      </w:pP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9AD74A2"/>
    <w:multiLevelType w:val="hybridMultilevel"/>
    <w:tmpl w:val="7B803BF0"/>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
    <w:nsid w:val="0D983199"/>
    <w:multiLevelType w:val="hybridMultilevel"/>
    <w:tmpl w:val="6936C2E6"/>
    <w:lvl w:ilvl="0" w:tplc="9500AB12">
      <w:start w:val="1"/>
      <w:numFmt w:val="bullet"/>
      <w:lvlText w:val="-"/>
      <w:lvlJc w:val="left"/>
      <w:pPr>
        <w:ind w:hanging="360" w:left="1080"/>
      </w:pPr>
      <w:rPr>
        <w:rFonts w:ascii="Verdana" w:cstheme="minorBidi" w:eastAsiaTheme="minorHAnsi" w:hAnsi="Verdana"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cs="Wingdings" w:hAnsi="Wingdings" w:hint="default"/>
      </w:rPr>
    </w:lvl>
    <w:lvl w:ilvl="3" w:tentative="1" w:tplc="04090001">
      <w:start w:val="1"/>
      <w:numFmt w:val="bullet"/>
      <w:lvlText w:val=""/>
      <w:lvlJc w:val="left"/>
      <w:pPr>
        <w:ind w:hanging="360" w:left="3240"/>
      </w:pPr>
      <w:rPr>
        <w:rFonts w:ascii="Symbol" w:cs="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cs="Wingdings" w:hAnsi="Wingdings" w:hint="default"/>
      </w:rPr>
    </w:lvl>
    <w:lvl w:ilvl="6" w:tentative="1" w:tplc="04090001">
      <w:start w:val="1"/>
      <w:numFmt w:val="bullet"/>
      <w:lvlText w:val=""/>
      <w:lvlJc w:val="left"/>
      <w:pPr>
        <w:ind w:hanging="360" w:left="5400"/>
      </w:pPr>
      <w:rPr>
        <w:rFonts w:ascii="Symbol" w:cs="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cs="Wingdings" w:hAnsi="Wingdings" w:hint="default"/>
      </w:rPr>
    </w:lvl>
  </w:abstractNum>
  <w:abstractNum w15:restartNumberingAfterBreak="0" w:abstractNumId="2">
    <w:nsid w:val="1049027B"/>
    <w:multiLevelType w:val="hybridMultilevel"/>
    <w:tmpl w:val="BEF0B7AA"/>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3">
    <w:nsid w:val="13CB7920"/>
    <w:multiLevelType w:val="hybridMultilevel"/>
    <w:tmpl w:val="408CC86C"/>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4">
    <w:nsid w:val="1C8B26C7"/>
    <w:multiLevelType w:val="hybridMultilevel"/>
    <w:tmpl w:val="D6A07208"/>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5">
    <w:nsid w:val="2BB62D55"/>
    <w:multiLevelType w:val="hybridMultilevel"/>
    <w:tmpl w:val="A0346450"/>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6">
    <w:nsid w:val="2DE4397B"/>
    <w:multiLevelType w:val="hybridMultilevel"/>
    <w:tmpl w:val="A55AEBB6"/>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7">
    <w:nsid w:val="326D497E"/>
    <w:multiLevelType w:val="hybridMultilevel"/>
    <w:tmpl w:val="62885EF6"/>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8">
    <w:nsid w:val="329A0C89"/>
    <w:multiLevelType w:val="hybridMultilevel"/>
    <w:tmpl w:val="2F5EB2A2"/>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9">
    <w:nsid w:val="333D5CEF"/>
    <w:multiLevelType w:val="hybridMultilevel"/>
    <w:tmpl w:val="0E4CF28A"/>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0">
    <w:nsid w:val="48ED7635"/>
    <w:multiLevelType w:val="hybridMultilevel"/>
    <w:tmpl w:val="CFBA8E58"/>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1">
    <w:nsid w:val="4B9B30FB"/>
    <w:multiLevelType w:val="hybridMultilevel"/>
    <w:tmpl w:val="8D0C9254"/>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2">
    <w:nsid w:val="4BED7C8A"/>
    <w:multiLevelType w:val="hybridMultilevel"/>
    <w:tmpl w:val="02EA0830"/>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3">
    <w:nsid w:val="522473CB"/>
    <w:multiLevelType w:val="hybridMultilevel"/>
    <w:tmpl w:val="6748B616"/>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4">
    <w:nsid w:val="5F7A0D39"/>
    <w:multiLevelType w:val="hybridMultilevel"/>
    <w:tmpl w:val="AEDA7226"/>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5">
    <w:nsid w:val="6EAA4201"/>
    <w:multiLevelType w:val="hybridMultilevel"/>
    <w:tmpl w:val="B6E86D5E"/>
    <w:lvl w:ilvl="0" w:tplc="0409000B">
      <w:start w:val="1"/>
      <w:numFmt w:val="bullet"/>
      <w:lvlText w:val=""/>
      <w:lvlJc w:val="left"/>
      <w:pPr>
        <w:ind w:hanging="360" w:left="1440"/>
      </w:pPr>
      <w:rPr>
        <w:rFonts w:ascii="Wingdings" w:hAnsi="Wingdings"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cs="Wingdings" w:hAnsi="Wingdings" w:hint="default"/>
      </w:rPr>
    </w:lvl>
    <w:lvl w:ilvl="3" w:tentative="1" w:tplc="04090001">
      <w:start w:val="1"/>
      <w:numFmt w:val="bullet"/>
      <w:lvlText w:val=""/>
      <w:lvlJc w:val="left"/>
      <w:pPr>
        <w:ind w:hanging="360" w:left="3600"/>
      </w:pPr>
      <w:rPr>
        <w:rFonts w:ascii="Symbol" w:cs="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cs="Wingdings" w:hAnsi="Wingdings" w:hint="default"/>
      </w:rPr>
    </w:lvl>
    <w:lvl w:ilvl="6" w:tentative="1" w:tplc="04090001">
      <w:start w:val="1"/>
      <w:numFmt w:val="bullet"/>
      <w:lvlText w:val=""/>
      <w:lvlJc w:val="left"/>
      <w:pPr>
        <w:ind w:hanging="360" w:left="5760"/>
      </w:pPr>
      <w:rPr>
        <w:rFonts w:ascii="Symbol" w:cs="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cs="Wingdings" w:hAnsi="Wingdings" w:hint="default"/>
      </w:rPr>
    </w:lvl>
  </w:abstractNum>
  <w:abstractNum w15:restartNumberingAfterBreak="0" w:abstractNumId="16">
    <w:nsid w:val="6F7B07AB"/>
    <w:multiLevelType w:val="hybridMultilevel"/>
    <w:tmpl w:val="B6009820"/>
    <w:lvl w:ilvl="0" w:tplc="0409000B">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abstractNum w15:restartNumberingAfterBreak="0" w:abstractNumId="17">
    <w:nsid w:val="71256320"/>
    <w:multiLevelType w:val="hybridMultilevel"/>
    <w:tmpl w:val="9C4488CE"/>
    <w:lvl w:ilvl="0" w:tplc="C1D6B866">
      <w:numFmt w:val="bullet"/>
      <w:lvlText w:val="-"/>
      <w:lvlJc w:val="left"/>
      <w:pPr>
        <w:ind w:hanging="360" w:left="1080"/>
      </w:pPr>
      <w:rPr>
        <w:rFonts w:ascii="Verdana" w:cstheme="minorBidi" w:eastAsiaTheme="minorHAnsi" w:hAnsi="Verdana"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cs="Wingdings" w:hAnsi="Wingdings" w:hint="default"/>
      </w:rPr>
    </w:lvl>
    <w:lvl w:ilvl="3" w:tentative="1" w:tplc="04090001">
      <w:start w:val="1"/>
      <w:numFmt w:val="bullet"/>
      <w:lvlText w:val=""/>
      <w:lvlJc w:val="left"/>
      <w:pPr>
        <w:ind w:hanging="360" w:left="3240"/>
      </w:pPr>
      <w:rPr>
        <w:rFonts w:ascii="Symbol" w:cs="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cs="Wingdings" w:hAnsi="Wingdings" w:hint="default"/>
      </w:rPr>
    </w:lvl>
    <w:lvl w:ilvl="6" w:tentative="1" w:tplc="04090001">
      <w:start w:val="1"/>
      <w:numFmt w:val="bullet"/>
      <w:lvlText w:val=""/>
      <w:lvlJc w:val="left"/>
      <w:pPr>
        <w:ind w:hanging="360" w:left="5400"/>
      </w:pPr>
      <w:rPr>
        <w:rFonts w:ascii="Symbol" w:cs="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cs="Wingdings" w:hAnsi="Wingdings" w:hint="default"/>
      </w:rPr>
    </w:lvl>
  </w:abstractNum>
  <w:abstractNum w15:restartNumberingAfterBreak="0" w:abstractNumId="18">
    <w:nsid w:val="7AA42DD1"/>
    <w:multiLevelType w:val="hybridMultilevel"/>
    <w:tmpl w:val="BCDCCB1C"/>
    <w:lvl w:ilvl="0" w:tplc="9620EA42">
      <w:start w:val="1"/>
      <w:numFmt w:val="decimal"/>
      <w:lvlText w:val="%1."/>
      <w:lvlJc w:val="left"/>
      <w:pPr>
        <w:ind w:hanging="360" w:left="720"/>
      </w:pPr>
      <w:rPr>
        <w:rFonts w:ascii="Verdana" w:cstheme="minorBidi" w:eastAsiaTheme="minorHAnsi" w:hAnsi="Verdana"/>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cs="Wingdings" w:hAnsi="Wingdings" w:hint="default"/>
      </w:rPr>
    </w:lvl>
    <w:lvl w:ilvl="3" w:tentative="1" w:tplc="04090001">
      <w:start w:val="1"/>
      <w:numFmt w:val="bullet"/>
      <w:lvlText w:val=""/>
      <w:lvlJc w:val="left"/>
      <w:pPr>
        <w:ind w:hanging="360" w:left="2880"/>
      </w:pPr>
      <w:rPr>
        <w:rFonts w:ascii="Symbol" w:cs="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cs="Wingdings" w:hAnsi="Wingdings" w:hint="default"/>
      </w:rPr>
    </w:lvl>
    <w:lvl w:ilvl="6" w:tentative="1" w:tplc="04090001">
      <w:start w:val="1"/>
      <w:numFmt w:val="bullet"/>
      <w:lvlText w:val=""/>
      <w:lvlJc w:val="left"/>
      <w:pPr>
        <w:ind w:hanging="360" w:left="5040"/>
      </w:pPr>
      <w:rPr>
        <w:rFonts w:ascii="Symbol" w:cs="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cs="Wingdings" w:hAnsi="Wingdings" w:hint="default"/>
      </w:rPr>
    </w:lvl>
  </w:abstractNum>
  <w:num w:numId="1">
    <w:abstractNumId w:val="18"/>
  </w:num>
  <w:num w:numId="2">
    <w:abstractNumId w:val="1"/>
  </w:num>
  <w:num w:numId="3">
    <w:abstractNumId w:val="3"/>
  </w:num>
  <w:num w:numId="4">
    <w:abstractNumId w:val="15"/>
  </w:num>
  <w:num w:numId="5">
    <w:abstractNumId w:val="17"/>
  </w:num>
  <w:num w:numId="6">
    <w:abstractNumId w:val="9"/>
  </w:num>
  <w:num w:numId="7">
    <w:abstractNumId w:val="8"/>
  </w:num>
  <w:num w:numId="8">
    <w:abstractNumId w:val="12"/>
  </w:num>
  <w:num w:numId="9">
    <w:abstractNumId w:val="6"/>
  </w:num>
  <w:num w:numId="10">
    <w:abstractNumId w:val="2"/>
  </w:num>
  <w:num w:numId="11">
    <w:abstractNumId w:val="16"/>
  </w:num>
  <w:num w:numId="12">
    <w:abstractNumId w:val="5"/>
  </w:num>
  <w:num w:numId="13">
    <w:abstractNumId w:val="4"/>
  </w:num>
  <w:num w:numId="14">
    <w:abstractNumId w:val="7"/>
  </w:num>
  <w:num w:numId="15">
    <w:abstractNumId w:val="0"/>
  </w:num>
  <w:num w:numId="16">
    <w:abstractNumId w:val="11"/>
  </w:num>
  <w:num w:numId="17">
    <w:abstractNumId w:val="14"/>
  </w:num>
  <w:num w:numId="18">
    <w:abstractNumId w:val="13"/>
  </w:num>
  <w:num w:numId="19">
    <w:abstractNumId w:val="1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20"/>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90"/>
    <w:rsid w:val="0006239E"/>
    <w:rsid w:val="0007330B"/>
    <w:rsid w:val="000A2F9D"/>
    <w:rsid w:val="000E4D6C"/>
    <w:rsid w:val="000F2011"/>
    <w:rsid w:val="001E3706"/>
    <w:rsid w:val="00346191"/>
    <w:rsid w:val="003B1E2E"/>
    <w:rsid w:val="003B40D6"/>
    <w:rsid w:val="00473390"/>
    <w:rsid w:val="004B5520"/>
    <w:rsid w:val="004E1C34"/>
    <w:rsid w:val="00592CDA"/>
    <w:rsid w:val="00712345"/>
    <w:rsid w:val="007565D1"/>
    <w:rsid w:val="008309EE"/>
    <w:rsid w:val="008742A0"/>
    <w:rsid w:val="00951E82"/>
    <w:rsid w:val="009541FC"/>
    <w:rsid w:val="009D42BA"/>
    <w:rsid w:val="00A015B9"/>
    <w:rsid w:val="00A923BD"/>
    <w:rsid w:val="00AB3B24"/>
    <w:rsid w:val="00AD6B6B"/>
    <w:rsid w:val="00B00BF7"/>
    <w:rsid w:val="00B1388A"/>
    <w:rsid w:val="00BF54D0"/>
    <w:rsid w:val="00CA05D7"/>
    <w:rsid w:val="00D515D4"/>
    <w:rsid w:val="00D5467F"/>
    <w:rsid w:val="00D76779"/>
    <w:rsid w:val="00DD4265"/>
    <w:rsid w:val="00E06C18"/>
    <w:rsid w:val="00E7181D"/>
    <w:rsid w:val="00EA7116"/>
    <w:rsid w:val="00F2631A"/>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4097" v:ext="edit"/>
    <o:shapelayout v:ext="edit">
      <o:idmap data="1" v:ext="edit"/>
    </o:shapelayout>
  </w:shapeDefaults>
  <w:decimalSymbol w:val=","/>
  <w:listSeparator w:val=";"/>
  <w14:docId w14:val="00658097"/>
  <w15:chartTrackingRefBased/>
  <w15:docId w15:val="{64DD652D-D602-44E7-96AF-370551F4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List Paragraph"/>
    <w:basedOn w:val="a"/>
    <w:uiPriority w:val="34"/>
    <w:qFormat/>
    <w:rsid w:val="00B1388A"/>
    <w:pPr>
      <w:ind w:left="720"/>
      <w:contextualSpacing/>
    </w:pPr>
  </w:style>
  <w:style w:styleId="a4" w:type="character">
    <w:name w:val="Hyperlink"/>
    <w:basedOn w:val="a0"/>
    <w:uiPriority w:val="99"/>
    <w:unhideWhenUsed/>
    <w:rsid w:val="00F2631A"/>
    <w:rPr>
      <w:color w:themeColor="hyperlink" w:val="0563C1"/>
      <w:u w:val="single"/>
    </w:rPr>
  </w:style>
  <w:style w:customStyle="1" w:styleId="1" w:type="character">
    <w:name w:val="Неразрешено споменаване1"/>
    <w:basedOn w:val="a0"/>
    <w:uiPriority w:val="99"/>
    <w:semiHidden/>
    <w:unhideWhenUsed/>
    <w:rsid w:val="00F2631A"/>
    <w:rPr>
      <w:color w:val="605E5C"/>
      <w:shd w:color="auto" w:fill="E1DFDD" w:val="clear"/>
    </w:rPr>
  </w:style>
  <w:style w:styleId="a5" w:type="paragraph">
    <w:name w:val="footnote text"/>
    <w:basedOn w:val="a"/>
    <w:link w:val="a6"/>
    <w:uiPriority w:val="99"/>
    <w:semiHidden/>
    <w:unhideWhenUsed/>
    <w:rsid w:val="004B5520"/>
    <w:pPr>
      <w:spacing w:after="0" w:line="240" w:lineRule="auto"/>
    </w:pPr>
    <w:rPr>
      <w:sz w:val="20"/>
      <w:szCs w:val="20"/>
    </w:rPr>
  </w:style>
  <w:style w:customStyle="1" w:styleId="a6" w:type="character">
    <w:name w:val="Текст под линия Знак"/>
    <w:basedOn w:val="a0"/>
    <w:link w:val="a5"/>
    <w:uiPriority w:val="99"/>
    <w:semiHidden/>
    <w:rsid w:val="004B5520"/>
    <w:rPr>
      <w:sz w:val="20"/>
      <w:szCs w:val="20"/>
    </w:rPr>
  </w:style>
  <w:style w:styleId="a7" w:type="character">
    <w:name w:val="footnote reference"/>
    <w:semiHidden/>
    <w:rsid w:val="004B5520"/>
    <w:rPr>
      <w:rFonts w:cs="Times New Roman"/>
      <w:vertAlign w:val="superscript"/>
    </w:rPr>
  </w:style>
  <w:style w:styleId="a8" w:type="paragraph">
    <w:name w:val="header"/>
    <w:basedOn w:val="a"/>
    <w:link w:val="a9"/>
    <w:uiPriority w:val="99"/>
    <w:unhideWhenUsed/>
    <w:rsid w:val="00AD6B6B"/>
    <w:pPr>
      <w:tabs>
        <w:tab w:pos="4680" w:val="center"/>
        <w:tab w:pos="9360" w:val="right"/>
      </w:tabs>
      <w:spacing w:after="0" w:line="240" w:lineRule="auto"/>
    </w:pPr>
  </w:style>
  <w:style w:customStyle="1" w:styleId="a9" w:type="character">
    <w:name w:val="Горен колонтитул Знак"/>
    <w:basedOn w:val="a0"/>
    <w:link w:val="a8"/>
    <w:uiPriority w:val="99"/>
    <w:rsid w:val="00AD6B6B"/>
  </w:style>
  <w:style w:styleId="aa" w:type="paragraph">
    <w:name w:val="footer"/>
    <w:basedOn w:val="a"/>
    <w:link w:val="ab"/>
    <w:uiPriority w:val="99"/>
    <w:unhideWhenUsed/>
    <w:rsid w:val="00AD6B6B"/>
    <w:pPr>
      <w:tabs>
        <w:tab w:pos="4680" w:val="center"/>
        <w:tab w:pos="9360" w:val="right"/>
      </w:tabs>
      <w:spacing w:after="0" w:line="240" w:lineRule="auto"/>
    </w:pPr>
  </w:style>
  <w:style w:customStyle="1" w:styleId="ab" w:type="character">
    <w:name w:val="Долен колонтитул Знак"/>
    <w:basedOn w:val="a0"/>
    <w:link w:val="aa"/>
    <w:uiPriority w:val="99"/>
    <w:rsid w:val="00AD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12" Target="media/image1.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babh.government.bg/bg/Page/legislation/index/legislation/" TargetMode="External" Type="http://schemas.openxmlformats.org/officeDocument/2006/relationships/hyperlink"/><Relationship Id="rId8" Target="http://www.babh.government.bg/bg/Page/contacts-regions/index/contacts-regions" TargetMode="External" Type="http://schemas.openxmlformats.org/officeDocument/2006/relationships/hyperlink"/><Relationship Id="rId9" Target="http://www.babh.government.bg/bg/Page/381/index/381" TargetMode="External" Type="http://schemas.openxmlformats.org/officeDocument/2006/relationships/hyperlink"/></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3391</Words>
  <Characters>19330</Characters>
  <Application>Microsoft Office Word</Application>
  <DocSecurity>0</DocSecurity>
  <Lines>161</Lines>
  <Paragraphs>45</Paragraphs>
  <ScaleCrop>false</ScaleCrop>
  <HeadingPairs>
    <vt:vector baseType="variant" size="4">
      <vt:variant>
        <vt:lpstr>Title</vt:lpstr>
      </vt:variant>
      <vt:variant>
        <vt:i4>1</vt:i4>
      </vt:variant>
      <vt:variant>
        <vt:lpstr>Заглавие</vt:lpstr>
      </vt:variant>
      <vt:variant>
        <vt:i4>1</vt:i4>
      </vt:variant>
    </vt:vector>
  </HeadingPairs>
  <TitlesOfParts>
    <vt:vector baseType="lpstr" size="2">
      <vt: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2020-04-15T06:58:00Z</dcterms:created>
  <dc:creator>venom</dc:creator>
  <cp:lastModifiedBy>venom</cp:lastModifiedBy>
  <dcterms:modified xsi:type="dcterms:W3CDTF">2020-04-15T07:04:00Z</dcterms:modified>
  <cp:revision>4</cp:revision>
</cp:coreProperties>
</file>