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0" w:rsidRPr="002743D6"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2743D6" w:rsidTr="00F73636">
        <w:tc>
          <w:tcPr>
            <w:tcW w:w="9900" w:type="dxa"/>
            <w:shd w:val="clear" w:color="auto" w:fill="C0C0C0"/>
            <w:hideMark/>
          </w:tcPr>
          <w:p w:rsidR="001B1430" w:rsidRPr="002743D6" w:rsidRDefault="001B1430" w:rsidP="00F73636">
            <w:pPr>
              <w:tabs>
                <w:tab w:val="left" w:pos="1020"/>
              </w:tabs>
              <w:autoSpaceDE w:val="0"/>
              <w:autoSpaceDN w:val="0"/>
              <w:adjustRightInd w:val="0"/>
              <w:jc w:val="both"/>
              <w:rPr>
                <w:rFonts w:ascii="Arial" w:hAnsi="Arial" w:cs="Arial"/>
                <w:b/>
                <w:i/>
                <w:iCs/>
                <w:noProof/>
                <w:sz w:val="20"/>
              </w:rPr>
            </w:pPr>
            <w:r w:rsidRPr="002743D6">
              <w:rPr>
                <w:rFonts w:ascii="Arial" w:hAnsi="Arial" w:cs="Arial"/>
                <w:b/>
                <w:i/>
                <w:noProof/>
                <w:sz w:val="20"/>
              </w:rPr>
              <w:t>Визия за ОСП след 2020 г.</w:t>
            </w:r>
          </w:p>
        </w:tc>
        <w:tc>
          <w:tcPr>
            <w:tcW w:w="256" w:type="dxa"/>
          </w:tcPr>
          <w:p w:rsidR="001B1430" w:rsidRPr="002743D6" w:rsidRDefault="001B1430" w:rsidP="00F73636">
            <w:pPr>
              <w:jc w:val="both"/>
              <w:rPr>
                <w:rFonts w:ascii="Arial" w:hAnsi="Arial" w:cs="Arial"/>
                <w:b/>
                <w:noProof/>
                <w:sz w:val="20"/>
              </w:rPr>
            </w:pPr>
          </w:p>
        </w:tc>
      </w:tr>
    </w:tbl>
    <w:p w:rsidR="001B1430" w:rsidRPr="002743D6" w:rsidRDefault="002A2BBE" w:rsidP="001B1430">
      <w:pPr>
        <w:jc w:val="both"/>
        <w:rPr>
          <w:rFonts w:ascii="Arial" w:hAnsi="Arial" w:cs="Arial"/>
          <w:b/>
          <w:noProof/>
          <w:sz w:val="20"/>
        </w:rPr>
      </w:pPr>
      <w:r w:rsidRPr="002743D6">
        <w:rPr>
          <w:rFonts w:ascii="Arial" w:hAnsi="Arial" w:cs="Arial"/>
          <w:b/>
          <w:noProof/>
          <w:sz w:val="20"/>
        </w:rPr>
        <w:t xml:space="preserve"> </w:t>
      </w:r>
    </w:p>
    <w:p w:rsidR="00832016" w:rsidRPr="002743D6" w:rsidRDefault="00F42D2F" w:rsidP="00832016">
      <w:pPr>
        <w:jc w:val="both"/>
        <w:rPr>
          <w:rFonts w:ascii="Arial" w:hAnsi="Arial" w:cs="Arial"/>
          <w:noProof/>
          <w:sz w:val="20"/>
        </w:rPr>
      </w:pPr>
      <w:r w:rsidRPr="002743D6">
        <w:rPr>
          <w:rFonts w:ascii="Arial" w:hAnsi="Arial" w:cs="Arial"/>
          <w:b/>
          <w:noProof/>
          <w:sz w:val="20"/>
        </w:rPr>
        <w:t>4</w:t>
      </w:r>
      <w:r w:rsidR="002A2BBE" w:rsidRPr="002743D6">
        <w:rPr>
          <w:rFonts w:ascii="Arial" w:hAnsi="Arial" w:cs="Arial"/>
          <w:b/>
          <w:noProof/>
          <w:sz w:val="20"/>
        </w:rPr>
        <w:t>.</w:t>
      </w:r>
      <w:r w:rsidR="00832016">
        <w:rPr>
          <w:rFonts w:ascii="Arial" w:hAnsi="Arial" w:cs="Arial"/>
          <w:b/>
          <w:noProof/>
          <w:sz w:val="20"/>
        </w:rPr>
        <w:t xml:space="preserve"> </w:t>
      </w:r>
      <w:r w:rsidR="00832016" w:rsidRPr="002743D6">
        <w:rPr>
          <w:rFonts w:ascii="Arial" w:hAnsi="Arial" w:cs="Arial"/>
          <w:b/>
          <w:noProof/>
          <w:sz w:val="20"/>
        </w:rPr>
        <w:t xml:space="preserve">Специалният комитет по селско стопанство (СКСС) обсъди на присъствено заседание на 7 май законодателните актове, които са част от пакета мерки за сектор селско стопанство във връзка с последиците от кризата с коронавируса. </w:t>
      </w:r>
      <w:r w:rsidR="00832016" w:rsidRPr="002743D6">
        <w:rPr>
          <w:rFonts w:ascii="Arial" w:hAnsi="Arial" w:cs="Arial"/>
          <w:noProof/>
          <w:sz w:val="20"/>
        </w:rPr>
        <w:t>Пакетът от мерки включва помощ за частно складиране (ПЧС ) в сектора на млечните продукти и сектора на месото, разрешаването на пазарни мерки за самостоятелна организация от страна на операторите в тежко засегнатите сектори и гъвкавост за програмите за подпомагане на пазара в секторите на плодовете и зеленчуците, виното и други. Два от тях са публикувани на 4 май след ускорена процедура по одобрение (частно складиране и мярката за плодове и зеленчуци). Третият делегиран акт за секторните програми и сектор вино е в обикновена процедура и ще влезе в действие след като ЕП и Съветът дадат своето становище. СКСС беше запознат и с предложението на ЕК относно предоставяне на извънредна помощ по линия на ЕЗФРСР в отговор на пандемията от COVID-19. Предложението беше направено по искане и инициатива на България, подкрепена от още 7 държави-членки. В проекта на регламент се предлага държавите членки, които имат неизразходвани средства по бюджетите за развитие на селските райони да ги използват за подкрепа на фермерите и малки агрохранителни предприятия през 2020 г., които преминават през проблеми с ликвидността и наличния оборотен капитал. Целта е да се осигури още един възможен инструмент за незабавна помощ за тези, които са най-засегнати от кризата, въпреки, че подобна мярка не е типична за архитектурата на втори стълб на ОСП. Мярката има временен и извънреден характер. Държавите членки следва да насочат подкрепата към най-засегнатите, определени на база обективни и недискриминационни критерии. СКСС отбеляза наличие на редица искания от делегациите, които продължават да изясняват позициите си по предложението. Председателството ще продължи интензивна работа по предложението, с цел изясняване на намеренията на Европейския парламент по него и провеждане на ускорена процедура за преговори, с цел одобрение и приемане до началото на лятната почивка.</w:t>
      </w:r>
      <w:r w:rsidR="00AE167B">
        <w:rPr>
          <w:rFonts w:ascii="Arial" w:hAnsi="Arial" w:cs="Arial"/>
          <w:noProof/>
          <w:sz w:val="20"/>
        </w:rPr>
        <w:t xml:space="preserve"> Представен </w:t>
      </w:r>
      <w:r w:rsidR="00286676">
        <w:rPr>
          <w:rFonts w:ascii="Arial" w:hAnsi="Arial" w:cs="Arial"/>
          <w:noProof/>
          <w:sz w:val="20"/>
        </w:rPr>
        <w:t xml:space="preserve">и обсъден </w:t>
      </w:r>
      <w:r w:rsidR="00AE167B">
        <w:rPr>
          <w:rFonts w:ascii="Arial" w:hAnsi="Arial" w:cs="Arial"/>
          <w:noProof/>
          <w:sz w:val="20"/>
        </w:rPr>
        <w:t xml:space="preserve">е също така </w:t>
      </w:r>
      <w:r w:rsidR="00AE167B">
        <w:rPr>
          <w:rFonts w:ascii="Arial" w:hAnsi="Arial" w:cs="Arial" w:hint="eastAsia"/>
          <w:noProof/>
          <w:sz w:val="20"/>
        </w:rPr>
        <w:t>Специал</w:t>
      </w:r>
      <w:r w:rsidR="00AE167B">
        <w:rPr>
          <w:rFonts w:ascii="Arial" w:hAnsi="Arial" w:cs="Arial"/>
          <w:noProof/>
          <w:sz w:val="20"/>
        </w:rPr>
        <w:t>ния</w:t>
      </w:r>
      <w:r w:rsidR="00AE167B" w:rsidRPr="00AE167B">
        <w:rPr>
          <w:rFonts w:ascii="Arial" w:hAnsi="Arial" w:cs="Arial"/>
          <w:noProof/>
          <w:sz w:val="20"/>
        </w:rPr>
        <w:t xml:space="preserve"> </w:t>
      </w:r>
      <w:r w:rsidR="00AE167B" w:rsidRPr="00AE167B">
        <w:rPr>
          <w:rFonts w:ascii="Arial" w:hAnsi="Arial" w:cs="Arial" w:hint="eastAsia"/>
          <w:noProof/>
          <w:sz w:val="20"/>
        </w:rPr>
        <w:t>доклад</w:t>
      </w:r>
      <w:r w:rsidR="00AE167B" w:rsidRPr="00AE167B">
        <w:rPr>
          <w:rFonts w:ascii="Arial" w:hAnsi="Arial" w:cs="Arial"/>
          <w:noProof/>
          <w:sz w:val="20"/>
        </w:rPr>
        <w:t xml:space="preserve"> </w:t>
      </w:r>
      <w:r w:rsidR="00AE167B" w:rsidRPr="00AE167B">
        <w:rPr>
          <w:rFonts w:ascii="Arial" w:hAnsi="Arial" w:cs="Arial" w:hint="eastAsia"/>
          <w:noProof/>
          <w:sz w:val="20"/>
        </w:rPr>
        <w:t>№</w:t>
      </w:r>
      <w:r w:rsidR="00AE167B" w:rsidRPr="00AE167B">
        <w:rPr>
          <w:rFonts w:ascii="Arial" w:hAnsi="Arial" w:cs="Arial"/>
          <w:noProof/>
          <w:sz w:val="20"/>
        </w:rPr>
        <w:t xml:space="preserve"> 23/2019</w:t>
      </w:r>
      <w:r w:rsidR="00AE167B">
        <w:rPr>
          <w:rFonts w:ascii="Arial" w:hAnsi="Arial" w:cs="Arial"/>
          <w:noProof/>
          <w:sz w:val="20"/>
        </w:rPr>
        <w:t xml:space="preserve"> на Европейската сметна палата на тема</w:t>
      </w:r>
      <w:r w:rsidR="00AE167B" w:rsidRPr="00AE167B">
        <w:rPr>
          <w:rFonts w:ascii="Arial" w:hAnsi="Arial" w:cs="Arial"/>
          <w:noProof/>
          <w:sz w:val="20"/>
        </w:rPr>
        <w:t xml:space="preserve"> „</w:t>
      </w:r>
      <w:r w:rsidR="00AE167B" w:rsidRPr="00AE167B">
        <w:rPr>
          <w:rFonts w:ascii="Arial" w:hAnsi="Arial" w:cs="Arial" w:hint="eastAsia"/>
          <w:noProof/>
          <w:sz w:val="20"/>
        </w:rPr>
        <w:t>Стабилизиране</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доходите</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земеделските</w:t>
      </w:r>
      <w:r w:rsidR="00AE167B" w:rsidRPr="00AE167B">
        <w:rPr>
          <w:rFonts w:ascii="Arial" w:hAnsi="Arial" w:cs="Arial"/>
          <w:noProof/>
          <w:sz w:val="20"/>
        </w:rPr>
        <w:t xml:space="preserve"> </w:t>
      </w:r>
      <w:r w:rsidR="00AE167B" w:rsidRPr="00AE167B">
        <w:rPr>
          <w:rFonts w:ascii="Arial" w:hAnsi="Arial" w:cs="Arial" w:hint="eastAsia"/>
          <w:noProof/>
          <w:sz w:val="20"/>
        </w:rPr>
        <w:t>стопани</w:t>
      </w:r>
      <w:r w:rsidR="00AE167B" w:rsidRPr="00AE167B">
        <w:rPr>
          <w:rFonts w:ascii="Arial" w:hAnsi="Arial" w:cs="Arial"/>
          <w:noProof/>
          <w:sz w:val="20"/>
        </w:rPr>
        <w:t xml:space="preserve"> – </w:t>
      </w:r>
      <w:r w:rsidR="00AE167B" w:rsidRPr="00AE167B">
        <w:rPr>
          <w:rFonts w:ascii="Arial" w:hAnsi="Arial" w:cs="Arial" w:hint="eastAsia"/>
          <w:noProof/>
          <w:sz w:val="20"/>
        </w:rPr>
        <w:t>необходимо</w:t>
      </w:r>
      <w:r w:rsidR="00AE167B" w:rsidRPr="00AE167B">
        <w:rPr>
          <w:rFonts w:ascii="Arial" w:hAnsi="Arial" w:cs="Arial"/>
          <w:noProof/>
          <w:sz w:val="20"/>
        </w:rPr>
        <w:t xml:space="preserve"> </w:t>
      </w:r>
      <w:r w:rsidR="00AE167B" w:rsidRPr="00AE167B">
        <w:rPr>
          <w:rFonts w:ascii="Arial" w:hAnsi="Arial" w:cs="Arial" w:hint="eastAsia"/>
          <w:noProof/>
          <w:sz w:val="20"/>
        </w:rPr>
        <w:t>е</w:t>
      </w:r>
      <w:r w:rsidR="00AE167B" w:rsidRPr="00AE167B">
        <w:rPr>
          <w:rFonts w:ascii="Arial" w:hAnsi="Arial" w:cs="Arial"/>
          <w:noProof/>
          <w:sz w:val="20"/>
        </w:rPr>
        <w:t xml:space="preserve"> </w:t>
      </w:r>
      <w:r w:rsidR="00AE167B" w:rsidRPr="00AE167B">
        <w:rPr>
          <w:rFonts w:ascii="Arial" w:hAnsi="Arial" w:cs="Arial" w:hint="eastAsia"/>
          <w:noProof/>
          <w:sz w:val="20"/>
        </w:rPr>
        <w:t>да</w:t>
      </w:r>
      <w:r w:rsidR="00AE167B" w:rsidRPr="00AE167B">
        <w:rPr>
          <w:rFonts w:ascii="Arial" w:hAnsi="Arial" w:cs="Arial"/>
          <w:noProof/>
          <w:sz w:val="20"/>
        </w:rPr>
        <w:t xml:space="preserve"> </w:t>
      </w:r>
      <w:r w:rsidR="00AE167B" w:rsidRPr="00AE167B">
        <w:rPr>
          <w:rFonts w:ascii="Arial" w:hAnsi="Arial" w:cs="Arial" w:hint="eastAsia"/>
          <w:noProof/>
          <w:sz w:val="20"/>
        </w:rPr>
        <w:t>се</w:t>
      </w:r>
      <w:r w:rsidR="00AE167B" w:rsidRPr="00AE167B">
        <w:rPr>
          <w:rFonts w:ascii="Arial" w:hAnsi="Arial" w:cs="Arial"/>
          <w:noProof/>
          <w:sz w:val="20"/>
        </w:rPr>
        <w:t xml:space="preserve"> </w:t>
      </w:r>
      <w:r w:rsidR="00AE167B" w:rsidRPr="00AE167B">
        <w:rPr>
          <w:rFonts w:ascii="Arial" w:hAnsi="Arial" w:cs="Arial" w:hint="eastAsia"/>
          <w:noProof/>
          <w:sz w:val="20"/>
        </w:rPr>
        <w:t>преодолеят</w:t>
      </w:r>
      <w:r w:rsidR="00AE167B" w:rsidRPr="00AE167B">
        <w:rPr>
          <w:rFonts w:ascii="Arial" w:hAnsi="Arial" w:cs="Arial"/>
          <w:noProof/>
          <w:sz w:val="20"/>
        </w:rPr>
        <w:t xml:space="preserve"> </w:t>
      </w:r>
      <w:r w:rsidR="00AE167B" w:rsidRPr="00AE167B">
        <w:rPr>
          <w:rFonts w:ascii="Arial" w:hAnsi="Arial" w:cs="Arial" w:hint="eastAsia"/>
          <w:noProof/>
          <w:sz w:val="20"/>
        </w:rPr>
        <w:t>слабото</w:t>
      </w:r>
      <w:r w:rsidR="00AE167B" w:rsidRPr="00AE167B">
        <w:rPr>
          <w:rFonts w:ascii="Arial" w:hAnsi="Arial" w:cs="Arial"/>
          <w:noProof/>
          <w:sz w:val="20"/>
        </w:rPr>
        <w:t xml:space="preserve"> </w:t>
      </w:r>
      <w:r w:rsidR="00AE167B" w:rsidRPr="00AE167B">
        <w:rPr>
          <w:rFonts w:ascii="Arial" w:hAnsi="Arial" w:cs="Arial" w:hint="eastAsia"/>
          <w:noProof/>
          <w:sz w:val="20"/>
        </w:rPr>
        <w:t>използване</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инструментите</w:t>
      </w:r>
      <w:r w:rsidR="00AE167B" w:rsidRPr="00AE167B">
        <w:rPr>
          <w:rFonts w:ascii="Arial" w:hAnsi="Arial" w:cs="Arial"/>
          <w:noProof/>
          <w:sz w:val="20"/>
        </w:rPr>
        <w:t xml:space="preserve"> </w:t>
      </w:r>
      <w:r w:rsidR="00AE167B" w:rsidRPr="00AE167B">
        <w:rPr>
          <w:rFonts w:ascii="Arial" w:hAnsi="Arial" w:cs="Arial" w:hint="eastAsia"/>
          <w:noProof/>
          <w:sz w:val="20"/>
        </w:rPr>
        <w:t>и</w:t>
      </w:r>
      <w:r w:rsidR="00AE167B" w:rsidRPr="00AE167B">
        <w:rPr>
          <w:rFonts w:ascii="Arial" w:hAnsi="Arial" w:cs="Arial"/>
          <w:noProof/>
          <w:sz w:val="20"/>
        </w:rPr>
        <w:t xml:space="preserve"> </w:t>
      </w:r>
      <w:r w:rsidR="00AE167B" w:rsidRPr="00AE167B">
        <w:rPr>
          <w:rFonts w:ascii="Arial" w:hAnsi="Arial" w:cs="Arial" w:hint="eastAsia"/>
          <w:noProof/>
          <w:sz w:val="20"/>
        </w:rPr>
        <w:t>свръхкомпенсирането</w:t>
      </w:r>
      <w:r w:rsidR="00AE167B" w:rsidRPr="00AE167B">
        <w:rPr>
          <w:rFonts w:ascii="Arial" w:hAnsi="Arial" w:cs="Arial"/>
          <w:noProof/>
          <w:sz w:val="20"/>
        </w:rPr>
        <w:t xml:space="preserve">, </w:t>
      </w:r>
      <w:r w:rsidR="00AE167B" w:rsidRPr="00AE167B">
        <w:rPr>
          <w:rFonts w:ascii="Arial" w:hAnsi="Arial" w:cs="Arial" w:hint="eastAsia"/>
          <w:noProof/>
          <w:sz w:val="20"/>
        </w:rPr>
        <w:t>въпреки</w:t>
      </w:r>
      <w:r w:rsidR="00AE167B" w:rsidRPr="00AE167B">
        <w:rPr>
          <w:rFonts w:ascii="Arial" w:hAnsi="Arial" w:cs="Arial"/>
          <w:noProof/>
          <w:sz w:val="20"/>
        </w:rPr>
        <w:t xml:space="preserve"> </w:t>
      </w:r>
      <w:r w:rsidR="00AE167B" w:rsidRPr="00AE167B">
        <w:rPr>
          <w:rFonts w:ascii="Arial" w:hAnsi="Arial" w:cs="Arial" w:hint="eastAsia"/>
          <w:noProof/>
          <w:sz w:val="20"/>
        </w:rPr>
        <w:t>наличието</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широк</w:t>
      </w:r>
      <w:r w:rsidR="00AE167B" w:rsidRPr="00AE167B">
        <w:rPr>
          <w:rFonts w:ascii="Arial" w:hAnsi="Arial" w:cs="Arial"/>
          <w:noProof/>
          <w:sz w:val="20"/>
        </w:rPr>
        <w:t xml:space="preserve"> </w:t>
      </w:r>
      <w:r w:rsidR="00AE167B" w:rsidRPr="00AE167B">
        <w:rPr>
          <w:rFonts w:ascii="Arial" w:hAnsi="Arial" w:cs="Arial" w:hint="eastAsia"/>
          <w:noProof/>
          <w:sz w:val="20"/>
        </w:rPr>
        <w:t>набор</w:t>
      </w:r>
      <w:r w:rsidR="00AE167B" w:rsidRPr="00AE167B">
        <w:rPr>
          <w:rFonts w:ascii="Arial" w:hAnsi="Arial" w:cs="Arial"/>
          <w:noProof/>
          <w:sz w:val="20"/>
        </w:rPr>
        <w:t xml:space="preserve"> </w:t>
      </w:r>
      <w:r w:rsidR="00AE167B" w:rsidRPr="00AE167B">
        <w:rPr>
          <w:rFonts w:ascii="Arial" w:hAnsi="Arial" w:cs="Arial" w:hint="eastAsia"/>
          <w:noProof/>
          <w:sz w:val="20"/>
        </w:rPr>
        <w:t>от</w:t>
      </w:r>
      <w:r w:rsidR="00AE167B" w:rsidRPr="00AE167B">
        <w:rPr>
          <w:rFonts w:ascii="Arial" w:hAnsi="Arial" w:cs="Arial"/>
          <w:noProof/>
          <w:sz w:val="20"/>
        </w:rPr>
        <w:t xml:space="preserve"> </w:t>
      </w:r>
      <w:r w:rsidR="00AE167B" w:rsidRPr="00AE167B">
        <w:rPr>
          <w:rFonts w:ascii="Arial" w:hAnsi="Arial" w:cs="Arial" w:hint="eastAsia"/>
          <w:noProof/>
          <w:sz w:val="20"/>
        </w:rPr>
        <w:t>инструменти“</w:t>
      </w:r>
      <w:r w:rsidR="00AE167B" w:rsidRPr="00AE167B">
        <w:rPr>
          <w:rFonts w:ascii="Arial" w:hAnsi="Arial" w:cs="Arial"/>
          <w:noProof/>
          <w:sz w:val="20"/>
        </w:rPr>
        <w:t>.</w:t>
      </w:r>
    </w:p>
    <w:p w:rsidR="00832016" w:rsidRDefault="00832016" w:rsidP="00750716">
      <w:pPr>
        <w:jc w:val="both"/>
        <w:rPr>
          <w:rFonts w:ascii="Arial" w:hAnsi="Arial" w:cs="Arial"/>
          <w:b/>
          <w:noProof/>
          <w:sz w:val="20"/>
        </w:rPr>
      </w:pPr>
    </w:p>
    <w:p w:rsidR="00750716" w:rsidRPr="002743D6" w:rsidRDefault="00ED7EC7" w:rsidP="00750716">
      <w:pPr>
        <w:jc w:val="both"/>
        <w:rPr>
          <w:rFonts w:ascii="Arial" w:hAnsi="Arial" w:cs="Arial"/>
          <w:b/>
          <w:noProof/>
          <w:sz w:val="20"/>
        </w:rPr>
      </w:pPr>
      <w:r>
        <w:rPr>
          <w:rFonts w:ascii="Arial" w:hAnsi="Arial" w:cs="Arial"/>
          <w:b/>
          <w:noProof/>
          <w:sz w:val="20"/>
        </w:rPr>
        <w:t>5.</w:t>
      </w:r>
      <w:r w:rsidR="00BD2268" w:rsidRPr="002743D6">
        <w:rPr>
          <w:rFonts w:ascii="Arial" w:hAnsi="Arial" w:cs="Arial"/>
          <w:b/>
          <w:noProof/>
          <w:sz w:val="20"/>
        </w:rPr>
        <w:t xml:space="preserve"> </w:t>
      </w:r>
      <w:r w:rsidR="00BD2268" w:rsidRPr="002743D6">
        <w:rPr>
          <w:rFonts w:ascii="Arial" w:hAnsi="Arial" w:cs="Arial"/>
          <w:b/>
          <w:bCs/>
          <w:noProof/>
          <w:color w:val="222222"/>
          <w:sz w:val="20"/>
        </w:rPr>
        <w:t>На 7 май  се проведе виртуална среща между членовете на Комисията по земеделие и развитие на селските райони в ЕП и заместник-председателя на Европейската комисия Франс Тимерманс, отговарящ за Зелен</w:t>
      </w:r>
      <w:r w:rsidR="003E528D" w:rsidRPr="002743D6">
        <w:rPr>
          <w:rFonts w:ascii="Arial" w:hAnsi="Arial" w:cs="Arial"/>
          <w:b/>
          <w:bCs/>
          <w:noProof/>
          <w:color w:val="222222"/>
          <w:sz w:val="20"/>
        </w:rPr>
        <w:t>ата сделка</w:t>
      </w:r>
      <w:r w:rsidR="00BD2268" w:rsidRPr="002743D6">
        <w:rPr>
          <w:rFonts w:ascii="Arial" w:hAnsi="Arial" w:cs="Arial"/>
          <w:b/>
          <w:bCs/>
          <w:noProof/>
          <w:color w:val="222222"/>
          <w:sz w:val="20"/>
        </w:rPr>
        <w:t xml:space="preserve">.  По време на събитието </w:t>
      </w:r>
      <w:r w:rsidR="00AA7484" w:rsidRPr="002743D6">
        <w:rPr>
          <w:rFonts w:ascii="Arial" w:hAnsi="Arial" w:cs="Arial"/>
          <w:b/>
          <w:bCs/>
          <w:noProof/>
          <w:color w:val="222222"/>
          <w:sz w:val="20"/>
        </w:rPr>
        <w:t>бяха обменени</w:t>
      </w:r>
      <w:r w:rsidR="00BD2268" w:rsidRPr="002743D6">
        <w:rPr>
          <w:rFonts w:ascii="Arial" w:hAnsi="Arial" w:cs="Arial"/>
          <w:b/>
          <w:bCs/>
          <w:noProof/>
          <w:color w:val="222222"/>
          <w:sz w:val="20"/>
        </w:rPr>
        <w:t xml:space="preserve"> мнения по голям брой въпроси,</w:t>
      </w:r>
      <w:r w:rsidR="00AA7484" w:rsidRPr="002743D6">
        <w:rPr>
          <w:rFonts w:ascii="Arial" w:hAnsi="Arial" w:cs="Arial"/>
          <w:b/>
          <w:bCs/>
          <w:noProof/>
          <w:color w:val="222222"/>
          <w:sz w:val="20"/>
        </w:rPr>
        <w:t xml:space="preserve"> </w:t>
      </w:r>
      <w:r w:rsidR="00BD2268" w:rsidRPr="002743D6">
        <w:rPr>
          <w:rFonts w:ascii="Arial" w:hAnsi="Arial" w:cs="Arial"/>
          <w:b/>
          <w:bCs/>
          <w:noProof/>
          <w:color w:val="222222"/>
          <w:sz w:val="20"/>
        </w:rPr>
        <w:t>свързани със ситуацията в земеделския сектор след избухването на COVID-19.</w:t>
      </w:r>
      <w:r w:rsidR="00BD2268" w:rsidRPr="002743D6">
        <w:rPr>
          <w:rFonts w:ascii="Arial" w:hAnsi="Arial" w:cs="Arial"/>
          <w:noProof/>
          <w:color w:val="222222"/>
          <w:sz w:val="20"/>
        </w:rPr>
        <w:t xml:space="preserve"> Заместник-председателят на Комисията Франс Тимерманс заяви, че изпълнителната власт на ЕС няма намерение да забавя приемането на Стратегията „ От фермата до трапезата“ планирано за 20 май</w:t>
      </w:r>
      <w:r w:rsidR="00750716" w:rsidRPr="002743D6">
        <w:rPr>
          <w:rFonts w:ascii="Arial" w:eastAsia="Calibri" w:hAnsi="Arial" w:cs="Arial"/>
          <w:noProof/>
          <w:color w:val="222222"/>
          <w:sz w:val="20"/>
        </w:rPr>
        <w:t xml:space="preserve">, въпреки опасенията на някои от членовете на ЕП, че </w:t>
      </w:r>
      <w:r w:rsidR="003536B3" w:rsidRPr="002743D6">
        <w:rPr>
          <w:rFonts w:ascii="Arial" w:eastAsia="Calibri" w:hAnsi="Arial" w:cs="Arial"/>
          <w:noProof/>
          <w:color w:val="222222"/>
          <w:sz w:val="20"/>
        </w:rPr>
        <w:t xml:space="preserve">в </w:t>
      </w:r>
      <w:r w:rsidR="00750716" w:rsidRPr="002743D6">
        <w:rPr>
          <w:rFonts w:ascii="Arial" w:eastAsia="Calibri" w:hAnsi="Arial" w:cs="Arial"/>
          <w:noProof/>
          <w:color w:val="222222"/>
          <w:sz w:val="20"/>
        </w:rPr>
        <w:t xml:space="preserve">средата на криза не е моментът за отправяне на нови искания на селското стопанство. </w:t>
      </w:r>
      <w:r w:rsidR="003536B3" w:rsidRPr="002743D6">
        <w:rPr>
          <w:rFonts w:ascii="Arial" w:eastAsia="Calibri" w:hAnsi="Arial" w:cs="Arial"/>
          <w:noProof/>
          <w:color w:val="222222"/>
          <w:sz w:val="20"/>
        </w:rPr>
        <w:t>Тимерманс</w:t>
      </w:r>
      <w:r w:rsidR="00750716" w:rsidRPr="002743D6">
        <w:rPr>
          <w:rFonts w:ascii="Arial" w:eastAsia="Calibri" w:hAnsi="Arial" w:cs="Arial"/>
          <w:noProof/>
          <w:color w:val="222222"/>
          <w:sz w:val="20"/>
        </w:rPr>
        <w:t xml:space="preserve"> подчерта</w:t>
      </w:r>
      <w:r w:rsidR="00750716" w:rsidRPr="002743D6">
        <w:rPr>
          <w:rFonts w:ascii="Arial" w:eastAsia="Calibri" w:hAnsi="Arial" w:cs="Arial"/>
          <w:noProof/>
          <w:sz w:val="20"/>
        </w:rPr>
        <w:t xml:space="preserve">, че по време на пандемията COVID-19,  устойчивото земеделие е по необходимо от всякога. Депутатите </w:t>
      </w:r>
      <w:r w:rsidR="00750716" w:rsidRPr="002743D6">
        <w:rPr>
          <w:rFonts w:ascii="Arial" w:eastAsia="Calibri" w:hAnsi="Arial" w:cs="Arial"/>
          <w:noProof/>
          <w:color w:val="222222"/>
          <w:sz w:val="20"/>
        </w:rPr>
        <w:t>от Комисията напомних</w:t>
      </w:r>
      <w:r w:rsidR="003536B3" w:rsidRPr="002743D6">
        <w:rPr>
          <w:rFonts w:ascii="Arial" w:eastAsia="Calibri" w:hAnsi="Arial" w:cs="Arial"/>
          <w:noProof/>
          <w:color w:val="222222"/>
          <w:sz w:val="20"/>
        </w:rPr>
        <w:t>а</w:t>
      </w:r>
      <w:r w:rsidR="00750716" w:rsidRPr="002743D6">
        <w:rPr>
          <w:rFonts w:ascii="Arial" w:eastAsia="Calibri" w:hAnsi="Arial" w:cs="Arial"/>
          <w:noProof/>
          <w:color w:val="222222"/>
          <w:sz w:val="20"/>
        </w:rPr>
        <w:t xml:space="preserve">, че секторът </w:t>
      </w:r>
      <w:r w:rsidR="00DE7D5F" w:rsidRPr="002743D6">
        <w:rPr>
          <w:rFonts w:ascii="Arial" w:eastAsia="Calibri" w:hAnsi="Arial" w:cs="Arial"/>
          <w:noProof/>
          <w:color w:val="222222"/>
          <w:sz w:val="20"/>
        </w:rPr>
        <w:t>се нуждае</w:t>
      </w:r>
      <w:r w:rsidR="00750716" w:rsidRPr="002743D6">
        <w:rPr>
          <w:rFonts w:ascii="Arial" w:eastAsia="Calibri" w:hAnsi="Arial" w:cs="Arial"/>
          <w:noProof/>
          <w:color w:val="222222"/>
          <w:sz w:val="20"/>
        </w:rPr>
        <w:t xml:space="preserve"> от повече подкрепа, а това означава по-голям бюджет. </w:t>
      </w:r>
      <w:r w:rsidR="003536B3" w:rsidRPr="002743D6">
        <w:rPr>
          <w:rFonts w:ascii="Arial" w:eastAsia="Calibri" w:hAnsi="Arial" w:cs="Arial"/>
          <w:noProof/>
          <w:color w:val="222222"/>
          <w:sz w:val="20"/>
        </w:rPr>
        <w:t>Заместник-председателят на ЕК</w:t>
      </w:r>
      <w:r w:rsidR="00750716" w:rsidRPr="002743D6">
        <w:rPr>
          <w:rFonts w:ascii="Arial" w:eastAsia="Calibri" w:hAnsi="Arial" w:cs="Arial"/>
          <w:noProof/>
          <w:color w:val="222222"/>
          <w:sz w:val="20"/>
        </w:rPr>
        <w:t xml:space="preserve"> заяви, че според него индустрията е била засегната по много разнороден начин, като някои сектори дори се справят по-добре от преди. Франс Тимерманс отбеляза, че здравната криза тече паралелно със сериозна икономическа криза. Той посочи, че през тази година икономиката на ЕС ще се свие със 7,5%. "Вирусът не дискриминира, но ефектите на вируса варират", добави той. </w:t>
      </w:r>
      <w:r w:rsidR="003536B3" w:rsidRPr="002743D6">
        <w:rPr>
          <w:rFonts w:ascii="Arial" w:eastAsia="Calibri" w:hAnsi="Arial" w:cs="Arial"/>
          <w:noProof/>
          <w:color w:val="222222"/>
          <w:sz w:val="20"/>
        </w:rPr>
        <w:t>Държавите</w:t>
      </w:r>
      <w:r w:rsidR="00A87C78" w:rsidRPr="002743D6">
        <w:rPr>
          <w:rFonts w:ascii="Arial" w:eastAsia="Calibri" w:hAnsi="Arial" w:cs="Arial"/>
          <w:noProof/>
          <w:color w:val="222222"/>
          <w:sz w:val="20"/>
        </w:rPr>
        <w:t xml:space="preserve"> </w:t>
      </w:r>
      <w:r w:rsidR="003536B3" w:rsidRPr="002743D6">
        <w:rPr>
          <w:rFonts w:ascii="Arial" w:eastAsia="Calibri" w:hAnsi="Arial" w:cs="Arial"/>
          <w:noProof/>
          <w:color w:val="222222"/>
          <w:sz w:val="20"/>
        </w:rPr>
        <w:t>членки</w:t>
      </w:r>
      <w:r w:rsidR="00750716" w:rsidRPr="002743D6">
        <w:rPr>
          <w:rFonts w:ascii="Arial" w:eastAsia="Calibri" w:hAnsi="Arial" w:cs="Arial"/>
          <w:noProof/>
          <w:color w:val="222222"/>
          <w:sz w:val="20"/>
        </w:rPr>
        <w:t xml:space="preserve"> обаче са взаимозависими и динамиката на възстановяването </w:t>
      </w:r>
      <w:r w:rsidR="003536B3" w:rsidRPr="002743D6">
        <w:rPr>
          <w:rFonts w:ascii="Arial" w:eastAsia="Calibri" w:hAnsi="Arial" w:cs="Arial"/>
          <w:noProof/>
          <w:color w:val="222222"/>
          <w:sz w:val="20"/>
        </w:rPr>
        <w:t>на</w:t>
      </w:r>
      <w:r w:rsidR="00750716" w:rsidRPr="002743D6">
        <w:rPr>
          <w:rFonts w:ascii="Arial" w:eastAsia="Calibri" w:hAnsi="Arial" w:cs="Arial"/>
          <w:noProof/>
          <w:color w:val="222222"/>
          <w:sz w:val="20"/>
        </w:rPr>
        <w:t xml:space="preserve"> всяка </w:t>
      </w:r>
      <w:r w:rsidR="003536B3" w:rsidRPr="002743D6">
        <w:rPr>
          <w:rFonts w:ascii="Arial" w:eastAsia="Calibri" w:hAnsi="Arial" w:cs="Arial"/>
          <w:noProof/>
          <w:color w:val="222222"/>
          <w:sz w:val="20"/>
        </w:rPr>
        <w:t>от тях ще бъде повлияна от други</w:t>
      </w:r>
      <w:r w:rsidR="00A87C78" w:rsidRPr="002743D6">
        <w:rPr>
          <w:rFonts w:ascii="Arial" w:eastAsia="Calibri" w:hAnsi="Arial" w:cs="Arial"/>
          <w:noProof/>
          <w:color w:val="222222"/>
          <w:sz w:val="20"/>
        </w:rPr>
        <w:t>те</w:t>
      </w:r>
      <w:r w:rsidR="003536B3" w:rsidRPr="002743D6">
        <w:rPr>
          <w:rFonts w:ascii="Arial" w:eastAsia="Calibri" w:hAnsi="Arial" w:cs="Arial"/>
          <w:noProof/>
          <w:color w:val="222222"/>
          <w:sz w:val="20"/>
        </w:rPr>
        <w:t xml:space="preserve">. </w:t>
      </w:r>
      <w:r w:rsidR="00750716" w:rsidRPr="002743D6">
        <w:rPr>
          <w:rFonts w:ascii="Arial" w:eastAsia="Calibri" w:hAnsi="Arial" w:cs="Arial"/>
          <w:noProof/>
          <w:color w:val="222222"/>
          <w:sz w:val="20"/>
        </w:rPr>
        <w:t xml:space="preserve">Франс Тимерманс призова за нов тип икономика, а не за възпроизвеждане на стари, неустойчиви модели. Той подчерта, че протичащата в момента климатична криза, ще доведе до преоценка на много неща от гражданите. </w:t>
      </w:r>
      <w:r w:rsidR="00A87C78" w:rsidRPr="002743D6">
        <w:rPr>
          <w:rFonts w:ascii="Arial" w:eastAsia="Calibri" w:hAnsi="Arial" w:cs="Arial"/>
          <w:noProof/>
          <w:color w:val="222222"/>
          <w:sz w:val="20"/>
        </w:rPr>
        <w:t>Х</w:t>
      </w:r>
      <w:r w:rsidR="00750716" w:rsidRPr="002743D6">
        <w:rPr>
          <w:rFonts w:ascii="Arial" w:eastAsia="Calibri" w:hAnsi="Arial" w:cs="Arial"/>
          <w:noProof/>
          <w:color w:val="222222"/>
          <w:sz w:val="20"/>
        </w:rPr>
        <w:t>ората свикнаха всичко да е много евтино, що се отнася до храната</w:t>
      </w:r>
      <w:r w:rsidR="00A87C78" w:rsidRPr="002743D6">
        <w:rPr>
          <w:rFonts w:ascii="Arial" w:eastAsia="Calibri" w:hAnsi="Arial" w:cs="Arial"/>
          <w:noProof/>
          <w:color w:val="222222"/>
          <w:sz w:val="20"/>
        </w:rPr>
        <w:t>,</w:t>
      </w:r>
      <w:r w:rsidR="00750716" w:rsidRPr="002743D6">
        <w:rPr>
          <w:rFonts w:ascii="Arial" w:eastAsia="Calibri" w:hAnsi="Arial" w:cs="Arial"/>
          <w:noProof/>
          <w:color w:val="222222"/>
          <w:sz w:val="20"/>
        </w:rPr>
        <w:t xml:space="preserve"> </w:t>
      </w:r>
      <w:r w:rsidR="00197ADD" w:rsidRPr="002743D6">
        <w:rPr>
          <w:rFonts w:ascii="Arial" w:eastAsia="Calibri" w:hAnsi="Arial" w:cs="Arial"/>
          <w:noProof/>
          <w:color w:val="222222"/>
          <w:sz w:val="20"/>
        </w:rPr>
        <w:t>но все пак имат</w:t>
      </w:r>
      <w:r w:rsidR="00750716" w:rsidRPr="002743D6">
        <w:rPr>
          <w:rFonts w:ascii="Arial" w:eastAsia="Calibri" w:hAnsi="Arial" w:cs="Arial"/>
          <w:noProof/>
          <w:color w:val="222222"/>
          <w:sz w:val="20"/>
        </w:rPr>
        <w:t xml:space="preserve"> готовност да </w:t>
      </w:r>
      <w:r w:rsidR="00197ADD" w:rsidRPr="002743D6">
        <w:rPr>
          <w:rFonts w:ascii="Arial" w:eastAsia="Calibri" w:hAnsi="Arial" w:cs="Arial"/>
          <w:noProof/>
          <w:color w:val="222222"/>
          <w:sz w:val="20"/>
        </w:rPr>
        <w:t>платят</w:t>
      </w:r>
      <w:r w:rsidR="00750716" w:rsidRPr="002743D6">
        <w:rPr>
          <w:rFonts w:ascii="Arial" w:eastAsia="Calibri" w:hAnsi="Arial" w:cs="Arial"/>
          <w:noProof/>
          <w:color w:val="222222"/>
          <w:sz w:val="20"/>
        </w:rPr>
        <w:t xml:space="preserve"> малко повече за по-добра храна, въпреки че тази промяна сред потребителите ще зависи от икономиката. Предстоящата стратегия „От фермата до трапезата“ ще признае, че е направено много</w:t>
      </w:r>
      <w:r w:rsidR="00A87C78" w:rsidRPr="002743D6">
        <w:rPr>
          <w:rFonts w:ascii="Arial" w:eastAsia="Calibri" w:hAnsi="Arial" w:cs="Arial"/>
          <w:noProof/>
          <w:color w:val="222222"/>
          <w:sz w:val="20"/>
        </w:rPr>
        <w:t>,</w:t>
      </w:r>
      <w:r w:rsidR="00750716" w:rsidRPr="002743D6">
        <w:rPr>
          <w:rFonts w:ascii="Arial" w:eastAsia="Calibri" w:hAnsi="Arial" w:cs="Arial"/>
          <w:noProof/>
          <w:color w:val="222222"/>
          <w:sz w:val="20"/>
        </w:rPr>
        <w:t xml:space="preserve"> от много земеделски стопани. Преходът към устойчиво развитие не е заплаха за земеделските стопани, а огромна възможност за тях. Изпълнителният вицепрезидент добави, че има нужда да се разгледа ОСП във връзк</w:t>
      </w:r>
      <w:r w:rsidR="00197ADD" w:rsidRPr="002743D6">
        <w:rPr>
          <w:rFonts w:ascii="Arial" w:eastAsia="Calibri" w:hAnsi="Arial" w:cs="Arial"/>
          <w:noProof/>
          <w:color w:val="222222"/>
          <w:sz w:val="20"/>
        </w:rPr>
        <w:t>а със Зелен</w:t>
      </w:r>
      <w:r w:rsidR="00A87C78" w:rsidRPr="002743D6">
        <w:rPr>
          <w:rFonts w:ascii="Arial" w:eastAsia="Calibri" w:hAnsi="Arial" w:cs="Arial"/>
          <w:noProof/>
          <w:color w:val="222222"/>
          <w:sz w:val="20"/>
        </w:rPr>
        <w:t>ата сделка</w:t>
      </w:r>
      <w:r w:rsidR="00197ADD" w:rsidRPr="002743D6">
        <w:rPr>
          <w:rFonts w:ascii="Arial" w:eastAsia="Calibri" w:hAnsi="Arial" w:cs="Arial"/>
          <w:noProof/>
          <w:color w:val="222222"/>
          <w:sz w:val="20"/>
        </w:rPr>
        <w:t xml:space="preserve">. </w:t>
      </w:r>
      <w:r w:rsidR="00750716" w:rsidRPr="002743D6">
        <w:rPr>
          <w:rFonts w:ascii="Arial" w:eastAsia="Calibri" w:hAnsi="Arial" w:cs="Arial"/>
          <w:noProof/>
          <w:color w:val="222222"/>
          <w:sz w:val="20"/>
        </w:rPr>
        <w:t>Той подчерта, че директно</w:t>
      </w:r>
      <w:r w:rsidR="007131B4" w:rsidRPr="002743D6">
        <w:rPr>
          <w:rFonts w:ascii="Arial" w:eastAsia="Calibri" w:hAnsi="Arial" w:cs="Arial"/>
          <w:noProof/>
          <w:color w:val="222222"/>
          <w:sz w:val="20"/>
        </w:rPr>
        <w:t>то</w:t>
      </w:r>
      <w:r w:rsidR="00750716" w:rsidRPr="002743D6">
        <w:rPr>
          <w:rFonts w:ascii="Arial" w:eastAsia="Calibri" w:hAnsi="Arial" w:cs="Arial"/>
          <w:noProof/>
          <w:color w:val="222222"/>
          <w:sz w:val="20"/>
        </w:rPr>
        <w:t xml:space="preserve"> под</w:t>
      </w:r>
      <w:r w:rsidR="007131B4" w:rsidRPr="002743D6">
        <w:rPr>
          <w:rFonts w:ascii="Arial" w:eastAsia="Calibri" w:hAnsi="Arial" w:cs="Arial"/>
          <w:noProof/>
          <w:color w:val="222222"/>
          <w:sz w:val="20"/>
        </w:rPr>
        <w:t>помагане трябва да бъде насочено</w:t>
      </w:r>
      <w:r w:rsidR="00750716" w:rsidRPr="002743D6">
        <w:rPr>
          <w:rFonts w:ascii="Arial" w:eastAsia="Calibri" w:hAnsi="Arial" w:cs="Arial"/>
          <w:noProof/>
          <w:color w:val="222222"/>
          <w:sz w:val="20"/>
        </w:rPr>
        <w:t xml:space="preserve"> към земеделските стопани, а не към </w:t>
      </w:r>
      <w:r w:rsidR="007131B4" w:rsidRPr="002743D6">
        <w:rPr>
          <w:rFonts w:ascii="Arial" w:eastAsia="Calibri" w:hAnsi="Arial" w:cs="Arial"/>
          <w:noProof/>
          <w:color w:val="222222"/>
          <w:sz w:val="20"/>
        </w:rPr>
        <w:t>големите</w:t>
      </w:r>
      <w:r w:rsidR="00750716" w:rsidRPr="002743D6">
        <w:rPr>
          <w:rFonts w:ascii="Arial" w:eastAsia="Calibri" w:hAnsi="Arial" w:cs="Arial"/>
          <w:noProof/>
          <w:color w:val="222222"/>
          <w:sz w:val="20"/>
        </w:rPr>
        <w:t xml:space="preserve"> собственици на земи.</w:t>
      </w:r>
    </w:p>
    <w:p w:rsidR="00750716" w:rsidRPr="002743D6" w:rsidRDefault="00750716" w:rsidP="001B1430">
      <w:pPr>
        <w:jc w:val="both"/>
        <w:rPr>
          <w:rFonts w:ascii="Arial" w:hAnsi="Arial" w:cs="Arial"/>
          <w:b/>
          <w:noProof/>
          <w:sz w:val="20"/>
        </w:rPr>
      </w:pPr>
    </w:p>
    <w:p w:rsidR="00CC4234" w:rsidRPr="002743D6" w:rsidRDefault="00904985" w:rsidP="00CC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r>
        <w:rPr>
          <w:rFonts w:ascii="Arial" w:hAnsi="Arial" w:cs="Arial"/>
          <w:b/>
          <w:noProof/>
          <w:sz w:val="20"/>
        </w:rPr>
        <w:t>6</w:t>
      </w:r>
      <w:r w:rsidR="00CC4234" w:rsidRPr="002743D6">
        <w:rPr>
          <w:rFonts w:ascii="Arial" w:hAnsi="Arial" w:cs="Arial"/>
          <w:b/>
          <w:noProof/>
          <w:sz w:val="20"/>
        </w:rPr>
        <w:t xml:space="preserve">. </w:t>
      </w:r>
      <w:r w:rsidR="00CC4234" w:rsidRPr="002743D6">
        <w:rPr>
          <w:rStyle w:val="longtext"/>
          <w:rFonts w:ascii="Arial" w:hAnsi="Arial" w:cs="Arial"/>
          <w:b/>
          <w:noProof/>
          <w:sz w:val="20"/>
        </w:rPr>
        <w:t>Стратегия</w:t>
      </w:r>
      <w:r w:rsidR="00202EA5" w:rsidRPr="002743D6">
        <w:rPr>
          <w:rStyle w:val="longtext"/>
          <w:rFonts w:ascii="Arial" w:hAnsi="Arial" w:cs="Arial"/>
          <w:b/>
          <w:noProof/>
          <w:sz w:val="20"/>
        </w:rPr>
        <w:t>та</w:t>
      </w:r>
      <w:r w:rsidR="00CC4234" w:rsidRPr="002743D6">
        <w:rPr>
          <w:rStyle w:val="longtext"/>
          <w:rFonts w:ascii="Arial" w:hAnsi="Arial" w:cs="Arial"/>
          <w:b/>
          <w:noProof/>
          <w:sz w:val="20"/>
        </w:rPr>
        <w:t xml:space="preserve"> „От фермата до трапезата“ има централна роля в инициативата на Комисията за Европейска</w:t>
      </w:r>
      <w:r w:rsidR="00202EA5" w:rsidRPr="002743D6">
        <w:rPr>
          <w:rStyle w:val="longtext"/>
          <w:rFonts w:ascii="Arial" w:hAnsi="Arial" w:cs="Arial"/>
          <w:b/>
          <w:noProof/>
          <w:sz w:val="20"/>
        </w:rPr>
        <w:t>та</w:t>
      </w:r>
      <w:r w:rsidR="00CC4234" w:rsidRPr="002743D6">
        <w:rPr>
          <w:rStyle w:val="longtext"/>
          <w:rFonts w:ascii="Arial" w:hAnsi="Arial" w:cs="Arial"/>
          <w:b/>
          <w:noProof/>
          <w:sz w:val="20"/>
        </w:rPr>
        <w:t xml:space="preserve"> зелена сделка. </w:t>
      </w:r>
      <w:r w:rsidR="00CC4234" w:rsidRPr="002743D6">
        <w:rPr>
          <w:rStyle w:val="longtext"/>
          <w:rFonts w:ascii="Arial" w:hAnsi="Arial" w:cs="Arial"/>
          <w:noProof/>
          <w:sz w:val="20"/>
        </w:rPr>
        <w:t>Устойчиви</w:t>
      </w:r>
      <w:r w:rsidR="005724C0" w:rsidRPr="002743D6">
        <w:rPr>
          <w:rStyle w:val="longtext"/>
          <w:rFonts w:ascii="Arial" w:hAnsi="Arial" w:cs="Arial"/>
          <w:noProof/>
          <w:sz w:val="20"/>
        </w:rPr>
        <w:t>те</w:t>
      </w:r>
      <w:r w:rsidR="00CC4234" w:rsidRPr="002743D6">
        <w:rPr>
          <w:rStyle w:val="longtext"/>
          <w:rFonts w:ascii="Arial" w:hAnsi="Arial" w:cs="Arial"/>
          <w:noProof/>
          <w:sz w:val="20"/>
        </w:rPr>
        <w:t xml:space="preserve"> системи за производство на храни</w:t>
      </w:r>
      <w:r w:rsidR="005724C0" w:rsidRPr="002743D6">
        <w:rPr>
          <w:rStyle w:val="longtext"/>
          <w:rFonts w:ascii="Arial" w:hAnsi="Arial" w:cs="Arial"/>
          <w:noProof/>
          <w:sz w:val="20"/>
        </w:rPr>
        <w:t>,</w:t>
      </w:r>
      <w:r w:rsidR="00CC4234" w:rsidRPr="002743D6">
        <w:rPr>
          <w:rStyle w:val="longtext"/>
          <w:rFonts w:ascii="Arial" w:hAnsi="Arial" w:cs="Arial"/>
          <w:noProof/>
          <w:sz w:val="20"/>
        </w:rPr>
        <w:t xml:space="preserve"> приложени в кръгова</w:t>
      </w:r>
      <w:r w:rsidR="005724C0" w:rsidRPr="002743D6">
        <w:rPr>
          <w:rStyle w:val="longtext"/>
          <w:rFonts w:ascii="Arial" w:hAnsi="Arial" w:cs="Arial"/>
          <w:noProof/>
          <w:sz w:val="20"/>
        </w:rPr>
        <w:t>та</w:t>
      </w:r>
      <w:r w:rsidR="00CC4234" w:rsidRPr="002743D6">
        <w:rPr>
          <w:rStyle w:val="longtext"/>
          <w:rFonts w:ascii="Arial" w:hAnsi="Arial" w:cs="Arial"/>
          <w:noProof/>
          <w:sz w:val="20"/>
        </w:rPr>
        <w:t xml:space="preserve"> икономика са от ключово значение за постигане на климатичните и екологични цел</w:t>
      </w:r>
      <w:r w:rsidR="005724C0" w:rsidRPr="002743D6">
        <w:rPr>
          <w:rStyle w:val="longtext"/>
          <w:rFonts w:ascii="Arial" w:hAnsi="Arial" w:cs="Arial"/>
          <w:noProof/>
          <w:sz w:val="20"/>
        </w:rPr>
        <w:t xml:space="preserve">и на Европейската </w:t>
      </w:r>
      <w:r w:rsidR="005724C0" w:rsidRPr="002743D6">
        <w:rPr>
          <w:rStyle w:val="longtext"/>
          <w:rFonts w:ascii="Arial" w:hAnsi="Arial" w:cs="Arial"/>
          <w:noProof/>
          <w:sz w:val="20"/>
        </w:rPr>
        <w:lastRenderedPageBreak/>
        <w:t xml:space="preserve">зелена сделка. Те </w:t>
      </w:r>
      <w:r w:rsidR="00CC4234" w:rsidRPr="002743D6">
        <w:rPr>
          <w:rStyle w:val="longtext"/>
          <w:rFonts w:ascii="Arial" w:hAnsi="Arial" w:cs="Arial"/>
          <w:noProof/>
          <w:sz w:val="20"/>
        </w:rPr>
        <w:t>ще позволят намаляване на вредните емисии до безвредни нива както за хората, така и за екосистемите като цяло и ще имат възпиращ ефект въ</w:t>
      </w:r>
      <w:r w:rsidR="005724C0" w:rsidRPr="002743D6">
        <w:rPr>
          <w:rStyle w:val="longtext"/>
          <w:rFonts w:ascii="Arial" w:hAnsi="Arial" w:cs="Arial"/>
          <w:noProof/>
          <w:sz w:val="20"/>
        </w:rPr>
        <w:t xml:space="preserve">рху загубата на биоразнообразие. </w:t>
      </w:r>
      <w:r w:rsidR="00CC4234" w:rsidRPr="002743D6">
        <w:rPr>
          <w:rStyle w:val="longtext"/>
          <w:rFonts w:ascii="Arial" w:hAnsi="Arial" w:cs="Arial"/>
          <w:noProof/>
          <w:sz w:val="20"/>
        </w:rPr>
        <w:t>Комисията счита, че европейската политическа рамка за устойчивост на храните е подходящ инструмент за постигане на тази цел. Целта на стра</w:t>
      </w:r>
      <w:r w:rsidR="00674A12" w:rsidRPr="002743D6">
        <w:rPr>
          <w:rStyle w:val="longtext"/>
          <w:rFonts w:ascii="Arial" w:hAnsi="Arial" w:cs="Arial"/>
          <w:noProof/>
          <w:sz w:val="20"/>
        </w:rPr>
        <w:t>тегията „От фермата до трапезата“</w:t>
      </w:r>
      <w:r w:rsidR="00CC4234" w:rsidRPr="002743D6">
        <w:rPr>
          <w:rStyle w:val="longtext"/>
          <w:rFonts w:ascii="Arial" w:hAnsi="Arial" w:cs="Arial"/>
          <w:noProof/>
          <w:sz w:val="20"/>
        </w:rPr>
        <w:t xml:space="preserve"> е да превърне системите за производство на храни в ЕС в „глобален стандарт за устойчиво производство“, докато цялостната Европейска зелена сделка „предоставя възможност за съгласуване на необходимостта от производство на храни с т</w:t>
      </w:r>
      <w:r w:rsidR="00674A12" w:rsidRPr="002743D6">
        <w:rPr>
          <w:rStyle w:val="longtext"/>
          <w:rFonts w:ascii="Arial" w:hAnsi="Arial" w:cs="Arial"/>
          <w:noProof/>
          <w:sz w:val="20"/>
        </w:rPr>
        <w:t>ова, което е добро за планетата. В</w:t>
      </w:r>
      <w:r w:rsidR="00CC4234" w:rsidRPr="002743D6">
        <w:rPr>
          <w:rStyle w:val="longtext"/>
          <w:rFonts w:ascii="Arial" w:hAnsi="Arial" w:cs="Arial"/>
          <w:noProof/>
          <w:sz w:val="20"/>
        </w:rPr>
        <w:t xml:space="preserve"> същото време </w:t>
      </w:r>
      <w:r w:rsidR="00674A12" w:rsidRPr="002743D6">
        <w:rPr>
          <w:rStyle w:val="longtext"/>
          <w:rFonts w:ascii="Arial" w:hAnsi="Arial" w:cs="Arial"/>
          <w:noProof/>
          <w:sz w:val="20"/>
        </w:rPr>
        <w:t>се отговаря</w:t>
      </w:r>
      <w:r w:rsidR="00CC4234" w:rsidRPr="002743D6">
        <w:rPr>
          <w:rStyle w:val="longtext"/>
          <w:rFonts w:ascii="Arial" w:hAnsi="Arial" w:cs="Arial"/>
          <w:noProof/>
          <w:sz w:val="20"/>
        </w:rPr>
        <w:t xml:space="preserve"> положително на призивите на обществото в ЕС за осигуряване на здравословна, справедлива и екологично чиста храна“. Поради тази причина, Комисията подготвя проект на комуникация „Справедлива, здравословна и екологично чиста хранителна система“, която (по предварителна информация) се очаква да бъде официално публикувана на 20 май 2020 г. Комуникацията засяга различни асп</w:t>
      </w:r>
      <w:r w:rsidR="00674A12" w:rsidRPr="002743D6">
        <w:rPr>
          <w:rStyle w:val="longtext"/>
          <w:rFonts w:ascii="Arial" w:hAnsi="Arial" w:cs="Arial"/>
          <w:noProof/>
          <w:sz w:val="20"/>
        </w:rPr>
        <w:t>екти от производството на храни. О</w:t>
      </w:r>
      <w:r w:rsidR="00CC4234" w:rsidRPr="002743D6">
        <w:rPr>
          <w:rStyle w:val="longtext"/>
          <w:rFonts w:ascii="Arial" w:hAnsi="Arial" w:cs="Arial"/>
          <w:noProof/>
          <w:sz w:val="20"/>
        </w:rPr>
        <w:t xml:space="preserve">бърнато </w:t>
      </w:r>
      <w:r w:rsidR="00674A12" w:rsidRPr="002743D6">
        <w:rPr>
          <w:rStyle w:val="longtext"/>
          <w:rFonts w:ascii="Arial" w:hAnsi="Arial" w:cs="Arial"/>
          <w:noProof/>
          <w:sz w:val="20"/>
        </w:rPr>
        <w:t xml:space="preserve">е </w:t>
      </w:r>
      <w:r w:rsidR="00CC4234" w:rsidRPr="002743D6">
        <w:rPr>
          <w:rStyle w:val="longtext"/>
          <w:rFonts w:ascii="Arial" w:hAnsi="Arial" w:cs="Arial"/>
          <w:noProof/>
          <w:sz w:val="20"/>
        </w:rPr>
        <w:t xml:space="preserve">значително внимание на пандемията от коронавирус, тъй като показа „важността от наличие на стабилни и устойчиви системи за производство на храни, които да са способни да функционират при всякакви обстоятелства </w:t>
      </w:r>
      <w:r w:rsidR="00674A12" w:rsidRPr="002743D6">
        <w:rPr>
          <w:rStyle w:val="longtext"/>
          <w:rFonts w:ascii="Arial" w:hAnsi="Arial" w:cs="Arial"/>
          <w:noProof/>
          <w:sz w:val="20"/>
        </w:rPr>
        <w:t xml:space="preserve">и са в състояние да осигуряват без прекъсване </w:t>
      </w:r>
      <w:r w:rsidR="00CC4234" w:rsidRPr="002743D6">
        <w:rPr>
          <w:rStyle w:val="longtext"/>
          <w:rFonts w:ascii="Arial" w:hAnsi="Arial" w:cs="Arial"/>
          <w:noProof/>
          <w:sz w:val="20"/>
        </w:rPr>
        <w:t>достатъчно количество достъпни храни за всички граждани“. Ситуацията с коронавирус</w:t>
      </w:r>
      <w:r w:rsidR="00153786" w:rsidRPr="002743D6">
        <w:rPr>
          <w:rStyle w:val="longtext"/>
          <w:rFonts w:ascii="Arial" w:hAnsi="Arial" w:cs="Arial"/>
          <w:noProof/>
          <w:sz w:val="20"/>
        </w:rPr>
        <w:t>а</w:t>
      </w:r>
      <w:r w:rsidR="00CC4234" w:rsidRPr="002743D6">
        <w:rPr>
          <w:rStyle w:val="longtext"/>
          <w:rFonts w:ascii="Arial" w:hAnsi="Arial" w:cs="Arial"/>
          <w:noProof/>
          <w:sz w:val="20"/>
        </w:rPr>
        <w:t xml:space="preserve"> показа също, че веригата за осигуряване на храни има необходимост от добре функционираща законова и политическа рамка (напр. по отношение на вътрешния пазар, транспорт и осигуряване на работна ръка), които в момента са поставени на изпитание. Според комуникацията, ЕС</w:t>
      </w:r>
      <w:r w:rsidR="00153786" w:rsidRPr="002743D6">
        <w:rPr>
          <w:rStyle w:val="longtext"/>
          <w:rFonts w:ascii="Arial" w:hAnsi="Arial" w:cs="Arial"/>
          <w:noProof/>
          <w:sz w:val="20"/>
        </w:rPr>
        <w:t xml:space="preserve"> ще се </w:t>
      </w:r>
      <w:r w:rsidR="00CC4234" w:rsidRPr="002743D6">
        <w:rPr>
          <w:rStyle w:val="longtext"/>
          <w:rFonts w:ascii="Arial" w:hAnsi="Arial" w:cs="Arial"/>
          <w:noProof/>
          <w:sz w:val="20"/>
        </w:rPr>
        <w:t>стреми да насърчава действия на международно ниво, като „подкрепя и популяризира действия, които стимулират преход</w:t>
      </w:r>
      <w:r w:rsidR="00153786" w:rsidRPr="002743D6">
        <w:rPr>
          <w:rStyle w:val="longtext"/>
          <w:rFonts w:ascii="Arial" w:hAnsi="Arial" w:cs="Arial"/>
          <w:noProof/>
          <w:sz w:val="20"/>
        </w:rPr>
        <w:t>а</w:t>
      </w:r>
      <w:r w:rsidR="00CC4234" w:rsidRPr="002743D6">
        <w:rPr>
          <w:rStyle w:val="longtext"/>
          <w:rFonts w:ascii="Arial" w:hAnsi="Arial" w:cs="Arial"/>
          <w:noProof/>
          <w:sz w:val="20"/>
        </w:rPr>
        <w:t xml:space="preserve"> към устойчиво селскостопанско производство и производство на храни“ и превърне устойчивостта в „глобален стандарт“. В тази връзка, ЕС ще предложи мерки, които да допринесат към намаляване на глобалното обезлесяване. Като приложение към комуникацията на Комисията „Справедлива, здравословна и екологично чиста хран</w:t>
      </w:r>
      <w:r w:rsidR="004D5820" w:rsidRPr="002743D6">
        <w:rPr>
          <w:rStyle w:val="longtext"/>
          <w:rFonts w:ascii="Arial" w:hAnsi="Arial" w:cs="Arial"/>
          <w:noProof/>
          <w:sz w:val="20"/>
        </w:rPr>
        <w:t>ителна система“, е предвиден и П</w:t>
      </w:r>
      <w:r w:rsidR="00CC4234" w:rsidRPr="002743D6">
        <w:rPr>
          <w:rStyle w:val="longtext"/>
          <w:rFonts w:ascii="Arial" w:hAnsi="Arial" w:cs="Arial"/>
          <w:noProof/>
          <w:sz w:val="20"/>
        </w:rPr>
        <w:t>лан за действие, който предвижда 26 ключови инициативи. Сред тези инициативи, Комисията изразява готовност</w:t>
      </w:r>
      <w:r w:rsidR="004D5820" w:rsidRPr="002743D6">
        <w:rPr>
          <w:rStyle w:val="longtext"/>
          <w:rFonts w:ascii="Arial" w:hAnsi="Arial" w:cs="Arial"/>
          <w:noProof/>
          <w:sz w:val="20"/>
        </w:rPr>
        <w:t xml:space="preserve"> да</w:t>
      </w:r>
      <w:r w:rsidR="00CC4234" w:rsidRPr="002743D6">
        <w:rPr>
          <w:rStyle w:val="longtext"/>
          <w:rFonts w:ascii="Arial" w:hAnsi="Arial" w:cs="Arial"/>
          <w:noProof/>
          <w:sz w:val="20"/>
        </w:rPr>
        <w:t xml:space="preserve"> „приеме препоръки“ към всяка ДЧ относно специфичните цели на ОСП, още преди стратегическите планове да бъдат официално предадени за разглеждане. Друга инициатива предвижда „насърчаване на устойчивост на доставките и търсенето на </w:t>
      </w:r>
      <w:r w:rsidR="004D5820" w:rsidRPr="002743D6">
        <w:rPr>
          <w:rStyle w:val="longtext"/>
          <w:rFonts w:ascii="Arial" w:hAnsi="Arial" w:cs="Arial"/>
          <w:noProof/>
          <w:sz w:val="20"/>
        </w:rPr>
        <w:t>биологично произведени продукти. О</w:t>
      </w:r>
      <w:r w:rsidR="00CC4234" w:rsidRPr="002743D6">
        <w:rPr>
          <w:rStyle w:val="longtext"/>
          <w:rFonts w:ascii="Arial" w:hAnsi="Arial" w:cs="Arial"/>
          <w:noProof/>
          <w:sz w:val="20"/>
        </w:rPr>
        <w:t xml:space="preserve">чаква </w:t>
      </w:r>
      <w:r w:rsidR="004D5820" w:rsidRPr="002743D6">
        <w:rPr>
          <w:rStyle w:val="longtext"/>
          <w:rFonts w:ascii="Arial" w:hAnsi="Arial" w:cs="Arial"/>
          <w:noProof/>
          <w:sz w:val="20"/>
        </w:rPr>
        <w:t xml:space="preserve">се </w:t>
      </w:r>
      <w:r w:rsidR="00CC4234" w:rsidRPr="002743D6">
        <w:rPr>
          <w:rStyle w:val="longtext"/>
          <w:rFonts w:ascii="Arial" w:hAnsi="Arial" w:cs="Arial"/>
          <w:noProof/>
          <w:sz w:val="20"/>
        </w:rPr>
        <w:t>Комисията да разработи план за сектора на биологично земеделие за периода 2021-2026 г. Следваща</w:t>
      </w:r>
      <w:r w:rsidR="004D5820" w:rsidRPr="002743D6">
        <w:rPr>
          <w:rStyle w:val="longtext"/>
          <w:rFonts w:ascii="Arial" w:hAnsi="Arial" w:cs="Arial"/>
          <w:noProof/>
          <w:sz w:val="20"/>
        </w:rPr>
        <w:t>та</w:t>
      </w:r>
      <w:r w:rsidR="00CC4234" w:rsidRPr="002743D6">
        <w:rPr>
          <w:rStyle w:val="longtext"/>
          <w:rFonts w:ascii="Arial" w:hAnsi="Arial" w:cs="Arial"/>
          <w:noProof/>
          <w:sz w:val="20"/>
        </w:rPr>
        <w:t xml:space="preserve"> инициатива подготвя преглед на промоционалните програми за селскостопански и хранителни продукти, с цел „подобряване на техния принос за устойчивото производство и потребление“. Предвидена е инициатива, която да адресира последиците от пандемията от коронавирус, като Комисията предвижда да се създаде Европейска обсервато</w:t>
      </w:r>
      <w:r w:rsidR="004D5820" w:rsidRPr="002743D6">
        <w:rPr>
          <w:rStyle w:val="longtext"/>
          <w:rFonts w:ascii="Arial" w:hAnsi="Arial" w:cs="Arial"/>
          <w:noProof/>
          <w:sz w:val="20"/>
        </w:rPr>
        <w:t>рия за продоволствена сигурност</w:t>
      </w:r>
      <w:r w:rsidR="00CC4234" w:rsidRPr="002743D6">
        <w:rPr>
          <w:rStyle w:val="longtext"/>
          <w:rFonts w:ascii="Arial" w:hAnsi="Arial" w:cs="Arial"/>
          <w:noProof/>
          <w:sz w:val="20"/>
        </w:rPr>
        <w:t xml:space="preserve">, която да „наблюдава и докладва за капацитета на Съюза да </w:t>
      </w:r>
      <w:r w:rsidR="004D5820" w:rsidRPr="002743D6">
        <w:rPr>
          <w:rStyle w:val="longtext"/>
          <w:rFonts w:ascii="Arial" w:hAnsi="Arial" w:cs="Arial"/>
          <w:noProof/>
          <w:sz w:val="20"/>
        </w:rPr>
        <w:t>осигури достъпност на доставките. Ще</w:t>
      </w:r>
      <w:r w:rsidR="00CC4234" w:rsidRPr="002743D6">
        <w:rPr>
          <w:rStyle w:val="longtext"/>
          <w:rFonts w:ascii="Arial" w:hAnsi="Arial" w:cs="Arial"/>
          <w:noProof/>
          <w:sz w:val="20"/>
        </w:rPr>
        <w:t xml:space="preserve"> се следи производството на храни и ключовата инфраструктура, </w:t>
      </w:r>
      <w:r w:rsidR="004D5820" w:rsidRPr="002743D6">
        <w:rPr>
          <w:rStyle w:val="longtext"/>
          <w:rFonts w:ascii="Arial" w:hAnsi="Arial" w:cs="Arial"/>
          <w:noProof/>
          <w:sz w:val="20"/>
        </w:rPr>
        <w:t>за</w:t>
      </w:r>
      <w:r w:rsidR="00CC4234" w:rsidRPr="002743D6">
        <w:rPr>
          <w:rStyle w:val="longtext"/>
          <w:rFonts w:ascii="Arial" w:hAnsi="Arial" w:cs="Arial"/>
          <w:noProof/>
          <w:sz w:val="20"/>
        </w:rPr>
        <w:t xml:space="preserve"> осигурява</w:t>
      </w:r>
      <w:r w:rsidR="004D5820" w:rsidRPr="002743D6">
        <w:rPr>
          <w:rStyle w:val="longtext"/>
          <w:rFonts w:ascii="Arial" w:hAnsi="Arial" w:cs="Arial"/>
          <w:noProof/>
          <w:sz w:val="20"/>
        </w:rPr>
        <w:t>не на</w:t>
      </w:r>
      <w:r w:rsidR="00CC4234" w:rsidRPr="002743D6">
        <w:rPr>
          <w:rStyle w:val="longtext"/>
          <w:rFonts w:ascii="Arial" w:hAnsi="Arial" w:cs="Arial"/>
          <w:noProof/>
          <w:sz w:val="20"/>
        </w:rPr>
        <w:t xml:space="preserve"> прозрачност и координация</w:t>
      </w:r>
      <w:r w:rsidR="004D5820" w:rsidRPr="002743D6">
        <w:rPr>
          <w:rStyle w:val="longtext"/>
          <w:rFonts w:ascii="Arial" w:hAnsi="Arial" w:cs="Arial"/>
          <w:noProof/>
          <w:sz w:val="20"/>
        </w:rPr>
        <w:t>,</w:t>
      </w:r>
      <w:r w:rsidR="00CC4234" w:rsidRPr="002743D6">
        <w:rPr>
          <w:rStyle w:val="longtext"/>
          <w:rFonts w:ascii="Arial" w:hAnsi="Arial" w:cs="Arial"/>
          <w:noProof/>
          <w:sz w:val="20"/>
        </w:rPr>
        <w:t xml:space="preserve"> </w:t>
      </w:r>
      <w:r w:rsidR="004D5820" w:rsidRPr="002743D6">
        <w:rPr>
          <w:rStyle w:val="longtext"/>
          <w:rFonts w:ascii="Arial" w:hAnsi="Arial" w:cs="Arial"/>
          <w:noProof/>
          <w:sz w:val="20"/>
        </w:rPr>
        <w:t xml:space="preserve"> и</w:t>
      </w:r>
      <w:r w:rsidR="00CC4234" w:rsidRPr="002743D6">
        <w:rPr>
          <w:rStyle w:val="longtext"/>
          <w:rFonts w:ascii="Arial" w:hAnsi="Arial" w:cs="Arial"/>
          <w:noProof/>
          <w:sz w:val="20"/>
        </w:rPr>
        <w:t xml:space="preserve"> гарантиране на продоволствена сигурност, когато това се налага“. Като част от тази инициатива, се предвижда също разработване на „план за осигуряване на хранителни доставки и сигурност по време на кризисни ситуации от всякакво естество“. Другите инициативи предвиждат трансформиране на Системата за селскостопанска счетоводна информация в Система за селскостоп</w:t>
      </w:r>
      <w:r w:rsidR="004D5820" w:rsidRPr="002743D6">
        <w:rPr>
          <w:rStyle w:val="longtext"/>
          <w:rFonts w:ascii="Arial" w:hAnsi="Arial" w:cs="Arial"/>
          <w:noProof/>
          <w:sz w:val="20"/>
        </w:rPr>
        <w:t>анска информация за устойчивост</w:t>
      </w:r>
      <w:r w:rsidR="00CC4234" w:rsidRPr="002743D6">
        <w:rPr>
          <w:rStyle w:val="longtext"/>
          <w:rFonts w:ascii="Arial" w:hAnsi="Arial" w:cs="Arial"/>
          <w:noProof/>
          <w:sz w:val="20"/>
        </w:rPr>
        <w:t>; указване на произхода за млечни и месни продукти върху опаковката, за да се идентифицира по-лесно местно произведената храна; преглед на директивата за устойчива употреба на пестициди; разработване на цялостен план за управление на хранителните вещества при торене; преразглеждане на законодателството за хуманно отношение към животните; преразглеждане на маркетинговите стандарти за селскостопански и рибни продукти</w:t>
      </w:r>
      <w:r w:rsidR="004D5820" w:rsidRPr="002743D6">
        <w:rPr>
          <w:rStyle w:val="longtext"/>
          <w:rFonts w:ascii="Arial" w:hAnsi="Arial" w:cs="Arial"/>
          <w:noProof/>
          <w:sz w:val="20"/>
        </w:rPr>
        <w:t>,</w:t>
      </w:r>
      <w:r w:rsidR="00CC4234" w:rsidRPr="002743D6">
        <w:rPr>
          <w:rStyle w:val="longtext"/>
          <w:rFonts w:ascii="Arial" w:hAnsi="Arial" w:cs="Arial"/>
          <w:noProof/>
          <w:sz w:val="20"/>
        </w:rPr>
        <w:t xml:space="preserve"> с цел насърчаване употребата на устойчиво произведени продукти; борба с измамите с хранителни продукти  и други. Тъй като това е предварителна информация, конкретното съдържание на комуникацията „Справедлива, здравословна и екологично чиста хранителна система“ и датата на нейното публикуване предстои да бъдат потвърдени.</w:t>
      </w:r>
    </w:p>
    <w:p w:rsidR="00197ADD" w:rsidRPr="002743D6" w:rsidRDefault="00197ADD" w:rsidP="00CC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rsidR="00164FB9" w:rsidRPr="0046169D" w:rsidRDefault="0071692A" w:rsidP="0046169D">
      <w:pPr>
        <w:jc w:val="both"/>
        <w:rPr>
          <w:rStyle w:val="longtext"/>
          <w:rFonts w:ascii="Arial" w:eastAsia="Calibri" w:hAnsi="Arial" w:cs="Arial"/>
          <w:noProof/>
          <w:sz w:val="20"/>
        </w:rPr>
      </w:pPr>
      <w:r w:rsidRPr="002743D6">
        <w:rPr>
          <w:rStyle w:val="longtext"/>
          <w:rFonts w:ascii="Arial" w:hAnsi="Arial" w:cs="Arial"/>
          <w:b/>
          <w:noProof/>
          <w:sz w:val="20"/>
        </w:rPr>
        <w:t xml:space="preserve">7. </w:t>
      </w:r>
      <w:r w:rsidRPr="002743D6">
        <w:rPr>
          <w:rFonts w:ascii="Arial" w:eastAsia="Calibri" w:hAnsi="Arial" w:cs="Arial"/>
          <w:b/>
          <w:noProof/>
          <w:sz w:val="20"/>
        </w:rPr>
        <w:t xml:space="preserve">В отговор на пандемията Covid-19, членове на Европейския парламент призовават да се спре несправедливото разпределение на директните плащания за земеделските стопани, в зависимост от страната им на пребиваване. </w:t>
      </w:r>
      <w:r w:rsidRPr="002743D6">
        <w:rPr>
          <w:rFonts w:ascii="Arial" w:eastAsia="Calibri" w:hAnsi="Arial" w:cs="Arial"/>
          <w:noProof/>
          <w:sz w:val="20"/>
        </w:rPr>
        <w:t xml:space="preserve">В писмо до Комисията, Съветa и своите колеги в Европейския парламент от 4 май, авторите на писмото подчертават, че по време на кризата от коронавируса е още по-важно да се изравнят директните плащания, за да се гарантира лоялна конкуренция и да се предотврати изчезването на стопанства в много региони на Европейския съюз. Селското стопанство е сред най-уязвимите сектори в ЕС, поради което е подкрепено чрез втория по големина бюджет на ЕС за Общата селскостопанска политика (ОСП). ОСП изпълнява няколко основни цели, определени в Договора за функциониране на Европейския съюз и по-специално увеличаване на производството на храни в целия ЕС, стабилизиране на пазарите и най-важното, осигуряване на справедлив жизнен стандарт на селскостопанската общност. С последните разширявания на </w:t>
      </w:r>
      <w:r w:rsidRPr="002743D6">
        <w:rPr>
          <w:rFonts w:ascii="Arial" w:eastAsia="Calibri" w:hAnsi="Arial" w:cs="Arial"/>
          <w:noProof/>
          <w:sz w:val="20"/>
        </w:rPr>
        <w:lastRenderedPageBreak/>
        <w:t>Европейския съюз, така наречените „нови“ държави-членки се присъединиха към общия европейски пазар и се ангажираха със същото високо ниво на производство, хуманно отношение към животните и екологични стандарти като „старите“ държави-членки, с ясен ангажимент от ЕС за постигане на подобни условия на земеделие за всички земеделски стопани в ЕС след преходен период с ограничена продължителност. За съжаление "преходният" период, който трябваше да приключи през 2013 г., се превърна в „постоянен“. Сегашната ОСП не е в състояние да постигне целите си, няма справедливост относно нивото на субсидиите, получавани от земеделските стопани в „новите“ държави-членки. Докато в ЕС остават „равни“ и „по-равни“ фермери, най-нуждаещите се земеделски стопани в „новите“ държави-членки ще се откажат от земеделие и ще изоставят селските райони. Натоварени с концепцията за „повече равни между равни“, авторите на писмото призовават Комисията, Съветът и колегите в Европейския парламент да прекратят смущаващата дискриминация, за да се осигури равно третиране на всички европейски земеделски стопани и да се гарантира спазването на Договора за функциониране на Европейския съюз.</w:t>
      </w:r>
      <w:bookmarkStart w:id="0" w:name="_GoBack"/>
      <w:bookmarkEnd w:id="0"/>
    </w:p>
    <w:p w:rsidR="00164FB9" w:rsidRPr="002743D6" w:rsidRDefault="00164FB9" w:rsidP="00254983">
      <w:pPr>
        <w:jc w:val="both"/>
        <w:rPr>
          <w:rFonts w:ascii="Calibri" w:eastAsia="Calibri" w:hAnsi="Calibri"/>
          <w:noProof/>
          <w:sz w:val="22"/>
          <w:szCs w:val="22"/>
        </w:rPr>
      </w:pPr>
    </w:p>
    <w:p w:rsidR="00254983" w:rsidRPr="002743D6" w:rsidRDefault="00254983" w:rsidP="00254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54983" w:rsidRPr="002743D6" w:rsidRDefault="00254983" w:rsidP="00254983">
      <w:pPr>
        <w:jc w:val="center"/>
        <w:rPr>
          <w:rStyle w:val="longtext"/>
          <w:rFonts w:ascii="Arial" w:hAnsi="Arial" w:cs="Arial"/>
          <w:noProof/>
          <w:sz w:val="20"/>
        </w:rPr>
      </w:pP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p>
    <w:p w:rsidR="00254983" w:rsidRPr="002743D6" w:rsidRDefault="00254983" w:rsidP="00254983">
      <w:pPr>
        <w:jc w:val="both"/>
        <w:rPr>
          <w:rStyle w:val="longtext"/>
          <w:noProof/>
        </w:rPr>
      </w:pPr>
    </w:p>
    <w:p w:rsidR="002A2BBE" w:rsidRPr="002743D6"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1B1430" w:rsidRPr="002743D6" w:rsidRDefault="001173C3" w:rsidP="007C75B4">
      <w:pPr>
        <w:jc w:val="center"/>
        <w:rPr>
          <w:rStyle w:val="longtext"/>
          <w:rFonts w:ascii="Arial" w:hAnsi="Arial" w:cs="Arial"/>
          <w:noProof/>
          <w:sz w:val="20"/>
        </w:rPr>
      </w:pP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p>
    <w:p w:rsidR="0001496E" w:rsidRPr="002743D6" w:rsidRDefault="0001496E"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597BDB" w:rsidRDefault="00DB5268" w:rsidP="000743FC">
      <w:pPr>
        <w:jc w:val="both"/>
        <w:rPr>
          <w:rStyle w:val="longtext"/>
          <w:rFonts w:asciiTheme="minorHAnsi" w:hAnsiTheme="minorHAnsi"/>
          <w:noProof/>
          <w:lang w:val="en-US"/>
        </w:rPr>
      </w:pP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sidR="000743FC">
        <w:rPr>
          <w:rStyle w:val="longtext"/>
          <w:rFonts w:asciiTheme="minorHAnsi" w:hAnsiTheme="minorHAnsi"/>
          <w:noProof/>
        </w:rPr>
        <w:t xml:space="preserve">                     </w:t>
      </w:r>
    </w:p>
    <w:p w:rsidR="00DB5268" w:rsidRDefault="00597BDB" w:rsidP="00597BDB">
      <w:pPr>
        <w:ind w:left="7920"/>
        <w:jc w:val="both"/>
        <w:rPr>
          <w:rFonts w:ascii="Arial" w:hAnsi="Arial" w:cs="Arial"/>
          <w:b/>
          <w:bCs/>
          <w:sz w:val="20"/>
        </w:rPr>
      </w:pPr>
      <w:r>
        <w:rPr>
          <w:rFonts w:ascii="Arial" w:hAnsi="Arial" w:cs="Arial"/>
          <w:b/>
          <w:bCs/>
          <w:sz w:val="20"/>
          <w:lang w:val="en-US"/>
        </w:rPr>
        <w:t xml:space="preserve">        </w:t>
      </w:r>
      <w:r w:rsidR="00DB5268">
        <w:rPr>
          <w:rFonts w:ascii="Arial" w:hAnsi="Arial" w:cs="Arial"/>
          <w:b/>
          <w:bCs/>
          <w:sz w:val="20"/>
        </w:rPr>
        <w:t>Приложение 1</w:t>
      </w:r>
    </w:p>
    <w:p w:rsidR="000743FC" w:rsidRDefault="000743FC" w:rsidP="000743FC">
      <w:pPr>
        <w:jc w:val="both"/>
        <w:rPr>
          <w:rFonts w:ascii="Arial" w:hAnsi="Arial" w:cs="Arial"/>
          <w:b/>
          <w:bCs/>
          <w:sz w:val="20"/>
        </w:rPr>
      </w:pPr>
      <w:r>
        <w:rPr>
          <w:rFonts w:ascii="Arial" w:hAnsi="Arial" w:cs="Arial"/>
          <w:b/>
          <w:bCs/>
          <w:sz w:val="20"/>
        </w:rPr>
        <w:tab/>
      </w:r>
      <w:r>
        <w:rPr>
          <w:rFonts w:ascii="Arial" w:hAnsi="Arial" w:cs="Arial"/>
          <w:b/>
          <w:bCs/>
          <w:sz w:val="20"/>
        </w:rPr>
        <w:tab/>
      </w:r>
    </w:p>
    <w:p w:rsidR="00DB5268" w:rsidRDefault="00DB5268" w:rsidP="00DB5268">
      <w:pPr>
        <w:jc w:val="both"/>
        <w:rPr>
          <w:rFonts w:ascii="Arial" w:hAnsi="Arial" w:cs="Arial"/>
          <w:b/>
          <w:bCs/>
          <w:sz w:val="20"/>
        </w:rPr>
      </w:pPr>
      <w:r>
        <w:rPr>
          <w:rFonts w:ascii="Arial" w:hAnsi="Arial" w:cs="Arial"/>
          <w:b/>
          <w:bCs/>
          <w:sz w:val="20"/>
        </w:rPr>
        <w:t>Новият пакет на ЕК включва мерки в подкрепа на най-засегнатите селскостопански и хранителни сектори:</w:t>
      </w:r>
    </w:p>
    <w:p w:rsidR="00DB5268" w:rsidRDefault="00DB5268" w:rsidP="00DB5268">
      <w:pPr>
        <w:jc w:val="both"/>
        <w:rPr>
          <w:rFonts w:ascii="Arial" w:hAnsi="Arial" w:cs="Arial"/>
          <w:bCs/>
          <w:sz w:val="20"/>
        </w:rPr>
      </w:pPr>
      <w:r>
        <w:rPr>
          <w:rFonts w:ascii="Arial" w:hAnsi="Arial" w:cs="Arial"/>
          <w:bCs/>
          <w:sz w:val="20"/>
          <w:u w:val="single"/>
        </w:rPr>
        <w:t xml:space="preserve">В сектора на млякото и млечните продукти </w:t>
      </w:r>
      <w:r>
        <w:rPr>
          <w:rFonts w:ascii="Arial" w:hAnsi="Arial" w:cs="Arial"/>
          <w:bCs/>
          <w:sz w:val="20"/>
        </w:rPr>
        <w:t xml:space="preserve">помощ за частно складиране на обезмаслено мляко на прах (ОМП), масло и някои видове сирена се предвижда в следните 3 регламента: </w:t>
      </w:r>
    </w:p>
    <w:p w:rsidR="00DB5268" w:rsidRDefault="00DB5268" w:rsidP="00DB5268">
      <w:pPr>
        <w:spacing w:before="120"/>
        <w:jc w:val="both"/>
        <w:rPr>
          <w:rFonts w:ascii="Arial" w:hAnsi="Arial" w:cs="Arial"/>
          <w:bCs/>
          <w:i/>
          <w:iCs/>
          <w:sz w:val="20"/>
        </w:rPr>
      </w:pPr>
      <w:r>
        <w:rPr>
          <w:rFonts w:ascii="Arial" w:hAnsi="Arial" w:cs="Arial"/>
          <w:bCs/>
          <w:i/>
          <w:iCs/>
          <w:sz w:val="20"/>
        </w:rPr>
        <w:t>Делегиран регламент (ЕС) 2020/591 на Комисията от 30 април 2020 година за откриване на временна извънредна схема за помощ за частно складиране на някои видове сирена и за предварително определяне на размера на помощта</w:t>
      </w:r>
    </w:p>
    <w:p w:rsidR="00DB5268" w:rsidRDefault="00DB5268" w:rsidP="00DB5268">
      <w:pPr>
        <w:spacing w:before="120"/>
        <w:jc w:val="both"/>
        <w:rPr>
          <w:rFonts w:ascii="Arial" w:hAnsi="Arial" w:cs="Arial"/>
          <w:bCs/>
          <w:i/>
          <w:iCs/>
          <w:sz w:val="20"/>
        </w:rPr>
      </w:pPr>
      <w:r>
        <w:rPr>
          <w:rFonts w:ascii="Arial" w:hAnsi="Arial" w:cs="Arial"/>
          <w:bCs/>
          <w:sz w:val="20"/>
        </w:rPr>
        <w:t xml:space="preserve">Заявленията се отнасят до продукти, които вече са поставени на склад, и за тях не се изисква обезпечение като крайният срок за подаването им е 30 юни 2020 г. Периодът на съхранение е между 60 </w:t>
      </w:r>
      <w:r>
        <w:rPr>
          <w:rFonts w:ascii="Arial" w:hAnsi="Arial" w:cs="Arial"/>
          <w:bCs/>
          <w:sz w:val="20"/>
        </w:rPr>
        <w:lastRenderedPageBreak/>
        <w:t>и 180 дни. Максималното количество допустимо за съхранение за България е 889 тона. Минималното количество за всяко заявление е 0,5 тона. Сумата за подпомагане включва както постоянните разходи за складиране в размер на 15,57 евро на тон продукция, така и 0,40 евро на тон на ден за срока на договорите.</w:t>
      </w:r>
    </w:p>
    <w:p w:rsidR="00DB5268" w:rsidRDefault="00DB5268" w:rsidP="00DB5268">
      <w:pPr>
        <w:spacing w:before="120"/>
        <w:jc w:val="both"/>
        <w:rPr>
          <w:rFonts w:ascii="Arial" w:hAnsi="Arial" w:cs="Arial"/>
          <w:bCs/>
          <w:i/>
          <w:iCs/>
          <w:sz w:val="20"/>
        </w:rPr>
      </w:pPr>
      <w:r>
        <w:rPr>
          <w:rFonts w:ascii="Arial" w:hAnsi="Arial" w:cs="Arial"/>
          <w:bCs/>
          <w:i/>
          <w:iCs/>
          <w:sz w:val="20"/>
        </w:rPr>
        <w:t xml:space="preserve">Регламент за изпълнение (ЕС) 2020/597 на Комисията от 30 април 2020 година за предоставяне на помощ за частно складиране на масло и за предварително определяне на нейния размер </w:t>
      </w:r>
    </w:p>
    <w:p w:rsidR="00DB5268" w:rsidRDefault="00DB5268" w:rsidP="00DB5268">
      <w:pPr>
        <w:spacing w:before="120"/>
        <w:jc w:val="both"/>
        <w:rPr>
          <w:rFonts w:ascii="Arial" w:hAnsi="Arial" w:cs="Arial"/>
          <w:bCs/>
          <w:sz w:val="20"/>
        </w:rPr>
      </w:pPr>
      <w:r>
        <w:rPr>
          <w:rFonts w:ascii="Arial" w:hAnsi="Arial" w:cs="Arial"/>
          <w:bCs/>
          <w:sz w:val="20"/>
        </w:rPr>
        <w:t xml:space="preserve">Заявленията се отнасят до продукти, които вече са поставени на склад, и за тях не се изисква обезпечение като крайният срок за подаването им е 30 юни 2020 г. Минималните количества са 10 тона, периодът за съхранение е между 90 и 180 дни, а помощта е в размер на 9,83 евро на тон за постоянни разходи за складиране и 0,43 евро на тон на ден. </w:t>
      </w:r>
    </w:p>
    <w:p w:rsidR="00DB5268" w:rsidRDefault="00DB5268" w:rsidP="00DB5268">
      <w:pPr>
        <w:spacing w:before="120"/>
        <w:jc w:val="both"/>
        <w:rPr>
          <w:rFonts w:ascii="Arial" w:hAnsi="Arial" w:cs="Arial"/>
          <w:bCs/>
          <w:i/>
          <w:iCs/>
          <w:sz w:val="20"/>
        </w:rPr>
      </w:pPr>
      <w:r>
        <w:rPr>
          <w:rFonts w:ascii="Arial" w:hAnsi="Arial" w:cs="Arial"/>
          <w:bCs/>
          <w:i/>
          <w:iCs/>
          <w:sz w:val="20"/>
        </w:rPr>
        <w:t xml:space="preserve">Регламент за изпълнение (ЕС) 2020/598 на Комисията от 30 април 2020 година за предоставяне на помощ за частно складиране на обезмаслено мляко на прах и за предварително определяне на нейния размер </w:t>
      </w:r>
    </w:p>
    <w:p w:rsidR="00DB5268" w:rsidRDefault="00DB5268" w:rsidP="00DB5268">
      <w:pPr>
        <w:spacing w:before="120"/>
        <w:jc w:val="both"/>
        <w:rPr>
          <w:rFonts w:ascii="Arial" w:hAnsi="Arial" w:cs="Arial"/>
          <w:bCs/>
          <w:sz w:val="20"/>
        </w:rPr>
      </w:pPr>
      <w:r>
        <w:rPr>
          <w:rFonts w:ascii="Arial" w:hAnsi="Arial" w:cs="Arial"/>
          <w:bCs/>
          <w:sz w:val="20"/>
        </w:rPr>
        <w:t xml:space="preserve">Заявленията се отнасят до продукти, които вече са поставени на склад, и за тях не се изисква обезпечение като крайният срок за подаването им е 30 юни 2020 г. Минималните количества са 10 тона, периодът за съхранение е между 90 и 180 дни, а помощта е в размер на 5,11 евро на тон за постоянни разходи за складиране и 0,13 евро на тон на ден. </w:t>
      </w:r>
    </w:p>
    <w:p w:rsidR="00DB5268" w:rsidRDefault="00DB5268" w:rsidP="00DB5268">
      <w:pPr>
        <w:spacing w:before="120" w:after="120"/>
        <w:jc w:val="both"/>
        <w:rPr>
          <w:rFonts w:ascii="Arial" w:hAnsi="Arial" w:cs="Arial"/>
          <w:bCs/>
          <w:sz w:val="20"/>
        </w:rPr>
      </w:pPr>
      <w:r w:rsidRPr="00CC6C5A">
        <w:rPr>
          <w:rFonts w:ascii="Arial" w:hAnsi="Arial" w:cs="Arial"/>
          <w:bCs/>
          <w:sz w:val="20"/>
        </w:rPr>
        <w:t>Същевременно</w:t>
      </w:r>
      <w:r>
        <w:rPr>
          <w:rFonts w:ascii="Arial" w:hAnsi="Arial" w:cs="Arial"/>
          <w:bCs/>
          <w:i/>
          <w:iCs/>
          <w:sz w:val="20"/>
        </w:rPr>
        <w:t xml:space="preserve"> Регламент за изпълнение (ЕС) 2020/599 на Комисията от 30 април 2020 година за разрешаване на споразуменията и решенията относно планирането на производството в сектора на млякото и млечните продукти </w:t>
      </w:r>
      <w:r>
        <w:rPr>
          <w:rFonts w:ascii="Arial" w:hAnsi="Arial" w:cs="Arial"/>
          <w:bCs/>
          <w:sz w:val="20"/>
        </w:rPr>
        <w:t>в сектора на млякото и млечните продукти се предвижда разрешаване на доброволни споразумения и решения за планиране и намаляване на производството от страна на фермери, организации на производители и техни асоциации. Изключват се споразумения и решения, които водят до разделяне на пазари или определяне на цени. Разрешението ще бъде временно в продължение на шестмесечен период, започващ на 1 април 2020 г.</w:t>
      </w:r>
    </w:p>
    <w:p w:rsidR="00DB5268" w:rsidRPr="007B1427" w:rsidRDefault="00DB5268" w:rsidP="00DB5268">
      <w:pPr>
        <w:jc w:val="both"/>
        <w:rPr>
          <w:rFonts w:ascii="Arial" w:hAnsi="Arial" w:cs="Arial"/>
          <w:bCs/>
          <w:noProof/>
          <w:sz w:val="20"/>
        </w:rPr>
      </w:pPr>
      <w:r>
        <w:rPr>
          <w:rFonts w:ascii="Arial" w:hAnsi="Arial" w:cs="Arial"/>
          <w:bCs/>
          <w:sz w:val="20"/>
          <w:u w:val="single"/>
        </w:rPr>
        <w:t>В сектора на месото</w:t>
      </w:r>
      <w:r>
        <w:rPr>
          <w:rFonts w:ascii="Arial" w:hAnsi="Arial" w:cs="Arial"/>
          <w:bCs/>
          <w:sz w:val="20"/>
        </w:rPr>
        <w:t xml:space="preserve"> помощ за частно складиране може да бъде предоставена за месо от едър рогат </w:t>
      </w:r>
      <w:r w:rsidRPr="007B1427">
        <w:rPr>
          <w:rFonts w:ascii="Arial" w:hAnsi="Arial" w:cs="Arial"/>
          <w:bCs/>
          <w:noProof/>
          <w:sz w:val="20"/>
        </w:rPr>
        <w:t>добитък (животни на възраст над 8 месеца) и за овче и козе месо със следните регламенти:</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2020/595 на Комисията от 30 април 2020 година за предоставяне на помощ за частно складиране на овче и козе месо и за предварително определяне на нейния размер;</w:t>
      </w:r>
    </w:p>
    <w:p w:rsidR="00DB5268" w:rsidRPr="007B1427" w:rsidRDefault="00DB5268" w:rsidP="00DB5268">
      <w:pPr>
        <w:jc w:val="both"/>
        <w:rPr>
          <w:rFonts w:ascii="Arial" w:hAnsi="Arial" w:cs="Arial"/>
          <w:bCs/>
          <w:noProof/>
          <w:sz w:val="20"/>
        </w:rPr>
      </w:pPr>
      <w:r w:rsidRPr="007B1427">
        <w:rPr>
          <w:rFonts w:ascii="Arial" w:hAnsi="Arial" w:cs="Arial"/>
          <w:bCs/>
          <w:noProof/>
          <w:sz w:val="20"/>
        </w:rPr>
        <w:t>Помощта се предоставя за период от 90, 120 или 150 дни. Минималното количество за едно заявление  е най-малко 5 тона за овче или козе месо. Помощта се предоставя само за продукти, които все още не са поставени в склад, а размерът й се определя в зависимост от периода на складиране 866, 890 и 915 евро на тон, съответно за 90, 120 и 150 дни. Обезпечението, което се изисква, е в размер на 100 евро на тон.</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2020/596 на Комисията от 30 април 2020 година за предоставяне на помощ за частно складиране на прясно или охладено месо от едър рогат добитък на възраст осем месеца или повече и за предварително определяне на размера на помощта.</w:t>
      </w:r>
    </w:p>
    <w:p w:rsidR="00DB5268" w:rsidRPr="007B1427" w:rsidRDefault="00DB5268" w:rsidP="00DB5268">
      <w:pPr>
        <w:jc w:val="both"/>
        <w:rPr>
          <w:rFonts w:ascii="Arial" w:hAnsi="Arial" w:cs="Arial"/>
          <w:bCs/>
          <w:noProof/>
          <w:sz w:val="20"/>
        </w:rPr>
      </w:pPr>
      <w:r w:rsidRPr="007B1427">
        <w:rPr>
          <w:rFonts w:ascii="Arial" w:hAnsi="Arial" w:cs="Arial"/>
          <w:bCs/>
          <w:noProof/>
          <w:sz w:val="20"/>
        </w:rPr>
        <w:t>Помощта се предоставя за период от 90, 120 или 150 дни. С едно заявление може да се кандидатства за частно складиране на най-малко 10 тона за говеждо месо. Помощта се предоставя само за продукти, които все още не са поставени в склад, а размерът й се определя в зависимост от периода на складиране –  1008, 1033 и 1058 евро на тон, съответно за 90, 120 и 150 дни. Обезпечението, което се изисква, е в размер на 100 евро на тон.</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u w:val="single"/>
        </w:rPr>
        <w:t>В сектора на виното</w:t>
      </w:r>
      <w:r w:rsidRPr="007B1427">
        <w:rPr>
          <w:rFonts w:ascii="Arial" w:hAnsi="Arial" w:cs="Arial"/>
          <w:bCs/>
          <w:noProof/>
          <w:sz w:val="20"/>
        </w:rPr>
        <w:t xml:space="preserve"> с </w:t>
      </w:r>
      <w:r w:rsidRPr="007B1427">
        <w:rPr>
          <w:rFonts w:ascii="Arial" w:hAnsi="Arial" w:cs="Arial"/>
          <w:bCs/>
          <w:i/>
          <w:iCs/>
          <w:noProof/>
          <w:sz w:val="20"/>
        </w:rPr>
        <w:t xml:space="preserve">Регламент за изпълнение (ЕС) 2020/601 на Комисията от 30 април 2020 година относно спешни мерки за дерогация от членове 62 и 66 от Регламент (ЕС) № 1308/2013 на Европейския парламент и на Съвета по отношение на срока на валидност на разрешенията за засаждане на лозoви насаждения и изкореняването в случай на предварително презасаждане </w:t>
      </w:r>
      <w:r w:rsidRPr="007B1427">
        <w:rPr>
          <w:rFonts w:ascii="Arial" w:hAnsi="Arial" w:cs="Arial"/>
          <w:bCs/>
          <w:noProof/>
          <w:sz w:val="20"/>
        </w:rPr>
        <w:t xml:space="preserve">е предвидено удължаване с дванадесет месеца на срока на разрешенията за изкореняване и на разрешенията за нови насаждения и презасаждане, изтичащи през 2020 г. </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Чрез</w:t>
      </w:r>
      <w:r w:rsidRPr="007B1427">
        <w:rPr>
          <w:rFonts w:ascii="Arial" w:hAnsi="Arial" w:cs="Arial"/>
          <w:bCs/>
          <w:i/>
          <w:iCs/>
          <w:noProof/>
          <w:sz w:val="20"/>
        </w:rPr>
        <w:t xml:space="preserve"> Делегиран регламент (ЕС) 2020/592 на Комисията от 30 април 2020 година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w:t>
      </w:r>
      <w:r w:rsidRPr="007B1427">
        <w:rPr>
          <w:rFonts w:ascii="Arial" w:hAnsi="Arial" w:cs="Arial"/>
          <w:bCs/>
          <w:noProof/>
          <w:sz w:val="20"/>
        </w:rPr>
        <w:t>през финансовата 2020 г. по програми за подпомагане в лозаро-винарския сектор могат да бъдат финансирани мерките „</w:t>
      </w:r>
      <w:r w:rsidRPr="007B1427">
        <w:rPr>
          <w:rFonts w:ascii="Arial" w:hAnsi="Arial" w:cs="Arial"/>
          <w:bCs/>
          <w:noProof/>
          <w:sz w:val="20"/>
          <w:u w:val="single"/>
        </w:rPr>
        <w:t xml:space="preserve">Кризисна дестинация на вино“ </w:t>
      </w:r>
      <w:r w:rsidRPr="007B1427">
        <w:rPr>
          <w:rFonts w:ascii="Arial" w:hAnsi="Arial" w:cs="Arial"/>
          <w:bCs/>
          <w:noProof/>
          <w:sz w:val="20"/>
        </w:rPr>
        <w:t>и</w:t>
      </w:r>
      <w:r w:rsidRPr="007B1427">
        <w:rPr>
          <w:rFonts w:ascii="Arial" w:hAnsi="Arial" w:cs="Arial"/>
          <w:bCs/>
          <w:noProof/>
          <w:sz w:val="20"/>
          <w:u w:val="single"/>
        </w:rPr>
        <w:t xml:space="preserve"> „Помощ за кризисно съхранение на вино“</w:t>
      </w:r>
      <w:r w:rsidRPr="007B1427">
        <w:rPr>
          <w:rFonts w:ascii="Arial" w:hAnsi="Arial" w:cs="Arial"/>
          <w:bCs/>
          <w:noProof/>
          <w:sz w:val="20"/>
        </w:rPr>
        <w:t xml:space="preserve">. При </w:t>
      </w:r>
      <w:r w:rsidRPr="007B1427">
        <w:rPr>
          <w:rFonts w:ascii="Arial" w:hAnsi="Arial" w:cs="Arial"/>
          <w:bCs/>
          <w:noProof/>
          <w:sz w:val="20"/>
        </w:rPr>
        <w:lastRenderedPageBreak/>
        <w:t xml:space="preserve">мярка „Кризисна дестилация на вино“ полученият алкохол ще се ползва само за промишлени цели, а допустими за подпомагане са само разходите за доставка на вино за дестилерии и за дестилация на това вино. За да се избегне предоставянето на помощ два пъти за едно и също количество вино, изтеглено от пазара, бенефициерите, които получават помощ за кризисно съхранение на количества вино, не могат да получават помощ за същото количество вино за дестилация в случай на криза, нито национални плащания за дестилация на вино в случаи на криза. Предвидено е помощта на Съюза по мярка </w:t>
      </w:r>
      <w:r w:rsidRPr="007B1427">
        <w:rPr>
          <w:rFonts w:ascii="Arial" w:hAnsi="Arial" w:cs="Arial"/>
          <w:bCs/>
          <w:noProof/>
          <w:sz w:val="20"/>
          <w:u w:val="single"/>
        </w:rPr>
        <w:t>"Преструктуриране и конверсия на лозя"</w:t>
      </w:r>
      <w:r w:rsidRPr="007B1427">
        <w:rPr>
          <w:rFonts w:ascii="Arial" w:hAnsi="Arial" w:cs="Arial"/>
          <w:bCs/>
          <w:noProof/>
          <w:sz w:val="20"/>
        </w:rPr>
        <w:t xml:space="preserve"> да бъде увеличена на 80% от направените разходи. По мярка </w:t>
      </w:r>
      <w:r w:rsidRPr="007B1427">
        <w:rPr>
          <w:rFonts w:ascii="Arial" w:hAnsi="Arial" w:cs="Arial"/>
          <w:bCs/>
          <w:noProof/>
          <w:sz w:val="20"/>
          <w:u w:val="single"/>
        </w:rPr>
        <w:t>„Инвестиции“</w:t>
      </w:r>
      <w:r w:rsidRPr="007B1427">
        <w:rPr>
          <w:rFonts w:ascii="Arial" w:hAnsi="Arial" w:cs="Arial"/>
          <w:bCs/>
          <w:noProof/>
          <w:sz w:val="20"/>
        </w:rPr>
        <w:t xml:space="preserve"> помощта може да бъде увеличена от 50 на 60%. </w:t>
      </w:r>
      <w:r w:rsidRPr="007B1427">
        <w:rPr>
          <w:rFonts w:ascii="Arial" w:hAnsi="Arial" w:cs="Arial"/>
          <w:bCs/>
          <w:noProof/>
          <w:sz w:val="20"/>
          <w:u w:val="single"/>
        </w:rPr>
        <w:t>По мярка  „Застраховане на реколтата“</w:t>
      </w:r>
      <w:r w:rsidRPr="007B1427">
        <w:rPr>
          <w:rFonts w:ascii="Arial" w:hAnsi="Arial" w:cs="Arial"/>
          <w:bCs/>
          <w:noProof/>
          <w:sz w:val="20"/>
        </w:rPr>
        <w:t xml:space="preserve"> помощта се увеличава от 50 на 60% от разходите за застрахователните премии, платени от производителите за застраховки срещу загуби, които могат да покрият и загуби, причинени от човешка пандемия. По мярка</w:t>
      </w:r>
      <w:r w:rsidRPr="007B1427">
        <w:rPr>
          <w:rFonts w:ascii="Arial" w:hAnsi="Arial" w:cs="Arial"/>
          <w:bCs/>
          <w:noProof/>
          <w:sz w:val="20"/>
          <w:u w:val="single"/>
        </w:rPr>
        <w:t xml:space="preserve"> „Събиране на реколтата на зелено“</w:t>
      </w:r>
      <w:r w:rsidRPr="007B1427">
        <w:rPr>
          <w:rFonts w:ascii="Arial" w:hAnsi="Arial" w:cs="Arial"/>
          <w:bCs/>
          <w:noProof/>
          <w:sz w:val="20"/>
        </w:rPr>
        <w:t xml:space="preserve"> помощта се увеличава от 50 на 60% от сумата на преките разходи за унищожаване или отстраняване на гроздовете и загубата на приходи, свързани с такова унищожаване/отстраняване. </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Чрез</w:t>
      </w:r>
      <w:r w:rsidRPr="007B1427">
        <w:rPr>
          <w:rFonts w:ascii="Arial" w:hAnsi="Arial" w:cs="Arial"/>
          <w:bCs/>
          <w:i/>
          <w:iCs/>
          <w:noProof/>
          <w:sz w:val="20"/>
        </w:rPr>
        <w:t xml:space="preserve"> Регламент за изпълнение (ЕС) 2020/600 на комисията от 30 април 2020 година за въвеждане на дерогация от Регламент за изпълнение (ЕС) 2017/892, Регламент за изпълнение (ЕС) 2016/1150, Регламент за изпълнение (ЕС) № 615/2014, Регламент за изпълнение (ЕС) 2015/1368 и Регламент за изпълнение (ЕС) 2017/39 по отношение на някои мерки за справяне с кризата, предизвикана от пандемията от COVID-19 </w:t>
      </w:r>
      <w:r w:rsidRPr="007B1427">
        <w:rPr>
          <w:rFonts w:ascii="Arial" w:hAnsi="Arial" w:cs="Arial"/>
          <w:bCs/>
          <w:noProof/>
          <w:sz w:val="20"/>
        </w:rPr>
        <w:t>в сектора на виното чрез дерогации от Регламент за изпълнение (ЕС) 2016/1150 през финансовата 2020 г. в случай на криза поради COVID-19, ДЧ могат да определят крайния срок за подаване на заявления за подпомагане за събиране на реколтата на зелено между 15 април и 30 юни (към момента е до 10 юни), могат да изберат да не установяват очакваната пазарна ситуация, обосноваваща прилагането на мярката и могат да определят крайния срок за прилагане на мярката в периода след 30 юни, но преди обичайното начало на прибиране на реколтата. ДЧ могат да въведат по отношение на мерките (с изключение на популяризиране в трети страни), при необходимост, но не по-късно от 15 октомври 2020 г., промени в своите национални програми за подпомагане в лозаро-винарския сектор</w:t>
      </w:r>
    </w:p>
    <w:p w:rsidR="00DB5268" w:rsidRPr="007B1427" w:rsidRDefault="00DB5268" w:rsidP="00DB5268">
      <w:pPr>
        <w:jc w:val="both"/>
        <w:rPr>
          <w:rFonts w:ascii="Arial" w:hAnsi="Arial" w:cs="Arial"/>
          <w:bCs/>
          <w:noProof/>
          <w:sz w:val="20"/>
          <w:highlight w:val="yellow"/>
        </w:rPr>
      </w:pPr>
      <w:r w:rsidRPr="007B1427">
        <w:rPr>
          <w:rFonts w:ascii="Arial" w:hAnsi="Arial" w:cs="Arial"/>
          <w:bCs/>
          <w:noProof/>
          <w:sz w:val="20"/>
          <w:u w:val="single"/>
        </w:rPr>
        <w:t>В сектора на Плодовете и зеленчуците</w:t>
      </w:r>
      <w:r w:rsidRPr="007B1427">
        <w:rPr>
          <w:rFonts w:ascii="Arial" w:hAnsi="Arial" w:cs="Arial"/>
          <w:bCs/>
          <w:noProof/>
          <w:sz w:val="20"/>
        </w:rPr>
        <w:t xml:space="preserve"> чрез същия </w:t>
      </w:r>
      <w:r w:rsidRPr="007B1427">
        <w:rPr>
          <w:rFonts w:ascii="Arial" w:hAnsi="Arial" w:cs="Arial"/>
          <w:bCs/>
          <w:i/>
          <w:iCs/>
          <w:noProof/>
          <w:sz w:val="20"/>
        </w:rPr>
        <w:t>Регламент за изпълнение (ЕС) 2020/600</w:t>
      </w:r>
      <w:r w:rsidRPr="007B1427">
        <w:rPr>
          <w:rFonts w:ascii="Arial" w:hAnsi="Arial" w:cs="Arial"/>
          <w:bCs/>
          <w:noProof/>
          <w:sz w:val="20"/>
        </w:rPr>
        <w:t xml:space="preserve"> (чрез дерогации от Регламент за изпълнение (ЕС) 2017/892) заявленията за помощ, подадени до 15 февруари 2020 г. могат да включват разходи за операции, планирани за 2019 г., но не извършени до 31 декември 2019 г., ако тези операции могат да бъдат извършени до 15 август 2020 г. Заявленията за помощ, подадени до 15 февруари 2021 г. могат да включват разходи за операции, планирани за 2020 г., но не извършени до 31 декември 2020 г., ако тези операции могат да бъдат извършени до 15 август 2021 г.</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noProof/>
          <w:sz w:val="20"/>
        </w:rPr>
        <w:t>Чрез</w:t>
      </w:r>
      <w:r w:rsidRPr="007B1427">
        <w:rPr>
          <w:rFonts w:ascii="Arial" w:hAnsi="Arial" w:cs="Arial"/>
          <w:bCs/>
          <w:i/>
          <w:iCs/>
          <w:noProof/>
          <w:sz w:val="20"/>
        </w:rPr>
        <w:t xml:space="preserve"> Делегиран регламент (ЕС) 2020/592 на Комисията </w:t>
      </w:r>
      <w:r w:rsidRPr="007B1427">
        <w:rPr>
          <w:rFonts w:ascii="Arial" w:hAnsi="Arial" w:cs="Arial"/>
          <w:bCs/>
          <w:noProof/>
          <w:sz w:val="20"/>
        </w:rPr>
        <w:t>през 2020 г. лимитът на една трета от разходите за мерки за предотвратяване и управление на кризи по оперативната програма отпада</w:t>
      </w:r>
      <w:r w:rsidRPr="007B1427">
        <w:rPr>
          <w:rFonts w:ascii="Arial" w:hAnsi="Arial" w:cs="Arial"/>
          <w:bCs/>
          <w:i/>
          <w:iCs/>
          <w:noProof/>
          <w:sz w:val="20"/>
        </w:rPr>
        <w:t>.</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u w:val="single"/>
        </w:rPr>
        <w:t>В сектора на пчеларството</w:t>
      </w:r>
      <w:r w:rsidRPr="007B1427">
        <w:rPr>
          <w:rFonts w:ascii="Arial" w:hAnsi="Arial" w:cs="Arial"/>
          <w:bCs/>
          <w:noProof/>
          <w:sz w:val="20"/>
        </w:rPr>
        <w:t xml:space="preserve"> отново с</w:t>
      </w:r>
      <w:r w:rsidRPr="007B1427">
        <w:rPr>
          <w:rFonts w:ascii="Arial" w:hAnsi="Arial" w:cs="Arial"/>
          <w:bCs/>
          <w:i/>
          <w:iCs/>
          <w:noProof/>
          <w:sz w:val="20"/>
        </w:rPr>
        <w:t xml:space="preserve"> Регламент за изпълнение (ЕС) 2020/600 </w:t>
      </w:r>
      <w:r w:rsidRPr="007B1427">
        <w:rPr>
          <w:rFonts w:ascii="Arial" w:hAnsi="Arial" w:cs="Arial"/>
          <w:bCs/>
          <w:noProof/>
          <w:sz w:val="20"/>
        </w:rPr>
        <w:t>се предвижда ДЧ да могат да изменят националните си програми, като мерките, планирани за пчеларската 2020 година, да се извършват след 31 юли 2020 г., но не по-късно от 15 септември 2020 г. Тези мерки ще се считат за изпълнени през пчеларската 2020 година. Измененията подлежат на одобрение от Комисията преди тяхното прилагане.</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u w:val="single"/>
        </w:rPr>
        <w:t>В секторите на цветята и картофите</w:t>
      </w:r>
      <w:r w:rsidRPr="007B1427">
        <w:rPr>
          <w:rFonts w:ascii="Arial" w:hAnsi="Arial" w:cs="Arial"/>
          <w:bCs/>
          <w:noProof/>
          <w:sz w:val="20"/>
        </w:rPr>
        <w:t xml:space="preserve"> са влезли в сила 2 регламента</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2020/593 на Комисията от 30 април 2020 година за разрешаване на споразумения и решения относно мерки за стабилизиране на пазара в сектора на картофите</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2020/594 на Комисията от 30 април 2020 година за разрешаване на споразуменията и решенията относно мерки за стабилизиране на пазара в сектора на живите дървета и други растения, луковици, корени и други подобни, рязан цвят и декоративна растителност</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С тях се предвижда планиране на производството (намаляване) и изтегляне от пазара в случай на невъзможна реализация по време на период от 6 месеца, считано от 1 май 2020 г.. Решение за изтегляне от пазара може да се взима от кооперативи, организации на производители и техни асоциации. Изтеглените продукти може да се насочват за благотворителност и преработка. В предложението на ЕК не е предвидено финансиране.</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noProof/>
          <w:sz w:val="20"/>
        </w:rPr>
        <w:t xml:space="preserve">Все още </w:t>
      </w:r>
      <w:r w:rsidRPr="007B1427">
        <w:rPr>
          <w:rFonts w:ascii="Arial" w:hAnsi="Arial" w:cs="Arial"/>
          <w:bCs/>
          <w:noProof/>
          <w:sz w:val="20"/>
          <w:u w:val="single"/>
        </w:rPr>
        <w:t>не е обнародван</w:t>
      </w:r>
      <w:r w:rsidRPr="007B1427">
        <w:rPr>
          <w:rFonts w:ascii="Arial" w:hAnsi="Arial" w:cs="Arial"/>
          <w:bCs/>
          <w:noProof/>
          <w:sz w:val="20"/>
        </w:rPr>
        <w:t xml:space="preserve"> </w:t>
      </w:r>
      <w:r w:rsidRPr="007B1427">
        <w:rPr>
          <w:rFonts w:ascii="Arial" w:hAnsi="Arial" w:cs="Arial"/>
          <w:bCs/>
          <w:i/>
          <w:iCs/>
          <w:noProof/>
          <w:sz w:val="20"/>
        </w:rPr>
        <w:t xml:space="preserve">Делегиран регламент …../…. на Комисията относно дерогация за 2020 г. от Делегиран регламент (ЕС) 2017/891 на Комисията по отношение на сектора на плодовете и </w:t>
      </w:r>
      <w:r w:rsidRPr="007B1427">
        <w:rPr>
          <w:rFonts w:ascii="Arial" w:hAnsi="Arial" w:cs="Arial"/>
          <w:bCs/>
          <w:i/>
          <w:iCs/>
          <w:noProof/>
          <w:sz w:val="20"/>
        </w:rPr>
        <w:lastRenderedPageBreak/>
        <w:t xml:space="preserve">зеленчуците и от Делегиран регламент на Комисията (ЕС) 2016/1149 по отношение на лозаро-винарския сектор във връзка с пандемията COVID-19. </w:t>
      </w:r>
    </w:p>
    <w:p w:rsidR="00DB5268" w:rsidRPr="007B1427" w:rsidRDefault="00DB5268" w:rsidP="00DB5268">
      <w:pPr>
        <w:spacing w:before="120"/>
        <w:jc w:val="both"/>
        <w:rPr>
          <w:rFonts w:ascii="Arial" w:hAnsi="Arial" w:cs="Arial"/>
          <w:bCs/>
          <w:noProof/>
          <w:sz w:val="20"/>
        </w:rPr>
      </w:pPr>
      <w:r w:rsidRPr="007B1427">
        <w:rPr>
          <w:rFonts w:asciiTheme="minorHAnsi" w:hAnsiTheme="minorHAnsi"/>
          <w:noProof/>
        </w:rPr>
        <w:t xml:space="preserve">В него </w:t>
      </w:r>
      <w:r w:rsidRPr="007B1427">
        <w:rPr>
          <w:rFonts w:asciiTheme="minorHAnsi" w:hAnsiTheme="minorHAnsi"/>
          <w:noProof/>
          <w:u w:val="single"/>
        </w:rPr>
        <w:t>в сектора на виното</w:t>
      </w:r>
      <w:r w:rsidRPr="007B1427">
        <w:rPr>
          <w:rFonts w:asciiTheme="minorHAnsi" w:hAnsiTheme="minorHAnsi"/>
          <w:noProof/>
        </w:rPr>
        <w:t xml:space="preserve"> се предвижда когато п</w:t>
      </w:r>
      <w:r w:rsidRPr="007B1427">
        <w:rPr>
          <w:rFonts w:ascii="Arial" w:hAnsi="Arial" w:cs="Arial"/>
          <w:bCs/>
          <w:noProof/>
          <w:sz w:val="20"/>
        </w:rPr>
        <w:t xml:space="preserve">оради причини, свързани с COVID-19, до 15 октомври 2020 г. договорените операции по </w:t>
      </w:r>
      <w:r w:rsidRPr="007B1427">
        <w:rPr>
          <w:rFonts w:ascii="Arial" w:hAnsi="Arial" w:cs="Arial"/>
          <w:bCs/>
          <w:noProof/>
          <w:sz w:val="20"/>
          <w:u w:val="single"/>
        </w:rPr>
        <w:t>мерки „Преструктуриране и конверсия на лозя" и "Събиране на реколтата на зелено"</w:t>
      </w:r>
      <w:r w:rsidRPr="007B1427">
        <w:rPr>
          <w:rFonts w:ascii="Arial" w:hAnsi="Arial" w:cs="Arial"/>
          <w:bCs/>
          <w:noProof/>
          <w:sz w:val="20"/>
        </w:rPr>
        <w:t xml:space="preserve">, не се извършват върху общата повърхност, за която е поискана подкрепа, държавите-членки изчисляват помощта, която трябва да бъде изплатена, въз основа на площта, определена от проверки на място, последващи изпълнението. Предвидена е и гъвкавост по отношение на мерките от националните програми за подпомагане в лозаро-винарския сектор като разрешаване на бенефициерите да представят промени в текущи договорирани дейности в рамките на общата сума на одобрената подкрепа в срок до 15 октомври 2020. В същия срок може да се разреши на бенефициентите  да представят  промени в целта на текущите операции </w:t>
      </w:r>
      <w:r w:rsidRPr="007B1427">
        <w:rPr>
          <w:rFonts w:ascii="Arial" w:hAnsi="Arial" w:cs="Arial"/>
          <w:bCs/>
          <w:noProof/>
          <w:sz w:val="20"/>
          <w:u w:val="single"/>
        </w:rPr>
        <w:t>по мерки „Популяризиране“, "Преструктуриране и конверсия" и "Инвестиции"</w:t>
      </w:r>
      <w:r w:rsidRPr="007B1427">
        <w:rPr>
          <w:rFonts w:ascii="Arial" w:hAnsi="Arial" w:cs="Arial"/>
          <w:bCs/>
          <w:noProof/>
          <w:sz w:val="20"/>
        </w:rPr>
        <w:t>, при условие че са приключени отделни действия, които са част от цялостна стартирала операция. Когато промяна на вече одобрена операция е нотифицирана на компетентния орган, помощта се изплаща за отделните действия, които вече са извършени в рамките на тази операция, ако тези действия са изпълнени изцяло и са обект на административни проверки. Като изключение от съществуващите правила е предвидено мярка „</w:t>
      </w:r>
      <w:r w:rsidRPr="007B1427">
        <w:rPr>
          <w:rFonts w:ascii="Arial" w:hAnsi="Arial" w:cs="Arial"/>
          <w:bCs/>
          <w:noProof/>
          <w:sz w:val="20"/>
          <w:u w:val="single"/>
        </w:rPr>
        <w:t>Събиране на реколтата на зелено"</w:t>
      </w:r>
      <w:r w:rsidRPr="007B1427">
        <w:rPr>
          <w:rFonts w:ascii="Arial" w:hAnsi="Arial" w:cs="Arial"/>
          <w:bCs/>
          <w:noProof/>
          <w:sz w:val="20"/>
        </w:rPr>
        <w:t xml:space="preserve"> да може да се прилага върху един парцел за две или повече последователни години.</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 xml:space="preserve">Със същия регламент в </w:t>
      </w:r>
      <w:r w:rsidRPr="007B1427">
        <w:rPr>
          <w:rFonts w:ascii="Arial" w:hAnsi="Arial" w:cs="Arial"/>
          <w:bCs/>
          <w:noProof/>
          <w:sz w:val="20"/>
          <w:u w:val="single"/>
        </w:rPr>
        <w:t>сектора на плодовете и зеленчуците</w:t>
      </w:r>
      <w:r w:rsidRPr="007B1427">
        <w:rPr>
          <w:rFonts w:ascii="Arial" w:hAnsi="Arial" w:cs="Arial"/>
          <w:bCs/>
          <w:noProof/>
          <w:sz w:val="20"/>
        </w:rPr>
        <w:t xml:space="preserve"> се предвижда през 2020 г. максималният процент на права на глас и дялове или капитал може да надвишава 50% от общите права на глас и 50% от дяловете или капитала на ОП. Освен това, на ОП може да бъде разрешено да прекратят за 2020 г. своите оперативни програми изцяло или частично. Не се преустановява плащането на помощ на ОП в случай на неспазване на критериите за признаване. </w:t>
      </w:r>
    </w:p>
    <w:p w:rsidR="00DB5268" w:rsidRPr="007B1427" w:rsidRDefault="00DB5268" w:rsidP="00DB5268">
      <w:pPr>
        <w:spacing w:before="120"/>
        <w:jc w:val="both"/>
        <w:rPr>
          <w:rFonts w:ascii="Arial" w:hAnsi="Arial" w:cs="Arial"/>
          <w:bCs/>
          <w:noProof/>
          <w:sz w:val="20"/>
        </w:rPr>
      </w:pP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 xml:space="preserve"> </w:t>
      </w:r>
    </w:p>
    <w:p w:rsidR="00DB5268" w:rsidRPr="007B1427" w:rsidRDefault="00DB5268" w:rsidP="00120AD2">
      <w:pPr>
        <w:jc w:val="both"/>
        <w:rPr>
          <w:rStyle w:val="longtext"/>
          <w:rFonts w:asciiTheme="minorHAnsi" w:hAnsiTheme="minorHAnsi"/>
          <w:noProof/>
        </w:rPr>
      </w:pPr>
    </w:p>
    <w:sectPr w:rsidR="00DB5268" w:rsidRPr="007B1427"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01" w:rsidRDefault="00533E01">
      <w:r>
        <w:separator/>
      </w:r>
    </w:p>
  </w:endnote>
  <w:endnote w:type="continuationSeparator" w:id="0">
    <w:p w:rsidR="00533E01" w:rsidRDefault="0053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33E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533E01"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6169D">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533E01">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01" w:rsidRDefault="00533E01">
      <w:r>
        <w:separator/>
      </w:r>
    </w:p>
  </w:footnote>
  <w:footnote w:type="continuationSeparator" w:id="0">
    <w:p w:rsidR="00533E01" w:rsidRDefault="00533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533E01"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533E0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917F99">
      <w:rPr>
        <w:rFonts w:ascii="Arial" w:hAnsi="Arial"/>
        <w:b/>
        <w:bCs/>
        <w:color w:val="800080"/>
        <w:sz w:val="20"/>
      </w:rPr>
      <w:t>9</w:t>
    </w:r>
    <w:r>
      <w:rPr>
        <w:rFonts w:ascii="Arial" w:hAnsi="Arial"/>
        <w:b/>
        <w:bCs/>
        <w:color w:val="800080"/>
        <w:sz w:val="20"/>
      </w:rPr>
      <w:t>/</w:t>
    </w:r>
    <w:r w:rsidR="00917F99">
      <w:rPr>
        <w:rFonts w:ascii="Arial" w:hAnsi="Arial"/>
        <w:b/>
        <w:bCs/>
        <w:color w:val="800080"/>
        <w:sz w:val="20"/>
      </w:rPr>
      <w:t>11</w:t>
    </w:r>
    <w:r w:rsidR="006E7A46">
      <w:rPr>
        <w:rFonts w:ascii="Arial" w:hAnsi="Arial"/>
        <w:b/>
        <w:bCs/>
        <w:color w:val="800080"/>
        <w:sz w:val="20"/>
        <w:lang w:val="en-US"/>
      </w:rPr>
      <w:t>.</w:t>
    </w:r>
    <w:r w:rsidR="002C512F">
      <w:rPr>
        <w:rFonts w:ascii="Arial" w:hAnsi="Arial"/>
        <w:b/>
        <w:bCs/>
        <w:color w:val="800080"/>
        <w:sz w:val="20"/>
        <w:lang w:val="en-US"/>
      </w:rPr>
      <w:t>0</w:t>
    </w:r>
    <w:r w:rsidR="00A25AAA">
      <w:rPr>
        <w:rFonts w:ascii="Arial" w:hAnsi="Arial"/>
        <w:b/>
        <w:bCs/>
        <w:color w:val="800080"/>
        <w:sz w:val="20"/>
        <w:lang w:val="en-US"/>
      </w:rPr>
      <w:t>5</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175FB"/>
    <w:rsid w:val="0002497A"/>
    <w:rsid w:val="00024DB1"/>
    <w:rsid w:val="00032EDB"/>
    <w:rsid w:val="0003393F"/>
    <w:rsid w:val="0004366B"/>
    <w:rsid w:val="00046BB0"/>
    <w:rsid w:val="00046D50"/>
    <w:rsid w:val="00050832"/>
    <w:rsid w:val="000518AE"/>
    <w:rsid w:val="0005714A"/>
    <w:rsid w:val="0006687D"/>
    <w:rsid w:val="000678FD"/>
    <w:rsid w:val="0007208A"/>
    <w:rsid w:val="000743FC"/>
    <w:rsid w:val="00081DAE"/>
    <w:rsid w:val="00091CD4"/>
    <w:rsid w:val="000A31F0"/>
    <w:rsid w:val="000B2026"/>
    <w:rsid w:val="000B7B54"/>
    <w:rsid w:val="001164FC"/>
    <w:rsid w:val="001173C3"/>
    <w:rsid w:val="00117A81"/>
    <w:rsid w:val="00120AD2"/>
    <w:rsid w:val="00131A6D"/>
    <w:rsid w:val="00134788"/>
    <w:rsid w:val="00134872"/>
    <w:rsid w:val="0013606E"/>
    <w:rsid w:val="0014608C"/>
    <w:rsid w:val="00153786"/>
    <w:rsid w:val="001639CC"/>
    <w:rsid w:val="00164FB9"/>
    <w:rsid w:val="00173E25"/>
    <w:rsid w:val="00180311"/>
    <w:rsid w:val="00180441"/>
    <w:rsid w:val="00186654"/>
    <w:rsid w:val="00187639"/>
    <w:rsid w:val="00193EEE"/>
    <w:rsid w:val="00197ADD"/>
    <w:rsid w:val="001A6A7A"/>
    <w:rsid w:val="001B1430"/>
    <w:rsid w:val="001B5399"/>
    <w:rsid w:val="001B675E"/>
    <w:rsid w:val="001C3F62"/>
    <w:rsid w:val="001D2414"/>
    <w:rsid w:val="001E1EAA"/>
    <w:rsid w:val="001E1F98"/>
    <w:rsid w:val="001E4050"/>
    <w:rsid w:val="001E4C01"/>
    <w:rsid w:val="001F2EC7"/>
    <w:rsid w:val="001F396B"/>
    <w:rsid w:val="00202EA5"/>
    <w:rsid w:val="00210721"/>
    <w:rsid w:val="002118F6"/>
    <w:rsid w:val="0021537E"/>
    <w:rsid w:val="00215B7E"/>
    <w:rsid w:val="002163C0"/>
    <w:rsid w:val="00221CDF"/>
    <w:rsid w:val="0023556D"/>
    <w:rsid w:val="0024546F"/>
    <w:rsid w:val="002521C1"/>
    <w:rsid w:val="00254983"/>
    <w:rsid w:val="002610A9"/>
    <w:rsid w:val="002653C2"/>
    <w:rsid w:val="002743D6"/>
    <w:rsid w:val="00274F4E"/>
    <w:rsid w:val="00275471"/>
    <w:rsid w:val="00285183"/>
    <w:rsid w:val="00286676"/>
    <w:rsid w:val="0029075B"/>
    <w:rsid w:val="002918DE"/>
    <w:rsid w:val="0029220D"/>
    <w:rsid w:val="0029521D"/>
    <w:rsid w:val="00297FAF"/>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6B3"/>
    <w:rsid w:val="00353ACF"/>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28D"/>
    <w:rsid w:val="003E5CB2"/>
    <w:rsid w:val="003F562A"/>
    <w:rsid w:val="00403CB9"/>
    <w:rsid w:val="00411829"/>
    <w:rsid w:val="004133A8"/>
    <w:rsid w:val="00414784"/>
    <w:rsid w:val="00422311"/>
    <w:rsid w:val="004317EA"/>
    <w:rsid w:val="0043388D"/>
    <w:rsid w:val="0044148C"/>
    <w:rsid w:val="00446398"/>
    <w:rsid w:val="0046169D"/>
    <w:rsid w:val="0046415A"/>
    <w:rsid w:val="004923C1"/>
    <w:rsid w:val="00496775"/>
    <w:rsid w:val="004A0254"/>
    <w:rsid w:val="004A4C92"/>
    <w:rsid w:val="004B46D9"/>
    <w:rsid w:val="004D5820"/>
    <w:rsid w:val="004D7C38"/>
    <w:rsid w:val="004F4705"/>
    <w:rsid w:val="004F5E4F"/>
    <w:rsid w:val="00502A0A"/>
    <w:rsid w:val="0051071D"/>
    <w:rsid w:val="005159B7"/>
    <w:rsid w:val="005179AD"/>
    <w:rsid w:val="005247A5"/>
    <w:rsid w:val="0052706F"/>
    <w:rsid w:val="00530C09"/>
    <w:rsid w:val="00533E01"/>
    <w:rsid w:val="00537A32"/>
    <w:rsid w:val="00542DE9"/>
    <w:rsid w:val="00550360"/>
    <w:rsid w:val="00562C02"/>
    <w:rsid w:val="00563064"/>
    <w:rsid w:val="005724C0"/>
    <w:rsid w:val="00594324"/>
    <w:rsid w:val="00596313"/>
    <w:rsid w:val="00597BDB"/>
    <w:rsid w:val="005A0184"/>
    <w:rsid w:val="005B1884"/>
    <w:rsid w:val="005B4574"/>
    <w:rsid w:val="005C1BB7"/>
    <w:rsid w:val="005D4522"/>
    <w:rsid w:val="006068B4"/>
    <w:rsid w:val="00623765"/>
    <w:rsid w:val="00626A3F"/>
    <w:rsid w:val="00627881"/>
    <w:rsid w:val="006367A9"/>
    <w:rsid w:val="00642BB6"/>
    <w:rsid w:val="0066444F"/>
    <w:rsid w:val="00674A12"/>
    <w:rsid w:val="00682667"/>
    <w:rsid w:val="00686524"/>
    <w:rsid w:val="006961F0"/>
    <w:rsid w:val="006A094F"/>
    <w:rsid w:val="006A7391"/>
    <w:rsid w:val="006A739D"/>
    <w:rsid w:val="006C196D"/>
    <w:rsid w:val="006D5351"/>
    <w:rsid w:val="006E58B6"/>
    <w:rsid w:val="006E7A46"/>
    <w:rsid w:val="006F38F7"/>
    <w:rsid w:val="0070200F"/>
    <w:rsid w:val="00705B40"/>
    <w:rsid w:val="007131B4"/>
    <w:rsid w:val="00713942"/>
    <w:rsid w:val="00714838"/>
    <w:rsid w:val="00716790"/>
    <w:rsid w:val="0071692A"/>
    <w:rsid w:val="00726AB6"/>
    <w:rsid w:val="00734448"/>
    <w:rsid w:val="00746CA5"/>
    <w:rsid w:val="00750716"/>
    <w:rsid w:val="00750FB4"/>
    <w:rsid w:val="007712FE"/>
    <w:rsid w:val="00782D3D"/>
    <w:rsid w:val="007846E5"/>
    <w:rsid w:val="007A388B"/>
    <w:rsid w:val="007A70E6"/>
    <w:rsid w:val="007B03F2"/>
    <w:rsid w:val="007B0CB0"/>
    <w:rsid w:val="007B1427"/>
    <w:rsid w:val="007C75B4"/>
    <w:rsid w:val="007D7438"/>
    <w:rsid w:val="007E17F9"/>
    <w:rsid w:val="007E475C"/>
    <w:rsid w:val="007F4E89"/>
    <w:rsid w:val="008030C3"/>
    <w:rsid w:val="00811B89"/>
    <w:rsid w:val="00816686"/>
    <w:rsid w:val="0082007C"/>
    <w:rsid w:val="008206C1"/>
    <w:rsid w:val="0083184F"/>
    <w:rsid w:val="00832016"/>
    <w:rsid w:val="0083232B"/>
    <w:rsid w:val="00845489"/>
    <w:rsid w:val="00852DE4"/>
    <w:rsid w:val="00861450"/>
    <w:rsid w:val="00865E24"/>
    <w:rsid w:val="0087702E"/>
    <w:rsid w:val="0087763E"/>
    <w:rsid w:val="008803A4"/>
    <w:rsid w:val="00880665"/>
    <w:rsid w:val="008836F2"/>
    <w:rsid w:val="008933AB"/>
    <w:rsid w:val="008A1360"/>
    <w:rsid w:val="008B2118"/>
    <w:rsid w:val="008D0E78"/>
    <w:rsid w:val="008D2FF4"/>
    <w:rsid w:val="008D6948"/>
    <w:rsid w:val="008E0F81"/>
    <w:rsid w:val="008F1C90"/>
    <w:rsid w:val="008F7ECC"/>
    <w:rsid w:val="00902780"/>
    <w:rsid w:val="00904985"/>
    <w:rsid w:val="009063C7"/>
    <w:rsid w:val="0090678A"/>
    <w:rsid w:val="00910462"/>
    <w:rsid w:val="00917F99"/>
    <w:rsid w:val="009203FA"/>
    <w:rsid w:val="00934FA6"/>
    <w:rsid w:val="009355BA"/>
    <w:rsid w:val="00955B0D"/>
    <w:rsid w:val="00956512"/>
    <w:rsid w:val="00957208"/>
    <w:rsid w:val="009704A2"/>
    <w:rsid w:val="00975F09"/>
    <w:rsid w:val="00977CA7"/>
    <w:rsid w:val="009829B4"/>
    <w:rsid w:val="0099695D"/>
    <w:rsid w:val="009A0E1F"/>
    <w:rsid w:val="009A2752"/>
    <w:rsid w:val="009A5D09"/>
    <w:rsid w:val="009B1FAD"/>
    <w:rsid w:val="009D0924"/>
    <w:rsid w:val="009D6918"/>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737"/>
    <w:rsid w:val="00A77EC5"/>
    <w:rsid w:val="00A87C78"/>
    <w:rsid w:val="00AA7484"/>
    <w:rsid w:val="00AB140A"/>
    <w:rsid w:val="00AB1841"/>
    <w:rsid w:val="00AB2303"/>
    <w:rsid w:val="00AB50B5"/>
    <w:rsid w:val="00AC1161"/>
    <w:rsid w:val="00AC73DE"/>
    <w:rsid w:val="00AD212D"/>
    <w:rsid w:val="00AD504F"/>
    <w:rsid w:val="00AD6AD7"/>
    <w:rsid w:val="00AE0D25"/>
    <w:rsid w:val="00AE14FF"/>
    <w:rsid w:val="00AE167B"/>
    <w:rsid w:val="00AE2FF4"/>
    <w:rsid w:val="00B03285"/>
    <w:rsid w:val="00B16835"/>
    <w:rsid w:val="00B200ED"/>
    <w:rsid w:val="00B26E56"/>
    <w:rsid w:val="00B3223C"/>
    <w:rsid w:val="00B33915"/>
    <w:rsid w:val="00B34793"/>
    <w:rsid w:val="00B36E39"/>
    <w:rsid w:val="00B411AC"/>
    <w:rsid w:val="00B539A9"/>
    <w:rsid w:val="00B6207E"/>
    <w:rsid w:val="00B64F87"/>
    <w:rsid w:val="00B73DA3"/>
    <w:rsid w:val="00B81125"/>
    <w:rsid w:val="00B8112B"/>
    <w:rsid w:val="00B853D4"/>
    <w:rsid w:val="00B90317"/>
    <w:rsid w:val="00B93F21"/>
    <w:rsid w:val="00BA2A9E"/>
    <w:rsid w:val="00BC35B8"/>
    <w:rsid w:val="00BC70E2"/>
    <w:rsid w:val="00BD2268"/>
    <w:rsid w:val="00BE55CA"/>
    <w:rsid w:val="00BF118B"/>
    <w:rsid w:val="00BF28EC"/>
    <w:rsid w:val="00BF7321"/>
    <w:rsid w:val="00C00F88"/>
    <w:rsid w:val="00C01781"/>
    <w:rsid w:val="00C05E95"/>
    <w:rsid w:val="00C20809"/>
    <w:rsid w:val="00C31152"/>
    <w:rsid w:val="00C3643A"/>
    <w:rsid w:val="00C37B23"/>
    <w:rsid w:val="00C44608"/>
    <w:rsid w:val="00C45C75"/>
    <w:rsid w:val="00C574EE"/>
    <w:rsid w:val="00C60D17"/>
    <w:rsid w:val="00C6312D"/>
    <w:rsid w:val="00C718EB"/>
    <w:rsid w:val="00C7577F"/>
    <w:rsid w:val="00C801BF"/>
    <w:rsid w:val="00CA3387"/>
    <w:rsid w:val="00CA35A8"/>
    <w:rsid w:val="00CA6BBA"/>
    <w:rsid w:val="00CA7960"/>
    <w:rsid w:val="00CB196D"/>
    <w:rsid w:val="00CB2886"/>
    <w:rsid w:val="00CC4234"/>
    <w:rsid w:val="00CC6C5A"/>
    <w:rsid w:val="00CC7CF0"/>
    <w:rsid w:val="00CE5E69"/>
    <w:rsid w:val="00CF0DEA"/>
    <w:rsid w:val="00D000AE"/>
    <w:rsid w:val="00D100BD"/>
    <w:rsid w:val="00D1195A"/>
    <w:rsid w:val="00D167B1"/>
    <w:rsid w:val="00D248A7"/>
    <w:rsid w:val="00D25C9A"/>
    <w:rsid w:val="00D3159B"/>
    <w:rsid w:val="00D32B06"/>
    <w:rsid w:val="00D43BBD"/>
    <w:rsid w:val="00D46ECE"/>
    <w:rsid w:val="00D52E17"/>
    <w:rsid w:val="00D61B59"/>
    <w:rsid w:val="00D6359C"/>
    <w:rsid w:val="00D63914"/>
    <w:rsid w:val="00D758EF"/>
    <w:rsid w:val="00D80D84"/>
    <w:rsid w:val="00D8519B"/>
    <w:rsid w:val="00D86732"/>
    <w:rsid w:val="00DA44A9"/>
    <w:rsid w:val="00DA4860"/>
    <w:rsid w:val="00DB5268"/>
    <w:rsid w:val="00DC5A8E"/>
    <w:rsid w:val="00DC6A0A"/>
    <w:rsid w:val="00DE752F"/>
    <w:rsid w:val="00DE7D5F"/>
    <w:rsid w:val="00DF7E91"/>
    <w:rsid w:val="00E02B6A"/>
    <w:rsid w:val="00E17E07"/>
    <w:rsid w:val="00E2125A"/>
    <w:rsid w:val="00E23670"/>
    <w:rsid w:val="00E24FA2"/>
    <w:rsid w:val="00E256E7"/>
    <w:rsid w:val="00E335EA"/>
    <w:rsid w:val="00E35D6F"/>
    <w:rsid w:val="00E4290A"/>
    <w:rsid w:val="00E44DF1"/>
    <w:rsid w:val="00E47639"/>
    <w:rsid w:val="00E51A6D"/>
    <w:rsid w:val="00E5449B"/>
    <w:rsid w:val="00E6099A"/>
    <w:rsid w:val="00E60B1D"/>
    <w:rsid w:val="00E67885"/>
    <w:rsid w:val="00E719AA"/>
    <w:rsid w:val="00E800D9"/>
    <w:rsid w:val="00EA0BCB"/>
    <w:rsid w:val="00EA4B29"/>
    <w:rsid w:val="00EA4B99"/>
    <w:rsid w:val="00EA5878"/>
    <w:rsid w:val="00EB0F17"/>
    <w:rsid w:val="00EB289B"/>
    <w:rsid w:val="00EB783C"/>
    <w:rsid w:val="00EC0DDC"/>
    <w:rsid w:val="00EC4213"/>
    <w:rsid w:val="00EC6BA3"/>
    <w:rsid w:val="00ED7EC7"/>
    <w:rsid w:val="00EE1065"/>
    <w:rsid w:val="00EE38E7"/>
    <w:rsid w:val="00EE7B1B"/>
    <w:rsid w:val="00F0360F"/>
    <w:rsid w:val="00F12C83"/>
    <w:rsid w:val="00F23EFD"/>
    <w:rsid w:val="00F30D26"/>
    <w:rsid w:val="00F40970"/>
    <w:rsid w:val="00F42D2F"/>
    <w:rsid w:val="00F43319"/>
    <w:rsid w:val="00F4416D"/>
    <w:rsid w:val="00F46DDF"/>
    <w:rsid w:val="00F531AD"/>
    <w:rsid w:val="00F6008B"/>
    <w:rsid w:val="00F67B7A"/>
    <w:rsid w:val="00F70B6C"/>
    <w:rsid w:val="00F72B07"/>
    <w:rsid w:val="00F73C4B"/>
    <w:rsid w:val="00F74337"/>
    <w:rsid w:val="00F95033"/>
    <w:rsid w:val="00FD4196"/>
    <w:rsid w:val="00FE14C1"/>
    <w:rsid w:val="00FE4D8F"/>
    <w:rsid w:val="00FE657F"/>
    <w:rsid w:val="00FF041A"/>
    <w:rsid w:val="00FF2C32"/>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617B"/>
  <w15:docId w15:val="{0170C33C-C33E-4BEE-B951-DA9EDA6B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24474510">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60258429">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558884">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1747514">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778669873">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250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B969-262E-4683-BB73-1A167472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Site</cp:lastModifiedBy>
  <cp:revision>68</cp:revision>
  <dcterms:created xsi:type="dcterms:W3CDTF">2020-05-08T12:33:00Z</dcterms:created>
  <dcterms:modified xsi:type="dcterms:W3CDTF">2020-05-12T07:33:00Z</dcterms:modified>
</cp:coreProperties>
</file>