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8 от 5.05.2016 г. за условията и реда за изпълнение и контрол на промоционални програми за земеделски и хранителни продукти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земеделието и храните, обн., ДВ, бр. 38 от 20.05.2016 г., в сила от 20.05.2016 г., изм. и доп</w:t>
      </w:r>
      <w:r>
        <w:rPr>
          <w:rFonts w:ascii="Times New Roman" w:hAnsi="Times New Roman"/>
          <w:sz w:val="24"/>
          <w:szCs w:val="24"/>
          <w:lang w:val="x-none"/>
        </w:rPr>
        <w:t>., бр. 78 от 21.09.2018 г., в сила от 21.09.2018 г., бр. 40 от 5.05.2020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С наредбата се уреждат условията и редът за: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подаване на предложения за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одобряване на прилагаща организация на</w:t>
      </w:r>
      <w:r>
        <w:rPr>
          <w:rFonts w:ascii="Times New Roman" w:hAnsi="Times New Roman"/>
          <w:sz w:val="24"/>
          <w:szCs w:val="24"/>
          <w:lang w:val="x-none"/>
        </w:rPr>
        <w:t xml:space="preserve"> обикновени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сключване на договори за изпълнение и финансово подпомагане на обикновени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контрол на изпълнението на одобрените обикновени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(1) На финансово подпомагане по</w:t>
      </w:r>
      <w:r>
        <w:rPr>
          <w:rFonts w:ascii="Times New Roman" w:hAnsi="Times New Roman"/>
          <w:sz w:val="24"/>
          <w:szCs w:val="24"/>
          <w:lang w:val="x-none"/>
        </w:rPr>
        <w:t>длежат промоционални програми, които са представени от: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една или повече предлагащи организации от една и съща държава членка, наричани по-нататък "обикновени програми", или;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най-малко две предлагащи организации от поне две държави членки или от е</w:t>
      </w:r>
      <w:r>
        <w:rPr>
          <w:rFonts w:ascii="Times New Roman" w:hAnsi="Times New Roman"/>
          <w:sz w:val="24"/>
          <w:szCs w:val="24"/>
          <w:lang w:val="x-none"/>
        </w:rPr>
        <w:t>дна или повече организации на Европейския съюз (ЕС), наричани по-нататък "мултинационални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Предлагащите организации по ал. 1 са представителни за съответния сектор и отговарят на условията на чл. 7, пар. 1 от Регламент (ЕС) № 1144/2014 на Е</w:t>
      </w:r>
      <w:r>
        <w:rPr>
          <w:rFonts w:ascii="Times New Roman" w:hAnsi="Times New Roman"/>
          <w:sz w:val="24"/>
          <w:szCs w:val="24"/>
          <w:lang w:val="x-none"/>
        </w:rPr>
        <w:t xml:space="preserve">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w:t>
      </w:r>
      <w:r>
        <w:rPr>
          <w:rFonts w:ascii="Times New Roman" w:hAnsi="Times New Roman"/>
          <w:sz w:val="24"/>
          <w:szCs w:val="24"/>
          <w:lang w:val="x-none"/>
        </w:rPr>
        <w:lastRenderedPageBreak/>
        <w:t>държави, и за отмяна на Регламент (ЕО) № 3/2008 на Съвета (ОВ, L 317 от 4 ноемв</w:t>
      </w:r>
      <w:r>
        <w:rPr>
          <w:rFonts w:ascii="Times New Roman" w:hAnsi="Times New Roman"/>
          <w:sz w:val="24"/>
          <w:szCs w:val="24"/>
          <w:lang w:val="x-none"/>
        </w:rPr>
        <w:t>ри 2014 г.), наричан по-нататък "Регламент (ЕС) № 1144/2014", и на условията на чл. 1 от Делегиран Регламент (ЕС) 2015/1829 на Комисията от 23 април 2015 г. за допълване на Регламент (ЕС) № 1144/2014 на Европейския парламент и на Съвета за мерките за инфор</w:t>
      </w:r>
      <w:r>
        <w:rPr>
          <w:rFonts w:ascii="Times New Roman" w:hAnsi="Times New Roman"/>
          <w:sz w:val="24"/>
          <w:szCs w:val="24"/>
          <w:lang w:val="x-none"/>
        </w:rPr>
        <w:t>миране и насърчаване, свързани със селскостопанските продукти, прилагани на вътрешния пазар и в трети държави (OB, L 266 от 13 октомври 2015 г.), наричан по-нататък "Делегиран Регламент (ЕС) 2015/1829".</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(1) Промоционалните програми включват дейност</w:t>
      </w:r>
      <w:r>
        <w:rPr>
          <w:rFonts w:ascii="Times New Roman" w:hAnsi="Times New Roman"/>
          <w:sz w:val="24"/>
          <w:szCs w:val="24"/>
          <w:lang w:val="x-none"/>
        </w:rPr>
        <w:t>и по предоставяне на информация и/или дейности за насърчаване на земеделски продукти и храни на територията на ЕС или в трети държави с период на изпълнение от една до три години.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Произходът и видимостта на търговските марки при изпълнение на дейност</w:t>
      </w:r>
      <w:r>
        <w:rPr>
          <w:rFonts w:ascii="Times New Roman" w:hAnsi="Times New Roman"/>
          <w:sz w:val="24"/>
          <w:szCs w:val="24"/>
          <w:lang w:val="x-none"/>
        </w:rPr>
        <w:t xml:space="preserve">ите по ал. 1 се обозначават съгласно чл. 4 от Регламент (ЕС) № 1144/2014 и чл. 2 – 8 от Регламент за изпълнение (ЕС) 2015/1831 на Комисията от 7 октомври 2015 г. за определяне на правилата за Регламент (ЕС) № 1144/2014 на Европейския парламент и на Съвета </w:t>
      </w:r>
      <w:r>
        <w:rPr>
          <w:rFonts w:ascii="Times New Roman" w:hAnsi="Times New Roman"/>
          <w:sz w:val="24"/>
          <w:szCs w:val="24"/>
          <w:lang w:val="x-none"/>
        </w:rPr>
        <w:t>за мерките за информиране и насърчаване, свързани със селскостопанските продукти, прилагани на вътрешния пазар и в трети държави (OB, L 266 от 13 октомври 2015 г.), наричан по-нататък "Регламент за изпълнение (ЕС) 2015/1831".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Промоционалните програ</w:t>
      </w:r>
      <w:r>
        <w:rPr>
          <w:rFonts w:ascii="Times New Roman" w:hAnsi="Times New Roman"/>
          <w:sz w:val="24"/>
          <w:szCs w:val="24"/>
          <w:lang w:val="x-none"/>
        </w:rPr>
        <w:t>ми се изготвят за продуктите, които отговарят на изискванията на чл. 5 от Регламент (ЕС) № 1144/2014 и са изброени в Приложение I към Договора за функционирането на ЕС (с изключение на тютюна) и Приложение I към Регламент (ЕС) № 1144/2014, както и за спирт</w:t>
      </w:r>
      <w:r>
        <w:rPr>
          <w:rFonts w:ascii="Times New Roman" w:hAnsi="Times New Roman"/>
          <w:sz w:val="24"/>
          <w:szCs w:val="24"/>
          <w:lang w:val="x-none"/>
        </w:rPr>
        <w:t>ните напитки със защитено географско указание съгласно Регламент (ЕО) № 110/2008 на Европейския парламент и на Съвета от 15 януари 2008 г. относно определението, описанието, представянето, етикетирането и защитата на географските указания на спиртните напи</w:t>
      </w:r>
      <w:r>
        <w:rPr>
          <w:rFonts w:ascii="Times New Roman" w:hAnsi="Times New Roman"/>
          <w:sz w:val="24"/>
          <w:szCs w:val="24"/>
          <w:lang w:val="x-none"/>
        </w:rPr>
        <w:t>тки и за отмяна на Регламент (ЕИО) № 1576/89 на Съвета (OB, L 39 от 13 февруари 2008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(1) При обикновените програми, насочени към държави – членки на ЕС, ако е отправено послание с информация относно въздействието върху здравето, то трябва да о</w:t>
      </w:r>
      <w:r>
        <w:rPr>
          <w:rFonts w:ascii="Times New Roman" w:hAnsi="Times New Roman"/>
          <w:sz w:val="24"/>
          <w:szCs w:val="24"/>
          <w:lang w:val="x-none"/>
        </w:rPr>
        <w:t xml:space="preserve">тговаря на изискванията на приложението към Регламент (ЕО) № 1924/2006 на Европейския парламент и на Съвета от 20 декември 2006 г. относно хранителни и здравни претенции за храните (OB, L 404 от 18 януари 2007 г.) или да бъде одобрено от националния орган </w:t>
      </w:r>
      <w:r>
        <w:rPr>
          <w:rFonts w:ascii="Times New Roman" w:hAnsi="Times New Roman"/>
          <w:sz w:val="24"/>
          <w:szCs w:val="24"/>
          <w:lang w:val="x-none"/>
        </w:rPr>
        <w:t>в областта на общественото здравеопазване в държавата членка, в която се изпълнява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обикновените програми, насочени към трети страни, ако е отправено послание с информация относно въздействието върху здравето, то трябва да бъде одобрен</w:t>
      </w:r>
      <w:r>
        <w:rPr>
          <w:rFonts w:ascii="Times New Roman" w:hAnsi="Times New Roman"/>
          <w:sz w:val="24"/>
          <w:szCs w:val="24"/>
          <w:lang w:val="x-none"/>
        </w:rPr>
        <w:t>о от националния орган в областта на общественото здравеопазване в държавата членка, в която се изпълнява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ПОДАВАНЕ НА ПРЕДЛОЖЕНИЯ ЗА </w:t>
      </w:r>
      <w:r>
        <w:rPr>
          <w:rFonts w:ascii="Times New Roman" w:hAnsi="Times New Roman"/>
          <w:b/>
          <w:bCs/>
          <w:sz w:val="36"/>
          <w:szCs w:val="36"/>
          <w:lang w:val="x-none"/>
        </w:rPr>
        <w:lastRenderedPageBreak/>
        <w:t>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Предложения за програми за промоция на земеделски или хранителни пр</w:t>
      </w:r>
      <w:r>
        <w:rPr>
          <w:rFonts w:ascii="Times New Roman" w:hAnsi="Times New Roman"/>
          <w:sz w:val="24"/>
          <w:szCs w:val="24"/>
          <w:lang w:val="x-none"/>
        </w:rPr>
        <w:t>одукти могат да разработват и подават сдружения на производители и/или търговци и организациите по чл. 7, параграф 1 от Регламент (ЕС) № 1144/2014.</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Годишната работна програма за определяне на целите, приоритетите, финансовото участие на ЕС и об</w:t>
      </w:r>
      <w:r>
        <w:rPr>
          <w:rFonts w:ascii="Times New Roman" w:hAnsi="Times New Roman"/>
          <w:sz w:val="24"/>
          <w:szCs w:val="24"/>
          <w:lang w:val="x-none"/>
        </w:rPr>
        <w:t xml:space="preserve">щия бюджет на програмите се одобрява от Европейската комисия (ЕК) съгласно чл. 8 от Регламент (ЕС) № 1144/2014.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Годишната работна програма по ал. 1 се изпълнява чрез публикуване от страна на ЕК на покани за представяне на предложения за промоционалн</w:t>
      </w:r>
      <w:r>
        <w:rPr>
          <w:rFonts w:ascii="Times New Roman" w:hAnsi="Times New Roman"/>
          <w:sz w:val="24"/>
          <w:szCs w:val="24"/>
          <w:lang w:val="x-none"/>
        </w:rPr>
        <w:t>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Предлагащата организация подава предложение за промоционални програми в ЕК в срока, определен в поканата по чл. 7, ал. 2.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78 от 2018 г., в сила от 21.09.2018 г.) Министерството на земеделието, храните и горите</w:t>
      </w:r>
      <w:r>
        <w:rPr>
          <w:rFonts w:ascii="Times New Roman" w:hAnsi="Times New Roman"/>
          <w:sz w:val="24"/>
          <w:szCs w:val="24"/>
          <w:lang w:val="x-none"/>
        </w:rPr>
        <w:t xml:space="preserve"> получава информация от ЕК относно предложени и избрани програми по реда на чл. 12 от Регламент (ЕС) № 1144/2014 за обикновените програми и чл. 18 от Регламент (ЕС) № 1144/2014 за мултинационалните програми. Министерството на земеделието, храните и горите </w:t>
      </w:r>
      <w:r>
        <w:rPr>
          <w:rFonts w:ascii="Times New Roman" w:hAnsi="Times New Roman"/>
          <w:sz w:val="24"/>
          <w:szCs w:val="24"/>
          <w:lang w:val="x-none"/>
        </w:rPr>
        <w:t>информира предлагащите организации за избраните от ЕК програми за финансиране.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ОДОБРЯВАНЕ НА ОРГАНИЗАЦИИ, ПРИЛАГАЩИ ОБИКНОВЕНИ ПРОГРАМИ, И НА ОРГАНИЗАЦИИ, ИЗВЪРШВАЩИ ОЦЕНКА НА ВЪЗДЕЙСТВИЕТО НА ОБИКНОВЕНИТЕ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(Изм. – ДВ, бр. </w:t>
      </w:r>
      <w:r>
        <w:rPr>
          <w:rFonts w:ascii="Times New Roman" w:hAnsi="Times New Roman"/>
          <w:sz w:val="24"/>
          <w:szCs w:val="24"/>
          <w:lang w:val="x-none"/>
        </w:rPr>
        <w:t>78 от 2018 г., в сила от 21.09.2018 г., бр. 40 от 2020 г.) Държавен фонд "Земеделие" е национален компетентен орган, който одобрява избора на прилагаща и оценяваща организация на обикновените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(1) Предлагащите организации са</w:t>
      </w:r>
      <w:r>
        <w:rPr>
          <w:rFonts w:ascii="Times New Roman" w:hAnsi="Times New Roman"/>
          <w:sz w:val="24"/>
          <w:szCs w:val="24"/>
          <w:lang w:val="x-none"/>
        </w:rPr>
        <w:t xml:space="preserve"> длъжни да изберат организация или организации, които ще прилагат обикновената програма, наричани по-нататък "прилагащи организации".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Предлагащите организации могат сами да прилагат определени части от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по прилагането на които имат о</w:t>
      </w:r>
      <w:r>
        <w:rPr>
          <w:rFonts w:ascii="Times New Roman" w:hAnsi="Times New Roman"/>
          <w:sz w:val="24"/>
          <w:szCs w:val="24"/>
          <w:lang w:val="x-none"/>
        </w:rPr>
        <w:t xml:space="preserve">пит не по-малко от три години в сферата на изпълнението на мерки за информиране и насърчаване; 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ако гарантират, че разходите за мерките, които планират да изпълнят самостоятелно, не превишават обичайните пазарни цени.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Прилагащите организации с</w:t>
      </w:r>
      <w:r>
        <w:rPr>
          <w:rFonts w:ascii="Times New Roman" w:hAnsi="Times New Roman"/>
          <w:sz w:val="24"/>
          <w:szCs w:val="24"/>
          <w:lang w:val="x-none"/>
        </w:rPr>
        <w:t>е избират преди или след подаването на обикновената програма, но не по-късно от 45 календарни дни след акта за изпълнение на ЕК за избор на обикновени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(Изм. – ДВ, бр. 78 от 2018 г., в сила от 21.09.2018 г.) (1) Предлагащите организации п</w:t>
      </w:r>
      <w:r>
        <w:rPr>
          <w:rFonts w:ascii="Times New Roman" w:hAnsi="Times New Roman"/>
          <w:sz w:val="24"/>
          <w:szCs w:val="24"/>
          <w:lang w:val="x-none"/>
        </w:rPr>
        <w:t>о чл. 7, параграф 1, букви "а" – "в" от Регламент (ЕС) № 1144/2014 избират независима от тях прилагаща организация за изпълнение на цялата или част от промоционалната програма чрез състезателна процедура.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Предлагащите организации по чл. 7, параграф 1</w:t>
      </w:r>
      <w:r>
        <w:rPr>
          <w:rFonts w:ascii="Times New Roman" w:hAnsi="Times New Roman"/>
          <w:sz w:val="24"/>
          <w:szCs w:val="24"/>
          <w:lang w:val="x-none"/>
        </w:rPr>
        <w:t>, буква "г" от Регламент (ЕС) № 1144/2014 избират прилагаща организация по реда на Закона за обществените поръчки.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провеждане на състезателната процедура по ал. 1 предлагащите организации определят критерии за подбор и критерии за възлагане.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r>
        <w:rPr>
          <w:rFonts w:ascii="Times New Roman" w:hAnsi="Times New Roman"/>
          <w:sz w:val="24"/>
          <w:szCs w:val="24"/>
          <w:lang w:val="x-none"/>
        </w:rPr>
        <w:t>) Критериите по ал. 3 трябва да бъдат определени в съответствие с принципите на пълна прозрачност, равно третиране и недискриминация.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11а. </w:t>
      </w:r>
      <w:r>
        <w:rPr>
          <w:rFonts w:ascii="Times New Roman" w:hAnsi="Times New Roman"/>
          <w:sz w:val="24"/>
          <w:szCs w:val="24"/>
          <w:lang w:val="x-none"/>
        </w:rPr>
        <w:t>(Нов – ДВ, бр. 78 от 2018 г., в сила от 21.09.2018 г.) (1) Критериите за подбор на прилагаща организация включва</w:t>
      </w:r>
      <w:r>
        <w:rPr>
          <w:rFonts w:ascii="Times New Roman" w:hAnsi="Times New Roman"/>
          <w:sz w:val="24"/>
          <w:szCs w:val="24"/>
          <w:lang w:val="x-none"/>
        </w:rPr>
        <w:t>т изисквания за: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икономическо и финансово състояние;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технически и професионални способности.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Критерият по ал. 1, т. 1 включва следните изисквания: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да са реализирали минимален общ оборот през последните три финансови години, изчислен на баз</w:t>
      </w:r>
      <w:r>
        <w:rPr>
          <w:rFonts w:ascii="Times New Roman" w:hAnsi="Times New Roman"/>
          <w:sz w:val="24"/>
          <w:szCs w:val="24"/>
          <w:lang w:val="x-none"/>
        </w:rPr>
        <w:t>а годишните обороти и не по-малък от 50% от прогнозната стойност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да са постигнали положително съотношение между определени активи и пасиви към 31 декември на последната приключила година съгласно методиката по приложение № </w:t>
      </w:r>
      <w:r>
        <w:rPr>
          <w:rFonts w:ascii="Times New Roman" w:hAnsi="Times New Roman"/>
          <w:sz w:val="24"/>
          <w:szCs w:val="24"/>
          <w:lang w:val="x-none"/>
        </w:rPr>
        <w:t>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Критерият по ал. 1, т. 2 включва следните изисквания: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през последните три години да са изпълнили поне две услуги с предмет и обем, идентични или сходни с тези на поръчката от състезателната процедура, и да имат препоръки за добро изпълнение за </w:t>
      </w:r>
      <w:r>
        <w:rPr>
          <w:rFonts w:ascii="Times New Roman" w:hAnsi="Times New Roman"/>
          <w:sz w:val="24"/>
          <w:szCs w:val="24"/>
          <w:lang w:val="x-none"/>
        </w:rPr>
        <w:t>тях (с включена подробна информация, например вид поръчка и срок, обем и резултат);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да разполагат с необходимото техническо оборудване за осигуряване на качеството на услугите;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да разполагат с експерти с нужната професионална квалификация, опит и/и</w:t>
      </w:r>
      <w:r>
        <w:rPr>
          <w:rFonts w:ascii="Times New Roman" w:hAnsi="Times New Roman"/>
          <w:sz w:val="24"/>
          <w:szCs w:val="24"/>
          <w:lang w:val="x-none"/>
        </w:rPr>
        <w:t xml:space="preserve">ли образование.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40 от 2020 г.) По отношение на кандидат за прилагаща организация не трябва да е налице някое от обстоятелствата по чл. 136, параграф 1 от Регламент (ЕС, Евратом) 2018/1046 на Европейския парламент и на Съвета от 18 юли</w:t>
      </w:r>
      <w:r>
        <w:rPr>
          <w:rFonts w:ascii="Times New Roman" w:hAnsi="Times New Roman"/>
          <w:sz w:val="24"/>
          <w:szCs w:val="24"/>
          <w:lang w:val="x-none"/>
        </w:rPr>
        <w:t xml:space="preserve">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w:t>
      </w:r>
      <w:r>
        <w:rPr>
          <w:rFonts w:ascii="Times New Roman" w:hAnsi="Times New Roman"/>
          <w:sz w:val="24"/>
          <w:szCs w:val="24"/>
          <w:lang w:val="x-none"/>
        </w:rPr>
        <w:t>/2014/ЕС и за отмяна на Регламент (ЕС, Евратом) № 966/2012 (OB, L 193 от 30 юли 2018 г.), наричан по-нататък "Регламент (ЕС, Евратом)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Критериите за подбор по ал. 1 трябва да бъдат изпълнени от кандидата за прилагаща организация или поне от </w:t>
      </w:r>
      <w:r>
        <w:rPr>
          <w:rFonts w:ascii="Times New Roman" w:hAnsi="Times New Roman"/>
          <w:sz w:val="24"/>
          <w:szCs w:val="24"/>
          <w:lang w:val="x-none"/>
        </w:rPr>
        <w:t>едно от лицата, участващи в обединение – кандидат за прилагаща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(Отм. – ДВ, бр. 40 от 2020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Кандидатите могат да изпълнят критериите за подбор по ал. 1, като се позоват на капацитета на трети лица.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11б</w:t>
      </w:r>
      <w:r>
        <w:rPr>
          <w:rFonts w:ascii="Times New Roman" w:hAnsi="Times New Roman"/>
          <w:sz w:val="24"/>
          <w:szCs w:val="24"/>
          <w:lang w:val="x-none"/>
        </w:rPr>
        <w:t>. (Нов – ДВ, бр. 78 от 2</w:t>
      </w:r>
      <w:r>
        <w:rPr>
          <w:rFonts w:ascii="Times New Roman" w:hAnsi="Times New Roman"/>
          <w:sz w:val="24"/>
          <w:szCs w:val="24"/>
          <w:lang w:val="x-none"/>
        </w:rPr>
        <w:t xml:space="preserve">018 г., в сила от 21.09.2018 г.) (1) Предлагащата организация определя критерии за възлагане по отношение на кандидатите за прилагащи организации въз основа на изискването за "икономически най-изгодна оферта".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критерият за възлагане включва п</w:t>
      </w:r>
      <w:r>
        <w:rPr>
          <w:rFonts w:ascii="Times New Roman" w:hAnsi="Times New Roman"/>
          <w:sz w:val="24"/>
          <w:szCs w:val="24"/>
          <w:lang w:val="x-none"/>
        </w:rPr>
        <w:t>овече от един показател, предлагащата организация определя в обявлението и в документацията за състезателната процедура относителната тежест на всички показатели за определяне на оценката. Предлагащата организация може да определи минимално и максимално до</w:t>
      </w:r>
      <w:r>
        <w:rPr>
          <w:rFonts w:ascii="Times New Roman" w:hAnsi="Times New Roman"/>
          <w:sz w:val="24"/>
          <w:szCs w:val="24"/>
          <w:lang w:val="x-none"/>
        </w:rPr>
        <w:t>пустими стойности на показателите.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Предлагащата организация посочва в документацията методиката за комплексна оценка и начина за определяне на оценката на офертите по всеки показател, която трябва да: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дава възможност да се оцени нивото на изпълн</w:t>
      </w:r>
      <w:r>
        <w:rPr>
          <w:rFonts w:ascii="Times New Roman" w:hAnsi="Times New Roman"/>
          <w:sz w:val="24"/>
          <w:szCs w:val="24"/>
          <w:lang w:val="x-none"/>
        </w:rPr>
        <w:t>ение, предложено във всяка оферта в съответствие с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дава възможност да бъдат сравнени и оценени обективно предложенията в офертите;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осигурява на кандидатите достатъчно информация за правилата, които ще се прилагат при опр</w:t>
      </w:r>
      <w:r>
        <w:rPr>
          <w:rFonts w:ascii="Times New Roman" w:hAnsi="Times New Roman"/>
          <w:sz w:val="24"/>
          <w:szCs w:val="24"/>
          <w:lang w:val="x-none"/>
        </w:rPr>
        <w:t>еделяне на оценката по всеки показател, като за количествено определимите показатели се определят стойностите в цифри или в проценти и се посочва начинът за тяхното изчисляване.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11в</w:t>
      </w:r>
      <w:r>
        <w:rPr>
          <w:rFonts w:ascii="Times New Roman" w:hAnsi="Times New Roman"/>
          <w:sz w:val="24"/>
          <w:szCs w:val="24"/>
          <w:lang w:val="x-none"/>
        </w:rPr>
        <w:t>. (Нов – ДВ, бр. 78 от 2018 г., в сила от 21.09.2018 г.) (1) Състезате</w:t>
      </w:r>
      <w:r>
        <w:rPr>
          <w:rFonts w:ascii="Times New Roman" w:hAnsi="Times New Roman"/>
          <w:sz w:val="24"/>
          <w:szCs w:val="24"/>
          <w:lang w:val="x-none"/>
        </w:rPr>
        <w:t>лната процедура се открива с публикуване на обявление едновременно във:</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Официалния вестник на Европейския съюз;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40 от 2020 г.) национален централен ежедневник;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интернет страницата на предлагащата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Обявление</w:t>
      </w:r>
      <w:r>
        <w:rPr>
          <w:rFonts w:ascii="Times New Roman" w:hAnsi="Times New Roman"/>
          <w:sz w:val="24"/>
          <w:szCs w:val="24"/>
          <w:lang w:val="x-none"/>
        </w:rPr>
        <w:t xml:space="preserve">то по ал. 1 трябва да бъде публикувано на една и съща дата и да съдържа идентична информация във всички средства за осведомяване.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Обявлението по ал. 1 трябва да съдържа минимум следната информация: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наименование, адрес, телефон, факс, електронен</w:t>
      </w:r>
      <w:r>
        <w:rPr>
          <w:rFonts w:ascii="Times New Roman" w:hAnsi="Times New Roman"/>
          <w:sz w:val="24"/>
          <w:szCs w:val="24"/>
          <w:lang w:val="x-none"/>
        </w:rPr>
        <w:t xml:space="preserve"> адрес на предлагащата организация и лице за контакт;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естество и обем на разходите, включени в промоционалната програма, за които е обявена състезателната процедура;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изисквания към финансовия и техническия капацитет на прилагащата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условия и начин на плащане;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5. място и срок за подаване на оферти, който не може да бъде по-кратък от 35 дни от датата на публикуване на обявлението;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място и срок за получаване на документацията за участие в процедурата;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критерий за възлаг</w:t>
      </w:r>
      <w:r>
        <w:rPr>
          <w:rFonts w:ascii="Times New Roman" w:hAnsi="Times New Roman"/>
          <w:sz w:val="24"/>
          <w:szCs w:val="24"/>
          <w:lang w:val="x-none"/>
        </w:rPr>
        <w:t>ане – съотношение цена/качество.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Документацията за участие в процедурата може да се предоставя на кандидатите и по електронен път.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Документацията за участие трябва да съдържа най-малко: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техническите спецификации;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видовете разходи, вк</w:t>
      </w:r>
      <w:r>
        <w:rPr>
          <w:rFonts w:ascii="Times New Roman" w:hAnsi="Times New Roman"/>
          <w:sz w:val="24"/>
          <w:szCs w:val="24"/>
          <w:lang w:val="x-none"/>
        </w:rPr>
        <w:t>лючени в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методиката за определяне на комплексната оценка на офертата;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образци на документи, включително и на офертата, както и указание за подготовката им;</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проект на договор.</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Оферти за участие в процедурата мо</w:t>
      </w:r>
      <w:r>
        <w:rPr>
          <w:rFonts w:ascii="Times New Roman" w:hAnsi="Times New Roman"/>
          <w:sz w:val="24"/>
          <w:szCs w:val="24"/>
          <w:lang w:val="x-none"/>
        </w:rPr>
        <w:t>гат да се подават писмено, по електронен път с квалифициран електронен подпис или чрез лицензиран пощенски оператор.</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11г</w:t>
      </w:r>
      <w:r>
        <w:rPr>
          <w:rFonts w:ascii="Times New Roman" w:hAnsi="Times New Roman"/>
          <w:sz w:val="24"/>
          <w:szCs w:val="24"/>
          <w:lang w:val="x-none"/>
        </w:rPr>
        <w:t>. (Нов – ДВ, бр. 78 от 2018 г., в сила от 21.09.2018 г.) (1) Кандидатите за участие в процедурата подават оферти в съответствие с о</w:t>
      </w:r>
      <w:r>
        <w:rPr>
          <w:rFonts w:ascii="Times New Roman" w:hAnsi="Times New Roman"/>
          <w:sz w:val="24"/>
          <w:szCs w:val="24"/>
          <w:lang w:val="x-none"/>
        </w:rPr>
        <w:t>бявлението по чл. 11в, ал. 1. Всеки участник има право да подаде само една оферта.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40 от 2020 г.) Кандидатите могат да бъдат местни и чуждестранни лица или техни обединения и представят документи за регистрация съгласно националното и</w:t>
      </w:r>
      <w:r>
        <w:rPr>
          <w:rFonts w:ascii="Times New Roman" w:hAnsi="Times New Roman"/>
          <w:sz w:val="24"/>
          <w:szCs w:val="24"/>
          <w:lang w:val="x-none"/>
        </w:rPr>
        <w:t>м законодателство. Кандидатите не трябва да се намират с предлагащата организация в отношение на свързаност по смисъла на § 1 от допълнителните разпоредби на Търговския закон и не трябва да са в конфликт на интереси по смисъла на чл. 61, параграф 3 от Регл</w:t>
      </w:r>
      <w:r>
        <w:rPr>
          <w:rFonts w:ascii="Times New Roman" w:hAnsi="Times New Roman"/>
          <w:sz w:val="24"/>
          <w:szCs w:val="24"/>
          <w:lang w:val="x-none"/>
        </w:rPr>
        <w:t>амент (ЕС, Евратом)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Офертата по ал. 1 трябва да съдържа най-малко: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име и адрес, съответно наименование, седалище и адрес на управление и код по БУЛСТАТ/ЕИК за лицата, регистрирани в Република България; за лицата, вписани в регистри, р</w:t>
      </w:r>
      <w:r>
        <w:rPr>
          <w:rFonts w:ascii="Times New Roman" w:hAnsi="Times New Roman"/>
          <w:sz w:val="24"/>
          <w:szCs w:val="24"/>
          <w:lang w:val="x-none"/>
        </w:rPr>
        <w:t>азлични от Търговския регистър и Регистъра на юридическите лица с нестопанска цел към Агенцията по вписванията, се представят документ за правосубектност, удостоверение за актуално състояние, заверени копия от удостоверение за данъчна регистрация и регистр</w:t>
      </w:r>
      <w:r>
        <w:rPr>
          <w:rFonts w:ascii="Times New Roman" w:hAnsi="Times New Roman"/>
          <w:sz w:val="24"/>
          <w:szCs w:val="24"/>
          <w:lang w:val="x-none"/>
        </w:rPr>
        <w:t xml:space="preserve">ация по БУЛСТАТ; за лицата, регистрирани в друга държава – документ за еквивалентна регистрация, съгласно законодателството на държавата;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предложение за изпълнение на разходите, включени в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срокове за изпълнение на разхо</w:t>
      </w:r>
      <w:r>
        <w:rPr>
          <w:rFonts w:ascii="Times New Roman" w:hAnsi="Times New Roman"/>
          <w:sz w:val="24"/>
          <w:szCs w:val="24"/>
          <w:lang w:val="x-none"/>
        </w:rPr>
        <w:t>дите, включени в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предлагани цени за всеки разход;</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списък на документите, съдържащи се в офертата, подписан от кандидата;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40 от 2020 г.) подробно описание на дейностите, които ще бъдат изпълнени, за ре</w:t>
      </w:r>
      <w:r>
        <w:rPr>
          <w:rFonts w:ascii="Times New Roman" w:hAnsi="Times New Roman"/>
          <w:sz w:val="24"/>
          <w:szCs w:val="24"/>
          <w:lang w:val="x-none"/>
        </w:rPr>
        <w:t>ализиране на действията на промоционалната програма; oписанието следва да съдържа информация, позволяваща оценка на ефикасността и адекватността на предложените дейности по отношение: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как предложените дейности ще допринесат за постигане на целите на пр</w:t>
      </w:r>
      <w:r>
        <w:rPr>
          <w:rFonts w:ascii="Times New Roman" w:hAnsi="Times New Roman"/>
          <w:sz w:val="24"/>
          <w:szCs w:val="24"/>
          <w:lang w:val="x-none"/>
        </w:rPr>
        <w:t>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защо предложените дейности представляват най-добрия начин за реализиране на програмата и за постигане на траен ефект.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Към офертата се прилагат: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доказателства за финансовия и техническия капацитет на кандидата;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w:t>
      </w:r>
      <w:r>
        <w:rPr>
          <w:rFonts w:ascii="Times New Roman" w:hAnsi="Times New Roman"/>
          <w:sz w:val="24"/>
          <w:szCs w:val="24"/>
          <w:lang w:val="x-none"/>
        </w:rPr>
        <w:t>писък с подизпълнители, с които кандидатът възнамерява да работи, и разходите, които ще изпълняват;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проекти на договори с подизпълнителите, доказващи поетите ангажименти и посочващи разходите, които ще изпълняват;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списък на експертите, които ще и</w:t>
      </w:r>
      <w:r>
        <w:rPr>
          <w:rFonts w:ascii="Times New Roman" w:hAnsi="Times New Roman"/>
          <w:sz w:val="24"/>
          <w:szCs w:val="24"/>
          <w:lang w:val="x-none"/>
        </w:rPr>
        <w:t>зпълняват разходите, в който е посочена професионалната им квалификация и/или опит;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декларация за техническото оборудване, което ще бъде използвано за изпълнение на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декларация за липса на свързаност между кандидата и предлагащата орга</w:t>
      </w:r>
      <w:r>
        <w:rPr>
          <w:rFonts w:ascii="Times New Roman" w:hAnsi="Times New Roman"/>
          <w:sz w:val="24"/>
          <w:szCs w:val="24"/>
          <w:lang w:val="x-none"/>
        </w:rPr>
        <w:t>низация съгласно § 1 от допълнителните разпоредби на Търговския закон, както и между кандидата и подизпълнителите, ако има такива;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декларация за липса на публични задължения, когато кандидатът е регистриран на територията на Република България, или до</w:t>
      </w:r>
      <w:r>
        <w:rPr>
          <w:rFonts w:ascii="Times New Roman" w:hAnsi="Times New Roman"/>
          <w:sz w:val="24"/>
          <w:szCs w:val="24"/>
          <w:lang w:val="x-none"/>
        </w:rPr>
        <w:t>кумент, удостоверяващ липсата на публични задължения, съгласно законодателството на държавата, в която е регистриран;</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(изм. – ДВ, бр. 40 от 2020 г.) декларация за липса на конфликт на интереси по смисъла на чл. 61, параграф 3 от Регламент (ЕС, Евратом</w:t>
      </w:r>
      <w:r>
        <w:rPr>
          <w:rFonts w:ascii="Times New Roman" w:hAnsi="Times New Roman"/>
          <w:sz w:val="24"/>
          <w:szCs w:val="24"/>
          <w:lang w:val="x-none"/>
        </w:rPr>
        <w:t>)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декларация за конфиденциалност, че няма да се разгласява по никакъв начин конфиденциална информация за настоящата поръчка;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годишни финансови отчети за последните три години, когато не са достъпни в публичен регистър и данните не мо</w:t>
      </w:r>
      <w:r>
        <w:rPr>
          <w:rFonts w:ascii="Times New Roman" w:hAnsi="Times New Roman"/>
          <w:sz w:val="24"/>
          <w:szCs w:val="24"/>
          <w:lang w:val="x-none"/>
        </w:rPr>
        <w:t>гат да се получат по служебен път;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справки за общия оборот за последните три финансови години;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списък на изпълнените през последните три години услуги с предмет и обем, идентични или сходни с тези на поръчката от състезателната процедура, придр</w:t>
      </w:r>
      <w:r>
        <w:rPr>
          <w:rFonts w:ascii="Times New Roman" w:hAnsi="Times New Roman"/>
          <w:sz w:val="24"/>
          <w:szCs w:val="24"/>
          <w:lang w:val="x-none"/>
        </w:rPr>
        <w:t>ужен от препоръки за добро изпълнение по тях;</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списък с третите лица, които ще участват в изпълнението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14. доказателства за поети задължения от третите лица, с чиито ресурси кандидатът ще разполага.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(Доп. – ДВ, бр</w:t>
      </w:r>
      <w:r>
        <w:rPr>
          <w:rFonts w:ascii="Times New Roman" w:hAnsi="Times New Roman"/>
          <w:sz w:val="24"/>
          <w:szCs w:val="24"/>
          <w:lang w:val="x-none"/>
        </w:rPr>
        <w:t>. 40 от 2020 г.) Когато кандидатът е чуждестранно лице, той представя съответните документи, издадени от компетентен орган, съгласно законодателството на държавата, в която е установен. В случай че документите са на чужд език, следва да са придружени от ле</w:t>
      </w:r>
      <w:r>
        <w:rPr>
          <w:rFonts w:ascii="Times New Roman" w:hAnsi="Times New Roman"/>
          <w:sz w:val="24"/>
          <w:szCs w:val="24"/>
          <w:lang w:val="x-none"/>
        </w:rPr>
        <w:t>гализиран превод, превод на заклет преводач или превод с апостил на български език.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Кандидатите могат да поискат писмено от предлагащите организации разяснения по обявлението и документацията за участие в състезателната процедура най-късно до 10 дни </w:t>
      </w:r>
      <w:r>
        <w:rPr>
          <w:rFonts w:ascii="Times New Roman" w:hAnsi="Times New Roman"/>
          <w:sz w:val="24"/>
          <w:szCs w:val="24"/>
          <w:lang w:val="x-none"/>
        </w:rPr>
        <w:t>преди изтичане на срока за подаване на офертите. Предлагащата организация предоставя разясненията в 4-дневен срок от получаване на искането, но не по-късно от 6 дни преди изтичане на срока за подаване на офертите. В разясненията не се посочва лицето, напра</w:t>
      </w:r>
      <w:r>
        <w:rPr>
          <w:rFonts w:ascii="Times New Roman" w:hAnsi="Times New Roman"/>
          <w:sz w:val="24"/>
          <w:szCs w:val="24"/>
          <w:lang w:val="x-none"/>
        </w:rPr>
        <w:t>вило запитването. Разясненията се предоставят чрез изпращането им по електронна поща до всички кандидати и се прилагат към документацията, която се предоставя на последващи кандидати.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11д</w:t>
      </w:r>
      <w:r>
        <w:rPr>
          <w:rFonts w:ascii="Times New Roman" w:hAnsi="Times New Roman"/>
          <w:sz w:val="24"/>
          <w:szCs w:val="24"/>
          <w:lang w:val="x-none"/>
        </w:rPr>
        <w:t>. (Нов – ДВ, бр. 78 от 2018 г., в сила от 21.09.2018 г.) (1) (Из</w:t>
      </w:r>
      <w:r>
        <w:rPr>
          <w:rFonts w:ascii="Times New Roman" w:hAnsi="Times New Roman"/>
          <w:sz w:val="24"/>
          <w:szCs w:val="24"/>
          <w:lang w:val="x-none"/>
        </w:rPr>
        <w:t>м. – ДВ, бр. 40 от 2020 г.) Кандидатите могат да изберат подизпълнители само в случаи на специфични операции от реализирането на цялостната промоционална дейност, в изпълнението на които кандидатите не са специализирани и нямат опит. В този случай кандидат</w:t>
      </w:r>
      <w:r>
        <w:rPr>
          <w:rFonts w:ascii="Times New Roman" w:hAnsi="Times New Roman"/>
          <w:sz w:val="24"/>
          <w:szCs w:val="24"/>
          <w:lang w:val="x-none"/>
        </w:rPr>
        <w:t>ите посочват в заявлението избраните подизпълнители и дела от дейността, която ще им възложат, като следва да представят доказателства за поетите от подизпълнителите задължения. Подизпълнителите трябва да отговарят на критериите за подбор по чл. 11а, ал. 3</w:t>
      </w:r>
      <w:r>
        <w:rPr>
          <w:rFonts w:ascii="Times New Roman" w:hAnsi="Times New Roman"/>
          <w:sz w:val="24"/>
          <w:szCs w:val="24"/>
          <w:lang w:val="x-none"/>
        </w:rPr>
        <w:t xml:space="preserve"> и 4 съобразно вида на дейностите, които ще изпълняват, и за тях да не са налице основания за отстраняване от процедурата съгласно чл. 12а, ал. 2.</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40 от 2020 г.) Подизпълнителите не трябва да се намират с предлагащата и с прилагащата </w:t>
      </w:r>
      <w:r>
        <w:rPr>
          <w:rFonts w:ascii="Times New Roman" w:hAnsi="Times New Roman"/>
          <w:sz w:val="24"/>
          <w:szCs w:val="24"/>
          <w:lang w:val="x-none"/>
        </w:rPr>
        <w:t>организация в отношения на свързаност по смисъла на § 1 от допълнителните разпоредби на Търговския закон и не трябва да са в конфликт на интереси по смисъла на чл. 61, параграф 3 от Регламент (ЕС, Евратом)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Предлагащата организация изисква </w:t>
      </w:r>
      <w:r>
        <w:rPr>
          <w:rFonts w:ascii="Times New Roman" w:hAnsi="Times New Roman"/>
          <w:sz w:val="24"/>
          <w:szCs w:val="24"/>
          <w:lang w:val="x-none"/>
        </w:rPr>
        <w:t xml:space="preserve">по време на провеждане на състезателната процедура отстраняване или замяна на подизпълнител, който не отговаря на условията на ал. 1 и 2.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Правилата за разплащане между прилагащата организация и подизпълнителите се посочват в документацията към състе</w:t>
      </w:r>
      <w:r>
        <w:rPr>
          <w:rFonts w:ascii="Times New Roman" w:hAnsi="Times New Roman"/>
          <w:sz w:val="24"/>
          <w:szCs w:val="24"/>
          <w:lang w:val="x-none"/>
        </w:rPr>
        <w:t>зателната процедура и се включват в договора между предлагащата организация и прилагащата организация и в договорите между прилагащата организация и подизпълнителите.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Замяна на подизпълнител преди започване на изпълнението и по време на изпълнение на</w:t>
      </w:r>
      <w:r>
        <w:rPr>
          <w:rFonts w:ascii="Times New Roman" w:hAnsi="Times New Roman"/>
          <w:sz w:val="24"/>
          <w:szCs w:val="24"/>
          <w:lang w:val="x-none"/>
        </w:rPr>
        <w:t xml:space="preserve"> промоционална програма се допуска, когато са изпълнени едновременно следните условия: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новия подизпълнител не са налице основанията за отстраняване в процедурата по чл. 12а, ал. 2;</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новият подизпълнител отговаря на изискванията на ал. 1 и 2, ко</w:t>
      </w:r>
      <w:r>
        <w:rPr>
          <w:rFonts w:ascii="Times New Roman" w:hAnsi="Times New Roman"/>
          <w:sz w:val="24"/>
          <w:szCs w:val="24"/>
          <w:lang w:val="x-none"/>
        </w:rPr>
        <w:t>ригирани съобразно изпълнените до момента дейности.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40 от 2020 г.) При замяна и/или добавяне на подизпълнител в хода на изпълнение на промоционална програма предлагащата организация подава в Държавен фонд "Земеделие" заявление за одоб</w:t>
      </w:r>
      <w:r>
        <w:rPr>
          <w:rFonts w:ascii="Times New Roman" w:hAnsi="Times New Roman"/>
          <w:sz w:val="24"/>
          <w:szCs w:val="24"/>
          <w:lang w:val="x-none"/>
        </w:rPr>
        <w:t>рение на подизпълнител по образец, утвърден със заповед на изпълнителния директор на Държавен фонд "Земеделие", и представя всички документи, които доказват изпълнението на условията по ал. 1, 2, 4 и 5.</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При използване на подизпълнители отговорността </w:t>
      </w:r>
      <w:r>
        <w:rPr>
          <w:rFonts w:ascii="Times New Roman" w:hAnsi="Times New Roman"/>
          <w:sz w:val="24"/>
          <w:szCs w:val="24"/>
          <w:lang w:val="x-none"/>
        </w:rPr>
        <w:t>за изпълнение на всички разходи по договора с предлагащата организация е на прилагащата организация. Подизпълнителите нямат право да извършват дейностите чрез възлагането им на други подизпълнители.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11е</w:t>
      </w:r>
      <w:r>
        <w:rPr>
          <w:rFonts w:ascii="Times New Roman" w:hAnsi="Times New Roman"/>
          <w:sz w:val="24"/>
          <w:szCs w:val="24"/>
          <w:lang w:val="x-none"/>
        </w:rPr>
        <w:t>. (Нов – ДВ, бр. 78 от 2018 г., в сила от 21.09.2</w:t>
      </w:r>
      <w:r>
        <w:rPr>
          <w:rFonts w:ascii="Times New Roman" w:hAnsi="Times New Roman"/>
          <w:sz w:val="24"/>
          <w:szCs w:val="24"/>
          <w:lang w:val="x-none"/>
        </w:rPr>
        <w:t>018 г.) (1) (Изм. – ДВ, бр. 40 от 2020 г.) Кандидатите могат да се позоват на капацитета на трети лица. В случаите на чл. 11а, ал. 7 третите лица трябва да отговарят на съответните критерии за подбор, за доказването на които кандидатът се позовава на техни</w:t>
      </w:r>
      <w:r>
        <w:rPr>
          <w:rFonts w:ascii="Times New Roman" w:hAnsi="Times New Roman"/>
          <w:sz w:val="24"/>
          <w:szCs w:val="24"/>
          <w:lang w:val="x-none"/>
        </w:rPr>
        <w:t xml:space="preserve">я капацитет, и за тях да не са налице основания за отстраняване от процедурата съгласно чл. 12а, ал. 2. При изпълнението на дейностите кандидатът може да предвиди изискване за солидарна отговорност от третото лице, чийто капацитет се използва за доказване </w:t>
      </w:r>
      <w:r>
        <w:rPr>
          <w:rFonts w:ascii="Times New Roman" w:hAnsi="Times New Roman"/>
          <w:sz w:val="24"/>
          <w:szCs w:val="24"/>
          <w:lang w:val="x-none"/>
        </w:rPr>
        <w:t>на съответствие с критериите, свързани с икономическото и финансовото състояние.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 отношение на критериите, свързани с професионална способност, кандидатите могат да се позоват на капацитета на трети лица само ако лицата, с чиито квалификация, опит и</w:t>
      </w:r>
      <w:r>
        <w:rPr>
          <w:rFonts w:ascii="Times New Roman" w:hAnsi="Times New Roman"/>
          <w:sz w:val="24"/>
          <w:szCs w:val="24"/>
          <w:lang w:val="x-none"/>
        </w:rPr>
        <w:t>ли образование се доказва изпълнение на изискванията за подбор по чл. 11а, ал. 3, т. 3, ще участват в изпълнението на частта от промоционалната програма, за която е необходим този капацитет.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40 от 2020 г.) Когато кандидатът се позовав</w:t>
      </w:r>
      <w:r>
        <w:rPr>
          <w:rFonts w:ascii="Times New Roman" w:hAnsi="Times New Roman"/>
          <w:sz w:val="24"/>
          <w:szCs w:val="24"/>
          <w:lang w:val="x-none"/>
        </w:rPr>
        <w:t>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(Изм. – ДВ, бр. 40 от 2020 г.) Третите лица не трябва да се намират с предлагащата и с при</w:t>
      </w:r>
      <w:r>
        <w:rPr>
          <w:rFonts w:ascii="Times New Roman" w:hAnsi="Times New Roman"/>
          <w:sz w:val="24"/>
          <w:szCs w:val="24"/>
          <w:lang w:val="x-none"/>
        </w:rPr>
        <w:t>лагащата организация в отношения на свързаност по смисъла на § 1 от допълнителните разпоредби на Търговския закон и не трябва да са в конфликт на интереси по смисъла на чл. 61, параграф 3 от Регламент (ЕС, Евратом)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Предлагащата организация</w:t>
      </w:r>
      <w:r>
        <w:rPr>
          <w:rFonts w:ascii="Times New Roman" w:hAnsi="Times New Roman"/>
          <w:sz w:val="24"/>
          <w:szCs w:val="24"/>
          <w:lang w:val="x-none"/>
        </w:rPr>
        <w:t xml:space="preserve"> изисква по време на провеждане на състезателната процедура отстраняване или замяна на трети лица, които не отговарят на условията на ал. 1, 2, 3 и 4.</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(Изм. – ДВ, бр. 78 от 2018 г., в сила от 21.09.2018 г.) (1) Състезателната процедура се провежда</w:t>
      </w:r>
      <w:r>
        <w:rPr>
          <w:rFonts w:ascii="Times New Roman" w:hAnsi="Times New Roman"/>
          <w:sz w:val="24"/>
          <w:szCs w:val="24"/>
          <w:lang w:val="x-none"/>
        </w:rPr>
        <w:t>, когато са подадени най-малко три оферти. Когато са подадени по-малко от три оферти, предлагащите организации удължават срока на състезателната процедура с още 7 дни. Когато и след изтичане на този срок са подадени по-малко от три оферти, състезателната п</w:t>
      </w:r>
      <w:r>
        <w:rPr>
          <w:rFonts w:ascii="Times New Roman" w:hAnsi="Times New Roman"/>
          <w:sz w:val="24"/>
          <w:szCs w:val="24"/>
          <w:lang w:val="x-none"/>
        </w:rPr>
        <w:t>роцедура се прекратява.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40 от 2020 г.) Предлагащата организация назначава комисия за извършване на подбор на кандидатите и разглеждане и оценка на офертите, която се състои от нечетен брой членове, поне един от които задължително е пр</w:t>
      </w:r>
      <w:r>
        <w:rPr>
          <w:rFonts w:ascii="Times New Roman" w:hAnsi="Times New Roman"/>
          <w:sz w:val="24"/>
          <w:szCs w:val="24"/>
          <w:lang w:val="x-none"/>
        </w:rPr>
        <w:t>авоспособен юрист. Членовете на комисията не трябва да са в конфликт на интереси по смисъла на чл. 61, параграф 3 от Регламент (ЕС, Евратом) 2018/1046 с предлагащата организация, кандидатите и подизпълнителите, като за това подават декларации.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Комиси</w:t>
      </w:r>
      <w:r>
        <w:rPr>
          <w:rFonts w:ascii="Times New Roman" w:hAnsi="Times New Roman"/>
          <w:sz w:val="24"/>
          <w:szCs w:val="24"/>
          <w:lang w:val="x-none"/>
        </w:rPr>
        <w:t xml:space="preserve">ята по ал. 2 взема решения с обикновено мнозинство на членовете. За всяко заседание на комисията се води протокол, който се подписва от всички присъстващи членове. Резултатите от работата на комисията и взетите решения се отразяват в доклад.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Членове</w:t>
      </w:r>
      <w:r>
        <w:rPr>
          <w:rFonts w:ascii="Times New Roman" w:hAnsi="Times New Roman"/>
          <w:sz w:val="24"/>
          <w:szCs w:val="24"/>
          <w:lang w:val="x-none"/>
        </w:rPr>
        <w:t xml:space="preserve">те на комисията са длъжни да не разгласяват обстоятелствата, станали им известни във връзка с дейността на комисията.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Комисията по ал. 2 прави избор на прилагаща организация въз основа на: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критериите за подбор, определени в обявлението за прове</w:t>
      </w:r>
      <w:r>
        <w:rPr>
          <w:rFonts w:ascii="Times New Roman" w:hAnsi="Times New Roman"/>
          <w:sz w:val="24"/>
          <w:szCs w:val="24"/>
          <w:lang w:val="x-none"/>
        </w:rPr>
        <w:t>ждане на процедурата, съгласно чл. 11а;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критерии за възлагане съгласно чл. 11б, ал. 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12а. </w:t>
      </w:r>
      <w:r>
        <w:rPr>
          <w:rFonts w:ascii="Times New Roman" w:hAnsi="Times New Roman"/>
          <w:sz w:val="24"/>
          <w:szCs w:val="24"/>
          <w:lang w:val="x-none"/>
        </w:rPr>
        <w:t>(Нов – ДВ, бр. 78 от 2018 г., в сила от 21.09.2018 г.) (1) Когато по отношение на критериите за подбор или по отношение на изискванията към кандидатите се</w:t>
      </w:r>
      <w:r>
        <w:rPr>
          <w:rFonts w:ascii="Times New Roman" w:hAnsi="Times New Roman"/>
          <w:sz w:val="24"/>
          <w:szCs w:val="24"/>
          <w:lang w:val="x-none"/>
        </w:rPr>
        <w:t xml:space="preserve"> установи липса, непълнота и/или несъответствие на информацията, включително нередовност или фактическа грешка, на кандидатите се изпраща уведомително писмо да представят нова </w:t>
      </w:r>
      <w:r>
        <w:rPr>
          <w:rFonts w:ascii="Times New Roman" w:hAnsi="Times New Roman"/>
          <w:sz w:val="24"/>
          <w:szCs w:val="24"/>
          <w:lang w:val="x-none"/>
        </w:rPr>
        <w:lastRenderedPageBreak/>
        <w:t>информация, да допълнят или да пояснят представената информация в определен от п</w:t>
      </w:r>
      <w:r>
        <w:rPr>
          <w:rFonts w:ascii="Times New Roman" w:hAnsi="Times New Roman"/>
          <w:sz w:val="24"/>
          <w:szCs w:val="24"/>
          <w:lang w:val="x-none"/>
        </w:rPr>
        <w:t>редлагащата организация срок, който не може да бъде по-кратък от 3 работни дни.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Комисията по чл. 12, ал. 2 отстранява от състезателната процедура участник, когато: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не отговаря на поставените критерии за подбор, посочени в обявлението и документа</w:t>
      </w:r>
      <w:r>
        <w:rPr>
          <w:rFonts w:ascii="Times New Roman" w:hAnsi="Times New Roman"/>
          <w:sz w:val="24"/>
          <w:szCs w:val="24"/>
          <w:lang w:val="x-none"/>
        </w:rPr>
        <w:t xml:space="preserve">цията за участие в състезателната процедура;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 представил оферта, която не отговаря на обявените условия за участие в състезателната процедура и изискванията на чл. 11г;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не е представил исканите допълнителни документи по ал. 1 в срока, определен</w:t>
      </w:r>
      <w:r>
        <w:rPr>
          <w:rFonts w:ascii="Times New Roman" w:hAnsi="Times New Roman"/>
          <w:sz w:val="24"/>
          <w:szCs w:val="24"/>
          <w:lang w:val="x-none"/>
        </w:rPr>
        <w:t xml:space="preserve"> с уведомителното писмо от предлагащата организация по ал. 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се установи, че е свързано лице с предлагащата организация по смисъла на § 1 от допълнителните разпоредби на Търговския закон;</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се установи, че е налице конфликт на интереси по смисъла </w:t>
      </w:r>
      <w:r>
        <w:rPr>
          <w:rFonts w:ascii="Times New Roman" w:hAnsi="Times New Roman"/>
          <w:sz w:val="24"/>
          <w:szCs w:val="24"/>
          <w:lang w:val="x-none"/>
        </w:rPr>
        <w:t>на чл. 57, параграф 2 от Регламент (ЕС) 966/2012;</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се установи,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w:t>
      </w:r>
      <w:r>
        <w:rPr>
          <w:rFonts w:ascii="Times New Roman" w:hAnsi="Times New Roman"/>
          <w:sz w:val="24"/>
          <w:szCs w:val="24"/>
          <w:lang w:val="x-none"/>
        </w:rPr>
        <w:t>ормация, свързана с удостоверяване липсата на основания за отстраняване или изпълнението на критериите за подбор.</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Предлагащата организация уведомява писмено участниците в състезателната процедура за взетите решения в тридневен срок от подписване на д</w:t>
      </w:r>
      <w:r>
        <w:rPr>
          <w:rFonts w:ascii="Times New Roman" w:hAnsi="Times New Roman"/>
          <w:sz w:val="24"/>
          <w:szCs w:val="24"/>
          <w:lang w:val="x-none"/>
        </w:rPr>
        <w:t>оклада по чл. 12, ал. 3.</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Одобреният кандидат представя документи, доказващи липсата на обстоятелства по чл. 11а, ал. 4.</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(Изм. – ДВ, бр. 78 от 2018 г., в сила от 21.09.2018 г., бр. 40 от 2020 г.) Предлагащите организации в 7-дневен срок от из</w:t>
      </w:r>
      <w:r>
        <w:rPr>
          <w:rFonts w:ascii="Times New Roman" w:hAnsi="Times New Roman"/>
          <w:sz w:val="24"/>
          <w:szCs w:val="24"/>
          <w:lang w:val="x-none"/>
        </w:rPr>
        <w:t>вършването на избор на прилагаща организация представят в Държавен фонд "Земеделие" писмено заявление за одобряване на прилагаща организация по образец, утвърден със заповед на изпълнителния директор на Държавен фонд "Земеделие", към което прилагат заверен</w:t>
      </w:r>
      <w:r>
        <w:rPr>
          <w:rFonts w:ascii="Times New Roman" w:hAnsi="Times New Roman"/>
          <w:sz w:val="24"/>
          <w:szCs w:val="24"/>
          <w:lang w:val="x-none"/>
        </w:rPr>
        <w:t xml:space="preserve">и копия на всички документи от проведената състезателна процедура – обявлението за участие, получените оферти, </w:t>
      </w:r>
      <w:r>
        <w:rPr>
          <w:rFonts w:ascii="Times New Roman" w:hAnsi="Times New Roman"/>
          <w:sz w:val="24"/>
          <w:szCs w:val="24"/>
          <w:lang w:val="x-none"/>
        </w:rPr>
        <w:lastRenderedPageBreak/>
        <w:t>протоколите от проведените заседания на комисията, доклада на комисията за избор на прилагаща организация, кореспонденцията с кандидатите, водена</w:t>
      </w:r>
      <w:r>
        <w:rPr>
          <w:rFonts w:ascii="Times New Roman" w:hAnsi="Times New Roman"/>
          <w:sz w:val="24"/>
          <w:szCs w:val="24"/>
          <w:lang w:val="x-none"/>
        </w:rPr>
        <w:t xml:space="preserve"> във връзка със състезателната процедура, включително и по електронна поща.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13а. </w:t>
      </w:r>
      <w:r>
        <w:rPr>
          <w:rFonts w:ascii="Times New Roman" w:hAnsi="Times New Roman"/>
          <w:sz w:val="24"/>
          <w:szCs w:val="24"/>
          <w:lang w:val="x-none"/>
        </w:rPr>
        <w:t>(Нов – ДВ, бр. 78 от 2018 г., в сила от 21.09.2018 г.) (1) (Изм. – ДВ, бр. 40 от 2020 г.) Изпълнителният директор на Държавен фонд "Земеделие" със заповед назначава комис</w:t>
      </w:r>
      <w:r>
        <w:rPr>
          <w:rFonts w:ascii="Times New Roman" w:hAnsi="Times New Roman"/>
          <w:sz w:val="24"/>
          <w:szCs w:val="24"/>
          <w:lang w:val="x-none"/>
        </w:rPr>
        <w:t xml:space="preserve">ия и утвърждава Процедура за разглеждане на подадените в Държавен фонд "Земеделие" заявления по чл. 13.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Комисията по ал. 1 извършва проверка на подадените заявления и документи по чл. 13. При поискване от страна на комисията по ал. 1 предлагащата ор</w:t>
      </w:r>
      <w:r>
        <w:rPr>
          <w:rFonts w:ascii="Times New Roman" w:hAnsi="Times New Roman"/>
          <w:sz w:val="24"/>
          <w:szCs w:val="24"/>
          <w:lang w:val="x-none"/>
        </w:rPr>
        <w:t>ганизация представя за проверка оригиналите на всички документи, приложени към заявлението по чл. 13.</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установяване на нередовност и/или непълнота на представените документи комисията по ал. 1 уведомява писмено предлагащата организация, която в ср</w:t>
      </w:r>
      <w:r>
        <w:rPr>
          <w:rFonts w:ascii="Times New Roman" w:hAnsi="Times New Roman"/>
          <w:sz w:val="24"/>
          <w:szCs w:val="24"/>
          <w:lang w:val="x-none"/>
        </w:rPr>
        <w:t xml:space="preserve">ок до 10 работни дни от получаване на уведомлението трябва да отстрани нередовностите и/или непълнотите и да предостави исканите документи и/или писмени разяснения.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40 от 2020 г.) Ако предлагащата организация не отстрани нередовности</w:t>
      </w:r>
      <w:r>
        <w:rPr>
          <w:rFonts w:ascii="Times New Roman" w:hAnsi="Times New Roman"/>
          <w:sz w:val="24"/>
          <w:szCs w:val="24"/>
          <w:lang w:val="x-none"/>
        </w:rPr>
        <w:t>те и/или непълнотите в срока по ал. 3, производството по разглеждане на заявлението за одобряване на прилагаща организация се прекратява със заповед на изпълнителния директор на Държавен фонд "Земеделие". Заповедта се съобщава на предлагащата организация и</w:t>
      </w:r>
      <w:r>
        <w:rPr>
          <w:rFonts w:ascii="Times New Roman" w:hAnsi="Times New Roman"/>
          <w:sz w:val="24"/>
          <w:szCs w:val="24"/>
          <w:lang w:val="x-none"/>
        </w:rPr>
        <w:t xml:space="preserve"> може да се обжалва по реда на Административнопроцесуалния кодекс.</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(Изм. – ДВ, бр. 78 от 2018 г., в сила от 21.09.2018 г.) Комисията по чл. 13а прави преценка за съответствието на избора на прилагащите организации с чл. 11 и 12 и за финансовия</w:t>
      </w:r>
      <w:r>
        <w:rPr>
          <w:rFonts w:ascii="Times New Roman" w:hAnsi="Times New Roman"/>
          <w:sz w:val="24"/>
          <w:szCs w:val="24"/>
          <w:lang w:val="x-none"/>
        </w:rPr>
        <w:t xml:space="preserve"> и техническия капацитет, с които те разполагат за изпълнение на мерките в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40 от 2020 г.) В случаите по чл. 10, ал. 2 комисията по чл. 13а проверява дали: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предлагащата организация има нужните познания за представяните</w:t>
      </w:r>
      <w:r>
        <w:rPr>
          <w:rFonts w:ascii="Times New Roman" w:hAnsi="Times New Roman"/>
          <w:sz w:val="24"/>
          <w:szCs w:val="24"/>
          <w:lang w:val="x-none"/>
        </w:rPr>
        <w:t xml:space="preserve"> продукти и техните пазари;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предлагащата организация разполага с необходимите финансови и технически средства за изпълнение на мерките;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заложените цени за изпълнение на мерките не надвишават пазарните.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78 от 2018 г., в сила </w:t>
      </w:r>
      <w:r>
        <w:rPr>
          <w:rFonts w:ascii="Times New Roman" w:hAnsi="Times New Roman"/>
          <w:sz w:val="24"/>
          <w:szCs w:val="24"/>
          <w:lang w:val="x-none"/>
        </w:rPr>
        <w:t>от 21.09.2018 г., бр. 40 от 2020 г.) Въз основа да направената преценка по ал. 1 и на извършената проверка по ал. 2 комисията по чл. 13а мотивирано предлага на изпълнителния директор на Държавен фонд "Земеделие" да одобри или да откаже одобрение на предлож</w:t>
      </w:r>
      <w:r>
        <w:rPr>
          <w:rFonts w:ascii="Times New Roman" w:hAnsi="Times New Roman"/>
          <w:sz w:val="24"/>
          <w:szCs w:val="24"/>
          <w:lang w:val="x-none"/>
        </w:rPr>
        <w:t>ената прилагаща организация или предложените прилагащи организации.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78 от 2018 г., в сила от 21.09.2018 г., бр. 40 от 2020 г.) Изпълнителният директор на Държавен фонд "Земеделие" издава заповед за одобряване или за отказ. Държавен фо</w:t>
      </w:r>
      <w:r>
        <w:rPr>
          <w:rFonts w:ascii="Times New Roman" w:hAnsi="Times New Roman"/>
          <w:sz w:val="24"/>
          <w:szCs w:val="24"/>
          <w:lang w:val="x-none"/>
        </w:rPr>
        <w:t>нд "Земеделие" уведомява Министерството на земеделието, храните и горите и ЕК за одобрените прилагащи организации.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Отказът по ал. 4 се съобщава и може да бъде обжалван по реда на Административнопроцесуалния кодекс.</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78 от 2018 г</w:t>
      </w:r>
      <w:r>
        <w:rPr>
          <w:rFonts w:ascii="Times New Roman" w:hAnsi="Times New Roman"/>
          <w:sz w:val="24"/>
          <w:szCs w:val="24"/>
          <w:lang w:val="x-none"/>
        </w:rPr>
        <w:t>., в сила от 21.09.2018 г., бр. 40 от 2020 г.) Когато обикновената програма е одобрена от ЕК, предлагащата организация сключва писмени договори с прилагащата организация или прилагащите организации за изпълнение на всички или на част от мерките, включени в</w:t>
      </w:r>
      <w:r>
        <w:rPr>
          <w:rFonts w:ascii="Times New Roman" w:hAnsi="Times New Roman"/>
          <w:sz w:val="24"/>
          <w:szCs w:val="24"/>
          <w:lang w:val="x-none"/>
        </w:rPr>
        <w:t xml:space="preserve"> нея, и ги предоставя на Държавен фонд "Земеделие". Договорите съдържат клаузи, които задължават прилагащата организация/прилагащите организации да предоставя/т информация и достъп за проверка на изпълнението на нейните задължения на служители на ЕК, Европ</w:t>
      </w:r>
      <w:r>
        <w:rPr>
          <w:rFonts w:ascii="Times New Roman" w:hAnsi="Times New Roman"/>
          <w:sz w:val="24"/>
          <w:szCs w:val="24"/>
          <w:lang w:val="x-none"/>
        </w:rPr>
        <w:t>ейската сметна палата, Европейската служба за борба с измамите (OLAF), Министерството на земеделието, храните и горите и Държавен фонд "Земеделие".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78 от 2018 г., в сила от 21.09.2018 г.) Сключеният договор между предлагащата и прилага</w:t>
      </w:r>
      <w:r>
        <w:rPr>
          <w:rFonts w:ascii="Times New Roman" w:hAnsi="Times New Roman"/>
          <w:sz w:val="24"/>
          <w:szCs w:val="24"/>
          <w:lang w:val="x-none"/>
        </w:rPr>
        <w:t>щата организация следва да съдържа информация относно избраните подизпълнители, с които прилагащата организация възнамерява да работи, разходите, които ще извършват, както и условията, при които могат да бъдат заменени.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78 от 2018 г.,</w:t>
      </w:r>
      <w:r>
        <w:rPr>
          <w:rFonts w:ascii="Times New Roman" w:hAnsi="Times New Roman"/>
          <w:sz w:val="24"/>
          <w:szCs w:val="24"/>
          <w:lang w:val="x-none"/>
        </w:rPr>
        <w:t xml:space="preserve"> в сила от 21.09.2018 г., изм., бр. 40 от 2020 г.) Замяна на подизпълнител в случаите на чл. 11д, ал. 5 се извършва след одобрението й от Държавен фонд "Земеделие" по реда на чл. 13 и 13а.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(1) Предлагащите организации избират външна независима орг</w:t>
      </w:r>
      <w:r>
        <w:rPr>
          <w:rFonts w:ascii="Times New Roman" w:hAnsi="Times New Roman"/>
          <w:sz w:val="24"/>
          <w:szCs w:val="24"/>
          <w:lang w:val="x-none"/>
        </w:rPr>
        <w:t>анизация, която да извърши оценка на въздействието на обикновените програми, наричана по-нататък "оценяваща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40 от 2020 г.) Оценката на въздействие се извършва в съответствие с чл. 22 на Регламент за изпълнение (ЕС) 2015/</w:t>
      </w:r>
      <w:r>
        <w:rPr>
          <w:rFonts w:ascii="Times New Roman" w:hAnsi="Times New Roman"/>
          <w:sz w:val="24"/>
          <w:szCs w:val="24"/>
          <w:lang w:val="x-none"/>
        </w:rPr>
        <w:t>1831 и с неговото приложение.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Оценяващата организация се избира до 6 месеца след сключването на договора по чл. 20, ал. 2.</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(1) Когато предлагащите организации са публичноправни организации, те избират оценяващата организация по реда на Закона</w:t>
      </w:r>
      <w:r>
        <w:rPr>
          <w:rFonts w:ascii="Times New Roman" w:hAnsi="Times New Roman"/>
          <w:sz w:val="24"/>
          <w:szCs w:val="24"/>
          <w:lang w:val="x-none"/>
        </w:rPr>
        <w:t xml:space="preserve"> за обществените поръчки.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предлагащите организации не са публичноправни организации, те избират оценяваща организация чрез конкурс. Конкурсът се открива с публикуване на обява в два централни всекидневника в страната и/или в друга държава – чл</w:t>
      </w:r>
      <w:r>
        <w:rPr>
          <w:rFonts w:ascii="Times New Roman" w:hAnsi="Times New Roman"/>
          <w:sz w:val="24"/>
          <w:szCs w:val="24"/>
          <w:lang w:val="x-none"/>
        </w:rPr>
        <w:t>енка на Европейския съюз, като срокът за подаване на документи е не по-кратък от 20 дни от датата на публикуване на обявата.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Кандидатите за участие в конкурса представят оферти в съответствие с обявата по ал. 2. Всеки участник има право да представи </w:t>
      </w:r>
      <w:r>
        <w:rPr>
          <w:rFonts w:ascii="Times New Roman" w:hAnsi="Times New Roman"/>
          <w:sz w:val="24"/>
          <w:szCs w:val="24"/>
          <w:lang w:val="x-none"/>
        </w:rPr>
        <w:t>само една оферта.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78 от 2018 г., в сила от 21.09.2018 г.) Офертата по ал. 3 трябва да съдържа най-малко: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(изм. – ДВ, бр. 78 от 2018 г., в сила от 21.09.2018 г.) име и адрес, съответно наименование, седалище и адрес на управление </w:t>
      </w:r>
      <w:r>
        <w:rPr>
          <w:rFonts w:ascii="Times New Roman" w:hAnsi="Times New Roman"/>
          <w:sz w:val="24"/>
          <w:szCs w:val="24"/>
          <w:lang w:val="x-none"/>
        </w:rPr>
        <w:t xml:space="preserve">и код по БУЛСТАТ/ЕИК за лицата, регистрирани в Република България, а за лицата, регистрирани в друга държава – документ за еквивалентна регистрация, съгласно законодателството на държавата;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78 от 2018 г., в сила от 21.09.2018 г.) пред</w:t>
      </w:r>
      <w:r>
        <w:rPr>
          <w:rFonts w:ascii="Times New Roman" w:hAnsi="Times New Roman"/>
          <w:sz w:val="24"/>
          <w:szCs w:val="24"/>
          <w:lang w:val="x-none"/>
        </w:rPr>
        <w:t>ложение за изпълнение на оценката на въздействието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начин и срокове за извършване на оценката на въздействие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предлагана цена;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списък на документите, съдържащи се в офертата, подписан о</w:t>
      </w:r>
      <w:r>
        <w:rPr>
          <w:rFonts w:ascii="Times New Roman" w:hAnsi="Times New Roman"/>
          <w:sz w:val="24"/>
          <w:szCs w:val="24"/>
          <w:lang w:val="x-none"/>
        </w:rPr>
        <w:t>т кандидата.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78 от 2018 г., в сила от 21.09.2018 г.) Кандидатите за участие прилагат към офертата: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доказателства за финансовия и техническия капацитет на кандидата;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списък на лицата, които ще извършват оценката на въздействи</w:t>
      </w:r>
      <w:r>
        <w:rPr>
          <w:rFonts w:ascii="Times New Roman" w:hAnsi="Times New Roman"/>
          <w:sz w:val="24"/>
          <w:szCs w:val="24"/>
          <w:lang w:val="x-none"/>
        </w:rPr>
        <w:t>ето на програмата, в който е посочена професионалната им квалификация и/или опит;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документи, удостоверяващи професионалната квалификация и/или опита на лицата по т. 2;</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декларация за техническото оборудване, което ще бъде използвано за извършване </w:t>
      </w:r>
      <w:r>
        <w:rPr>
          <w:rFonts w:ascii="Times New Roman" w:hAnsi="Times New Roman"/>
          <w:sz w:val="24"/>
          <w:szCs w:val="24"/>
          <w:lang w:val="x-none"/>
        </w:rPr>
        <w:t>на оценката на въздействието на програмата;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декларация за липса на свързаност между оценяващата организация, прилагащата организация и предлагащата организация съгласно § 1 от допълнителните разпоредби на Търговския закон;</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40 от 2</w:t>
      </w:r>
      <w:r>
        <w:rPr>
          <w:rFonts w:ascii="Times New Roman" w:hAnsi="Times New Roman"/>
          <w:sz w:val="24"/>
          <w:szCs w:val="24"/>
          <w:lang w:val="x-none"/>
        </w:rPr>
        <w:t>020 г.) декларация за липса на конфликт на интереси по смисъла на чл. 61, параграф 3 от Регламент (ЕС, Евратом) 2018/1046;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декларация за липса на публични задължения, когато кандидатът е регистриран на територията на Република България, или документ, </w:t>
      </w:r>
      <w:r>
        <w:rPr>
          <w:rFonts w:ascii="Times New Roman" w:hAnsi="Times New Roman"/>
          <w:sz w:val="24"/>
          <w:szCs w:val="24"/>
          <w:lang w:val="x-none"/>
        </w:rPr>
        <w:t>удостоверяващ липсата на публични задължения съгласно законодателството на държавата, в която е регистриран;</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(изм. – ДВ, бр. 40 от 2020 г.) годишни финансови отчети за последните три години, когато не са достъпни в публичен регистър и данните не могат</w:t>
      </w:r>
      <w:r>
        <w:rPr>
          <w:rFonts w:ascii="Times New Roman" w:hAnsi="Times New Roman"/>
          <w:sz w:val="24"/>
          <w:szCs w:val="24"/>
          <w:lang w:val="x-none"/>
        </w:rPr>
        <w:t xml:space="preserve"> да се получат по служебен път;</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списък на изпълнените през последните две години договори за извършване на услуги с предмет и обем, идентични или сходни с извършването на оценка на въздействие, придружен от препоръки за добро изпълнение по тях;</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w:t>
      </w:r>
      <w:r>
        <w:rPr>
          <w:rFonts w:ascii="Times New Roman" w:hAnsi="Times New Roman"/>
          <w:sz w:val="24"/>
          <w:szCs w:val="24"/>
          <w:lang w:val="x-none"/>
        </w:rPr>
        <w:t>нова – ДВ, бр. 40 от 2020 г.) в случай че документите по ал. 4 и 5 са на чужд език, същите следва да са придружени от легализиран превод, превод на заклет преводач или превод с апостил на български език.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40 от 2020 г.) Финансовият капа</w:t>
      </w:r>
      <w:r>
        <w:rPr>
          <w:rFonts w:ascii="Times New Roman" w:hAnsi="Times New Roman"/>
          <w:sz w:val="24"/>
          <w:szCs w:val="24"/>
          <w:lang w:val="x-none"/>
        </w:rPr>
        <w:t>цитет на кандидата се доказва със справка за общия оборот за последните три календарни години, удостоверяваща минимален общ оборот 50% от прогнозната стойност на дейността.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40 от 2020 г.) Техническият капацитет на кандидата се доказва </w:t>
      </w:r>
      <w:r>
        <w:rPr>
          <w:rFonts w:ascii="Times New Roman" w:hAnsi="Times New Roman"/>
          <w:sz w:val="24"/>
          <w:szCs w:val="24"/>
          <w:lang w:val="x-none"/>
        </w:rPr>
        <w:t>със:</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списък на изпълнените през последните две години услуги, свързани с измерване на резултатите на действия, придружен от препоръки за добро изпълнение;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декларация за техническото оборудване, с което разполага организацията;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данни за собствен</w:t>
      </w:r>
      <w:r>
        <w:rPr>
          <w:rFonts w:ascii="Times New Roman" w:hAnsi="Times New Roman"/>
          <w:sz w:val="24"/>
          <w:szCs w:val="24"/>
          <w:lang w:val="x-none"/>
        </w:rPr>
        <w:t>и или наети работници или служители, които организацията ще използва за оценка на изпълнението на мерките, включени в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документи, удостоверяващи образованието и професионалната квалификация на лицата по т. 3.</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(1) (Изм.</w:t>
      </w:r>
      <w:r>
        <w:rPr>
          <w:rFonts w:ascii="Times New Roman" w:hAnsi="Times New Roman"/>
          <w:sz w:val="24"/>
          <w:szCs w:val="24"/>
          <w:lang w:val="x-none"/>
        </w:rPr>
        <w:t xml:space="preserve"> – ДВ, бр. 78 от 2018 г., в сила от 21.09.2018 г.) Предлагащите организации назначават комисия за провеждане на конкурс, която се състои от нечетен брой членове, поне един от които е правоспособен юрист.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78 от 2018 г., в сила от 21.09</w:t>
      </w:r>
      <w:r>
        <w:rPr>
          <w:rFonts w:ascii="Times New Roman" w:hAnsi="Times New Roman"/>
          <w:sz w:val="24"/>
          <w:szCs w:val="24"/>
          <w:lang w:val="x-none"/>
        </w:rPr>
        <w:t>.2018 г.) Конкурсът се провежда, когато са подадени най-малко три оферти. Когато са подадени по-малко от три оферти, конкурсът се прекратява.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ал. 2, изм. – ДВ, бр. 78 от 2018 г., в сила от 21.09.2018 г.) Комисията по ал. 1 взема решения с об</w:t>
      </w:r>
      <w:r>
        <w:rPr>
          <w:rFonts w:ascii="Times New Roman" w:hAnsi="Times New Roman"/>
          <w:sz w:val="24"/>
          <w:szCs w:val="24"/>
          <w:lang w:val="x-none"/>
        </w:rPr>
        <w:t>икновено мнозинство от членовете й. За всяко заседание на комисията се води протокол, който се подписва от всички присъстващи членове. Резултатите от работата на комисията и взетите решения се отразяват в доклад.</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78 от 2018 г., в сила </w:t>
      </w:r>
      <w:r>
        <w:rPr>
          <w:rFonts w:ascii="Times New Roman" w:hAnsi="Times New Roman"/>
          <w:sz w:val="24"/>
          <w:szCs w:val="24"/>
          <w:lang w:val="x-none"/>
        </w:rPr>
        <w:t>от 21.09.2018 г.) Членовете на комисията са длъжни да не разгласяват обстоятелствата, станали им известни във връзка с дейността на комисията.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3 – ДВ, бр. 78 от 2018 г., в сила от 21.09.2018 г.) Комисията прави избор на оценяваща организ</w:t>
      </w:r>
      <w:r>
        <w:rPr>
          <w:rFonts w:ascii="Times New Roman" w:hAnsi="Times New Roman"/>
          <w:sz w:val="24"/>
          <w:szCs w:val="24"/>
          <w:lang w:val="x-none"/>
        </w:rPr>
        <w:t>ация въз основа на: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оценка на финансовия и техническия капацитет на кандидатите;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съотношението между предложените цени и предлаганото качество на изпълнението.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4, изм. – ДВ, бр. 78 от 2018 г., в сила от 21.09.2018 г.) Предлага</w:t>
      </w:r>
      <w:r>
        <w:rPr>
          <w:rFonts w:ascii="Times New Roman" w:hAnsi="Times New Roman"/>
          <w:sz w:val="24"/>
          <w:szCs w:val="24"/>
          <w:lang w:val="x-none"/>
        </w:rPr>
        <w:t>щите организации уведомяват писмено участниците в конкурса за взетите решения в тридневен срок от изготвяне на доклада по ал. 3.</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(Изм. – ДВ, бр. 78 от 2018 г., в сила от 21.09.2018 г., бр. 40 от 2020 г.) Предлагащите организации, които са избрали </w:t>
      </w:r>
      <w:r>
        <w:rPr>
          <w:rFonts w:ascii="Times New Roman" w:hAnsi="Times New Roman"/>
          <w:sz w:val="24"/>
          <w:szCs w:val="24"/>
          <w:lang w:val="x-none"/>
        </w:rPr>
        <w:t xml:space="preserve">оценяваща организация, в 7-дневен срок от извършването на избора представят в Държавен фонд "Земеделие" писмено заявление по </w:t>
      </w:r>
      <w:r>
        <w:rPr>
          <w:rFonts w:ascii="Times New Roman" w:hAnsi="Times New Roman"/>
          <w:sz w:val="24"/>
          <w:szCs w:val="24"/>
          <w:lang w:val="x-none"/>
        </w:rPr>
        <w:lastRenderedPageBreak/>
        <w:t>образец за одобряване на оценяваща организация, към което прилагат заверени копия на всички документи от проведената състезателна п</w:t>
      </w:r>
      <w:r>
        <w:rPr>
          <w:rFonts w:ascii="Times New Roman" w:hAnsi="Times New Roman"/>
          <w:sz w:val="24"/>
          <w:szCs w:val="24"/>
          <w:lang w:val="x-none"/>
        </w:rPr>
        <w:t>роцедура – обявлението за участие, получените оферти, протоколите от проведените заседания на комисията, доклада на комисията за избор на оценяваща организация, кореспонденцията с кандидатите, водена във връзка с конкурса, включително и по електронна поща.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(1) (Изм. – ДВ, бр. 78 от 2018 г., в сила от 21.09.2018 г.) Комисията по чл. 13а прави преценка за съответствието на избора на оценяващата организация с чл. 16 и 17 и за финансовия и техническия капацитет, с които разполага за извършване на оценк</w:t>
      </w:r>
      <w:r>
        <w:rPr>
          <w:rFonts w:ascii="Times New Roman" w:hAnsi="Times New Roman"/>
          <w:sz w:val="24"/>
          <w:szCs w:val="24"/>
          <w:lang w:val="x-none"/>
        </w:rPr>
        <w:t>ата на въздействие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78 от 2018 г., в сила от 21.09.2018 г.) При поискване от страна на комисията по чл. 13а предлагащата организация представя за проверка оригиналите на всички документи, приложени към заявл</w:t>
      </w:r>
      <w:r>
        <w:rPr>
          <w:rFonts w:ascii="Times New Roman" w:hAnsi="Times New Roman"/>
          <w:sz w:val="24"/>
          <w:szCs w:val="24"/>
          <w:lang w:val="x-none"/>
        </w:rPr>
        <w:t>ението по чл. 18.</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78 от 2018 г., в сила от 21.09.2018 г., изм., бр. 40 от 2020 г.) При установяване на нередовност и/или непълнота на представените документи комисията по чл. 13а уведомява писмено предлагащата организация, която в сро</w:t>
      </w:r>
      <w:r>
        <w:rPr>
          <w:rFonts w:ascii="Times New Roman" w:hAnsi="Times New Roman"/>
          <w:sz w:val="24"/>
          <w:szCs w:val="24"/>
          <w:lang w:val="x-none"/>
        </w:rPr>
        <w:t xml:space="preserve">к до 10 работни дни от получаване на уведомлението трябва да отстрани нередовностите и/или непълнотите и да предостави исканите документи и/или писмени разяснения.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78 от 2018 г., в сила от 21.09.2018 г., изм., бр. 40 от 2020 г.) Ако </w:t>
      </w:r>
      <w:r>
        <w:rPr>
          <w:rFonts w:ascii="Times New Roman" w:hAnsi="Times New Roman"/>
          <w:sz w:val="24"/>
          <w:szCs w:val="24"/>
          <w:lang w:val="x-none"/>
        </w:rPr>
        <w:t>предлагащата организация не отстрани нередовностите и/или непълнотите в срока по ал. 3, производството по разглеждане на заявлението за одобряване на оценяваща организация се прекратява.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2, изм. – ДВ, бр. 78 от 2018 г., в сила от 21.09.</w:t>
      </w:r>
      <w:r>
        <w:rPr>
          <w:rFonts w:ascii="Times New Roman" w:hAnsi="Times New Roman"/>
          <w:sz w:val="24"/>
          <w:szCs w:val="24"/>
          <w:lang w:val="x-none"/>
        </w:rPr>
        <w:t>2018 г., бр. 40 от 2020 г.) Въз основа на направената преценка по ал. 1 комисията по чл. 13а мотивирано предлага на изпълнителния директор на Държавен фонд "Земеделие" да одобри или да откаже одобрение на предложената оценяваща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w:t>
      </w:r>
      <w:r>
        <w:rPr>
          <w:rFonts w:ascii="Times New Roman" w:hAnsi="Times New Roman"/>
          <w:sz w:val="24"/>
          <w:szCs w:val="24"/>
          <w:lang w:val="x-none"/>
        </w:rPr>
        <w:t xml:space="preserve"> ал. 3, изм. – ДВ, бр. 78 от 2018 г., в сила от 21.09.2018 г., бр. 40 от 2020 г.) Изпълнителният директор на Държавен фонд "Земеделие" издава заповед за одобряване или за отказ.</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(Предишна ал. 4, изм. – ДВ, бр. 78 от 2018 г., в сила от 21.09.2018 г., </w:t>
      </w:r>
      <w:r>
        <w:rPr>
          <w:rFonts w:ascii="Times New Roman" w:hAnsi="Times New Roman"/>
          <w:sz w:val="24"/>
          <w:szCs w:val="24"/>
          <w:lang w:val="x-none"/>
        </w:rPr>
        <w:t>бр. 40 от 2020 г.) Отказът по ал. 6 се съобщава и може да бъде обжалван по реда на Административнопроцесуалния кодекс.</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(Предишна ал. 5, изм. – ДВ, бр. 78 от 2018 г., в сила от 21.09.2018 г., бр. 40 от 2020 г.) Предлагащата организация сключва писмен </w:t>
      </w:r>
      <w:r>
        <w:rPr>
          <w:rFonts w:ascii="Times New Roman" w:hAnsi="Times New Roman"/>
          <w:sz w:val="24"/>
          <w:szCs w:val="24"/>
          <w:lang w:val="x-none"/>
        </w:rPr>
        <w:t xml:space="preserve">договор с оценяващата организация за </w:t>
      </w:r>
      <w:r>
        <w:rPr>
          <w:rFonts w:ascii="Times New Roman" w:hAnsi="Times New Roman"/>
          <w:sz w:val="24"/>
          <w:szCs w:val="24"/>
          <w:lang w:val="x-none"/>
        </w:rPr>
        <w:lastRenderedPageBreak/>
        <w:t>изпълнение на мерките, свързани с извършване на оценката на въздействието на програмата, след издаването на заповедта по ал. 6 и предоставя заверено копие от договора на Държавен фонд "Земеделие". Договорът съдържа клау</w:t>
      </w:r>
      <w:r>
        <w:rPr>
          <w:rFonts w:ascii="Times New Roman" w:hAnsi="Times New Roman"/>
          <w:sz w:val="24"/>
          <w:szCs w:val="24"/>
          <w:lang w:val="x-none"/>
        </w:rPr>
        <w:t>за, която задължава оценяващата организация да предоставя информация и достъп за проверка на изпълнението на нейните задължения на служители на ЕК, Европейската сметна палата, Европейската служба за борба с измамите (OLAF), Министерството на земеделието, х</w:t>
      </w:r>
      <w:r>
        <w:rPr>
          <w:rFonts w:ascii="Times New Roman" w:hAnsi="Times New Roman"/>
          <w:sz w:val="24"/>
          <w:szCs w:val="24"/>
          <w:lang w:val="x-none"/>
        </w:rPr>
        <w:t>раните и горите и Държавен фонд "Земеделие".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СКЛЮЧВАНЕ НА ДОГОВОРИ ЗА ФИНАНСОВО ПОДПОМАГАНЕ НА ОБИКНОВЕНИТЕ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(1) Държавен фонд "Земеделие" е компетентен национален орган за финансиране и контрол на изпълнениет</w:t>
      </w:r>
      <w:r>
        <w:rPr>
          <w:rFonts w:ascii="Times New Roman" w:hAnsi="Times New Roman"/>
          <w:sz w:val="24"/>
          <w:szCs w:val="24"/>
          <w:lang w:val="x-none"/>
        </w:rPr>
        <w:t xml:space="preserve">о на обикновените програми по смисъла на Регламент (ЕС) № 1144/2014, Регламент за изпълнение (ЕС) № 2015/1831 и Делегиран Регламент (ЕС) № 2015/1829.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78 от 2018 г., в сила от 21.09.2018 г., доп., бр. 40 от 2020 г.) Предлагащата орган</w:t>
      </w:r>
      <w:r>
        <w:rPr>
          <w:rFonts w:ascii="Times New Roman" w:hAnsi="Times New Roman"/>
          <w:sz w:val="24"/>
          <w:szCs w:val="24"/>
          <w:lang w:val="x-none"/>
        </w:rPr>
        <w:t>изация след получаване на уведомление по чл. 8, ал. 2 и заповедта по чл. 14, ал. 4 подава в Държавен фонд "Земеделие" заявление за финансово подпомагане по образец.</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78 от 2018 г., в сила от 21.09.2018 г.) Към заявлението по ал. 2 пред</w:t>
      </w:r>
      <w:r>
        <w:rPr>
          <w:rFonts w:ascii="Times New Roman" w:hAnsi="Times New Roman"/>
          <w:sz w:val="24"/>
          <w:szCs w:val="24"/>
          <w:lang w:val="x-none"/>
        </w:rPr>
        <w:t>лагащата организация представя документи, които показват източниците на финансиране, които ще използват при изпълнение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ал. 2 – ДВ, бр. 78 от 2018 г., в сила от 21.09.2018 г.) Държавен фонд "Земеделие" сключва до</w:t>
      </w:r>
      <w:r>
        <w:rPr>
          <w:rFonts w:ascii="Times New Roman" w:hAnsi="Times New Roman"/>
          <w:sz w:val="24"/>
          <w:szCs w:val="24"/>
          <w:lang w:val="x-none"/>
        </w:rPr>
        <w:t xml:space="preserve">говори с предлагащите организации за финансово подпомагане на одобрените от ЕК обикновени програми. Договорите се сключват в срок до 90 календарни дни от издаването на акта за изпълнение на ЕК за избор на обикновени програми.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3 – ДВ, б</w:t>
      </w:r>
      <w:r>
        <w:rPr>
          <w:rFonts w:ascii="Times New Roman" w:hAnsi="Times New Roman"/>
          <w:sz w:val="24"/>
          <w:szCs w:val="24"/>
          <w:lang w:val="x-none"/>
        </w:rPr>
        <w:t>р. 78 от 2018 г., в сила от 21.09.2018 г.) Държавен фонд "Земеделие" изготвя договорите по ал. 2 съгласно образеца, получен от ЕК.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4 – ДВ, бр. 78 от 2018 г., в сила от 21.09.2018 г.) Държавен фонд "Земеделие" изпраща на ЕК, при поискван</w:t>
      </w:r>
      <w:r>
        <w:rPr>
          <w:rFonts w:ascii="Times New Roman" w:hAnsi="Times New Roman"/>
          <w:sz w:val="24"/>
          <w:szCs w:val="24"/>
          <w:lang w:val="x-none"/>
        </w:rPr>
        <w:t>е от нейна страна, копие на договора по ал. 2, копие на документа за депозираното обезпечение по чл. 22, ал. 2, ако такова е предоставено, и копие на договора по чл. 14, ал. 6.</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(Предишна ал. 5 – ДВ, бр. 78 от 2018 г., в сила от 21.09.2018 г.) Предлаг</w:t>
      </w:r>
      <w:r>
        <w:rPr>
          <w:rFonts w:ascii="Times New Roman" w:hAnsi="Times New Roman"/>
          <w:sz w:val="24"/>
          <w:szCs w:val="24"/>
          <w:lang w:val="x-none"/>
        </w:rPr>
        <w:t>ащите организации отговарят за управлението и точното изпълнение на промоционалната програма, която са предложили.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Държавен фонд "Земеделие" финансира изпълнението на обикновените програми чрез авансови плащания, междинни плащания и плащания на ос</w:t>
      </w:r>
      <w:r>
        <w:rPr>
          <w:rFonts w:ascii="Times New Roman" w:hAnsi="Times New Roman"/>
          <w:sz w:val="24"/>
          <w:szCs w:val="24"/>
          <w:lang w:val="x-none"/>
        </w:rPr>
        <w:t>татъка съгласно Регламент (ЕС) № 1144/2014 и Регламент за изпълнение (ЕС) 2015/1831.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Заявката за авансово плащане се подава в срок до 30 дни след сключване на договора за финансово подпомагане.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Заявката за авансово плащане се подава зае</w:t>
      </w:r>
      <w:r>
        <w:rPr>
          <w:rFonts w:ascii="Times New Roman" w:hAnsi="Times New Roman"/>
          <w:sz w:val="24"/>
          <w:szCs w:val="24"/>
          <w:lang w:val="x-none"/>
        </w:rPr>
        <w:t xml:space="preserve">дно с депозирано обезпечение в полза на Държавен фонд "Земеделие" в размер, равен на размера на авансовото плащане, при условията, предвидени в глава IV от Делегиран Регламент (ЕС) № 907/2014 на Комисията от 11 март 2014 г. за допълнение на Регламент (ЕС) </w:t>
      </w:r>
      <w:r>
        <w:rPr>
          <w:rFonts w:ascii="Times New Roman" w:hAnsi="Times New Roman"/>
          <w:sz w:val="24"/>
          <w:szCs w:val="24"/>
          <w:lang w:val="x-none"/>
        </w:rPr>
        <w:t>№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 (OB, L 255 от 28 август 2014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Държавен фонд "Земеделие" и</w:t>
      </w:r>
      <w:r>
        <w:rPr>
          <w:rFonts w:ascii="Times New Roman" w:hAnsi="Times New Roman"/>
          <w:sz w:val="24"/>
          <w:szCs w:val="24"/>
          <w:lang w:val="x-none"/>
        </w:rPr>
        <w:t>зпраща на ЕК, при поискване от нейна страна, копие от заявката за авансово плащане и копие от доказателство за депозираното обезпечение.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Авансовото плащане е не повече от 20 на сто от максималния размер на финансовата помощ на ЕС.</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Държавен фонд</w:t>
      </w:r>
      <w:r>
        <w:rPr>
          <w:rFonts w:ascii="Times New Roman" w:hAnsi="Times New Roman"/>
          <w:sz w:val="24"/>
          <w:szCs w:val="24"/>
          <w:lang w:val="x-none"/>
        </w:rPr>
        <w:t xml:space="preserve"> "Земеделие" извършва авансово плащане в срок до 30 дни: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след получаването на обезпечението, или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 датата, която е 10 дни преди началната дата на изпълнението на програмата, като се взема по-късната от двете дати.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Авансовото плащане се ура</w:t>
      </w:r>
      <w:r>
        <w:rPr>
          <w:rFonts w:ascii="Times New Roman" w:hAnsi="Times New Roman"/>
          <w:sz w:val="24"/>
          <w:szCs w:val="24"/>
          <w:lang w:val="x-none"/>
        </w:rPr>
        <w:t>внява при плащането на остатъка.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Заявката за междинно плащане се подава в срок до 60 дни от датата, на която е приключила съответната година от изпълнението на програмата.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40 от 2020 г.) Заявката за междинно плащане обхв</w:t>
      </w:r>
      <w:r>
        <w:rPr>
          <w:rFonts w:ascii="Times New Roman" w:hAnsi="Times New Roman"/>
          <w:sz w:val="24"/>
          <w:szCs w:val="24"/>
          <w:lang w:val="x-none"/>
        </w:rPr>
        <w:t xml:space="preserve">аща допустимите </w:t>
      </w:r>
      <w:r>
        <w:rPr>
          <w:rFonts w:ascii="Times New Roman" w:hAnsi="Times New Roman"/>
          <w:sz w:val="24"/>
          <w:szCs w:val="24"/>
          <w:lang w:val="x-none"/>
        </w:rPr>
        <w:lastRenderedPageBreak/>
        <w:t>разходи, направени през съответната година, и се придружава от междинен отчет, включващ периодичен финансов отчет и периодичен технически отчет, изготвени в съответствие с чл. 14, параграф 3 и параграф 4 от Регламент за изпълнение (ЕС) № 20</w:t>
      </w:r>
      <w:r>
        <w:rPr>
          <w:rFonts w:ascii="Times New Roman" w:hAnsi="Times New Roman"/>
          <w:sz w:val="24"/>
          <w:szCs w:val="24"/>
          <w:lang w:val="x-none"/>
        </w:rPr>
        <w:t>15/1831. В случай че се предоставят документи към заявката на чужд език, следва да бъдат придружени от легализиран превод, превод на заклет преводач или превод с апостил на български език.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Сумата на авансовото плащане и междинните плащания не може да</w:t>
      </w:r>
      <w:r>
        <w:rPr>
          <w:rFonts w:ascii="Times New Roman" w:hAnsi="Times New Roman"/>
          <w:sz w:val="24"/>
          <w:szCs w:val="24"/>
          <w:lang w:val="x-none"/>
        </w:rPr>
        <w:t xml:space="preserve"> превишава 90 на сто от общия размер на финансовото участие на ЕС. След достигане на това равнище не може да се подават нови заявки за междинно плащане.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Държавен фонд "Земеделие" извършва междинно плащане в срок до 60 дни след депозирането на заявкат</w:t>
      </w:r>
      <w:r>
        <w:rPr>
          <w:rFonts w:ascii="Times New Roman" w:hAnsi="Times New Roman"/>
          <w:sz w:val="24"/>
          <w:szCs w:val="24"/>
          <w:lang w:val="x-none"/>
        </w:rPr>
        <w:t xml:space="preserve">а за плащане.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(Доп. – ДВ, бр. 78 от 2018 г., в сила от 21.09.2018 г.) Срокът по ал. 4 спира да тече и се уведомява предлагащата организация, когато заявката е неточна, не са предоставени всички необходими документи, изисква се да се представи допълн</w:t>
      </w:r>
      <w:r>
        <w:rPr>
          <w:rFonts w:ascii="Times New Roman" w:hAnsi="Times New Roman"/>
          <w:sz w:val="24"/>
          <w:szCs w:val="24"/>
          <w:lang w:val="x-none"/>
        </w:rPr>
        <w:t>ителна информация или да се извърши допълнителна проверка от Държавен фонд "Земеделие", служители на ЕК, Европейската сметна палата, Европейската служба за борба с измамите (OLAF) и Министерството на земеделието, храните и горите.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Срокът по ал. 4 про</w:t>
      </w:r>
      <w:r>
        <w:rPr>
          <w:rFonts w:ascii="Times New Roman" w:hAnsi="Times New Roman"/>
          <w:sz w:val="24"/>
          <w:szCs w:val="24"/>
          <w:lang w:val="x-none"/>
        </w:rPr>
        <w:t>дължава да тече след получаване на необходимите документи, представяне на допълнителната информация или от датата на извършване на проверката.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Заявката за плащане на остатък се подава в срок до 90 дни от датата на приключване на програмата.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40 от 2020 г.) Заявката за плащане на остатък се придружава от финален междинен отчет и финален отчет, изготвени в съответствие с чл. 15, параграфи 3 и 4 от Регламент за изпълнение (ЕС) № 2015/1831, както и от оценка на въздействието н</w:t>
      </w:r>
      <w:r>
        <w:rPr>
          <w:rFonts w:ascii="Times New Roman" w:hAnsi="Times New Roman"/>
          <w:sz w:val="24"/>
          <w:szCs w:val="24"/>
          <w:lang w:val="x-none"/>
        </w:rPr>
        <w:t>а програмата, изготвена в съответствие с чл. 15. В случай че се предоставят документи към заявката на чужд език, следва да бъдат придружени от легализиран превод, превод на заклет преводач или превод с апостил на български език.</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Държавен фонд "Земеде</w:t>
      </w:r>
      <w:r>
        <w:rPr>
          <w:rFonts w:ascii="Times New Roman" w:hAnsi="Times New Roman"/>
          <w:sz w:val="24"/>
          <w:szCs w:val="24"/>
          <w:lang w:val="x-none"/>
        </w:rPr>
        <w:t xml:space="preserve">лие" извършва плащане на остатък в срок до 60 дни след депозирането на заявката за плащане.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Срокът по ал. 3 спира да тече и се уведомяват предлагащите организации, когато заявката е неточна, не са предоставени всички необходими документи, изисква се</w:t>
      </w:r>
      <w:r>
        <w:rPr>
          <w:rFonts w:ascii="Times New Roman" w:hAnsi="Times New Roman"/>
          <w:sz w:val="24"/>
          <w:szCs w:val="24"/>
          <w:lang w:val="x-none"/>
        </w:rPr>
        <w:t xml:space="preserve"> допълнителна информация или се извършва допълнителна проверка от Държавен фонд </w:t>
      </w:r>
      <w:r>
        <w:rPr>
          <w:rFonts w:ascii="Times New Roman" w:hAnsi="Times New Roman"/>
          <w:sz w:val="24"/>
          <w:szCs w:val="24"/>
          <w:lang w:val="x-none"/>
        </w:rPr>
        <w:lastRenderedPageBreak/>
        <w:t xml:space="preserve">"Земеделие".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Срокът по ал. 3 продължава да тече след получаване на необходимите документи, на допълнителната информация или от датата на извършване на проверката, които </w:t>
      </w:r>
      <w:r>
        <w:rPr>
          <w:rFonts w:ascii="Times New Roman" w:hAnsi="Times New Roman"/>
          <w:sz w:val="24"/>
          <w:szCs w:val="24"/>
          <w:lang w:val="x-none"/>
        </w:rPr>
        <w:t>трябва съответно да бъдат предадени или извършени в срок 30 дни считано от уведомяването на предлагащите организации.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Държавен фонд "Земеделие" извършва проверка дали информационните и промоционалните материали, изготвени за нуждите на обикновенит</w:t>
      </w:r>
      <w:r>
        <w:rPr>
          <w:rFonts w:ascii="Times New Roman" w:hAnsi="Times New Roman"/>
          <w:sz w:val="24"/>
          <w:szCs w:val="24"/>
          <w:lang w:val="x-none"/>
        </w:rPr>
        <w:t>е програми, отговарят на критериите съгласно приложението.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 НА ИЗПЪЛНЕНИЕТО НА ОДОБРЕНИТЕ ОБИКНОВЕНИ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Държавен фонд "Земеделие" осъществява контрол върху изпълнението на обикновените програми чрез извършване на админ</w:t>
      </w:r>
      <w:r>
        <w:rPr>
          <w:rFonts w:ascii="Times New Roman" w:hAnsi="Times New Roman"/>
          <w:sz w:val="24"/>
          <w:szCs w:val="24"/>
          <w:lang w:val="x-none"/>
        </w:rPr>
        <w:t>истративни проверки, счетоводни проверки и проверки на място.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78 от 2018 г., в сила от 21.09.2018 г.) Държавен фонд "Земеделие" извършва всяка година цялостни административни и счетоводни проверки и проверки на място в офисите на пред</w:t>
      </w:r>
      <w:r>
        <w:rPr>
          <w:rFonts w:ascii="Times New Roman" w:hAnsi="Times New Roman"/>
          <w:sz w:val="24"/>
          <w:szCs w:val="24"/>
          <w:lang w:val="x-none"/>
        </w:rPr>
        <w:t>лагащите и прилагащите организации, при които проверява отчетените разходи в заявките за авансово и междинно плащане и заявката за плащане на остатък, като всяка обикновена програма се проверява толкова пъти, колкото заявки за плащане е подала.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Държа</w:t>
      </w:r>
      <w:r>
        <w:rPr>
          <w:rFonts w:ascii="Times New Roman" w:hAnsi="Times New Roman"/>
          <w:sz w:val="24"/>
          <w:szCs w:val="24"/>
          <w:lang w:val="x-none"/>
        </w:rPr>
        <w:t>вен фонд "Земеделие" упражнява контрол върху предлагащите организации и прилагащите организации относно: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точността на представената информация за извършените разходи за изпълнение на програмите;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състоянието на разплащателната сметка за дейностите</w:t>
      </w:r>
      <w:r>
        <w:rPr>
          <w:rFonts w:ascii="Times New Roman" w:hAnsi="Times New Roman"/>
          <w:sz w:val="24"/>
          <w:szCs w:val="24"/>
          <w:lang w:val="x-none"/>
        </w:rPr>
        <w:t xml:space="preserve"> по изпълнение на обикновените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представените разходни документи;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изпълнението на задълженията по договорите по чл. 20;</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спазването на разпоредбите на чл. 4 от Делегиран Регламент (ЕС) 2015/1829 и на чл. 19 на Регламент за изпълнение</w:t>
      </w:r>
      <w:r>
        <w:rPr>
          <w:rFonts w:ascii="Times New Roman" w:hAnsi="Times New Roman"/>
          <w:sz w:val="24"/>
          <w:szCs w:val="24"/>
          <w:lang w:val="x-none"/>
        </w:rPr>
        <w:t xml:space="preserve"> (ЕС) 2015/1831;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спазването на разпоредбите чл. 10 и 15 от Регламент (ЕС) № 1144/2014;</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78 от 2018 г., в сила от 21.09.2018 г.) процедурата за избор на прилагащи и оценяващи организации.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Предлагащите организации, прилагащите</w:t>
      </w:r>
      <w:r>
        <w:rPr>
          <w:rFonts w:ascii="Times New Roman" w:hAnsi="Times New Roman"/>
          <w:sz w:val="24"/>
          <w:szCs w:val="24"/>
          <w:lang w:val="x-none"/>
        </w:rPr>
        <w:t xml:space="preserve"> организации и оценяващите организации са длъжни да: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оказват съдействие на проверяващите;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предоставят на проверяващите информацията и документите, свързани с проверката;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водят аналитично счетоводство;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съхраняват документите по промоцион</w:t>
      </w:r>
      <w:r>
        <w:rPr>
          <w:rFonts w:ascii="Times New Roman" w:hAnsi="Times New Roman"/>
          <w:sz w:val="24"/>
          <w:szCs w:val="24"/>
          <w:lang w:val="x-none"/>
        </w:rPr>
        <w:t>алните програми и по изпълнението им в продължение на 5 години след приключване на изпълнението;</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спазват условията на чл. 12 от Регламент за изпълнение (ЕС) 2015/1831;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78 от 2018 г., в сила от 21.09.2018 г.) предоставят на надлежн</w:t>
      </w:r>
      <w:r>
        <w:rPr>
          <w:rFonts w:ascii="Times New Roman" w:hAnsi="Times New Roman"/>
          <w:sz w:val="24"/>
          <w:szCs w:val="24"/>
          <w:lang w:val="x-none"/>
        </w:rPr>
        <w:t>о упълномощените представители на ДФЗ,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(OLAF) и Изпълнителната агенция "Сертификационен одит на сред</w:t>
      </w:r>
      <w:r>
        <w:rPr>
          <w:rFonts w:ascii="Times New Roman" w:hAnsi="Times New Roman"/>
          <w:sz w:val="24"/>
          <w:szCs w:val="24"/>
          <w:lang w:val="x-none"/>
        </w:rPr>
        <w:t>ствата от европейските земеделски фондове":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всяка поискана информация за осъществяването на дейността;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достъп до документи и активи, 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в) съдействие при извършваните от тях проверки.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78 от 2018 г., в сила от 21.09.2018 г</w:t>
      </w:r>
      <w:r>
        <w:rPr>
          <w:rFonts w:ascii="Times New Roman" w:hAnsi="Times New Roman"/>
          <w:sz w:val="24"/>
          <w:szCs w:val="24"/>
          <w:lang w:val="x-none"/>
        </w:rPr>
        <w:t>.) Избраните от прилагащата организация подизпълнители следва да спазват ал. 4, т. 1 и 2, както и разпоредбите на чл. 12, параграф 2 от Регламент за изпълнение (ЕС) 2015/1831 за съхранение на документален архив.</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5 – ДВ, бр. 78 от 2018 г.</w:t>
      </w:r>
      <w:r>
        <w:rPr>
          <w:rFonts w:ascii="Times New Roman" w:hAnsi="Times New Roman"/>
          <w:sz w:val="24"/>
          <w:szCs w:val="24"/>
          <w:lang w:val="x-none"/>
        </w:rPr>
        <w:t>, в сила от 21.09.2018 г.) Предлагащите организации са длъжни да имат отделна разплащателна сметка за дейностите по изпълнение на промоционалната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Държавен фонд "Земеделие" отхвърля всички разходи, счетени като недопустими, в момента </w:t>
      </w:r>
      <w:r>
        <w:rPr>
          <w:rFonts w:ascii="Times New Roman" w:hAnsi="Times New Roman"/>
          <w:sz w:val="24"/>
          <w:szCs w:val="24"/>
          <w:lang w:val="x-none"/>
        </w:rPr>
        <w:t>на обработка на междинно плащане, окончателно плащане или след извършването на тези плащания.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Предлагащата организация възстановява на Държавен фонд "Земеделие" недължимо платените суми в съответствие с глава III, раздел 1 от Регламент за изпълнение </w:t>
      </w:r>
      <w:r>
        <w:rPr>
          <w:rFonts w:ascii="Times New Roman" w:hAnsi="Times New Roman"/>
          <w:sz w:val="24"/>
          <w:szCs w:val="24"/>
          <w:lang w:val="x-none"/>
        </w:rPr>
        <w:t>(ЕС) № 908/2014 на Комисията от 6 август 2014 г. за определяне на правила за прилагането на Регламент (ЕС) № 1306/2013 (OB, L 255 от 28 август 2014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40 от 2020 г.) В случай на нередности по смисъла на чл. 2, параграф 1, буква "ж" </w:t>
      </w:r>
      <w:r>
        <w:rPr>
          <w:rFonts w:ascii="Times New Roman" w:hAnsi="Times New Roman"/>
          <w:sz w:val="24"/>
          <w:szCs w:val="24"/>
          <w:lang w:val="x-none"/>
        </w:rPr>
        <w:t>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w:t>
      </w:r>
      <w:r>
        <w:rPr>
          <w:rFonts w:ascii="Times New Roman" w:hAnsi="Times New Roman"/>
          <w:sz w:val="24"/>
          <w:szCs w:val="24"/>
          <w:lang w:val="x-none"/>
        </w:rPr>
        <w:t>14/2000, (ЕО) № 1290/2005 и (ЕО) № 485/2008 на Съвета (ОВ, L 347 от 20 декември 2013 г.) на предлагащата организация могат да се наложат санкции в съответствие с чл. 5 от Делегиран регламент (ЕС) № 2015/1829.</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Държавен фонд "Земеделие" представя на</w:t>
      </w:r>
      <w:r>
        <w:rPr>
          <w:rFonts w:ascii="Times New Roman" w:hAnsi="Times New Roman"/>
          <w:sz w:val="24"/>
          <w:szCs w:val="24"/>
          <w:lang w:val="x-none"/>
        </w:rPr>
        <w:t xml:space="preserve"> ЕК ежегодно данни за всички плащания, направени за обикновени програми през предходната календарна година, в срок до 15 юли в съответствие с чл. 21 от Регламент за изпълнение (ЕС) № 2015/1831.</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(1) (Изм. – ДВ, бр. 78 от 2018 г., в сила от 21.09.20</w:t>
      </w:r>
      <w:r>
        <w:rPr>
          <w:rFonts w:ascii="Times New Roman" w:hAnsi="Times New Roman"/>
          <w:sz w:val="24"/>
          <w:szCs w:val="24"/>
          <w:lang w:val="x-none"/>
        </w:rPr>
        <w:t xml:space="preserve">18 г.) Министърът на земеделието, храните и горите или оправомощено от него длъжностно лице определя със заповед членовете на групата за наблюдение на обикновените промоционални програми.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Групите за наблюдение по ал. 1 проследяват изпълнението на ме</w:t>
      </w:r>
      <w:r>
        <w:rPr>
          <w:rFonts w:ascii="Times New Roman" w:hAnsi="Times New Roman"/>
          <w:sz w:val="24"/>
          <w:szCs w:val="24"/>
          <w:lang w:val="x-none"/>
        </w:rPr>
        <w:t>рките в обикновените промоционални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наблюдението по ал. 2 могат да участват представители на ЕК. При обсъждане изпълнението на конкретната промоционална програма в групата за наблюдение могат да участват и представители на предлагащата орг</w:t>
      </w:r>
      <w:r>
        <w:rPr>
          <w:rFonts w:ascii="Times New Roman" w:hAnsi="Times New Roman"/>
          <w:sz w:val="24"/>
          <w:szCs w:val="24"/>
          <w:lang w:val="x-none"/>
        </w:rPr>
        <w:t>анизация и на прилагащата организация.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Лицата, които участват във финансирането и контрола на обикновените програми, са длъжни да не разпространяват информацията, станала им известна при осъществяването на тези дейности.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Материалите, изго</w:t>
      </w:r>
      <w:r>
        <w:rPr>
          <w:rFonts w:ascii="Times New Roman" w:hAnsi="Times New Roman"/>
          <w:sz w:val="24"/>
          <w:szCs w:val="24"/>
          <w:lang w:val="x-none"/>
        </w:rPr>
        <w:t>твени по промоционална програма, включително графичните, визуалните и аудио-визуалните произведения и интернет страниците, могат да се използват след приключване на програмата – при наличие на писмено разрешение от ЕК и на разрешение от предлагащата органи</w:t>
      </w:r>
      <w:r>
        <w:rPr>
          <w:rFonts w:ascii="Times New Roman" w:hAnsi="Times New Roman"/>
          <w:sz w:val="24"/>
          <w:szCs w:val="24"/>
          <w:lang w:val="x-none"/>
        </w:rPr>
        <w:t>зация.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32. </w:t>
      </w:r>
      <w:r>
        <w:rPr>
          <w:rFonts w:ascii="Times New Roman" w:hAnsi="Times New Roman"/>
          <w:sz w:val="24"/>
          <w:szCs w:val="24"/>
          <w:lang w:val="x-none"/>
        </w:rPr>
        <w:t>(Нов – ДВ, бр. 78 от 2018 г., в сила от 21.09.2018 г., изм., бр. 40 от 2020 г.) Със заповед на изпълнителния директор на Държавен фонд "Земеделие" се утвърждават указания за извършване на състезателната процедура за избор на прилагаща орган</w:t>
      </w:r>
      <w:r>
        <w:rPr>
          <w:rFonts w:ascii="Times New Roman" w:hAnsi="Times New Roman"/>
          <w:sz w:val="24"/>
          <w:szCs w:val="24"/>
          <w:lang w:val="x-none"/>
        </w:rPr>
        <w:t>изация, които се публикуват на електронната страница на Държавен фонд "Земеделие".</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наредбата: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(Нова – ДВ, бр. 78 от 2018 г., в сила от 21.09.2018 г.) "Икономически най-изгодната оферта" е оптимално съотноше</w:t>
      </w:r>
      <w:r>
        <w:rPr>
          <w:rFonts w:ascii="Times New Roman" w:hAnsi="Times New Roman"/>
          <w:sz w:val="24"/>
          <w:szCs w:val="24"/>
          <w:lang w:val="x-none"/>
        </w:rPr>
        <w:t>ние между качество и цена, което се оценява въз основа на цената и качествените показатели на програмата. Като измерител на качеството се използват показатели за технически параметри, естетически и функционални характеристики, достъпност и предназначение з</w:t>
      </w:r>
      <w:r>
        <w:rPr>
          <w:rFonts w:ascii="Times New Roman" w:hAnsi="Times New Roman"/>
          <w:sz w:val="24"/>
          <w:szCs w:val="24"/>
          <w:lang w:val="x-none"/>
        </w:rPr>
        <w:t>а широк кръг потребители. Съотношението цена/качество следва да бъде 40/60.</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78 от 2018 г., в сила от 21.09.2018 г.) "Общ оборот" е сумата от нетните приходи от продажби.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т. 1 – ДВ, бр. 78 от 2018 г., в сила от 21.09.201</w:t>
      </w:r>
      <w:r>
        <w:rPr>
          <w:rFonts w:ascii="Times New Roman" w:hAnsi="Times New Roman"/>
          <w:sz w:val="24"/>
          <w:szCs w:val="24"/>
          <w:lang w:val="x-none"/>
        </w:rPr>
        <w:t>8 г.) "Орган на хранително-вкусовия сектор" е организация в хранително-вкусовата промишленост, регламентирана с нормативен акт на Република България.</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т. 2 – ДВ, бр. 78 от 2018 г., в сила от 21.09.2018 г.) "Оценяваща организация" е организаци</w:t>
      </w:r>
      <w:r>
        <w:rPr>
          <w:rFonts w:ascii="Times New Roman" w:hAnsi="Times New Roman"/>
          <w:sz w:val="24"/>
          <w:szCs w:val="24"/>
          <w:lang w:val="x-none"/>
        </w:rPr>
        <w:t>я, избрана от предлагащата организация за извършване на оценка на въздействието на промоционалните програми.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т. 3 – ДВ, бр. 78 от 2018 г., в сила от 21.09.2018 г.) "Предлагаща организация" е организация, което кандидатства с промоционална пр</w:t>
      </w:r>
      <w:r>
        <w:rPr>
          <w:rFonts w:ascii="Times New Roman" w:hAnsi="Times New Roman"/>
          <w:sz w:val="24"/>
          <w:szCs w:val="24"/>
          <w:lang w:val="x-none"/>
        </w:rPr>
        <w:t xml:space="preserve">ограма за съфинансиране по реда на тази наредба и е представителна по смисъла на Регламент (ЕС) № 1144/2014.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т. 4 – ДВ, бр. 78 от 2018 г., в сила от 21.09.2018 г.) "Представителна" е предлагаща организация, която отговаря на изискванията съ</w:t>
      </w:r>
      <w:r>
        <w:rPr>
          <w:rFonts w:ascii="Times New Roman" w:hAnsi="Times New Roman"/>
          <w:sz w:val="24"/>
          <w:szCs w:val="24"/>
          <w:lang w:val="x-none"/>
        </w:rPr>
        <w:t xml:space="preserve">гласно чл. 1, параграф 1 от Делегиран Регламент (ЕС) 2015/1829. </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(Предишна т. 5, изм. – ДВ, бр. 78 от 2018 г., в сила от 21.09.2018 г., бр. 40 от 2020 г.) "Прилагаща организация" е организация, избрана чрез конкурс и одобрена от изпълнителния директор</w:t>
      </w:r>
      <w:r>
        <w:rPr>
          <w:rFonts w:ascii="Times New Roman" w:hAnsi="Times New Roman"/>
          <w:sz w:val="24"/>
          <w:szCs w:val="24"/>
          <w:lang w:val="x-none"/>
        </w:rPr>
        <w:t xml:space="preserve"> на Държавен фонд "Земеделие", за прилагане на част или на всички мерки, включени в промоционална програма.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т. 6 – ДВ, бр. 78 от 2018 г., в сила от 21.09.2018 г.) "Промоционална програма" е обединена от обща цел съвкупност от дейности, които</w:t>
      </w:r>
      <w:r>
        <w:rPr>
          <w:rFonts w:ascii="Times New Roman" w:hAnsi="Times New Roman"/>
          <w:sz w:val="24"/>
          <w:szCs w:val="24"/>
          <w:lang w:val="x-none"/>
        </w:rPr>
        <w:t xml:space="preserve"> могат да осигурят предоставянето на по-подробна информация за представяния продукт и да улеснят предлагането му на пазара.</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Наредбата въвежда мерки по прилагането на Регламент (ЕС) № 1144/2014, Регламент за изпълнение (ЕС) 2015/1831 и Делегиран Регла</w:t>
      </w:r>
      <w:r>
        <w:rPr>
          <w:rFonts w:ascii="Times New Roman" w:hAnsi="Times New Roman"/>
          <w:sz w:val="24"/>
          <w:szCs w:val="24"/>
          <w:lang w:val="x-none"/>
        </w:rPr>
        <w:t>мент (ЕС) 2015/1829.</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Наредбата се приема на основание чл. 35 от Закона за прилагане на Общата организация на пазарите на земеделски продукти на Европейския съюз.</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Наредбата се прилага за промоционалните програ</w:t>
      </w:r>
      <w:r>
        <w:rPr>
          <w:rFonts w:ascii="Times New Roman" w:hAnsi="Times New Roman"/>
          <w:sz w:val="24"/>
          <w:szCs w:val="24"/>
          <w:lang w:val="x-none"/>
        </w:rPr>
        <w:t>ми, подадени в ЕК след 1 декември 2015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За промоционалните програми, подадени в Министерството на земеделието и храните преди 1 декември 2015 г., се прилага Наредбата за условията и реда за избор, изпълнение и контрол на промоционални програми за з</w:t>
      </w:r>
      <w:r>
        <w:rPr>
          <w:rFonts w:ascii="Times New Roman" w:hAnsi="Times New Roman"/>
          <w:sz w:val="24"/>
          <w:szCs w:val="24"/>
          <w:lang w:val="x-none"/>
        </w:rPr>
        <w:t>емеделски и хранителни продукти, приета с Постановление № 34 на Министерския съвет от 2007 г. (ДВ, бр. 17 от 2007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Процедурата за избор на оценяваща организация по чл. 15, 16, 17, 18 и 19 се прилага за промоционални програми, чиито предлагащи орг</w:t>
      </w:r>
      <w:r>
        <w:rPr>
          <w:rFonts w:ascii="Times New Roman" w:hAnsi="Times New Roman"/>
          <w:sz w:val="24"/>
          <w:szCs w:val="24"/>
          <w:lang w:val="x-none"/>
        </w:rPr>
        <w:t>анизации са сключили договор за финансово подпомагане с Държавен фонд "Земеделие" след 1 януари 2015 г.</w:t>
      </w: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Наредбата влиза в сила от деня на обнародването й в "Държавен вестник".</w:t>
      </w:r>
    </w:p>
    <w:p w:rsidR="00000000" w:rsidRDefault="000D6696">
      <w:pPr>
        <w:widowControl w:val="0"/>
        <w:autoSpaceDE w:val="0"/>
        <w:autoSpaceDN w:val="0"/>
        <w:adjustRightInd w:val="0"/>
        <w:spacing w:after="0" w:line="240" w:lineRule="auto"/>
        <w:ind w:firstLine="480"/>
        <w:jc w:val="both"/>
        <w:rPr>
          <w:rFonts w:ascii="Courier New" w:cs="Courier New" w:hAnsi="Courier New"/>
          <w:b/>
          <w:bCs/>
          <w:sz w:val="20"/>
          <w:szCs w:val="20"/>
          <w:lang w:val="x-none"/>
        </w:rPr>
      </w:pPr>
      <w:r>
        <w:rPr>
          <w:rFonts w:ascii="Courier New" w:cs="Courier New" w:hAnsi="Courier New"/>
          <w:b/>
          <w:bCs/>
          <w:sz w:val="20"/>
          <w:szCs w:val="20"/>
          <w:lang w:val="x-none"/>
        </w:rPr>
        <w:t xml:space="preserve">Приложение № 1 </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към чл. 11а, ал. 2, т. 2</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 xml:space="preserve">(Ново – ДВ, бр. 78 от 2018 г., </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в</w:t>
      </w:r>
      <w:r>
        <w:rPr>
          <w:rFonts w:ascii="Courier New" w:cs="Courier New" w:hAnsi="Courier New"/>
          <w:sz w:val="20"/>
          <w:szCs w:val="20"/>
          <w:lang w:val="x-none"/>
        </w:rPr>
        <w:t xml:space="preserve"> сила от 21.09.2018 г.)</w:t>
      </w:r>
    </w:p>
    <w:tbl>
      <w:tblPr>
        <w:tblW w:type="dxa" w:w="9750"/>
        <w:tblCellSpacing w:type="dxa" w:w="15"/>
        <w:tblInd w:type="dxa" w:w="45"/>
        <w:tblLayout w:type="fixed"/>
        <w:tblCellMar>
          <w:top w:type="dxa" w:w="15"/>
          <w:left w:type="dxa" w:w="15"/>
          <w:bottom w:type="dxa" w:w="15"/>
          <w:right w:type="dxa" w:w="15"/>
        </w:tblCellMar>
        <w:tblLook w:firstColumn="0" w:firstRow="0" w:lastColumn="0" w:lastRow="0" w:noHBand="0" w:noVBand="0" w:val="0000"/>
      </w:tblPr>
      <w:tblGrid>
        <w:gridCol w:w="9750"/>
      </w:tblGrid>
      <w:tr w:rsidR="00000000" w:rsidRPr="000D6696">
        <w:trPr>
          <w:tblCellSpacing w:type="dxa" w:w="15"/>
        </w:trPr>
        <w:tc>
          <w:tcPr>
            <w:tcW w:type="dxa" w:w="12735"/>
            <w:tcBorders>
              <w:top w:val="nil"/>
              <w:left w:val="nil"/>
              <w:bottom w:val="nil"/>
              <w:right w:val="nil"/>
            </w:tcBorders>
            <w:vAlign w:val="center"/>
          </w:tcPr>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r w:rsidRPr="000D6696">
              <w:rPr>
                <w:rFonts w:ascii="Times New Roman" w:hAnsi="Times New Roman"/>
                <w:sz w:val="24"/>
                <w:szCs w:val="24"/>
                <w:lang w:val="x-none"/>
              </w:rPr>
              <w:t>Методика за установяване на съотношения между определени активи и пасиви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За установяване на икономическото и финансовото състояние на кандидата се използват </w:t>
            </w:r>
            <w:r w:rsidRPr="000D6696">
              <w:rPr>
                <w:rFonts w:ascii="Times New Roman" w:hAnsi="Times New Roman"/>
                <w:sz w:val="24"/>
                <w:szCs w:val="24"/>
                <w:lang w:val="x-none"/>
              </w:rPr>
              <w:lastRenderedPageBreak/>
              <w:t>финансово-счетоводни показатели, чрез които се изчисляват съотношения меж</w:t>
            </w:r>
            <w:r w:rsidRPr="000D6696">
              <w:rPr>
                <w:rFonts w:ascii="Times New Roman" w:hAnsi="Times New Roman"/>
                <w:sz w:val="24"/>
                <w:szCs w:val="24"/>
                <w:lang w:val="x-none"/>
              </w:rPr>
              <w:t xml:space="preserve">ду определени активи и пасиви.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Показателите се изчисляват по данни от годишния финансов отчет (ГФО) на кандидата към 31 декември на последната приключила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За покриване на изискването по чл. 11а, ал. 2, т. 2 кандидатът трябва да покаже, че коефициен</w:t>
            </w:r>
            <w:r w:rsidRPr="000D6696">
              <w:rPr>
                <w:rFonts w:ascii="Times New Roman" w:hAnsi="Times New Roman"/>
                <w:sz w:val="24"/>
                <w:szCs w:val="24"/>
                <w:lang w:val="x-none"/>
              </w:rPr>
              <w:t>тът на обща ликвидност (КОЛ) и коефициентът на бърза ликвидност (КБЛ) имат положително съотношение, както следва: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type="dxa" w:w="12780"/>
              <w:tblCellSpacing w:type="dxa" w:w="0"/>
              <w:tblBorders>
                <w:top w:color="F0F0F0" w:space="0" w:sz="6" w:val="single"/>
                <w:left w:color="F0F0F0" w:space="0" w:sz="6" w:val="single"/>
                <w:bottom w:color="A0A0A0" w:space="0" w:sz="6" w:val="single"/>
                <w:right w:color="A0A0A0" w:space="0" w:sz="6" w:val="single"/>
              </w:tblBorders>
              <w:tblLayout w:type="fixed"/>
              <w:tblCellMar>
                <w:left w:type="dxa" w:w="0"/>
                <w:right w:type="dxa" w:w="0"/>
              </w:tblCellMar>
              <w:tblLook w:firstColumn="0" w:firstRow="0" w:lastColumn="0" w:lastRow="0" w:noHBand="0" w:noVBand="0" w:val="0000"/>
            </w:tblPr>
            <w:tblGrid>
              <w:gridCol w:w="4250"/>
              <w:gridCol w:w="4265"/>
              <w:gridCol w:w="4265"/>
            </w:tblGrid>
            <w:tr w:rsidR="00000000" w:rsidRPr="000D6696">
              <w:trPr>
                <w:tblCellSpacing w:type="dxa" w:w="0"/>
              </w:trPr>
              <w:tc>
                <w:tcPr>
                  <w:tcW w:type="dxa" w:w="4230"/>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r w:rsidRPr="000D6696">
                    <w:rPr>
                      <w:rFonts w:ascii="Times New Roman" w:hAnsi="Times New Roman"/>
                      <w:sz w:val="24"/>
                      <w:szCs w:val="24"/>
                      <w:lang w:val="x-none"/>
                    </w:rPr>
                    <w:t>Коефициент</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r w:rsidRPr="000D6696">
                    <w:rPr>
                      <w:rFonts w:ascii="Times New Roman" w:hAnsi="Times New Roman"/>
                      <w:sz w:val="24"/>
                      <w:szCs w:val="24"/>
                      <w:lang w:val="x-none"/>
                    </w:rPr>
                    <w:t>Показатели</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r w:rsidRPr="000D6696">
                    <w:rPr>
                      <w:rFonts w:ascii="Times New Roman" w:hAnsi="Times New Roman"/>
                      <w:sz w:val="24"/>
                      <w:szCs w:val="24"/>
                      <w:lang w:val="x-none"/>
                    </w:rPr>
                    <w:t>Положително съотношение</w:t>
                  </w:r>
                </w:p>
              </w:tc>
            </w:tr>
            <w:tr w:rsidR="00000000" w:rsidRPr="000D6696">
              <w:trPr>
                <w:tblCellSpacing w:type="dxa" w:w="0"/>
              </w:trPr>
              <w:tc>
                <w:tcPr>
                  <w:tcW w:type="dxa" w:w="4230"/>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Коефициент на обща ликвидност (КОЛ)</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u w:val="single"/>
                      <w:lang w:val="x-none"/>
                    </w:rPr>
                  </w:pPr>
                  <w:r w:rsidRPr="000D6696">
                    <w:rPr>
                      <w:rFonts w:ascii="Times New Roman" w:hAnsi="Times New Roman"/>
                      <w:i/>
                      <w:iCs/>
                      <w:sz w:val="24"/>
                      <w:szCs w:val="24"/>
                      <w:u w:val="single"/>
                      <w:lang w:val="x-none"/>
                    </w:rPr>
                    <w:t>Текущи активи (ТА)</w:t>
                  </w: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Текущи задължения</w:t>
                  </w: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(ТЗ)</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КОЛ ? 1,5</w:t>
                  </w:r>
                </w:p>
              </w:tc>
            </w:tr>
            <w:tr w:rsidR="00000000" w:rsidRPr="000D6696">
              <w:trPr>
                <w:tblCellSpacing w:type="dxa" w:w="0"/>
              </w:trPr>
              <w:tc>
                <w:tcPr>
                  <w:tcW w:type="dxa" w:w="4230"/>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Коефициент на бърза ликвидност (КБЛ)</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u w:val="single"/>
                      <w:lang w:val="x-none"/>
                    </w:rPr>
                  </w:pPr>
                  <w:r w:rsidRPr="000D6696">
                    <w:rPr>
                      <w:rFonts w:ascii="Times New Roman" w:hAnsi="Times New Roman"/>
                      <w:i/>
                      <w:iCs/>
                      <w:sz w:val="24"/>
                      <w:szCs w:val="24"/>
                      <w:lang w:val="x-none"/>
                    </w:rPr>
                    <w:t xml:space="preserve">Вземания + Краткосрочни инвестиции + </w:t>
                  </w:r>
                  <w:r w:rsidRPr="000D6696">
                    <w:rPr>
                      <w:rFonts w:ascii="Times New Roman" w:hAnsi="Times New Roman"/>
                      <w:i/>
                      <w:iCs/>
                      <w:sz w:val="24"/>
                      <w:szCs w:val="24"/>
                      <w:u w:val="single"/>
                      <w:lang w:val="x-none"/>
                    </w:rPr>
                    <w:t>Парични средства</w:t>
                  </w: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Текущи задължения</w:t>
                  </w:r>
                </w:p>
              </w:tc>
              <w:tc>
                <w:tcPr>
                  <w:tcW w:type="dxa" w:w="4245"/>
                  <w:tcBorders>
                    <w:top w:color="A0A0A0" w:space="0" w:sz="6" w:val="single"/>
                    <w:left w:color="A0A0A0" w:space="0" w:sz="6" w:val="single"/>
                    <w:bottom w:color="F0F0F0" w:space="0" w:sz="6" w:val="single"/>
                    <w:right w:color="F0F0F0" w:space="0" w:sz="6" w:val="single"/>
                  </w:tcBorders>
                  <w:vAlign w:val="center"/>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i/>
                      <w:iCs/>
                      <w:sz w:val="24"/>
                      <w:szCs w:val="24"/>
                      <w:lang w:val="x-none"/>
                    </w:rPr>
                  </w:pPr>
                  <w:r w:rsidRPr="000D6696">
                    <w:rPr>
                      <w:rFonts w:ascii="Times New Roman" w:hAnsi="Times New Roman"/>
                      <w:i/>
                      <w:iCs/>
                      <w:sz w:val="24"/>
                      <w:szCs w:val="24"/>
                      <w:lang w:val="x-none"/>
                    </w:rPr>
                    <w:t>КБЛ ? 1</w:t>
                  </w:r>
                </w:p>
              </w:tc>
            </w:tr>
          </w:tbl>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jc w:val="center"/>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 КОЕФИЦИЕНТИ НА ЛИКВИДНОСТ: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Показателите за ликвидност са количествени характеристики на способността на предприятието да изплащ</w:t>
            </w:r>
            <w:r w:rsidRPr="000D6696">
              <w:rPr>
                <w:rFonts w:ascii="Times New Roman" w:hAnsi="Times New Roman"/>
                <w:sz w:val="24"/>
                <w:szCs w:val="24"/>
                <w:lang w:val="x-none"/>
              </w:rPr>
              <w:t>а текущите си задължения с наличните текущи активи. Индикатор са за възможността на кандидата/участника да поема възникнали финансови затруднения. Те са показатели, показващи ликвидността в статика (към даден момент).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I. Коефициент на обща ликвидност (КОЛ</w:t>
            </w:r>
            <w:r w:rsidRPr="000D6696">
              <w:rPr>
                <w:rFonts w:ascii="Times New Roman" w:hAnsi="Times New Roman"/>
                <w:sz w:val="24"/>
                <w:szCs w:val="24"/>
                <w:lang w:val="x-none"/>
              </w:rPr>
              <w:t>)</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Общ показател, който, без да отчита различната степен на ликвидност на отделните компоненти на текущите активи, показва възможностите на предприятието на кандидата да покрива текущите си задължения с тях.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КОЛ е коефициентът на обща ликвидност, чието пол</w:t>
            </w:r>
            <w:r w:rsidRPr="000D6696">
              <w:rPr>
                <w:rFonts w:ascii="Times New Roman" w:hAnsi="Times New Roman"/>
                <w:sz w:val="24"/>
                <w:szCs w:val="24"/>
                <w:lang w:val="x-none"/>
              </w:rPr>
              <w:t>ожително съотношение се счита, когато КОЛ е на стойност 1,5 или повече;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ТА – сумата на текущите активи (краткотрайни/краткосрочни); всички активи, придобити с цел да бъдат използвани или реализирани в срок от една и над една година съобразно оперативния ци</w:t>
            </w:r>
            <w:r w:rsidRPr="000D6696">
              <w:rPr>
                <w:rFonts w:ascii="Times New Roman" w:hAnsi="Times New Roman"/>
                <w:sz w:val="24"/>
                <w:szCs w:val="24"/>
                <w:lang w:val="x-none"/>
              </w:rPr>
              <w:t>къл на кандидата;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ТЗ – сумата на текущите задължения (текущи пасиви); всички задължения, които следва да бъдат погасени в срок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Текущите активи (ТА) включват: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1. материални запаси – общи (включително тези, които съобразно оперативния цикъл щ</w:t>
            </w:r>
            <w:r w:rsidRPr="000D6696">
              <w:rPr>
                <w:rFonts w:ascii="Times New Roman" w:hAnsi="Times New Roman"/>
                <w:sz w:val="24"/>
                <w:szCs w:val="24"/>
                <w:lang w:val="x-none"/>
              </w:rPr>
              <w:t>е бъдат използвани/реализирани над една година),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суровини и материали;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незавършено производство;</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lastRenderedPageBreak/>
              <w:t>• продукция и стоки;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предоставени аванси;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2. вземания – общо, в т. 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вземания от клиенти и доставчици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вземания от предприят</w:t>
            </w:r>
            <w:r w:rsidRPr="000D6696">
              <w:rPr>
                <w:rFonts w:ascii="Times New Roman" w:hAnsi="Times New Roman"/>
                <w:sz w:val="24"/>
                <w:szCs w:val="24"/>
                <w:lang w:val="x-none"/>
              </w:rPr>
              <w:t>ия от група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вземания, свързани с асоциирани и смесени предприятия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други вземания (независимо от източника)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3. краткосрочни инвестиции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акции и дялове в предприятия от група;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изкупени со</w:t>
            </w:r>
            <w:r w:rsidRPr="000D6696">
              <w:rPr>
                <w:rFonts w:ascii="Times New Roman" w:hAnsi="Times New Roman"/>
                <w:sz w:val="24"/>
                <w:szCs w:val="24"/>
                <w:lang w:val="x-none"/>
              </w:rPr>
              <w:t>бствени акции (номинална стойност);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други инвестиции (акции, облигации, инвестиционни имоти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4. парични средства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парични средства (без блокираните) в каси и банкови сметки (в страната и в чужбина);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парични еквиваленти (краткоср</w:t>
            </w:r>
            <w:r w:rsidRPr="000D6696">
              <w:rPr>
                <w:rFonts w:ascii="Times New Roman" w:hAnsi="Times New Roman"/>
                <w:sz w:val="24"/>
                <w:szCs w:val="24"/>
                <w:lang w:val="x-none"/>
              </w:rPr>
              <w:t>очни високоликвидни вложения, лесно обратими в парични суми, като чекове, полици, държавни ценни книги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Текущите (краткосрочните) задължения (ТЗ) включват: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1. задължения към финансови предприятия със срок на погасяване до една година (независимо от </w:t>
            </w:r>
            <w:r w:rsidRPr="000D6696">
              <w:rPr>
                <w:rFonts w:ascii="Times New Roman" w:hAnsi="Times New Roman"/>
                <w:sz w:val="24"/>
                <w:szCs w:val="24"/>
                <w:lang w:val="x-none"/>
              </w:rPr>
              <w:t>това, дали срокът на задължението е над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2. облигационни заеми със срок на погасяване до една година (включително конвертируемите);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3. получени аванси със срок за уреждане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4. задължения към доставчици със срок на погасяване до </w:t>
            </w:r>
            <w:r w:rsidRPr="000D6696">
              <w:rPr>
                <w:rFonts w:ascii="Times New Roman" w:hAnsi="Times New Roman"/>
                <w:sz w:val="24"/>
                <w:szCs w:val="24"/>
                <w:lang w:val="x-none"/>
              </w:rPr>
              <w:t>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5. задължения по полици със срок на погасяване до една година (задължения по менителници, запис на заповед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6. задължения към предприятия от група със срок на погасяване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7. задължения, свързани с асоциирани и смесени пре</w:t>
            </w:r>
            <w:r w:rsidRPr="000D6696">
              <w:rPr>
                <w:rFonts w:ascii="Times New Roman" w:hAnsi="Times New Roman"/>
                <w:sz w:val="24"/>
                <w:szCs w:val="24"/>
                <w:lang w:val="x-none"/>
              </w:rPr>
              <w:t>дприятия, със срок на погасяване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8. други задължения със срок на погасяване до една година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задължения към персонала със срок на погасяване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 осигурителни и данъчни задължения със срок на погасяване до една </w:t>
            </w:r>
            <w:r w:rsidRPr="000D6696">
              <w:rPr>
                <w:rFonts w:ascii="Times New Roman" w:hAnsi="Times New Roman"/>
                <w:sz w:val="24"/>
                <w:szCs w:val="24"/>
                <w:lang w:val="x-none"/>
              </w:rPr>
              <w:t>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задължения за лихви, глоби, неустойки и други икономически санкции със срок на погасяване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II. Коефициент на бърза ликвидност (КБЛ)</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КБЛ изразява непосредствената способност на предприятието на кандидата да обслужва текущите си задъ</w:t>
            </w:r>
            <w:r w:rsidRPr="000D6696">
              <w:rPr>
                <w:rFonts w:ascii="Times New Roman" w:hAnsi="Times New Roman"/>
                <w:sz w:val="24"/>
                <w:szCs w:val="24"/>
                <w:lang w:val="x-none"/>
              </w:rPr>
              <w:t>лжения с по-бързоликвидните краткосрочни активи. КБЛ е коефициентът на бърза ликвидност, чието положително съотношение се счита, когато КБЛ е на стойност 1 или повече.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1. Вземания със срок на получаване до една година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 вземания от клиенти </w:t>
            </w:r>
            <w:r w:rsidRPr="000D6696">
              <w:rPr>
                <w:rFonts w:ascii="Times New Roman" w:hAnsi="Times New Roman"/>
                <w:sz w:val="24"/>
                <w:szCs w:val="24"/>
                <w:lang w:val="x-none"/>
              </w:rPr>
              <w:t>и доставчици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вземания от предприятия от група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вземания, свързани с асоциирани и смесени предприятия,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други вземания (независимо от източника) до една година.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2. Краткосрочни инвестиции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w:t>
            </w:r>
            <w:r w:rsidRPr="000D6696">
              <w:rPr>
                <w:rFonts w:ascii="Times New Roman" w:hAnsi="Times New Roman"/>
                <w:sz w:val="24"/>
                <w:szCs w:val="24"/>
                <w:lang w:val="x-none"/>
              </w:rPr>
              <w:t xml:space="preserve"> акции и дялове в предприятия от група;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изкупени собствени акции (номинална стойност);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други инвестиции (акции, облигации, инвестиционни имоти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lastRenderedPageBreak/>
              <w:t>3. Парични средства – общо, в т.ч.:</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парични средства (без блокираните) в каси и банкови сметки (в с</w:t>
            </w:r>
            <w:r w:rsidRPr="000D6696">
              <w:rPr>
                <w:rFonts w:ascii="Times New Roman" w:hAnsi="Times New Roman"/>
                <w:sz w:val="24"/>
                <w:szCs w:val="24"/>
                <w:lang w:val="x-none"/>
              </w:rPr>
              <w:t>траната и в чужбина);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парични еквиваленти (краткосрочни високоликвидни вложения, лесно обратими в парични суми, като чекове, полици, държавни ценни книги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4. Текущи задължения (ТЗ).</w:t>
            </w:r>
          </w:p>
          <w:tbl>
            <w:tblPr>
              <w:tblW w:type="auto" w:w="0"/>
              <w:tblCellSpacing w:type="dxa" w:w="15"/>
              <w:tblLayout w:type="fixed"/>
              <w:tblCellMar>
                <w:top w:type="dxa" w:w="15"/>
                <w:left w:type="dxa" w:w="15"/>
                <w:bottom w:type="dxa" w:w="15"/>
                <w:right w:type="dxa" w:w="15"/>
              </w:tblCellMar>
              <w:tblLook w:firstColumn="0" w:firstRow="0" w:lastColumn="0" w:lastRow="0" w:noHBand="0" w:noVBand="0" w:val="0000"/>
            </w:tblPr>
            <w:tblGrid>
              <w:gridCol w:w="12705"/>
            </w:tblGrid>
            <w:tr w:rsidR="00000000" w:rsidRPr="000D6696">
              <w:trPr>
                <w:tblCellSpacing w:type="dxa" w:w="15"/>
              </w:trPr>
              <w:tc>
                <w:tcPr>
                  <w:tcW w:type="dxa" w:w="12645"/>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00000" w:rsidRDefault="000D6696">
      <w:pPr>
        <w:widowControl w:val="0"/>
        <w:autoSpaceDE w:val="0"/>
        <w:autoSpaceDN w:val="0"/>
        <w:adjustRightInd w:val="0"/>
        <w:spacing w:after="0" w:line="240" w:lineRule="auto"/>
        <w:ind w:firstLine="480"/>
        <w:jc w:val="both"/>
        <w:rPr>
          <w:rFonts w:ascii="Courier New" w:cs="Courier New" w:hAnsi="Courier New"/>
          <w:b/>
          <w:bCs/>
          <w:sz w:val="20"/>
          <w:szCs w:val="20"/>
          <w:lang w:val="x-none"/>
        </w:rPr>
      </w:pPr>
      <w:r>
        <w:rPr>
          <w:rFonts w:ascii="Courier New" w:cs="Courier New" w:hAnsi="Courier New"/>
          <w:b/>
          <w:bCs/>
          <w:sz w:val="20"/>
          <w:szCs w:val="20"/>
          <w:lang w:val="x-none"/>
        </w:rPr>
        <w:lastRenderedPageBreak/>
        <w:t>Приложение № 2</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към чл. 25</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 xml:space="preserve">(Предишно Приложение към чл. 25 – </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 xml:space="preserve">ДВ, бр. 78 от 2018 г., в сила от 21.09.2018 г., </w:t>
      </w:r>
    </w:p>
    <w:p w:rsidR="00000000"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r>
        <w:rPr>
          <w:rFonts w:ascii="Courier New" w:cs="Courier New" w:hAnsi="Courier New"/>
          <w:sz w:val="20"/>
          <w:szCs w:val="20"/>
          <w:lang w:val="x-none"/>
        </w:rPr>
        <w:t>изм., бр. 40 от 2020 г.)</w:t>
      </w:r>
    </w:p>
    <w:tbl>
      <w:tblPr>
        <w:tblW w:type="dxa" w:w="9750"/>
        <w:tblCellSpacing w:type="dxa" w:w="15"/>
        <w:tblInd w:type="dxa" w:w="45"/>
        <w:tblLayout w:type="fixed"/>
        <w:tblCellMar>
          <w:top w:type="dxa" w:w="15"/>
          <w:left w:type="dxa" w:w="15"/>
          <w:bottom w:type="dxa" w:w="15"/>
          <w:right w:type="dxa" w:w="15"/>
        </w:tblCellMar>
        <w:tblLook w:firstColumn="0" w:firstRow="0" w:lastColumn="0" w:lastRow="0" w:noHBand="0" w:noVBand="0" w:val="0000"/>
      </w:tblPr>
      <w:tblGrid>
        <w:gridCol w:w="9750"/>
      </w:tblGrid>
      <w:tr w:rsidR="00000000" w:rsidRPr="000D6696">
        <w:trPr>
          <w:tblCellSpacing w:type="dxa" w:w="15"/>
        </w:trPr>
        <w:tc>
          <w:tcPr>
            <w:tcW w:type="dxa" w:w="9645"/>
            <w:tcBorders>
              <w:top w:val="nil"/>
              <w:left w:val="nil"/>
              <w:bottom w:val="nil"/>
              <w:right w:val="nil"/>
            </w:tcBorders>
            <w:vAlign w:val="center"/>
          </w:tcPr>
          <w:p w:rsidR="00000000" w:rsidRDefault="000D6696" w:rsidRPr="000D6696">
            <w:pPr>
              <w:widowControl w:val="0"/>
              <w:autoSpaceDE w:val="0"/>
              <w:autoSpaceDN w:val="0"/>
              <w:adjustRightInd w:val="0"/>
              <w:spacing w:after="0" w:line="240" w:lineRule="auto"/>
              <w:jc w:val="center"/>
              <w:rPr>
                <w:rFonts w:ascii="Times New Roman" w:hAnsi="Times New Roman"/>
                <w:b/>
                <w:bCs/>
                <w:sz w:val="24"/>
                <w:szCs w:val="24"/>
                <w:lang w:val="x-none"/>
              </w:rPr>
            </w:pPr>
            <w:r w:rsidRPr="000D6696">
              <w:rPr>
                <w:rFonts w:ascii="Times New Roman" w:hAnsi="Times New Roman"/>
                <w:b/>
                <w:bCs/>
                <w:sz w:val="24"/>
                <w:szCs w:val="24"/>
                <w:lang w:val="x-none"/>
              </w:rPr>
              <w:t>Критерии за проверка на информационните и промоционалните материали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Държавен фонд "Земеделие" извършва проверка: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1. дали е добавено лого на Европейския съюз (ЕС) и текст, показващ</w:t>
            </w:r>
            <w:r w:rsidRPr="000D6696">
              <w:rPr>
                <w:rFonts w:ascii="Times New Roman" w:hAnsi="Times New Roman"/>
                <w:sz w:val="24"/>
                <w:szCs w:val="24"/>
                <w:lang w:val="x-none"/>
              </w:rPr>
              <w:t>, че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програмата е финансирана с помощта на ЕС (печатни материали); при аудио- 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визуалните материали – дали логото на ЕС и текстът за финансирането с помощта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 ЕС са достатъчно видими, съответно дали се виждат достатъчно дълго;</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2. дали е добавено знамето</w:t>
            </w:r>
            <w:r w:rsidRPr="000D6696">
              <w:rPr>
                <w:rFonts w:ascii="Times New Roman" w:hAnsi="Times New Roman"/>
                <w:sz w:val="24"/>
                <w:szCs w:val="24"/>
                <w:lang w:val="x-none"/>
              </w:rPr>
              <w:t xml:space="preserve"> на Република България;</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3. (изм. – ДВ, бр. 40 от 2020 г.) дали материалите и документите, адресирани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до обществеността, включително аудио-визуални материали, изработени и реализирани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или придобити в рамките на договора, съдържат логото ENJOY IT’S FROM EU</w:t>
            </w:r>
            <w:r w:rsidRPr="000D6696">
              <w:rPr>
                <w:rFonts w:ascii="Times New Roman" w:hAnsi="Times New Roman"/>
                <w:sz w:val="24"/>
                <w:szCs w:val="24"/>
                <w:lang w:val="x-none"/>
              </w:rPr>
              <w:t xml:space="preserve">ROPE.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Логото трябва да бъде ясно отпечатано, с размери, посочени в инструкциите на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следния интернет адрес: https://ec.europa.eu/chafea/agri/sites/chafea/files/graphic-charter-guidelines_en_0.pdf.</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4. в случай че материалите и документите, адресирани до о</w:t>
            </w:r>
            <w:r w:rsidRPr="000D6696">
              <w:rPr>
                <w:rFonts w:ascii="Times New Roman" w:hAnsi="Times New Roman"/>
                <w:sz w:val="24"/>
                <w:szCs w:val="24"/>
                <w:lang w:val="x-none"/>
              </w:rPr>
              <w:t>бществеността, са от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одобрена промоционална програма с биологична продукция, дали съдържат знака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 ЕС за биологични продукти, въведен от Регламент (ЕС) № 271/2010 на 24 март</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2010 г. и неговата употреба съгласно чл. 57 от Регламент № 889/2008;</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5. дали са </w:t>
            </w:r>
            <w:r w:rsidRPr="000D6696">
              <w:rPr>
                <w:rFonts w:ascii="Times New Roman" w:hAnsi="Times New Roman"/>
                <w:sz w:val="24"/>
                <w:szCs w:val="24"/>
                <w:lang w:val="x-none"/>
              </w:rPr>
              <w:t xml:space="preserve">спазвани изискванията на Приложение I на Регламент (ЕО) № 1144/2014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 Комисията;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6. дали материалите съответстват на темите на предложената програма;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7. дали материалите отговарят на целта на програмата, целевата публика 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целевия пазар;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8. дали съдър</w:t>
            </w:r>
            <w:r w:rsidRPr="000D6696">
              <w:rPr>
                <w:rFonts w:ascii="Times New Roman" w:hAnsi="Times New Roman"/>
                <w:sz w:val="24"/>
                <w:szCs w:val="24"/>
                <w:lang w:val="x-none"/>
              </w:rPr>
              <w:t>жанието на материалите се основава на качеството на продуктите 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свойствата, характерни за тях;</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lastRenderedPageBreak/>
              <w:t>9. дали при посочване на данни за произхода на продуктите за същите са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спазени изискванията на член 2 на Регламент (ЕС) 2015/1831; изключения се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допускат за за</w:t>
            </w:r>
            <w:r w:rsidRPr="000D6696">
              <w:rPr>
                <w:rFonts w:ascii="Times New Roman" w:hAnsi="Times New Roman"/>
                <w:sz w:val="24"/>
                <w:szCs w:val="24"/>
                <w:lang w:val="x-none"/>
              </w:rPr>
              <w:t>щитените обозначения за качество (ЗНП, ЗГУ, ХТСХ 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обозначенията за вина със защитено наименование за произход (ЗНП) и защитено</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географско указание (ЗГУ) и сортови вина) при мерките за информиране 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насърчаване в трети държави, където обозначаването на про</w:t>
            </w:r>
            <w:r w:rsidRPr="000D6696">
              <w:rPr>
                <w:rFonts w:ascii="Times New Roman" w:hAnsi="Times New Roman"/>
                <w:sz w:val="24"/>
                <w:szCs w:val="24"/>
                <w:lang w:val="x-none"/>
              </w:rPr>
              <w:t>изхода може да е</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наравно с главното послание на кампанията;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10. спазени ли са изискванията за видимост на търговските марки съгласно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 xml:space="preserve">чл. 5 и 7 и специалните изисквания съгласно чл. 6 от Регламент (ЕС) 2015/1831 </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от 7 октомври 2015 г.;</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11. дали текстовет</w:t>
            </w:r>
            <w:r w:rsidRPr="000D6696">
              <w:rPr>
                <w:rFonts w:ascii="Times New Roman" w:hAnsi="Times New Roman"/>
                <w:sz w:val="24"/>
                <w:szCs w:val="24"/>
                <w:lang w:val="x-none"/>
              </w:rPr>
              <w:t>е за информация са точни и ясни, за да може потребителят да</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намери необходимата информация (на интернет страницата на кампанията, в</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информационните брошури, в законодателството и др.);</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12. дали е спазена забраната за посочването на каквито и да са забележ</w:t>
            </w:r>
            <w:r w:rsidRPr="000D6696">
              <w:rPr>
                <w:rFonts w:ascii="Times New Roman" w:hAnsi="Times New Roman"/>
                <w:sz w:val="24"/>
                <w:szCs w:val="24"/>
                <w:lang w:val="x-none"/>
              </w:rPr>
              <w:t>ки,</w:t>
            </w:r>
          </w:p>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r w:rsidRPr="000D6696">
              <w:rPr>
                <w:rFonts w:ascii="Times New Roman" w:hAnsi="Times New Roman"/>
                <w:sz w:val="24"/>
                <w:szCs w:val="24"/>
                <w:lang w:val="x-none"/>
              </w:rPr>
              <w:t>сравнения или негативни оценки във връзка с други продукти.</w:t>
            </w:r>
          </w:p>
          <w:tbl>
            <w:tblPr>
              <w:tblW w:type="auto" w:w="0"/>
              <w:tblCellSpacing w:type="dxa" w:w="15"/>
              <w:tblLayout w:type="fixed"/>
              <w:tblCellMar>
                <w:top w:type="dxa" w:w="15"/>
                <w:left w:type="dxa" w:w="15"/>
                <w:bottom w:type="dxa" w:w="15"/>
                <w:right w:type="dxa" w:w="15"/>
              </w:tblCellMar>
              <w:tblLook w:firstColumn="0" w:firstRow="0" w:lastColumn="0" w:lastRow="0" w:noHBand="0" w:noVBand="0" w:val="0000"/>
            </w:tblPr>
            <w:tblGrid>
              <w:gridCol w:w="9615"/>
            </w:tblGrid>
            <w:tr w:rsidR="00000000" w:rsidRPr="000D6696">
              <w:trPr>
                <w:tblCellSpacing w:type="dxa" w:w="15"/>
              </w:trPr>
              <w:tc>
                <w:tcPr>
                  <w:tcW w:type="dxa" w:w="9555"/>
                </w:tcPr>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00000" w:rsidRDefault="000D6696" w:rsidRPr="000D6696">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D6696" w:rsidRDefault="000D6696">
      <w:pPr>
        <w:widowControl w:val="0"/>
        <w:autoSpaceDE w:val="0"/>
        <w:autoSpaceDN w:val="0"/>
        <w:adjustRightInd w:val="0"/>
        <w:spacing w:after="0" w:line="240" w:lineRule="auto"/>
        <w:ind w:firstLine="480"/>
        <w:jc w:val="both"/>
        <w:rPr>
          <w:rFonts w:ascii="Courier New" w:cs="Courier New" w:hAnsi="Courier New"/>
          <w:sz w:val="20"/>
          <w:szCs w:val="20"/>
          <w:lang w:val="x-none"/>
        </w:rPr>
      </w:pPr>
    </w:p>
    <w:p>
      <w:r>
        <w:t>С уважение,</w:t>
        <w:br/>
        <w:drawing>
          <wp:inline distT="0" distB="0" distL="0" distR="0">
            <wp:extent cx="1200000" cy="373225"/>
            <wp:docPr id="4098" name="Picture 4098"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6"/>
                    <a:stretch>
                      <a:fillRect/>
                    </a:stretch>
                  </pic:blipFill>
                  <pic:spPr>
                    <a:xfrm>
                      <a:off x="0" y="0"/>
                      <a:ext cx="1200000" cy="373225"/>
                    </a:xfrm>
                    <a:prstGeom prst="rect">
                      <a:avLst/>
                    </a:prstGeom>
                  </pic:spPr>
                </pic:pic>
              </a:graphicData>
            </a:graphic>
          </wp:inline>
        </w:drawing>
        <w:br/>
        <w:t>Ирина Лазарова (Директор)</w:t>
        <w:br/>
        <w:t>Дирекция "Пазарни мерки и организации на производители"</w:t>
        <w:br/>
        <w:t>08.05.2020г. 14:04ч.</w:t>
        <w:br/>
        <w:t>МЗХГ</w:t>
        <w:br/>
        <w:br/>
        <w:br/>
        <w:t>Електронният подпис се намира в отделен файл с название signature.txt.p7s</w:t>
      </w:r>
    </w:p>
    <w:sectPr w:rsidR="000D6696">
      <w:pgSz w:h="15840" w:w="12240"/>
      <w:pgMar w:bottom="1417" w:footer="720" w:gutter="0" w:header="720" w:left="1417" w:right="1417" w:top="141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BFC"/>
    <w:rsid w:val="000D6696"/>
    <w:rsid w:val="00260BFC"/>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14:defaultImageDpi w14:val="0"/>
  <w15:docId w15:val="{A29E9A05-02E8-481F-B7ED-6020F1A9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cs="Times New Roman" w:eastAsia="Times New Roman" w:hAnsi="Calibri"/>
        <w:lang w:bidi="ar-SA" w:eastAsia="en-US"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spacing w:after="160" w:line="259" w:lineRule="auto"/>
    </w:pPr>
    <w:rPr>
      <w:sz w:val="22"/>
      <w:szCs w:val="2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media/image1.jpeg" Type="http://schemas.openxmlformats.org/officeDocument/2006/relationships/image"/></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9217</Words>
  <Characters>52543</Characters>
  <Application>Microsoft Office Word</Application>
  <DocSecurity>0</DocSecurity>
  <Lines>437</Lines>
  <Paragraphs>123</Paragraphs>
  <ScaleCrop>false</ScaleCrop>
  <HeadingPairs>
    <vt:vector baseType="variant" size="2">
      <vt:variant>
        <vt:lpstr>Заглавие</vt:lpstr>
      </vt:variant>
      <vt:variant>
        <vt:i4>1</vt:i4>
      </vt:variant>
    </vt:vector>
  </HeadingPairs>
  <TitlesOfParts>
    <vt:vector baseType="lpstr" size="1">
      <vt:lpstr/>
    </vt:vector>
  </TitlesOfParts>
  <Company/>
  <LinksUpToDate>false</LinksUpToDate>
  <CharactersWithSpaces>61637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2020-05-05T10:39:00Z</dcterms:created>
  <dc:creator>Dell</dc:creator>
  <cp:lastModifiedBy>Dell</cp:lastModifiedBy>
  <dcterms:modified xsi:type="dcterms:W3CDTF">2020-05-05T10:39:00Z</dcterms:modified>
  <cp:revision>2</cp:revision>
</cp:coreProperties>
</file>