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9" w:rsidRPr="00292E23" w:rsidRDefault="006A4469" w:rsidP="006A4469">
      <w:pPr>
        <w:jc w:val="both"/>
        <w:rPr>
          <w:rFonts w:ascii="Arial" w:hAnsi="Arial" w:cs="Arial"/>
          <w:bCs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292E23" w:rsidTr="00F73636">
        <w:tc>
          <w:tcPr>
            <w:tcW w:w="9900" w:type="dxa"/>
            <w:shd w:val="clear" w:color="auto" w:fill="C0C0C0"/>
            <w:hideMark/>
          </w:tcPr>
          <w:p w:rsidR="001B1430" w:rsidRPr="00292E23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292E23">
              <w:rPr>
                <w:rFonts w:ascii="Arial" w:hAnsi="Arial" w:cs="Arial"/>
                <w:b/>
                <w:i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292E23" w:rsidRDefault="001B1430" w:rsidP="00F7363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1430" w:rsidRPr="00292E23" w:rsidRDefault="002A2BBE" w:rsidP="001B1430">
      <w:pPr>
        <w:jc w:val="both"/>
        <w:rPr>
          <w:rFonts w:ascii="Arial" w:hAnsi="Arial" w:cs="Arial"/>
          <w:b/>
          <w:sz w:val="20"/>
        </w:rPr>
      </w:pPr>
      <w:r w:rsidRPr="00292E23">
        <w:rPr>
          <w:rFonts w:ascii="Arial" w:hAnsi="Arial" w:cs="Arial"/>
          <w:b/>
          <w:sz w:val="20"/>
        </w:rPr>
        <w:t xml:space="preserve"> </w:t>
      </w:r>
    </w:p>
    <w:p w:rsidR="00D954C5" w:rsidRPr="00E900B4" w:rsidRDefault="007B12E5" w:rsidP="00D954C5">
      <w:pPr>
        <w:jc w:val="both"/>
        <w:rPr>
          <w:rFonts w:ascii="Arial" w:hAnsi="Arial" w:cs="Arial"/>
          <w:noProof/>
          <w:sz w:val="20"/>
        </w:rPr>
      </w:pPr>
      <w:r w:rsidRPr="00E900B4">
        <w:rPr>
          <w:rFonts w:ascii="Arial" w:hAnsi="Arial" w:cs="Arial"/>
          <w:b/>
          <w:noProof/>
          <w:sz w:val="20"/>
        </w:rPr>
        <w:t>2</w:t>
      </w:r>
      <w:r w:rsidR="002A2BBE" w:rsidRPr="00E900B4">
        <w:rPr>
          <w:rFonts w:ascii="Arial" w:hAnsi="Arial" w:cs="Arial"/>
          <w:b/>
          <w:noProof/>
          <w:sz w:val="20"/>
        </w:rPr>
        <w:t>.</w:t>
      </w:r>
      <w:r w:rsidR="00D954C5" w:rsidRPr="00E900B4">
        <w:rPr>
          <w:rFonts w:ascii="Arial" w:hAnsi="Arial" w:cs="Arial"/>
          <w:b/>
          <w:noProof/>
          <w:sz w:val="20"/>
        </w:rPr>
        <w:t xml:space="preserve"> Държавите</w:t>
      </w:r>
      <w:r w:rsidR="0076162A" w:rsidRPr="00E900B4">
        <w:rPr>
          <w:rFonts w:ascii="Arial" w:hAnsi="Arial" w:cs="Arial"/>
          <w:b/>
          <w:noProof/>
          <w:sz w:val="20"/>
        </w:rPr>
        <w:t xml:space="preserve"> </w:t>
      </w:r>
      <w:r w:rsidR="00D954C5" w:rsidRPr="00E900B4">
        <w:rPr>
          <w:rFonts w:ascii="Arial" w:hAnsi="Arial" w:cs="Arial"/>
          <w:b/>
          <w:noProof/>
          <w:sz w:val="20"/>
        </w:rPr>
        <w:t xml:space="preserve">членки постигнаха частичен общ подход по предложението за Регламент относно преходните правила за Общата селскостопанска политика. </w:t>
      </w:r>
      <w:r w:rsidR="00D954C5" w:rsidRPr="00E900B4">
        <w:rPr>
          <w:rFonts w:ascii="Arial" w:hAnsi="Arial" w:cs="Arial"/>
          <w:noProof/>
          <w:sz w:val="20"/>
        </w:rPr>
        <w:t xml:space="preserve">На заседанието </w:t>
      </w:r>
      <w:r w:rsidR="00360936" w:rsidRPr="00E900B4">
        <w:rPr>
          <w:rFonts w:ascii="Arial" w:hAnsi="Arial" w:cs="Arial"/>
          <w:noProof/>
          <w:sz w:val="20"/>
        </w:rPr>
        <w:t>на</w:t>
      </w:r>
      <w:r w:rsidR="00D954C5" w:rsidRPr="00E900B4">
        <w:rPr>
          <w:rFonts w:ascii="Arial" w:hAnsi="Arial" w:cs="Arial"/>
          <w:noProof/>
          <w:sz w:val="20"/>
        </w:rPr>
        <w:t xml:space="preserve"> Специалния комитет по селско стопанство</w:t>
      </w:r>
      <w:r w:rsidR="00360936" w:rsidRPr="00E900B4">
        <w:rPr>
          <w:rFonts w:ascii="Arial" w:hAnsi="Arial" w:cs="Arial"/>
          <w:noProof/>
          <w:sz w:val="20"/>
        </w:rPr>
        <w:t>, проведено на 6 април</w:t>
      </w:r>
      <w:r w:rsidR="00FF295B" w:rsidRPr="00E900B4">
        <w:rPr>
          <w:rFonts w:ascii="Arial" w:hAnsi="Arial" w:cs="Arial"/>
          <w:noProof/>
          <w:sz w:val="20"/>
        </w:rPr>
        <w:t>,</w:t>
      </w:r>
      <w:r w:rsidR="00360936" w:rsidRPr="00E900B4">
        <w:rPr>
          <w:rFonts w:ascii="Arial" w:hAnsi="Arial" w:cs="Arial"/>
          <w:noProof/>
          <w:sz w:val="20"/>
        </w:rPr>
        <w:t xml:space="preserve"> мнозинството от държавите членки</w:t>
      </w:r>
      <w:r w:rsidR="00D954C5" w:rsidRPr="00E900B4">
        <w:rPr>
          <w:rFonts w:ascii="Arial" w:hAnsi="Arial" w:cs="Arial"/>
          <w:noProof/>
          <w:sz w:val="20"/>
        </w:rPr>
        <w:t xml:space="preserve"> </w:t>
      </w:r>
      <w:r w:rsidR="00360936" w:rsidRPr="00E900B4">
        <w:rPr>
          <w:rFonts w:ascii="Arial" w:hAnsi="Arial" w:cs="Arial"/>
          <w:noProof/>
          <w:sz w:val="20"/>
        </w:rPr>
        <w:t>подкрепиха</w:t>
      </w:r>
      <w:r w:rsidR="00FF295B" w:rsidRPr="00E900B4">
        <w:rPr>
          <w:rFonts w:ascii="Arial" w:hAnsi="Arial" w:cs="Arial"/>
          <w:noProof/>
          <w:sz w:val="20"/>
        </w:rPr>
        <w:t xml:space="preserve"> мандат н</w:t>
      </w:r>
      <w:r w:rsidR="00360936" w:rsidRPr="00E900B4">
        <w:rPr>
          <w:rFonts w:ascii="Arial" w:hAnsi="Arial" w:cs="Arial"/>
          <w:noProof/>
          <w:sz w:val="20"/>
        </w:rPr>
        <w:t xml:space="preserve">а </w:t>
      </w:r>
      <w:r w:rsidR="00FF295B" w:rsidRPr="00E900B4">
        <w:rPr>
          <w:rFonts w:ascii="Arial" w:hAnsi="Arial" w:cs="Arial"/>
          <w:noProof/>
          <w:sz w:val="20"/>
        </w:rPr>
        <w:t xml:space="preserve">Съвета за </w:t>
      </w:r>
      <w:r w:rsidR="00360936" w:rsidRPr="00E900B4">
        <w:rPr>
          <w:rFonts w:ascii="Arial" w:hAnsi="Arial" w:cs="Arial"/>
          <w:noProof/>
          <w:sz w:val="20"/>
        </w:rPr>
        <w:t>преговори</w:t>
      </w:r>
      <w:r w:rsidR="00D954C5" w:rsidRPr="00E900B4">
        <w:rPr>
          <w:rFonts w:ascii="Arial" w:hAnsi="Arial" w:cs="Arial"/>
          <w:noProof/>
          <w:sz w:val="20"/>
        </w:rPr>
        <w:t xml:space="preserve"> с Европейския парламент</w:t>
      </w:r>
      <w:r w:rsidR="0076162A" w:rsidRPr="00E900B4">
        <w:rPr>
          <w:rFonts w:ascii="Arial" w:hAnsi="Arial" w:cs="Arial"/>
          <w:noProof/>
          <w:sz w:val="20"/>
        </w:rPr>
        <w:t xml:space="preserve"> и с Европейската комисия</w:t>
      </w:r>
      <w:r w:rsidR="00D954C5" w:rsidRPr="00E900B4">
        <w:rPr>
          <w:rFonts w:ascii="Arial" w:hAnsi="Arial" w:cs="Arial"/>
          <w:noProof/>
          <w:sz w:val="20"/>
        </w:rPr>
        <w:t xml:space="preserve"> по проекта на Регламент за преходните правила за ОСП. </w:t>
      </w:r>
      <w:r w:rsidR="006A4469">
        <w:rPr>
          <w:rFonts w:ascii="Arial" w:hAnsi="Arial" w:cs="Arial"/>
          <w:noProof/>
          <w:sz w:val="20"/>
        </w:rPr>
        <w:t xml:space="preserve">Две държави </w:t>
      </w:r>
      <w:r w:rsidR="00996B3E" w:rsidRPr="00E900B4">
        <w:rPr>
          <w:rFonts w:ascii="Arial" w:hAnsi="Arial" w:cs="Arial"/>
          <w:noProof/>
          <w:sz w:val="20"/>
        </w:rPr>
        <w:t xml:space="preserve">членки бяха против, като едната изтъкна </w:t>
      </w:r>
      <w:r w:rsidR="00C86249" w:rsidRPr="00E900B4">
        <w:rPr>
          <w:rFonts w:ascii="Arial" w:hAnsi="Arial" w:cs="Arial"/>
          <w:noProof/>
          <w:sz w:val="20"/>
        </w:rPr>
        <w:t>необходимостта</w:t>
      </w:r>
      <w:r w:rsidR="00996B3E" w:rsidRPr="00E900B4">
        <w:rPr>
          <w:rFonts w:ascii="Arial" w:hAnsi="Arial" w:cs="Arial"/>
          <w:noProof/>
          <w:sz w:val="20"/>
        </w:rPr>
        <w:t xml:space="preserve"> да има двугодишен преходен период, а другата поиска разпоредбите относно преходната национална помощ да бъдат споменати в квадратни скоби, тъй като счита, че те са свързани със следващата многогодишна финансова рамка на ЕС (МФР). </w:t>
      </w:r>
      <w:r w:rsidR="00D954C5" w:rsidRPr="00E900B4">
        <w:rPr>
          <w:rFonts w:ascii="Arial" w:hAnsi="Arial" w:cs="Arial"/>
          <w:noProof/>
          <w:sz w:val="20"/>
        </w:rPr>
        <w:t xml:space="preserve">България постигна успех в преговорите за включване в проекта на регламент на текст за запазването на схемата за </w:t>
      </w:r>
      <w:r w:rsidR="00C86249" w:rsidRPr="00E900B4">
        <w:rPr>
          <w:rFonts w:ascii="Arial" w:hAnsi="Arial" w:cs="Arial"/>
          <w:noProof/>
          <w:sz w:val="20"/>
        </w:rPr>
        <w:t xml:space="preserve">преходна </w:t>
      </w:r>
      <w:r w:rsidR="00D954C5" w:rsidRPr="00E900B4">
        <w:rPr>
          <w:rFonts w:ascii="Arial" w:hAnsi="Arial" w:cs="Arial"/>
          <w:noProof/>
          <w:sz w:val="20"/>
        </w:rPr>
        <w:t>национална помощ за периода на преходния регламент без промяна</w:t>
      </w:r>
      <w:r w:rsidR="00896D40" w:rsidRPr="00E900B4">
        <w:rPr>
          <w:rFonts w:ascii="Arial" w:hAnsi="Arial" w:cs="Arial"/>
          <w:noProof/>
          <w:sz w:val="20"/>
        </w:rPr>
        <w:t xml:space="preserve"> и</w:t>
      </w:r>
      <w:r w:rsidR="00D954C5" w:rsidRPr="00E900B4">
        <w:rPr>
          <w:rFonts w:ascii="Arial" w:hAnsi="Arial" w:cs="Arial"/>
          <w:noProof/>
          <w:sz w:val="20"/>
        </w:rPr>
        <w:t xml:space="preserve"> на нивото на подкрепа към 2020</w:t>
      </w:r>
      <w:r w:rsidR="00896D40" w:rsidRPr="00E900B4">
        <w:rPr>
          <w:rFonts w:ascii="Arial" w:hAnsi="Arial" w:cs="Arial"/>
          <w:noProof/>
          <w:sz w:val="20"/>
        </w:rPr>
        <w:t xml:space="preserve"> </w:t>
      </w:r>
      <w:r w:rsidR="00D954C5" w:rsidRPr="00E900B4">
        <w:rPr>
          <w:rFonts w:ascii="Arial" w:hAnsi="Arial" w:cs="Arial"/>
          <w:noProof/>
          <w:sz w:val="20"/>
        </w:rPr>
        <w:t xml:space="preserve">г. Схемата за преходната национална помощ не присъстваше в предварителното предложение на Европейската комисия. Запазването на преходната национална помощ ще създаде </w:t>
      </w:r>
      <w:r w:rsidR="008B2AC8" w:rsidRPr="00E900B4">
        <w:rPr>
          <w:rFonts w:ascii="Arial" w:hAnsi="Arial" w:cs="Arial"/>
          <w:noProof/>
          <w:sz w:val="20"/>
        </w:rPr>
        <w:t>по-голяма</w:t>
      </w:r>
      <w:r w:rsidR="00D954C5" w:rsidRPr="00E900B4">
        <w:rPr>
          <w:rFonts w:ascii="Arial" w:hAnsi="Arial" w:cs="Arial"/>
          <w:noProof/>
          <w:sz w:val="20"/>
        </w:rPr>
        <w:t xml:space="preserve"> сигурност и предвидимост за земеделските стопани, особено в секторите, които се подпомагат с този вид подкрепа и ще подпомогне осъществяването на плавен преход към реформираната ОСП. Преходният регламент осигурява продължаване на прилагането на всички схеми за директни плащания в периода до влизането в сила на правилата на новата ОСП, при същите условия и изисквания по отношение на земеделските </w:t>
      </w:r>
      <w:r w:rsidR="008B2AC8" w:rsidRPr="00E900B4">
        <w:rPr>
          <w:rFonts w:ascii="Arial" w:hAnsi="Arial" w:cs="Arial"/>
          <w:noProof/>
          <w:sz w:val="20"/>
        </w:rPr>
        <w:t>стопани</w:t>
      </w:r>
      <w:r w:rsidR="00D954C5" w:rsidRPr="00E900B4">
        <w:rPr>
          <w:rFonts w:ascii="Arial" w:hAnsi="Arial" w:cs="Arial"/>
          <w:noProof/>
          <w:sz w:val="20"/>
        </w:rPr>
        <w:t xml:space="preserve">. Преходният регламент позволява непрекъснатост на помощта по Програмата за развитие на селските райони, като дава възможност на </w:t>
      </w:r>
      <w:r w:rsidR="008B2AC8" w:rsidRPr="00E900B4">
        <w:rPr>
          <w:rFonts w:ascii="Arial" w:hAnsi="Arial" w:cs="Arial"/>
          <w:noProof/>
          <w:sz w:val="20"/>
        </w:rPr>
        <w:t>държавите</w:t>
      </w:r>
      <w:r w:rsidR="00D954C5" w:rsidRPr="00E900B4">
        <w:rPr>
          <w:rFonts w:ascii="Arial" w:hAnsi="Arial" w:cs="Arial"/>
          <w:noProof/>
          <w:sz w:val="20"/>
        </w:rPr>
        <w:t xml:space="preserve"> членки да използват средства от новия програмен период по старите правила, действащи в периода 2014-2020 г. Това ще осигури безпроблемно продължаване на плащанията към земеделските </w:t>
      </w:r>
      <w:r w:rsidR="0003305C" w:rsidRPr="00E900B4">
        <w:rPr>
          <w:rFonts w:ascii="Arial" w:hAnsi="Arial" w:cs="Arial"/>
          <w:noProof/>
          <w:sz w:val="20"/>
        </w:rPr>
        <w:t>стопани</w:t>
      </w:r>
      <w:r w:rsidR="00D954C5" w:rsidRPr="00E900B4">
        <w:rPr>
          <w:rFonts w:ascii="Arial" w:hAnsi="Arial" w:cs="Arial"/>
          <w:noProof/>
          <w:sz w:val="20"/>
        </w:rPr>
        <w:t xml:space="preserve"> до одобрението на Стратегическия план.</w:t>
      </w:r>
      <w:r w:rsidR="00BB5C72" w:rsidRPr="00E900B4">
        <w:rPr>
          <w:rFonts w:ascii="Arial" w:hAnsi="Arial" w:cs="Arial"/>
          <w:noProof/>
          <w:sz w:val="20"/>
        </w:rPr>
        <w:t xml:space="preserve"> </w:t>
      </w:r>
      <w:r w:rsidR="00D954C5" w:rsidRPr="00E900B4">
        <w:rPr>
          <w:rFonts w:ascii="Arial" w:hAnsi="Arial" w:cs="Arial"/>
          <w:noProof/>
          <w:sz w:val="20"/>
        </w:rPr>
        <w:t>Преходният период остава за момента една година, т.е. 2021 г. ще бъде преходна година</w:t>
      </w:r>
      <w:r w:rsidR="0003305C" w:rsidRPr="00E900B4">
        <w:rPr>
          <w:rFonts w:ascii="Arial" w:hAnsi="Arial" w:cs="Arial"/>
          <w:noProof/>
          <w:sz w:val="20"/>
        </w:rPr>
        <w:t>. Н</w:t>
      </w:r>
      <w:r w:rsidR="00D954C5" w:rsidRPr="00E900B4">
        <w:rPr>
          <w:rFonts w:ascii="Arial" w:hAnsi="Arial" w:cs="Arial"/>
          <w:noProof/>
          <w:sz w:val="20"/>
        </w:rPr>
        <w:t xml:space="preserve">а заседанието </w:t>
      </w:r>
      <w:r w:rsidR="0003305C" w:rsidRPr="00E900B4">
        <w:rPr>
          <w:rFonts w:ascii="Arial" w:hAnsi="Arial" w:cs="Arial"/>
          <w:noProof/>
          <w:sz w:val="20"/>
        </w:rPr>
        <w:t xml:space="preserve">на Специалния комитет по селско стопнаство </w:t>
      </w:r>
      <w:r w:rsidR="00D954C5" w:rsidRPr="00E900B4">
        <w:rPr>
          <w:rFonts w:ascii="Arial" w:hAnsi="Arial" w:cs="Arial"/>
          <w:noProof/>
          <w:sz w:val="20"/>
        </w:rPr>
        <w:t xml:space="preserve">беше прието изявление, че това не е окончателна позиция и че </w:t>
      </w:r>
      <w:r w:rsidR="008B2AC8" w:rsidRPr="00E900B4">
        <w:rPr>
          <w:rFonts w:ascii="Arial" w:hAnsi="Arial" w:cs="Arial"/>
          <w:noProof/>
          <w:sz w:val="20"/>
        </w:rPr>
        <w:t>преходния период</w:t>
      </w:r>
      <w:r w:rsidR="00D954C5" w:rsidRPr="00E900B4">
        <w:rPr>
          <w:rFonts w:ascii="Arial" w:hAnsi="Arial" w:cs="Arial"/>
          <w:noProof/>
          <w:sz w:val="20"/>
        </w:rPr>
        <w:t xml:space="preserve"> ще бъде преразгледан с оглед на напредъка на преговорите </w:t>
      </w:r>
      <w:r w:rsidR="008B2AC8" w:rsidRPr="00E900B4">
        <w:rPr>
          <w:rFonts w:ascii="Arial" w:hAnsi="Arial" w:cs="Arial"/>
          <w:noProof/>
          <w:sz w:val="20"/>
        </w:rPr>
        <w:t>по</w:t>
      </w:r>
      <w:r w:rsidR="00D954C5" w:rsidRPr="00E900B4">
        <w:rPr>
          <w:rFonts w:ascii="Arial" w:hAnsi="Arial" w:cs="Arial"/>
          <w:noProof/>
          <w:sz w:val="20"/>
        </w:rPr>
        <w:t xml:space="preserve"> Многогодишната финансова рамка. Мнозинството държави-членки </w:t>
      </w:r>
      <w:r w:rsidR="0003305C" w:rsidRPr="00E900B4">
        <w:rPr>
          <w:rFonts w:ascii="Arial" w:hAnsi="Arial" w:cs="Arial"/>
          <w:noProof/>
          <w:sz w:val="20"/>
        </w:rPr>
        <w:t xml:space="preserve">изказаха </w:t>
      </w:r>
      <w:r w:rsidR="00D954C5" w:rsidRPr="00E900B4">
        <w:rPr>
          <w:rFonts w:ascii="Arial" w:hAnsi="Arial" w:cs="Arial"/>
          <w:noProof/>
          <w:sz w:val="20"/>
        </w:rPr>
        <w:t xml:space="preserve"> убе</w:t>
      </w:r>
      <w:r w:rsidR="0003305C" w:rsidRPr="00E900B4">
        <w:rPr>
          <w:rFonts w:ascii="Arial" w:hAnsi="Arial" w:cs="Arial"/>
          <w:noProof/>
          <w:sz w:val="20"/>
        </w:rPr>
        <w:t>ж</w:t>
      </w:r>
      <w:r w:rsidR="00D954C5" w:rsidRPr="00E900B4">
        <w:rPr>
          <w:rFonts w:ascii="Arial" w:hAnsi="Arial" w:cs="Arial"/>
          <w:noProof/>
          <w:sz w:val="20"/>
        </w:rPr>
        <w:t>дени</w:t>
      </w:r>
      <w:r w:rsidR="0003305C" w:rsidRPr="00E900B4">
        <w:rPr>
          <w:rFonts w:ascii="Arial" w:hAnsi="Arial" w:cs="Arial"/>
          <w:noProof/>
          <w:sz w:val="20"/>
        </w:rPr>
        <w:t>е</w:t>
      </w:r>
      <w:r w:rsidR="00D954C5" w:rsidRPr="00E900B4">
        <w:rPr>
          <w:rFonts w:ascii="Arial" w:hAnsi="Arial" w:cs="Arial"/>
          <w:noProof/>
          <w:sz w:val="20"/>
        </w:rPr>
        <w:t xml:space="preserve">, че срокът на преходния период </w:t>
      </w:r>
      <w:r w:rsidR="0003305C" w:rsidRPr="00E900B4">
        <w:rPr>
          <w:rFonts w:ascii="Arial" w:hAnsi="Arial" w:cs="Arial"/>
          <w:noProof/>
          <w:sz w:val="20"/>
        </w:rPr>
        <w:t xml:space="preserve">следва </w:t>
      </w:r>
      <w:r w:rsidR="00D954C5" w:rsidRPr="00E900B4">
        <w:rPr>
          <w:rFonts w:ascii="Arial" w:hAnsi="Arial" w:cs="Arial"/>
          <w:noProof/>
          <w:sz w:val="20"/>
        </w:rPr>
        <w:t xml:space="preserve">да бъде 2 години. </w:t>
      </w:r>
      <w:r w:rsidR="004D75E7" w:rsidRPr="00E900B4">
        <w:rPr>
          <w:rFonts w:ascii="Arial" w:hAnsi="Arial" w:cs="Arial"/>
          <w:noProof/>
          <w:sz w:val="20"/>
        </w:rPr>
        <w:t>Мандатът за преговори</w:t>
      </w:r>
      <w:r w:rsidR="00D954C5" w:rsidRPr="00E900B4">
        <w:rPr>
          <w:rFonts w:ascii="Arial" w:hAnsi="Arial" w:cs="Arial"/>
          <w:noProof/>
          <w:sz w:val="20"/>
        </w:rPr>
        <w:t xml:space="preserve"> се определя като „частич</w:t>
      </w:r>
      <w:r w:rsidR="0003305C" w:rsidRPr="00E900B4">
        <w:rPr>
          <w:rFonts w:ascii="Arial" w:hAnsi="Arial" w:cs="Arial"/>
          <w:noProof/>
          <w:sz w:val="20"/>
        </w:rPr>
        <w:t>е</w:t>
      </w:r>
      <w:r w:rsidR="00D954C5" w:rsidRPr="00E900B4">
        <w:rPr>
          <w:rFonts w:ascii="Arial" w:hAnsi="Arial" w:cs="Arial"/>
          <w:noProof/>
          <w:sz w:val="20"/>
        </w:rPr>
        <w:t>н“, тъй като не включва свързаните с бюджета въпроси, които понастоящем са предмет на преговори в контекста на следващата многогодишна финансова рамка на ЕС за 2021—2027 г.</w:t>
      </w:r>
      <w:r w:rsidR="00BB5C72" w:rsidRPr="00E900B4">
        <w:rPr>
          <w:rFonts w:ascii="Arial" w:hAnsi="Arial" w:cs="Arial"/>
          <w:noProof/>
          <w:sz w:val="20"/>
        </w:rPr>
        <w:t xml:space="preserve"> </w:t>
      </w:r>
      <w:r w:rsidR="002B1E19" w:rsidRPr="00E900B4">
        <w:rPr>
          <w:rFonts w:ascii="Arial" w:hAnsi="Arial" w:cs="Arial"/>
          <w:noProof/>
          <w:sz w:val="20"/>
        </w:rPr>
        <w:t>За приемането на Проекта на регламент</w:t>
      </w:r>
      <w:r w:rsidR="00D954C5" w:rsidRPr="00E900B4">
        <w:rPr>
          <w:rFonts w:ascii="Arial" w:hAnsi="Arial" w:cs="Arial"/>
          <w:noProof/>
          <w:sz w:val="20"/>
        </w:rPr>
        <w:t xml:space="preserve"> и осигуряване</w:t>
      </w:r>
      <w:r w:rsidR="004D75E7" w:rsidRPr="00E900B4">
        <w:rPr>
          <w:rFonts w:ascii="Arial" w:hAnsi="Arial" w:cs="Arial"/>
          <w:noProof/>
          <w:sz w:val="20"/>
        </w:rPr>
        <w:t>то</w:t>
      </w:r>
      <w:r w:rsidR="00D954C5" w:rsidRPr="00E900B4">
        <w:rPr>
          <w:rFonts w:ascii="Arial" w:hAnsi="Arial" w:cs="Arial"/>
          <w:noProof/>
          <w:sz w:val="20"/>
        </w:rPr>
        <w:t xml:space="preserve"> на преходен период за прилагането на ОСП </w:t>
      </w:r>
      <w:r w:rsidR="002B1E19" w:rsidRPr="00E900B4">
        <w:rPr>
          <w:rFonts w:ascii="Arial" w:hAnsi="Arial" w:cs="Arial"/>
          <w:noProof/>
          <w:sz w:val="20"/>
        </w:rPr>
        <w:t xml:space="preserve">ще </w:t>
      </w:r>
      <w:r w:rsidR="00B52D79" w:rsidRPr="00E900B4">
        <w:rPr>
          <w:rFonts w:ascii="Arial" w:hAnsi="Arial" w:cs="Arial"/>
          <w:noProof/>
          <w:sz w:val="20"/>
        </w:rPr>
        <w:t>се проведат</w:t>
      </w:r>
      <w:r w:rsidR="002B1E19" w:rsidRPr="00E900B4">
        <w:rPr>
          <w:rFonts w:ascii="Arial" w:hAnsi="Arial" w:cs="Arial"/>
          <w:noProof/>
          <w:sz w:val="20"/>
        </w:rPr>
        <w:t xml:space="preserve"> </w:t>
      </w:r>
      <w:r w:rsidR="00D954C5" w:rsidRPr="00E900B4">
        <w:rPr>
          <w:rFonts w:ascii="Arial" w:hAnsi="Arial" w:cs="Arial"/>
          <w:noProof/>
          <w:sz w:val="20"/>
        </w:rPr>
        <w:t>тр</w:t>
      </w:r>
      <w:r w:rsidR="002B1E19" w:rsidRPr="00E900B4">
        <w:rPr>
          <w:rFonts w:ascii="Arial" w:hAnsi="Arial" w:cs="Arial"/>
          <w:noProof/>
          <w:sz w:val="20"/>
        </w:rPr>
        <w:t>истр</w:t>
      </w:r>
      <w:r w:rsidR="00D954C5" w:rsidRPr="00E900B4">
        <w:rPr>
          <w:rFonts w:ascii="Arial" w:hAnsi="Arial" w:cs="Arial"/>
          <w:noProof/>
          <w:sz w:val="20"/>
        </w:rPr>
        <w:t xml:space="preserve">анни преговори </w:t>
      </w:r>
      <w:r w:rsidR="00B52D79" w:rsidRPr="00E900B4">
        <w:rPr>
          <w:rFonts w:ascii="Arial" w:hAnsi="Arial" w:cs="Arial"/>
          <w:noProof/>
          <w:sz w:val="20"/>
        </w:rPr>
        <w:t>между Съвета,</w:t>
      </w:r>
      <w:r w:rsidR="00D954C5" w:rsidRPr="00E900B4">
        <w:rPr>
          <w:rFonts w:ascii="Arial" w:hAnsi="Arial" w:cs="Arial"/>
          <w:noProof/>
          <w:sz w:val="20"/>
        </w:rPr>
        <w:t xml:space="preserve"> Европейския парламент</w:t>
      </w:r>
      <w:r w:rsidR="002B1E19" w:rsidRPr="00E900B4">
        <w:rPr>
          <w:rFonts w:ascii="Arial" w:hAnsi="Arial" w:cs="Arial"/>
          <w:noProof/>
          <w:sz w:val="20"/>
        </w:rPr>
        <w:t xml:space="preserve"> и Европейската комисия</w:t>
      </w:r>
      <w:r w:rsidR="00D954C5" w:rsidRPr="00E900B4">
        <w:rPr>
          <w:rFonts w:ascii="Arial" w:hAnsi="Arial" w:cs="Arial"/>
          <w:noProof/>
          <w:sz w:val="20"/>
        </w:rPr>
        <w:t xml:space="preserve">. </w:t>
      </w:r>
      <w:r w:rsidR="00B52D79" w:rsidRPr="00E900B4">
        <w:rPr>
          <w:rFonts w:ascii="Arial" w:hAnsi="Arial" w:cs="Arial"/>
          <w:noProof/>
          <w:sz w:val="20"/>
        </w:rPr>
        <w:t>О</w:t>
      </w:r>
      <w:r w:rsidR="00D954C5" w:rsidRPr="00E900B4">
        <w:rPr>
          <w:rFonts w:ascii="Arial" w:hAnsi="Arial" w:cs="Arial"/>
          <w:noProof/>
          <w:sz w:val="20"/>
        </w:rPr>
        <w:t xml:space="preserve">чаква </w:t>
      </w:r>
      <w:r w:rsidR="00B52D79" w:rsidRPr="00E900B4">
        <w:rPr>
          <w:rFonts w:ascii="Arial" w:hAnsi="Arial" w:cs="Arial"/>
          <w:noProof/>
          <w:sz w:val="20"/>
        </w:rPr>
        <w:t xml:space="preserve">се те </w:t>
      </w:r>
      <w:r w:rsidR="00D954C5" w:rsidRPr="00E900B4">
        <w:rPr>
          <w:rFonts w:ascii="Arial" w:hAnsi="Arial" w:cs="Arial"/>
          <w:noProof/>
          <w:sz w:val="20"/>
        </w:rPr>
        <w:t xml:space="preserve">да </w:t>
      </w:r>
      <w:r w:rsidR="002B1E19" w:rsidRPr="00E900B4">
        <w:rPr>
          <w:rFonts w:ascii="Arial" w:hAnsi="Arial" w:cs="Arial"/>
          <w:noProof/>
          <w:sz w:val="20"/>
        </w:rPr>
        <w:t xml:space="preserve">започнат през </w:t>
      </w:r>
      <w:r w:rsidR="00D954C5" w:rsidRPr="00E900B4">
        <w:rPr>
          <w:rFonts w:ascii="Arial" w:hAnsi="Arial" w:cs="Arial"/>
          <w:noProof/>
          <w:sz w:val="20"/>
        </w:rPr>
        <w:t xml:space="preserve">месец </w:t>
      </w:r>
      <w:r w:rsidR="00B52D79" w:rsidRPr="00E900B4">
        <w:rPr>
          <w:rFonts w:ascii="Arial" w:hAnsi="Arial" w:cs="Arial"/>
          <w:noProof/>
          <w:sz w:val="20"/>
        </w:rPr>
        <w:t xml:space="preserve">май </w:t>
      </w:r>
      <w:r w:rsidR="002B1E19" w:rsidRPr="00E900B4">
        <w:rPr>
          <w:rFonts w:ascii="Arial" w:hAnsi="Arial" w:cs="Arial"/>
          <w:noProof/>
          <w:sz w:val="20"/>
        </w:rPr>
        <w:t xml:space="preserve">след като </w:t>
      </w:r>
      <w:r w:rsidR="00D51379" w:rsidRPr="00E900B4">
        <w:rPr>
          <w:rFonts w:ascii="Arial" w:hAnsi="Arial" w:cs="Arial"/>
          <w:noProof/>
          <w:sz w:val="20"/>
        </w:rPr>
        <w:t xml:space="preserve">Европейският парламент </w:t>
      </w:r>
      <w:r w:rsidR="00B52D79" w:rsidRPr="00E900B4">
        <w:rPr>
          <w:rFonts w:ascii="Arial" w:hAnsi="Arial" w:cs="Arial"/>
          <w:noProof/>
          <w:sz w:val="20"/>
        </w:rPr>
        <w:t xml:space="preserve">може да </w:t>
      </w:r>
      <w:r w:rsidR="00D51379" w:rsidRPr="00E900B4">
        <w:rPr>
          <w:rFonts w:ascii="Arial" w:hAnsi="Arial" w:cs="Arial"/>
          <w:noProof/>
          <w:sz w:val="20"/>
        </w:rPr>
        <w:t>приеме мандата си за преговори на пленарното заседание на 13-14 май.</w:t>
      </w:r>
    </w:p>
    <w:p w:rsidR="005B3283" w:rsidRPr="00E900B4" w:rsidRDefault="005B3283" w:rsidP="00D954C5">
      <w:pPr>
        <w:jc w:val="both"/>
        <w:rPr>
          <w:rFonts w:ascii="Arial" w:hAnsi="Arial" w:cs="Arial"/>
          <w:noProof/>
          <w:sz w:val="20"/>
        </w:rPr>
      </w:pPr>
    </w:p>
    <w:p w:rsidR="005B3283" w:rsidRPr="00E900B4" w:rsidRDefault="005B3283" w:rsidP="005B3283">
      <w:pPr>
        <w:jc w:val="both"/>
        <w:rPr>
          <w:rFonts w:ascii="Arial" w:hAnsi="Arial" w:cs="Arial"/>
          <w:noProof/>
          <w:sz w:val="20"/>
        </w:rPr>
      </w:pPr>
      <w:r w:rsidRPr="00E900B4">
        <w:rPr>
          <w:rFonts w:ascii="Arial" w:hAnsi="Arial" w:cs="Arial"/>
          <w:b/>
          <w:noProof/>
          <w:sz w:val="20"/>
        </w:rPr>
        <w:t xml:space="preserve">3. Продължава работата по Реформата на ОСП след 2020 г. дори в ситуацията с епидемията с COVID-19. </w:t>
      </w:r>
      <w:r w:rsidRPr="00E900B4">
        <w:rPr>
          <w:rFonts w:ascii="Arial" w:hAnsi="Arial" w:cs="Arial"/>
          <w:noProof/>
          <w:sz w:val="20"/>
        </w:rPr>
        <w:t>На 8 април Председателството изпрати на държавите членки преработен проект на Регламент за стратегическите планове, по който очаква становища до 24 април. Предложените преработки на текстовете засягат разпоредбите на чл.</w:t>
      </w:r>
      <w:r w:rsidRPr="00E900B4">
        <w:rPr>
          <w:rFonts w:ascii="Times New Roman" w:eastAsiaTheme="minorHAnsi" w:hAnsi="Times New Roman"/>
          <w:noProof/>
          <w:color w:val="000000"/>
          <w:szCs w:val="24"/>
        </w:rPr>
        <w:t xml:space="preserve"> </w:t>
      </w:r>
      <w:r w:rsidRPr="00E900B4">
        <w:rPr>
          <w:rFonts w:ascii="Arial" w:hAnsi="Arial" w:cs="Arial"/>
          <w:noProof/>
          <w:sz w:val="20"/>
        </w:rPr>
        <w:t xml:space="preserve">3, 7, 40a, 41, 41a, 55, 60a, 63, 65, 74, 86, 86a, 87, 88, 91, 97, 99, 107, 115 и 120. Председателството предлага допълнения в следните основни насоки: в дефинициите се включва понятието „прогнозни стойности”; в индикаторите се уточнява, че се използват индикаторите за продукти, които са свързани с уравняване на изпълнението; при индикаторите за резултати се въвежда задължение към държавите да използват поне общите индикатори за резултати и възможност да включат и други индикатори. Няма промяна в проекта на разпоредби за директните плащания в сравнение с насоките на преговорите до момента. В разпоредбата за минимални и максимални финансови разпределения (чл. 86) – се въвежда предложението за единен процент от финансирането за ОСП, който да се насочи към интервенциите, свързани с околната среда и климата. Точният размер на финансиране не е определен към момента и остава обект на преговори. Председателството предлага този единен дял от финансирането на ОСП да замени предложеното от ЕК финансиране за околна среда и климат в размер от 30% от средствата по ЕЗФРСР. Интервенциите, които ще се признават за това финансиране са: 100% от средствата за еко-схеми в директните плащания; агро-екологичните ангажименти; интервенциите за райони с неблагоприятни аспекти, произтичащи от задължителни ограничения по чл. 67 и интервенциите в сектора на пчеларството по чл. 49; с 40% от финансирането ще допринасят базовото плащане от директните плащания и районите с природни ограничения по чл. 66.   </w:t>
      </w:r>
    </w:p>
    <w:p w:rsidR="0001496E" w:rsidRPr="00A35D0D" w:rsidRDefault="0001496E" w:rsidP="00D63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noProof/>
          <w:lang w:val="en-US"/>
        </w:rPr>
      </w:pPr>
      <w:bookmarkStart w:id="0" w:name="_GoBack"/>
      <w:bookmarkEnd w:id="0"/>
    </w:p>
    <w:sectPr w:rsidR="0001496E" w:rsidRPr="00A35D0D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6" w:rsidRDefault="00D16316">
      <w:r>
        <w:separator/>
      </w:r>
    </w:p>
  </w:endnote>
  <w:endnote w:type="continuationSeparator" w:id="0">
    <w:p w:rsidR="00D16316" w:rsidRDefault="00D1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D163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D1631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35D0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D1631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6" w:rsidRDefault="00D16316">
      <w:r>
        <w:separator/>
      </w:r>
    </w:p>
  </w:footnote>
  <w:footnote w:type="continuationSeparator" w:id="0">
    <w:p w:rsidR="00D16316" w:rsidRDefault="00D1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5B0FCCF3" wp14:editId="08365E8C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D1631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D1631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B411AC">
      <w:rPr>
        <w:rFonts w:ascii="Arial" w:hAnsi="Arial"/>
        <w:b/>
        <w:bCs/>
        <w:color w:val="800080"/>
        <w:sz w:val="20"/>
        <w:lang w:val="en-US"/>
      </w:rPr>
      <w:t>5</w:t>
    </w:r>
    <w:r>
      <w:rPr>
        <w:rFonts w:ascii="Arial" w:hAnsi="Arial"/>
        <w:b/>
        <w:bCs/>
        <w:color w:val="800080"/>
        <w:sz w:val="20"/>
      </w:rPr>
      <w:t>/</w:t>
    </w:r>
    <w:r w:rsidR="00B411AC">
      <w:rPr>
        <w:rFonts w:ascii="Arial" w:hAnsi="Arial"/>
        <w:b/>
        <w:bCs/>
        <w:color w:val="800080"/>
        <w:sz w:val="20"/>
        <w:lang w:val="en-US"/>
      </w:rPr>
      <w:t>13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BA2A9E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4D9"/>
    <w:rsid w:val="0001496E"/>
    <w:rsid w:val="0002497A"/>
    <w:rsid w:val="00024DB1"/>
    <w:rsid w:val="00032EDB"/>
    <w:rsid w:val="0003305C"/>
    <w:rsid w:val="0004366B"/>
    <w:rsid w:val="000468A6"/>
    <w:rsid w:val="00046BB0"/>
    <w:rsid w:val="00046D50"/>
    <w:rsid w:val="00050832"/>
    <w:rsid w:val="000518AE"/>
    <w:rsid w:val="0005714A"/>
    <w:rsid w:val="0006687D"/>
    <w:rsid w:val="000678FD"/>
    <w:rsid w:val="0007208A"/>
    <w:rsid w:val="00077D3C"/>
    <w:rsid w:val="00081DAE"/>
    <w:rsid w:val="00091CD4"/>
    <w:rsid w:val="000A31F0"/>
    <w:rsid w:val="000B2026"/>
    <w:rsid w:val="000B7B54"/>
    <w:rsid w:val="000C723D"/>
    <w:rsid w:val="001164FC"/>
    <w:rsid w:val="001173C3"/>
    <w:rsid w:val="00117A81"/>
    <w:rsid w:val="00120AD2"/>
    <w:rsid w:val="00131A6D"/>
    <w:rsid w:val="00134872"/>
    <w:rsid w:val="0013606E"/>
    <w:rsid w:val="0014608C"/>
    <w:rsid w:val="001639CC"/>
    <w:rsid w:val="00173E25"/>
    <w:rsid w:val="00180311"/>
    <w:rsid w:val="00180441"/>
    <w:rsid w:val="00186654"/>
    <w:rsid w:val="00193EEE"/>
    <w:rsid w:val="00195689"/>
    <w:rsid w:val="001A6A7A"/>
    <w:rsid w:val="001B1430"/>
    <w:rsid w:val="001B5399"/>
    <w:rsid w:val="001C18D7"/>
    <w:rsid w:val="001C3F62"/>
    <w:rsid w:val="001E0A96"/>
    <w:rsid w:val="001E1EAA"/>
    <w:rsid w:val="001E1F98"/>
    <w:rsid w:val="001E4050"/>
    <w:rsid w:val="001E4C01"/>
    <w:rsid w:val="001F2EC7"/>
    <w:rsid w:val="001F396B"/>
    <w:rsid w:val="00210721"/>
    <w:rsid w:val="00210FA8"/>
    <w:rsid w:val="002118F6"/>
    <w:rsid w:val="00215B7E"/>
    <w:rsid w:val="002163C0"/>
    <w:rsid w:val="00221CDF"/>
    <w:rsid w:val="0024546F"/>
    <w:rsid w:val="002521C1"/>
    <w:rsid w:val="002610A9"/>
    <w:rsid w:val="002653C2"/>
    <w:rsid w:val="00274F4E"/>
    <w:rsid w:val="00275471"/>
    <w:rsid w:val="00285183"/>
    <w:rsid w:val="0029075B"/>
    <w:rsid w:val="002918DE"/>
    <w:rsid w:val="0029220D"/>
    <w:rsid w:val="00292E23"/>
    <w:rsid w:val="002A2BBE"/>
    <w:rsid w:val="002A2C5F"/>
    <w:rsid w:val="002A5150"/>
    <w:rsid w:val="002A6A4C"/>
    <w:rsid w:val="002B1E19"/>
    <w:rsid w:val="002B379D"/>
    <w:rsid w:val="002B44DA"/>
    <w:rsid w:val="002B6D10"/>
    <w:rsid w:val="002C21A3"/>
    <w:rsid w:val="002C512F"/>
    <w:rsid w:val="002C6EFE"/>
    <w:rsid w:val="002D0216"/>
    <w:rsid w:val="002D1A87"/>
    <w:rsid w:val="002D25F9"/>
    <w:rsid w:val="002D4BE9"/>
    <w:rsid w:val="002F1104"/>
    <w:rsid w:val="002F6211"/>
    <w:rsid w:val="002F7E40"/>
    <w:rsid w:val="00300FA3"/>
    <w:rsid w:val="00303C35"/>
    <w:rsid w:val="00304D05"/>
    <w:rsid w:val="00312DA6"/>
    <w:rsid w:val="00313FBA"/>
    <w:rsid w:val="00320AF0"/>
    <w:rsid w:val="0032720E"/>
    <w:rsid w:val="0033369E"/>
    <w:rsid w:val="00353ACF"/>
    <w:rsid w:val="00360936"/>
    <w:rsid w:val="003726E8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17CB"/>
    <w:rsid w:val="00403CB9"/>
    <w:rsid w:val="00411829"/>
    <w:rsid w:val="004133A8"/>
    <w:rsid w:val="00422311"/>
    <w:rsid w:val="0043388D"/>
    <w:rsid w:val="0044148C"/>
    <w:rsid w:val="00446398"/>
    <w:rsid w:val="0046415A"/>
    <w:rsid w:val="004923C1"/>
    <w:rsid w:val="00496775"/>
    <w:rsid w:val="004A0254"/>
    <w:rsid w:val="004A4C92"/>
    <w:rsid w:val="004B46D9"/>
    <w:rsid w:val="004D75E7"/>
    <w:rsid w:val="004F4705"/>
    <w:rsid w:val="004F5E4F"/>
    <w:rsid w:val="004F61DD"/>
    <w:rsid w:val="00502A0A"/>
    <w:rsid w:val="0051071D"/>
    <w:rsid w:val="005179AD"/>
    <w:rsid w:val="005247A5"/>
    <w:rsid w:val="0052580E"/>
    <w:rsid w:val="0052706F"/>
    <w:rsid w:val="00530C09"/>
    <w:rsid w:val="00533247"/>
    <w:rsid w:val="00537A32"/>
    <w:rsid w:val="00542DE9"/>
    <w:rsid w:val="00550360"/>
    <w:rsid w:val="00562C02"/>
    <w:rsid w:val="00563064"/>
    <w:rsid w:val="00594324"/>
    <w:rsid w:val="00596313"/>
    <w:rsid w:val="005A0184"/>
    <w:rsid w:val="005B1884"/>
    <w:rsid w:val="005B3283"/>
    <w:rsid w:val="005B34B1"/>
    <w:rsid w:val="005B4574"/>
    <w:rsid w:val="005C1BB7"/>
    <w:rsid w:val="00623765"/>
    <w:rsid w:val="00626A3F"/>
    <w:rsid w:val="00627881"/>
    <w:rsid w:val="006367A9"/>
    <w:rsid w:val="00642BB6"/>
    <w:rsid w:val="0066444F"/>
    <w:rsid w:val="00682667"/>
    <w:rsid w:val="006961F0"/>
    <w:rsid w:val="006A094F"/>
    <w:rsid w:val="006A4469"/>
    <w:rsid w:val="006A7391"/>
    <w:rsid w:val="006A739D"/>
    <w:rsid w:val="006C196D"/>
    <w:rsid w:val="006E7A46"/>
    <w:rsid w:val="006F38F7"/>
    <w:rsid w:val="0070200F"/>
    <w:rsid w:val="00702254"/>
    <w:rsid w:val="00705B40"/>
    <w:rsid w:val="00713942"/>
    <w:rsid w:val="00714838"/>
    <w:rsid w:val="00726AB6"/>
    <w:rsid w:val="00734448"/>
    <w:rsid w:val="00750FB4"/>
    <w:rsid w:val="0076162A"/>
    <w:rsid w:val="007712FE"/>
    <w:rsid w:val="00782D3D"/>
    <w:rsid w:val="007846E5"/>
    <w:rsid w:val="00793C40"/>
    <w:rsid w:val="007A2C3B"/>
    <w:rsid w:val="007A388B"/>
    <w:rsid w:val="007A70E6"/>
    <w:rsid w:val="007B03F2"/>
    <w:rsid w:val="007B0CB0"/>
    <w:rsid w:val="007B12E5"/>
    <w:rsid w:val="007C75B4"/>
    <w:rsid w:val="007D7438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65E24"/>
    <w:rsid w:val="0087702E"/>
    <w:rsid w:val="0087763E"/>
    <w:rsid w:val="008803A4"/>
    <w:rsid w:val="008836F2"/>
    <w:rsid w:val="008933AB"/>
    <w:rsid w:val="00896D40"/>
    <w:rsid w:val="008A1360"/>
    <w:rsid w:val="008B2118"/>
    <w:rsid w:val="008B2AC8"/>
    <w:rsid w:val="008D0E78"/>
    <w:rsid w:val="008D2FF4"/>
    <w:rsid w:val="008E0F81"/>
    <w:rsid w:val="008F1C90"/>
    <w:rsid w:val="008F3DF4"/>
    <w:rsid w:val="008F7ECC"/>
    <w:rsid w:val="009063C7"/>
    <w:rsid w:val="0090678A"/>
    <w:rsid w:val="00910462"/>
    <w:rsid w:val="009172AA"/>
    <w:rsid w:val="009203FA"/>
    <w:rsid w:val="00934FA6"/>
    <w:rsid w:val="009355BA"/>
    <w:rsid w:val="00956512"/>
    <w:rsid w:val="009704A2"/>
    <w:rsid w:val="00977CA7"/>
    <w:rsid w:val="00991CEE"/>
    <w:rsid w:val="0099695D"/>
    <w:rsid w:val="00996B3E"/>
    <w:rsid w:val="009A2752"/>
    <w:rsid w:val="009A5D09"/>
    <w:rsid w:val="009B1FAD"/>
    <w:rsid w:val="009D0924"/>
    <w:rsid w:val="009D6F1E"/>
    <w:rsid w:val="009E45D3"/>
    <w:rsid w:val="009E6BDB"/>
    <w:rsid w:val="009F161E"/>
    <w:rsid w:val="009F4E95"/>
    <w:rsid w:val="009F7022"/>
    <w:rsid w:val="00A02393"/>
    <w:rsid w:val="00A03AAD"/>
    <w:rsid w:val="00A1170C"/>
    <w:rsid w:val="00A128FD"/>
    <w:rsid w:val="00A15D87"/>
    <w:rsid w:val="00A227FC"/>
    <w:rsid w:val="00A35D0D"/>
    <w:rsid w:val="00A447C0"/>
    <w:rsid w:val="00A50E2C"/>
    <w:rsid w:val="00A5214D"/>
    <w:rsid w:val="00A56825"/>
    <w:rsid w:val="00A673EB"/>
    <w:rsid w:val="00A74737"/>
    <w:rsid w:val="00A77EC5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200ED"/>
    <w:rsid w:val="00B3223C"/>
    <w:rsid w:val="00B34793"/>
    <w:rsid w:val="00B36E39"/>
    <w:rsid w:val="00B411AC"/>
    <w:rsid w:val="00B52D79"/>
    <w:rsid w:val="00B539A9"/>
    <w:rsid w:val="00B6207E"/>
    <w:rsid w:val="00B64F87"/>
    <w:rsid w:val="00B73DA3"/>
    <w:rsid w:val="00B81125"/>
    <w:rsid w:val="00B8112B"/>
    <w:rsid w:val="00B853D4"/>
    <w:rsid w:val="00B90317"/>
    <w:rsid w:val="00B93F21"/>
    <w:rsid w:val="00BA2A9E"/>
    <w:rsid w:val="00BB5C72"/>
    <w:rsid w:val="00BC35B8"/>
    <w:rsid w:val="00BC70E2"/>
    <w:rsid w:val="00BE55CA"/>
    <w:rsid w:val="00BF118B"/>
    <w:rsid w:val="00BF28EC"/>
    <w:rsid w:val="00C00F88"/>
    <w:rsid w:val="00C05E95"/>
    <w:rsid w:val="00C10CB4"/>
    <w:rsid w:val="00C20809"/>
    <w:rsid w:val="00C3643A"/>
    <w:rsid w:val="00C37B23"/>
    <w:rsid w:val="00C44608"/>
    <w:rsid w:val="00C521B5"/>
    <w:rsid w:val="00C574EE"/>
    <w:rsid w:val="00C60D17"/>
    <w:rsid w:val="00C6312D"/>
    <w:rsid w:val="00C64484"/>
    <w:rsid w:val="00C718EB"/>
    <w:rsid w:val="00C7577F"/>
    <w:rsid w:val="00C801BF"/>
    <w:rsid w:val="00C86249"/>
    <w:rsid w:val="00CA35A8"/>
    <w:rsid w:val="00CA7960"/>
    <w:rsid w:val="00CB196D"/>
    <w:rsid w:val="00CB2886"/>
    <w:rsid w:val="00CC7CF0"/>
    <w:rsid w:val="00CE5E69"/>
    <w:rsid w:val="00CF0DEA"/>
    <w:rsid w:val="00D000AE"/>
    <w:rsid w:val="00D05077"/>
    <w:rsid w:val="00D100BD"/>
    <w:rsid w:val="00D1195A"/>
    <w:rsid w:val="00D16316"/>
    <w:rsid w:val="00D167B1"/>
    <w:rsid w:val="00D25C9A"/>
    <w:rsid w:val="00D3159B"/>
    <w:rsid w:val="00D32B06"/>
    <w:rsid w:val="00D43BBD"/>
    <w:rsid w:val="00D51379"/>
    <w:rsid w:val="00D52E17"/>
    <w:rsid w:val="00D61B59"/>
    <w:rsid w:val="00D62282"/>
    <w:rsid w:val="00D6359C"/>
    <w:rsid w:val="00D63914"/>
    <w:rsid w:val="00D63BF6"/>
    <w:rsid w:val="00D7258C"/>
    <w:rsid w:val="00D758EF"/>
    <w:rsid w:val="00D80D84"/>
    <w:rsid w:val="00D8519B"/>
    <w:rsid w:val="00D86732"/>
    <w:rsid w:val="00D954C5"/>
    <w:rsid w:val="00DA44A9"/>
    <w:rsid w:val="00DA4860"/>
    <w:rsid w:val="00DC5A8E"/>
    <w:rsid w:val="00DD2BC9"/>
    <w:rsid w:val="00DE0DB4"/>
    <w:rsid w:val="00DE752F"/>
    <w:rsid w:val="00DF7E91"/>
    <w:rsid w:val="00E02B6A"/>
    <w:rsid w:val="00E17E07"/>
    <w:rsid w:val="00E2125A"/>
    <w:rsid w:val="00E23670"/>
    <w:rsid w:val="00E24FA2"/>
    <w:rsid w:val="00E256E7"/>
    <w:rsid w:val="00E35D6F"/>
    <w:rsid w:val="00E4290A"/>
    <w:rsid w:val="00E44DF1"/>
    <w:rsid w:val="00E47639"/>
    <w:rsid w:val="00E51A6D"/>
    <w:rsid w:val="00E5449B"/>
    <w:rsid w:val="00E6099A"/>
    <w:rsid w:val="00E60B1D"/>
    <w:rsid w:val="00E67885"/>
    <w:rsid w:val="00E900B4"/>
    <w:rsid w:val="00E91247"/>
    <w:rsid w:val="00EA4B29"/>
    <w:rsid w:val="00EA4B99"/>
    <w:rsid w:val="00EA5878"/>
    <w:rsid w:val="00EB0F17"/>
    <w:rsid w:val="00EB289B"/>
    <w:rsid w:val="00EB783C"/>
    <w:rsid w:val="00EB7972"/>
    <w:rsid w:val="00EC0DDC"/>
    <w:rsid w:val="00EC4213"/>
    <w:rsid w:val="00EC6BA3"/>
    <w:rsid w:val="00ED2BC3"/>
    <w:rsid w:val="00EE1065"/>
    <w:rsid w:val="00EE38E7"/>
    <w:rsid w:val="00EE7B1B"/>
    <w:rsid w:val="00F0360F"/>
    <w:rsid w:val="00F05542"/>
    <w:rsid w:val="00F12C83"/>
    <w:rsid w:val="00F16B09"/>
    <w:rsid w:val="00F23EFD"/>
    <w:rsid w:val="00F30D26"/>
    <w:rsid w:val="00F40970"/>
    <w:rsid w:val="00F43319"/>
    <w:rsid w:val="00F4416D"/>
    <w:rsid w:val="00F531AD"/>
    <w:rsid w:val="00F6008B"/>
    <w:rsid w:val="00F67B7A"/>
    <w:rsid w:val="00F70B6C"/>
    <w:rsid w:val="00F72B07"/>
    <w:rsid w:val="00F72F60"/>
    <w:rsid w:val="00F73C4B"/>
    <w:rsid w:val="00F74337"/>
    <w:rsid w:val="00FA407F"/>
    <w:rsid w:val="00FD4196"/>
    <w:rsid w:val="00FE14C1"/>
    <w:rsid w:val="00FE657F"/>
    <w:rsid w:val="00FF041A"/>
    <w:rsid w:val="00FF295B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954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954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354-5CE1-43A4-9914-3200224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dcterms:created xsi:type="dcterms:W3CDTF">2020-04-13T12:59:00Z</dcterms:created>
  <dcterms:modified xsi:type="dcterms:W3CDTF">2020-04-13T13:30:00Z</dcterms:modified>
</cp:coreProperties>
</file>