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103D2" w14:textId="77777777" w:rsidR="00764554" w:rsidRDefault="00764554" w:rsidP="00764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764554">
        <w:rPr>
          <w:rFonts w:ascii="Times New Roman" w:hAnsi="Times New Roman" w:cs="Times New Roman"/>
          <w:b/>
          <w:bCs/>
          <w:sz w:val="20"/>
          <w:szCs w:val="20"/>
        </w:rPr>
        <w:t>ДОКУМЕНТИ ПРИ КАНДИДАТСТВАНЕ ЗА МЕЖДИННО/ОКОНЧАТЕЛНО ПЛАЩАНЕ</w:t>
      </w:r>
    </w:p>
    <w:p w14:paraId="7546EB45" w14:textId="77777777" w:rsidR="00E6138D" w:rsidRPr="009E6794" w:rsidRDefault="00E6138D" w:rsidP="00E6138D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D62BD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6DA7">
        <w:rPr>
          <w:rFonts w:ascii="Times New Roman" w:hAnsi="Times New Roman"/>
          <w:b/>
          <w:sz w:val="24"/>
          <w:szCs w:val="24"/>
        </w:rPr>
        <w:t>(</w:t>
      </w:r>
      <w:r w:rsidRPr="00133E43">
        <w:rPr>
          <w:rFonts w:ascii="Times New Roman" w:eastAsia="Times New Roman" w:hAnsi="Times New Roman"/>
          <w:shd w:val="clear" w:color="auto" w:fill="FEFEFE"/>
        </w:rPr>
        <w:t>формат „</w:t>
      </w:r>
      <w:proofErr w:type="spellStart"/>
      <w:r w:rsidRPr="00133E43">
        <w:rPr>
          <w:rFonts w:ascii="Times New Roman" w:eastAsia="Times New Roman" w:hAnsi="Times New Roman"/>
          <w:shd w:val="clear" w:color="auto" w:fill="FEFEFE"/>
        </w:rPr>
        <w:t>рdf</w:t>
      </w:r>
      <w:proofErr w:type="spellEnd"/>
      <w:r w:rsidRPr="00133E43">
        <w:rPr>
          <w:rFonts w:ascii="Times New Roman" w:eastAsia="Times New Roman" w:hAnsi="Times New Roman"/>
          <w:shd w:val="clear" w:color="auto" w:fill="FEFEFE"/>
        </w:rPr>
        <w:t xml:space="preserve">“ </w:t>
      </w:r>
      <w:r w:rsidRPr="00133E43">
        <w:rPr>
          <w:rFonts w:ascii="Times New Roman" w:hAnsi="Times New Roman"/>
        </w:rPr>
        <w:t>или „</w:t>
      </w:r>
      <w:proofErr w:type="spellStart"/>
      <w:r w:rsidRPr="00133E43">
        <w:rPr>
          <w:rFonts w:ascii="Times New Roman" w:hAnsi="Times New Roman"/>
        </w:rPr>
        <w:t>jpg</w:t>
      </w:r>
      <w:proofErr w:type="spellEnd"/>
      <w:r w:rsidRPr="00133E4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, </w:t>
      </w:r>
      <w:r w:rsidRPr="00F3208A">
        <w:rPr>
          <w:rFonts w:ascii="Times New Roman" w:hAnsi="Times New Roman"/>
        </w:rPr>
        <w:t>„</w:t>
      </w:r>
      <w:proofErr w:type="spellStart"/>
      <w:r w:rsidRPr="00F3208A">
        <w:rPr>
          <w:rFonts w:ascii="Times New Roman" w:hAnsi="Times New Roman"/>
          <w:lang w:val="en-US"/>
        </w:rPr>
        <w:t>xls</w:t>
      </w:r>
      <w:proofErr w:type="spellEnd"/>
      <w:r w:rsidRPr="00F3208A">
        <w:rPr>
          <w:rFonts w:ascii="Times New Roman" w:hAnsi="Times New Roman"/>
        </w:rPr>
        <w:t>“ или „</w:t>
      </w:r>
      <w:proofErr w:type="spellStart"/>
      <w:r w:rsidRPr="00F3208A">
        <w:rPr>
          <w:rFonts w:ascii="Times New Roman" w:hAnsi="Times New Roman"/>
        </w:rPr>
        <w:t>xls</w:t>
      </w:r>
      <w:proofErr w:type="spellEnd"/>
      <w:r w:rsidRPr="00F3208A">
        <w:rPr>
          <w:rFonts w:ascii="Times New Roman" w:hAnsi="Times New Roman"/>
          <w:lang w:val="en-US"/>
        </w:rPr>
        <w:t>x</w:t>
      </w:r>
      <w:r w:rsidRPr="00F3208A">
        <w:rPr>
          <w:rFonts w:ascii="Times New Roman" w:hAnsi="Times New Roman"/>
        </w:rPr>
        <w:t>“</w:t>
      </w:r>
      <w:r w:rsidRPr="00BF6DA7">
        <w:rPr>
          <w:rFonts w:ascii="Times New Roman" w:hAnsi="Times New Roman"/>
          <w:b/>
          <w:sz w:val="24"/>
          <w:szCs w:val="24"/>
        </w:rPr>
        <w:t>)</w:t>
      </w:r>
    </w:p>
    <w:p w14:paraId="294C811B" w14:textId="77777777" w:rsidR="00764554" w:rsidRPr="00764554" w:rsidRDefault="00764554" w:rsidP="00764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701BF59" w14:textId="77777777" w:rsidR="003C5494" w:rsidRPr="003C5494" w:rsidRDefault="003C5494" w:rsidP="00764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C5494">
        <w:rPr>
          <w:rFonts w:ascii="Times New Roman" w:hAnsi="Times New Roman" w:cs="Times New Roman"/>
          <w:b/>
          <w:bCs/>
          <w:sz w:val="24"/>
          <w:szCs w:val="24"/>
        </w:rPr>
        <w:t>І. Общи документи</w:t>
      </w:r>
    </w:p>
    <w:p w14:paraId="1916B1AB" w14:textId="77777777" w:rsidR="003C5494" w:rsidRPr="003C5494" w:rsidRDefault="003C5494" w:rsidP="00764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6AABC2C" w14:textId="30D8DA03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Заявка за междинно/окончателно плащане (по образец).</w:t>
      </w:r>
    </w:p>
    <w:p w14:paraId="618A92BF" w14:textId="77777777" w:rsidR="00066D62" w:rsidRPr="00365F58" w:rsidRDefault="00066D6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49267" w14:textId="21717F2E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Нотариално заверено изрично пълномощно, в случай че документите не се</w:t>
      </w:r>
      <w:r w:rsidR="00365F58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подават лично от ползвателя на помощта, респ. представляващия ползвателя на</w:t>
      </w:r>
      <w:r w:rsidR="00365F58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помощта.</w:t>
      </w:r>
    </w:p>
    <w:p w14:paraId="7494381A" w14:textId="77777777" w:rsidR="00066D62" w:rsidRPr="00365F58" w:rsidRDefault="00066D6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856DA" w14:textId="217E2020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Удостоверение за актуално състояние, издадено от съответния съд не по-рано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от 1 месец преди предоставянето му, или друг документ, удостоверяващ избора 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актуалното състояние по отношение на представляващия ползвателя на помощта,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негов законен или упълномощен представител, членовете на управителния му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орган, както и временно изпълняващ такава длъжност, както и лицата,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упълномощени да вземат решения или да упражняват контрол по ползвателя на помощта.</w:t>
      </w:r>
    </w:p>
    <w:p w14:paraId="302CD8FC" w14:textId="77777777" w:rsidR="00066D62" w:rsidRPr="00365F58" w:rsidRDefault="00066D6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67C14" w14:textId="0F686CD5" w:rsidR="001E5F60" w:rsidRDefault="00764554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51D1">
        <w:rPr>
          <w:rFonts w:ascii="Times New Roman" w:hAnsi="Times New Roman" w:cs="Times New Roman"/>
          <w:sz w:val="24"/>
          <w:szCs w:val="24"/>
        </w:rPr>
        <w:t>Свидетелство за съдимост, издадено не по-късно от 4 месеца преди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предоставянето му на представляващия ползвателя на помощта, негов законен или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упълномощен представител, членовете на управителния му орган, както 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временно изпълняващ такава длъжност, както и лицата, упълномощени да вземат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решения или да упражняват контрол по отношение на ползвателя на помощта.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="001E5F60" w:rsidRPr="00DA51D1">
        <w:rPr>
          <w:rFonts w:ascii="Times New Roman" w:hAnsi="Times New Roman"/>
          <w:sz w:val="24"/>
          <w:szCs w:val="24"/>
        </w:rPr>
        <w:t>Изисква се само ако не е осигурен на ДФЗ-РА достъп до данните за съдимост</w:t>
      </w:r>
      <w:r w:rsidR="001E5F60" w:rsidRPr="00BF6DA7">
        <w:rPr>
          <w:rFonts w:ascii="Times New Roman" w:hAnsi="Times New Roman"/>
          <w:sz w:val="24"/>
          <w:szCs w:val="24"/>
          <w:lang w:eastAsia="bg-BG"/>
        </w:rPr>
        <w:t>.</w:t>
      </w:r>
    </w:p>
    <w:p w14:paraId="5E5657D1" w14:textId="77777777" w:rsidR="00BF6DA7" w:rsidRPr="00BF6DA7" w:rsidRDefault="00BF6DA7" w:rsidP="00BF6DA7">
      <w:pPr>
        <w:pStyle w:val="ListParagraph"/>
        <w:rPr>
          <w:rFonts w:ascii="Times New Roman" w:hAnsi="Times New Roman"/>
          <w:sz w:val="24"/>
          <w:szCs w:val="24"/>
          <w:lang w:eastAsia="bg-BG"/>
        </w:rPr>
      </w:pPr>
    </w:p>
    <w:p w14:paraId="3423D95B" w14:textId="77777777" w:rsidR="00BF6DA7" w:rsidRPr="00BF6DA7" w:rsidRDefault="00BF6DA7" w:rsidP="00BF6DA7">
      <w:pPr>
        <w:pStyle w:val="ListParagraph"/>
        <w:spacing w:line="276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27E4D0FA" w14:textId="54B6F3A6" w:rsidR="00764554" w:rsidRDefault="00764554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съгласно </w:t>
      </w:r>
      <w:r w:rsidR="001917D8" w:rsidRPr="00DA51D1">
        <w:rPr>
          <w:rFonts w:ascii="Times New Roman" w:hAnsi="Times New Roman" w:cs="Times New Roman"/>
          <w:sz w:val="24"/>
          <w:szCs w:val="24"/>
        </w:rPr>
        <w:t>П</w:t>
      </w:r>
      <w:r w:rsidRPr="00DA51D1">
        <w:rPr>
          <w:rFonts w:ascii="Times New Roman" w:hAnsi="Times New Roman" w:cs="Times New Roman"/>
          <w:sz w:val="24"/>
          <w:szCs w:val="24"/>
        </w:rPr>
        <w:t>риложение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 № 2</w:t>
      </w:r>
      <w:r w:rsidRPr="00DA51D1">
        <w:rPr>
          <w:rFonts w:ascii="Times New Roman" w:hAnsi="Times New Roman" w:cs="Times New Roman"/>
          <w:sz w:val="24"/>
          <w:szCs w:val="24"/>
        </w:rPr>
        <w:t xml:space="preserve"> от представляващия ползвателя на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помощта, негов законен или упълномощен представител, членовете на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управителния му орган, както и временно изпълняващ такава длъжност, както и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лицата, упълномощени да вземат решения или да упражняват контрол по отношение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на ползвателя на помощта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 относно</w:t>
      </w:r>
      <w:r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отсъствието на обстоятелства по чл. 25, ал. 2 от ЗУСЕСИФ и чл. 7 от Постановление № 162 на Министерския съвет от 2016 г. </w:t>
      </w:r>
    </w:p>
    <w:p w14:paraId="09AE1022" w14:textId="77777777" w:rsidR="00BF6DA7" w:rsidRPr="00DA51D1" w:rsidRDefault="00BF6DA7" w:rsidP="00BF6DA7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1F21F6" w14:textId="105F5E9D" w:rsidR="00D72E95" w:rsidRPr="006D62BD" w:rsidRDefault="00D72E95" w:rsidP="00DA51D1">
      <w:pPr>
        <w:pStyle w:val="ListParagraph"/>
        <w:numPr>
          <w:ilvl w:val="0"/>
          <w:numId w:val="6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>Удостоверение от органите на Изпълнителна агенция „Главна инспекция по труда“ във връзка с обстоятелствата по чл. 54, ал. 1, т. 6 от Закона за обществените поръчки – оригинал или копие, заверено от кмета на общината.</w:t>
      </w:r>
    </w:p>
    <w:p w14:paraId="76B65D1D" w14:textId="77777777" w:rsidR="00D72E95" w:rsidRDefault="00D72E95" w:rsidP="00066D6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317FD6" w14:textId="35BD5712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</w:t>
      </w:r>
      <w:r w:rsidR="00E6138D" w:rsidRPr="00DA51D1">
        <w:rPr>
          <w:rFonts w:ascii="Times New Roman" w:hAnsi="Times New Roman" w:cs="Times New Roman"/>
          <w:sz w:val="24"/>
          <w:szCs w:val="24"/>
        </w:rPr>
        <w:t xml:space="preserve">по образец </w:t>
      </w:r>
      <w:r w:rsidR="00E6138D" w:rsidRPr="00DA51D1">
        <w:rPr>
          <w:rFonts w:ascii="Times New Roman" w:hAnsi="Times New Roman"/>
          <w:sz w:val="24"/>
          <w:szCs w:val="24"/>
        </w:rPr>
        <w:t xml:space="preserve">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</w:t>
      </w:r>
      <w:r w:rsidR="00E6138D" w:rsidRPr="00DA51D1">
        <w:rPr>
          <w:rFonts w:ascii="Times New Roman" w:hAnsi="Times New Roman"/>
          <w:sz w:val="24"/>
          <w:szCs w:val="24"/>
          <w:lang w:val="ru-RU"/>
        </w:rPr>
        <w:t>(</w:t>
      </w:r>
      <w:r w:rsidR="00E6138D" w:rsidRPr="00DA51D1">
        <w:rPr>
          <w:rFonts w:ascii="Times New Roman" w:hAnsi="Times New Roman"/>
          <w:sz w:val="24"/>
          <w:szCs w:val="24"/>
        </w:rPr>
        <w:t>Приложение № 3</w:t>
      </w:r>
      <w:r w:rsidR="00E6138D" w:rsidRPr="00DA51D1">
        <w:rPr>
          <w:rFonts w:ascii="Times New Roman" w:hAnsi="Times New Roman"/>
          <w:sz w:val="24"/>
          <w:szCs w:val="24"/>
          <w:lang w:val="ru-RU"/>
        </w:rPr>
        <w:t>)</w:t>
      </w:r>
      <w:r w:rsidR="006339B0" w:rsidRPr="00DA51D1">
        <w:rPr>
          <w:rFonts w:ascii="Times New Roman" w:hAnsi="Times New Roman" w:cs="Times New Roman"/>
          <w:sz w:val="24"/>
          <w:szCs w:val="24"/>
        </w:rPr>
        <w:t>.</w:t>
      </w:r>
    </w:p>
    <w:p w14:paraId="3015668B" w14:textId="77777777" w:rsidR="006339B0" w:rsidRPr="00365F58" w:rsidRDefault="006339B0" w:rsidP="00E613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0CCEF" w14:textId="34CF9B87" w:rsidR="00764554" w:rsidRPr="002D2CC6" w:rsidRDefault="00764554" w:rsidP="002D2CC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 w:cs="Times New Roman"/>
          <w:sz w:val="24"/>
          <w:szCs w:val="24"/>
        </w:rPr>
        <w:t>Декларация от представляващия ползвателя на помощта за наличие или липса</w:t>
      </w:r>
      <w:r w:rsid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2D2CC6">
        <w:rPr>
          <w:rFonts w:ascii="Times New Roman" w:hAnsi="Times New Roman" w:cs="Times New Roman"/>
          <w:sz w:val="24"/>
          <w:szCs w:val="24"/>
        </w:rPr>
        <w:t>на двойно финансиране (по образец</w:t>
      </w:r>
      <w:r w:rsidR="006312CA" w:rsidRPr="002D2CC6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6339B0" w:rsidRPr="002D2CC6">
        <w:rPr>
          <w:rFonts w:ascii="Times New Roman" w:hAnsi="Times New Roman" w:cs="Times New Roman"/>
          <w:sz w:val="24"/>
          <w:szCs w:val="24"/>
        </w:rPr>
        <w:t>4</w:t>
      </w:r>
      <w:r w:rsidRPr="002D2CC6">
        <w:rPr>
          <w:rFonts w:ascii="Times New Roman" w:hAnsi="Times New Roman" w:cs="Times New Roman"/>
          <w:sz w:val="24"/>
          <w:szCs w:val="24"/>
        </w:rPr>
        <w:t>).</w:t>
      </w:r>
    </w:p>
    <w:p w14:paraId="751C1964" w14:textId="77777777" w:rsidR="006339B0" w:rsidRPr="00365F58" w:rsidRDefault="006339B0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691271" w14:textId="77777777" w:rsidR="006339B0" w:rsidRPr="006339B0" w:rsidRDefault="006339B0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C00000"/>
          <w:sz w:val="24"/>
          <w:szCs w:val="24"/>
        </w:rPr>
      </w:pPr>
    </w:p>
    <w:p w14:paraId="54BE40D6" w14:textId="3B15761B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lastRenderedPageBreak/>
        <w:t>Удостоверение, потвърждаващо, че ползвателят на помощта не е обявен в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процедура по несъстоятелност, издадено от съответния съд не по-рано от 1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месец преди датата на подаване на заявката за плащане</w:t>
      </w:r>
      <w:r w:rsidRPr="00DA51D1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5037C1">
        <w:rPr>
          <w:rFonts w:ascii="Times New Roman" w:hAnsi="Times New Roman" w:cs="Times New Roman"/>
          <w:i/>
          <w:sz w:val="24"/>
          <w:szCs w:val="24"/>
        </w:rPr>
        <w:t>Отнася се само за Сдруженията за напояване</w:t>
      </w:r>
      <w:r w:rsidRPr="00DA51D1">
        <w:rPr>
          <w:rFonts w:ascii="Times New Roman" w:hAnsi="Times New Roman" w:cs="Times New Roman"/>
          <w:i/>
          <w:sz w:val="24"/>
          <w:szCs w:val="24"/>
        </w:rPr>
        <w:t>)</w:t>
      </w:r>
      <w:r w:rsidRPr="00DA51D1">
        <w:rPr>
          <w:rFonts w:ascii="Times New Roman" w:hAnsi="Times New Roman" w:cs="Times New Roman"/>
          <w:sz w:val="24"/>
          <w:szCs w:val="24"/>
        </w:rPr>
        <w:t>.</w:t>
      </w:r>
    </w:p>
    <w:p w14:paraId="48F2828B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2FD8E" w14:textId="3835E95E" w:rsidR="002D2CC6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Удостоверение, потвърждаващо, че ползвателят на помощта не е в процедура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 ликвидация, издадено от съответния съд не по-рано от 1 месец преди датата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 xml:space="preserve">на подаване на заявката за плащане </w:t>
      </w:r>
      <w:r w:rsidRPr="00DA51D1">
        <w:rPr>
          <w:rFonts w:ascii="Times New Roman" w:hAnsi="Times New Roman" w:cs="Times New Roman"/>
          <w:i/>
          <w:sz w:val="24"/>
          <w:szCs w:val="24"/>
        </w:rPr>
        <w:t>(</w:t>
      </w:r>
      <w:r w:rsidR="002D617D">
        <w:rPr>
          <w:rFonts w:ascii="Times New Roman" w:hAnsi="Times New Roman" w:cs="Times New Roman"/>
          <w:i/>
          <w:sz w:val="24"/>
          <w:szCs w:val="24"/>
        </w:rPr>
        <w:t>Отнася се само за Сдруженията за напояване</w:t>
      </w:r>
      <w:r w:rsidRPr="00DA51D1">
        <w:rPr>
          <w:rFonts w:ascii="Times New Roman" w:hAnsi="Times New Roman" w:cs="Times New Roman"/>
          <w:i/>
          <w:sz w:val="24"/>
          <w:szCs w:val="24"/>
        </w:rPr>
        <w:t>)</w:t>
      </w:r>
    </w:p>
    <w:p w14:paraId="2CC60CAD" w14:textId="77777777" w:rsidR="002D2CC6" w:rsidRPr="002D2CC6" w:rsidRDefault="002D2CC6" w:rsidP="002D2CC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ABCEF1E" w14:textId="77777777" w:rsidR="002D2CC6" w:rsidRPr="002D2CC6" w:rsidRDefault="002D2CC6" w:rsidP="002D2CC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103E3F01" w14:textId="55AD8894" w:rsidR="00FE797D" w:rsidRPr="00DA51D1" w:rsidRDefault="00FE797D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Счетоводен баланс за годината, предхождаща годината на подаване на искането за плащане, съгласно Закона за счетоводството (ЗС).</w:t>
      </w:r>
    </w:p>
    <w:p w14:paraId="3F03C096" w14:textId="77777777" w:rsidR="00FE797D" w:rsidRPr="005502D5" w:rsidRDefault="00FE797D" w:rsidP="00FE797D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E000F50" w14:textId="29379DCD" w:rsidR="00FE797D" w:rsidRPr="00DA51D1" w:rsidRDefault="00FE797D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. Счетоводен баланс към последен приключен междинен период преди датата на подаване на искането за плащане съгласно ЗС.</w:t>
      </w:r>
    </w:p>
    <w:p w14:paraId="33583B37" w14:textId="77777777" w:rsidR="00FE797D" w:rsidRPr="005502D5" w:rsidRDefault="00FE797D" w:rsidP="00FE797D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AE48DF0" w14:textId="193534CF" w:rsidR="00FE797D" w:rsidRPr="00DA51D1" w:rsidRDefault="00FE797D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Отчет за приходите и разходите за годината, предхождаща годината на подаване на искането за плащане, съгласно ЗС.</w:t>
      </w:r>
    </w:p>
    <w:p w14:paraId="0D260BAE" w14:textId="77777777" w:rsidR="00FE797D" w:rsidRPr="005502D5" w:rsidRDefault="00FE797D" w:rsidP="00FE797D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9ABD60" w14:textId="238DFD25" w:rsidR="00FE797D" w:rsidRPr="00DA51D1" w:rsidRDefault="00FE797D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Отчет за приходите и разходите към последен приключен междинен период преди датата на подаване на искането за плащане съгласно ЗС.</w:t>
      </w:r>
    </w:p>
    <w:p w14:paraId="565FB0F7" w14:textId="77777777" w:rsidR="00FE797D" w:rsidRPr="005502D5" w:rsidRDefault="00FE797D" w:rsidP="00FE797D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014CA33" w14:textId="35C6B802" w:rsidR="00FE797D" w:rsidRPr="00DA51D1" w:rsidRDefault="00FE797D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Справка за дълготрайните активи към счетоводния баланс за годината, предхождаща годината на подаване на искането за плащане, съгласно ЗС.</w:t>
      </w:r>
    </w:p>
    <w:p w14:paraId="289DD188" w14:textId="77777777" w:rsidR="00FE797D" w:rsidRPr="005502D5" w:rsidRDefault="00FE797D" w:rsidP="00FE797D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97C216D" w14:textId="2CEEAC6A" w:rsidR="00FE797D" w:rsidRPr="00DA51D1" w:rsidRDefault="00FE797D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Справка за дълготрайните активи към счетоводния баланс към последен приключен междинен период преди датата на подаване на искането за плащане съгласно ЗС.</w:t>
      </w:r>
    </w:p>
    <w:p w14:paraId="57AFD9AA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1E82632A" w14:textId="4B8A1AE0" w:rsidR="00FE797D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Извлечение от инвентарна книга или справка от аналитичната счетоводна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 xml:space="preserve">ведомост на ползвателя, доказваща </w:t>
      </w:r>
      <w:proofErr w:type="spellStart"/>
      <w:r w:rsidRPr="00DA51D1">
        <w:rPr>
          <w:rFonts w:ascii="Times New Roman" w:hAnsi="Times New Roman" w:cs="Times New Roman"/>
          <w:sz w:val="24"/>
          <w:szCs w:val="24"/>
        </w:rPr>
        <w:t>заприхождаването</w:t>
      </w:r>
      <w:proofErr w:type="spellEnd"/>
      <w:r w:rsidRPr="00DA51D1">
        <w:rPr>
          <w:rFonts w:ascii="Times New Roman" w:hAnsi="Times New Roman" w:cs="Times New Roman"/>
          <w:sz w:val="24"/>
          <w:szCs w:val="24"/>
        </w:rPr>
        <w:t xml:space="preserve"> на финансираните активи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 xml:space="preserve">или документи с еквивалентна стойност. </w:t>
      </w:r>
    </w:p>
    <w:p w14:paraId="469CE51E" w14:textId="77777777" w:rsidR="00FE797D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BD6B03" w14:textId="7E0E8C83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Първични счетоводни документи (фактури), доказващи извършените разходи.</w:t>
      </w:r>
    </w:p>
    <w:p w14:paraId="260E9A97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2C7FC5" w14:textId="13CF2D04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 Платежно нареждане (друг документ), доказващо плащане от страна на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ползвателя на помощта.</w:t>
      </w:r>
    </w:p>
    <w:p w14:paraId="48D44B68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46A8E9" w14:textId="5E8A54A1" w:rsidR="00FE797D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плащането, доказващо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плащане от страна на ползвателя на помощта.</w:t>
      </w:r>
    </w:p>
    <w:p w14:paraId="6D59BEF6" w14:textId="77777777" w:rsidR="00FE797D" w:rsidRDefault="00FE797D" w:rsidP="00FE7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1DCE24" w14:textId="5B81A5BC" w:rsidR="00FE797D" w:rsidRPr="00DA51D1" w:rsidRDefault="00FE797D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A51D1">
        <w:rPr>
          <w:rFonts w:ascii="Times New Roman" w:hAnsi="Times New Roman"/>
          <w:sz w:val="24"/>
          <w:szCs w:val="24"/>
        </w:rPr>
        <w:t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14:paraId="0CF81051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F7D24D" w14:textId="4405CCDC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Договор за строителство/доставка/услуга между ползвателя и изпълнителя с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детайлно описание на техническите характеристики, цена в левове или евро,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срок, количество и начин на доставка ведно с подробна количествено-стойностна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сметка на хартиен и електронен носител. В договорите се описва ДДС.</w:t>
      </w:r>
    </w:p>
    <w:p w14:paraId="2470D558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4BB48E" w14:textId="346B94E3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от всеки доставчик, че активите – предмет </w:t>
      </w:r>
      <w:r w:rsidR="006D00C5" w:rsidRPr="00DA51D1">
        <w:rPr>
          <w:rFonts w:ascii="Times New Roman" w:hAnsi="Times New Roman" w:cs="Times New Roman"/>
          <w:sz w:val="24"/>
          <w:szCs w:val="24"/>
        </w:rPr>
        <w:t xml:space="preserve">на инвестицията, не са </w:t>
      </w:r>
      <w:r w:rsidRPr="00DA51D1">
        <w:rPr>
          <w:rFonts w:ascii="Times New Roman" w:hAnsi="Times New Roman" w:cs="Times New Roman"/>
          <w:sz w:val="24"/>
          <w:szCs w:val="24"/>
        </w:rPr>
        <w:t>втора употреба.</w:t>
      </w:r>
    </w:p>
    <w:p w14:paraId="20EA1142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652E9" w14:textId="33AE1697" w:rsidR="00764554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Приемно-предавателен протокол, подписан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от ползвателя на помощта и доставчика, с детайлно описание на техническите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характеристики на активите – предмет на инвестицията.</w:t>
      </w:r>
    </w:p>
    <w:p w14:paraId="38A56BF5" w14:textId="730D0E4A" w:rsidR="002D2CC6" w:rsidRPr="002D2CC6" w:rsidRDefault="002D2CC6" w:rsidP="002D2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42438" w14:textId="0F139CAB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изплащане на лизинговите вноски (в случаите на финансов лизинг).</w:t>
      </w:r>
    </w:p>
    <w:p w14:paraId="345192DF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1D470" w14:textId="5A77D94A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Застрахователна полица за предмета на инвестицията съгласно изискванията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на договора за финансово подпомагане.</w:t>
      </w:r>
    </w:p>
    <w:p w14:paraId="2B177561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C6D8B" w14:textId="6251797B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Квитанция или платежно нареждане (придружено от пълно дневно банково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извлечение) за изцяло платена застрахователна премия.</w:t>
      </w:r>
    </w:p>
    <w:p w14:paraId="71FF1DD0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CDE15" w14:textId="4D0DA1BD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Протокол за откриване на строителна площадка и за определяне на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строителна линия и ниво (образец 2/2а съгласно Наредба 3 от 2003 г. за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съставяне на актове и протоколи по време на строителството (ДВ, бр. 72 от2003 г.).</w:t>
      </w:r>
    </w:p>
    <w:p w14:paraId="2954824F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58F62A" w14:textId="26E90EB6" w:rsidR="00764554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Акт за установяване състоянието на строежа при спиране на строителството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10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строителството).</w:t>
      </w:r>
    </w:p>
    <w:p w14:paraId="55E62B9D" w14:textId="36BD716E" w:rsidR="00F02AAD" w:rsidRPr="00F02AAD" w:rsidRDefault="00F02AAD" w:rsidP="00F0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0AFF5F" w14:textId="31D86F86" w:rsidR="00D72E95" w:rsidRPr="006D62BD" w:rsidRDefault="00D72E95" w:rsidP="00DA51D1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>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науките, ако строителството е спряно за лоши метеорологични условия.</w:t>
      </w:r>
    </w:p>
    <w:p w14:paraId="7290CCBA" w14:textId="77777777" w:rsidR="00D72E95" w:rsidRDefault="00D72E95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63630A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029D4E" w14:textId="65AD438F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Акт за установяване състоянието на строежа и строителните и монтажните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работи при продължаване на строителството за всички спрени строежи по общия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ред и предвидените в чл. 7, ал. 3, т. 10 от Наредба 3 от 2003 г. за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съставяне на актове и протоколи по време на строителството и други случаи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11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строителството).</w:t>
      </w:r>
    </w:p>
    <w:p w14:paraId="02572EF2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6826DF" w14:textId="7EDB1251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Констативен акт за установяване годността за приемане на строежа (част,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етап от него) (образец 15 съгласно Наредба 3 от 2003 г. за съставяне на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актове и протоколи по време на строителството).</w:t>
      </w:r>
    </w:p>
    <w:p w14:paraId="45E1A809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4DC5A" w14:textId="4D7D1DCC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lastRenderedPageBreak/>
        <w:t>Протокол за установяване годността за ползване на строежа (частта, етапа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от него) (образец 16 съгласно Наредба 3 от 2003 г. за съставяне на актове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 протоколи по време на строителството).</w:t>
      </w:r>
    </w:p>
    <w:p w14:paraId="5C92B53A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6F3CC" w14:textId="6A143080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Протокол за проведена 72-часова проба при експлоатационни условия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17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 в случаите, когато се изисква съгласно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действащата нормативна уредба.</w:t>
      </w:r>
    </w:p>
    <w:p w14:paraId="444BEB6C" w14:textId="77777777" w:rsidR="00DA51D1" w:rsidRDefault="00DA51D1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A82661" w14:textId="585AA452" w:rsidR="00DA51D1" w:rsidRDefault="00DA51D1" w:rsidP="00DA51D1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 xml:space="preserve">Писмо-обосновка, съгласувано от лицето, упражняващо строителен надзор, и подробна количествено-стойностна сметка) от строителя, детайлно изясняваща обстоятелствата, наложили извършването на допълнителни строително-монтажни дейности (когато е </w:t>
      </w:r>
      <w:r w:rsidRPr="00680CE3">
        <w:rPr>
          <w:rFonts w:ascii="Times New Roman" w:hAnsi="Times New Roman"/>
          <w:sz w:val="24"/>
          <w:szCs w:val="24"/>
          <w:lang w:eastAsia="bg-BG"/>
        </w:rPr>
        <w:t xml:space="preserve">приложимо). </w:t>
      </w:r>
      <w:r w:rsidRPr="00680CE3">
        <w:rPr>
          <w:rFonts w:ascii="Times New Roman" w:hAnsi="Times New Roman"/>
          <w:sz w:val="24"/>
          <w:szCs w:val="24"/>
        </w:rPr>
        <w:t xml:space="preserve">Представя се в </w:t>
      </w:r>
      <w:r>
        <w:rPr>
          <w:rFonts w:ascii="Times New Roman" w:hAnsi="Times New Roman"/>
          <w:sz w:val="24"/>
          <w:szCs w:val="24"/>
        </w:rPr>
        <w:t xml:space="preserve">два </w:t>
      </w:r>
      <w:r w:rsidRPr="00680CE3">
        <w:rPr>
          <w:rFonts w:ascii="Times New Roman" w:hAnsi="Times New Roman"/>
          <w:sz w:val="24"/>
          <w:szCs w:val="24"/>
        </w:rPr>
        <w:t>формат</w:t>
      </w:r>
      <w:r>
        <w:rPr>
          <w:rFonts w:ascii="Times New Roman" w:hAnsi="Times New Roman"/>
          <w:sz w:val="24"/>
          <w:szCs w:val="24"/>
        </w:rPr>
        <w:t>а</w:t>
      </w:r>
      <w:r w:rsidRPr="00680CE3">
        <w:rPr>
          <w:rFonts w:ascii="Times New Roman" w:hAnsi="Times New Roman"/>
          <w:sz w:val="24"/>
          <w:szCs w:val="24"/>
        </w:rPr>
        <w:t xml:space="preserve"> </w:t>
      </w:r>
      <w:r w:rsidRPr="00133E43">
        <w:rPr>
          <w:rFonts w:ascii="Times New Roman" w:eastAsia="Times New Roman" w:hAnsi="Times New Roman"/>
          <w:shd w:val="clear" w:color="auto" w:fill="FEFEFE"/>
        </w:rPr>
        <w:t>„</w:t>
      </w:r>
      <w:proofErr w:type="spellStart"/>
      <w:r w:rsidRPr="00133E43">
        <w:rPr>
          <w:rFonts w:ascii="Times New Roman" w:eastAsia="Times New Roman" w:hAnsi="Times New Roman"/>
          <w:shd w:val="clear" w:color="auto" w:fill="FEFEFE"/>
        </w:rPr>
        <w:t>рdf</w:t>
      </w:r>
      <w:proofErr w:type="spellEnd"/>
      <w:r w:rsidRPr="00133E43">
        <w:rPr>
          <w:rFonts w:ascii="Times New Roman" w:eastAsia="Times New Roman" w:hAnsi="Times New Roman"/>
          <w:shd w:val="clear" w:color="auto" w:fill="FEFEFE"/>
        </w:rPr>
        <w:t xml:space="preserve">“ </w:t>
      </w:r>
      <w:r w:rsidRPr="00133E43">
        <w:rPr>
          <w:rFonts w:ascii="Times New Roman" w:hAnsi="Times New Roman"/>
        </w:rPr>
        <w:t>или „</w:t>
      </w:r>
      <w:proofErr w:type="spellStart"/>
      <w:r w:rsidRPr="00133E43">
        <w:rPr>
          <w:rFonts w:ascii="Times New Roman" w:hAnsi="Times New Roman"/>
        </w:rPr>
        <w:t>jpg</w:t>
      </w:r>
      <w:proofErr w:type="spellEnd"/>
      <w:r w:rsidRPr="00133E4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и на </w:t>
      </w:r>
      <w:r w:rsidRPr="00F3208A">
        <w:rPr>
          <w:rFonts w:ascii="Times New Roman" w:hAnsi="Times New Roman"/>
        </w:rPr>
        <w:t>„</w:t>
      </w:r>
      <w:proofErr w:type="spellStart"/>
      <w:r w:rsidRPr="00F3208A">
        <w:rPr>
          <w:rFonts w:ascii="Times New Roman" w:hAnsi="Times New Roman"/>
          <w:lang w:val="en-US"/>
        </w:rPr>
        <w:t>xls</w:t>
      </w:r>
      <w:proofErr w:type="spellEnd"/>
      <w:r w:rsidRPr="00F3208A">
        <w:rPr>
          <w:rFonts w:ascii="Times New Roman" w:hAnsi="Times New Roman"/>
        </w:rPr>
        <w:t>“ или „</w:t>
      </w:r>
      <w:proofErr w:type="spellStart"/>
      <w:r w:rsidRPr="00F3208A">
        <w:rPr>
          <w:rFonts w:ascii="Times New Roman" w:hAnsi="Times New Roman"/>
        </w:rPr>
        <w:t>xls</w:t>
      </w:r>
      <w:proofErr w:type="spellEnd"/>
      <w:r w:rsidRPr="00F3208A">
        <w:rPr>
          <w:rFonts w:ascii="Times New Roman" w:hAnsi="Times New Roman"/>
          <w:lang w:val="en-US"/>
        </w:rPr>
        <w:t>x</w:t>
      </w:r>
      <w:r w:rsidRPr="00F3208A">
        <w:rPr>
          <w:rFonts w:ascii="Times New Roman" w:hAnsi="Times New Roman"/>
        </w:rPr>
        <w:t>“</w:t>
      </w:r>
      <w:r w:rsidRPr="00680CE3">
        <w:rPr>
          <w:rFonts w:ascii="Times New Roman" w:hAnsi="Times New Roman"/>
          <w:sz w:val="24"/>
          <w:szCs w:val="24"/>
        </w:rPr>
        <w:t>.</w:t>
      </w:r>
    </w:p>
    <w:p w14:paraId="466E02AB" w14:textId="77777777" w:rsidR="00DA51D1" w:rsidRPr="006D62BD" w:rsidRDefault="00DA51D1" w:rsidP="00DA51D1">
      <w:pPr>
        <w:pStyle w:val="ListParagraph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09D53E45" w14:textId="07D4BC19" w:rsidR="00DA51D1" w:rsidRDefault="00DA51D1" w:rsidP="00DA51D1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>Заповед за изменяне на количествено-стойностна сметка, вариационна заповед, книга на обекта, издадени от изпълнителя, одобрена от лицето, упражняващо строителен надзор, и възложителя (когато е приложимо).</w:t>
      </w:r>
    </w:p>
    <w:p w14:paraId="2862AD89" w14:textId="77777777" w:rsidR="00DA51D1" w:rsidRDefault="00DA51D1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BC7909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C56E3" w14:textId="305B177E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Удостоверение за въвеждане в експлоатация на строежа, издадено от органа,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издал разрешението за строеж – за строежи от четвърта и пета категория.</w:t>
      </w:r>
    </w:p>
    <w:p w14:paraId="308EE174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0B690" w14:textId="1D689A95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Разрешение за ползване на строежа, издадено от Дирекция за национален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строителен контрол – за строежи първа, втора и трета категория, съгласно чл.137, ал. 1 от Закона за устройство на територията.</w:t>
      </w:r>
    </w:p>
    <w:p w14:paraId="31B79697" w14:textId="77777777" w:rsidR="00DA51D1" w:rsidRDefault="00DA51D1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9EF519" w14:textId="7A82AE27" w:rsidR="00DA51D1" w:rsidRPr="00DA51D1" w:rsidRDefault="00DA51D1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  <w:lang w:eastAsia="bg-BG"/>
        </w:rPr>
        <w:t xml:space="preserve"> Сертификатът за енергийни характеристики на сграда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</w:t>
      </w:r>
      <w:hyperlink r:id="rId8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чл. 43, ал. 1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 xml:space="preserve">, съответно по </w:t>
      </w:r>
      <w:hyperlink r:id="rId9" w:anchor="чл43_ал2');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чл. 43, ал. 2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 xml:space="preserve"> от </w:t>
      </w:r>
      <w:hyperlink r:id="rId10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Закона за енергийната ефективност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>, по образец съгласно П</w:t>
      </w:r>
      <w:hyperlink r:id="rId11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риложение № 3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>. (когато е приложимо</w:t>
      </w:r>
    </w:p>
    <w:p w14:paraId="72F88AE0" w14:textId="77777777" w:rsidR="008A1556" w:rsidRPr="00365F58" w:rsidRDefault="008A1556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F1C37F" w14:textId="4F11A678" w:rsidR="002D2CC6" w:rsidRDefault="00597652" w:rsidP="002D2CC6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 Ситуационна схема на линеен обект (съоръжение), 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включваща и кадастралните имоти в обхвата на напоителното поле, засегнато от инвестицията по проекта към момента на подаване на искането за окончателно плащане </w:t>
      </w:r>
      <w:r w:rsidR="008A1556" w:rsidRPr="00DA51D1">
        <w:rPr>
          <w:rFonts w:ascii="Times New Roman" w:hAnsi="Times New Roman" w:cs="Times New Roman"/>
          <w:b/>
          <w:sz w:val="24"/>
          <w:szCs w:val="24"/>
        </w:rPr>
        <w:t>или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 Специализирана карта съгласно Закона за кадастъра и имотния регистър (ЗКИР) с отразени поливните съоръжения и кадастралните имоти в обхвата на напоителното поле, засегнато от инвестицията по проекта </w:t>
      </w:r>
      <w:r w:rsidR="008A1556" w:rsidRPr="00DA51D1">
        <w:rPr>
          <w:rFonts w:ascii="Times New Roman" w:hAnsi="Times New Roman" w:cs="Times New Roman"/>
          <w:b/>
          <w:sz w:val="24"/>
          <w:szCs w:val="24"/>
        </w:rPr>
        <w:t>или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 Скица от карта за възстановена собственост (КВС) с отразени поливните съоръжения, обект на проектното предложение, включваща и кадастралните имоти в обхвата на напоителното поле, засегнато от инвестицията по проекта към момента на подаване на искането за окончателно плащане. Представя се във формат „</w:t>
      </w:r>
      <w:proofErr w:type="spellStart"/>
      <w:r w:rsidR="008A1556" w:rsidRPr="00DA51D1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8A1556" w:rsidRPr="00DA51D1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8A1556" w:rsidRPr="00DA51D1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8A1556" w:rsidRPr="00DA51D1">
        <w:rPr>
          <w:rFonts w:ascii="Times New Roman" w:hAnsi="Times New Roman" w:cs="Times New Roman"/>
          <w:sz w:val="24"/>
          <w:szCs w:val="24"/>
        </w:rPr>
        <w:t>“.</w:t>
      </w:r>
    </w:p>
    <w:p w14:paraId="629CFCC9" w14:textId="22779AD7" w:rsidR="00771AD9" w:rsidRPr="002D2CC6" w:rsidRDefault="00D72E95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/>
          <w:sz w:val="24"/>
          <w:szCs w:val="24"/>
          <w:lang w:eastAsia="bg-BG"/>
        </w:rPr>
        <w:t>Форма за наблюдение (Приложение № 5).</w:t>
      </w:r>
    </w:p>
    <w:p w14:paraId="42AA79F7" w14:textId="67B5CB49" w:rsidR="002D2CC6" w:rsidRPr="002D2CC6" w:rsidRDefault="002D2CC6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 w:cs="Times New Roman"/>
          <w:sz w:val="24"/>
          <w:szCs w:val="24"/>
        </w:rPr>
        <w:t>Документи, доказващи собствеността и/или правото на ползване на активите, залегнали в Приложение 2а „Таблица за инвестиционните разходи, за които не се кандидатства“ към административния договор</w:t>
      </w:r>
      <w:r w:rsidR="00EA4018">
        <w:rPr>
          <w:rFonts w:ascii="Times New Roman" w:hAnsi="Times New Roman" w:cs="Times New Roman"/>
          <w:sz w:val="24"/>
          <w:szCs w:val="24"/>
        </w:rPr>
        <w:t xml:space="preserve"> </w:t>
      </w:r>
      <w:r w:rsidR="00EA4018" w:rsidRPr="004D1C81">
        <w:rPr>
          <w:rFonts w:ascii="Times New Roman" w:hAnsi="Times New Roman" w:cs="Times New Roman"/>
          <w:i/>
          <w:sz w:val="24"/>
          <w:szCs w:val="24"/>
        </w:rPr>
        <w:t>( когато е приложимо)</w:t>
      </w:r>
      <w:r w:rsidRPr="004D1C81">
        <w:rPr>
          <w:rFonts w:ascii="Times New Roman" w:hAnsi="Times New Roman" w:cs="Times New Roman"/>
          <w:i/>
          <w:sz w:val="24"/>
          <w:szCs w:val="24"/>
        </w:rPr>
        <w:t>.</w:t>
      </w:r>
    </w:p>
    <w:p w14:paraId="326637E8" w14:textId="77777777" w:rsidR="00771AD9" w:rsidRPr="002D2CC6" w:rsidRDefault="00771AD9" w:rsidP="00365F5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67B7CCD" w14:textId="5DBDB52C" w:rsidR="003C5494" w:rsidRDefault="003C5494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F58">
        <w:rPr>
          <w:rFonts w:ascii="Times New Roman" w:hAnsi="Times New Roman" w:cs="Times New Roman"/>
          <w:b/>
          <w:bCs/>
          <w:sz w:val="24"/>
          <w:szCs w:val="24"/>
        </w:rPr>
        <w:t>ІІ. Документи, удостоверяващи спазването на критериите за подбор, по които проектът е бил оценен:</w:t>
      </w:r>
    </w:p>
    <w:p w14:paraId="51DC2EDA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6F7CD2" w14:textId="77777777" w:rsidR="003C5494" w:rsidRPr="00365F58" w:rsidRDefault="003C5494" w:rsidP="00365F5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1. Екзекутивна документация към финансирания инвестиционен проект, изготвен и заверен от строителен инженер по хидромелиоративно строителство, вписан в регистъра на Камарата на инженерите в инвестиционното проектиране, по части : хидромелиоративни системи и съоръжения, строително-конструктивна  за  хидромелиоративни системи и съоръжени, и технологична за  хидромелиоративни системи и съоръжения. Представя се във формат „</w:t>
      </w:r>
      <w:proofErr w:type="spellStart"/>
      <w:r w:rsidRPr="00365F58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65F58">
        <w:rPr>
          <w:rFonts w:ascii="Times New Roman" w:hAnsi="Times New Roman" w:cs="Times New Roman"/>
          <w:sz w:val="24"/>
          <w:szCs w:val="24"/>
        </w:rPr>
        <w:t>“, „</w:t>
      </w:r>
      <w:proofErr w:type="spellStart"/>
      <w:r w:rsidRPr="00365F58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65F58">
        <w:rPr>
          <w:rFonts w:ascii="Times New Roman" w:hAnsi="Times New Roman" w:cs="Times New Roman"/>
          <w:sz w:val="24"/>
          <w:szCs w:val="24"/>
        </w:rPr>
        <w:t>“, „</w:t>
      </w:r>
      <w:r w:rsidRPr="00365F58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365F58">
        <w:rPr>
          <w:rFonts w:ascii="Times New Roman" w:hAnsi="Times New Roman" w:cs="Times New Roman"/>
          <w:sz w:val="24"/>
          <w:szCs w:val="24"/>
        </w:rPr>
        <w:t>“, „</w:t>
      </w:r>
      <w:proofErr w:type="spellStart"/>
      <w:r w:rsidRPr="00365F58">
        <w:rPr>
          <w:rFonts w:ascii="Times New Roman" w:hAnsi="Times New Roman" w:cs="Times New Roman"/>
          <w:sz w:val="24"/>
          <w:szCs w:val="24"/>
          <w:lang w:val="en-US"/>
        </w:rPr>
        <w:t>rar</w:t>
      </w:r>
      <w:proofErr w:type="spellEnd"/>
      <w:r w:rsidRPr="00365F58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42144E8B" w14:textId="297ACC4C" w:rsidR="003C5494" w:rsidRPr="003F29C8" w:rsidRDefault="003C5494" w:rsidP="00365F5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9C8">
        <w:rPr>
          <w:rFonts w:ascii="Times New Roman" w:hAnsi="Times New Roman" w:cs="Times New Roman"/>
          <w:sz w:val="24"/>
          <w:szCs w:val="24"/>
        </w:rPr>
        <w:t xml:space="preserve">2. Договор/и за доставка на вода за напояване с </w:t>
      </w:r>
      <w:proofErr w:type="spellStart"/>
      <w:r w:rsidRPr="003F29C8">
        <w:rPr>
          <w:rFonts w:ascii="Times New Roman" w:hAnsi="Times New Roman" w:cs="Times New Roman"/>
          <w:sz w:val="24"/>
          <w:szCs w:val="24"/>
        </w:rPr>
        <w:t>водоползвателите</w:t>
      </w:r>
      <w:proofErr w:type="spellEnd"/>
      <w:r w:rsidRPr="003F29C8">
        <w:rPr>
          <w:rFonts w:ascii="Times New Roman" w:hAnsi="Times New Roman" w:cs="Times New Roman"/>
          <w:sz w:val="24"/>
          <w:szCs w:val="24"/>
        </w:rPr>
        <w:t xml:space="preserve"> (собствениците/ползвателите на кадастрални имоти в обхвата на напоителното поле, засегнато от инвестицията по проекта), ведно с декларация за заявените площи за напояване с посочени имоти и видове</w:t>
      </w:r>
      <w:r w:rsidRPr="00427EA6">
        <w:rPr>
          <w:rFonts w:ascii="Times New Roman" w:hAnsi="Times New Roman" w:cs="Times New Roman"/>
          <w:sz w:val="24"/>
          <w:szCs w:val="24"/>
        </w:rPr>
        <w:t xml:space="preserve"> култури (приложение към заявлението по образец за съответния поливен сезон) за стопанската година към датата на подаване на искането за плащане или за предходната стопанска година (ако за </w:t>
      </w:r>
      <w:r w:rsidRPr="003F29C8">
        <w:rPr>
          <w:rFonts w:ascii="Times New Roman" w:hAnsi="Times New Roman" w:cs="Times New Roman"/>
          <w:sz w:val="24"/>
          <w:szCs w:val="24"/>
        </w:rPr>
        <w:t>настоящата стопанска година няма данни, поради нестартирал поливен сезон). Представя се във формат „</w:t>
      </w:r>
      <w:proofErr w:type="spellStart"/>
      <w:r w:rsidRPr="003F29C8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F29C8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F29C8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F29C8">
        <w:rPr>
          <w:rFonts w:ascii="Times New Roman" w:hAnsi="Times New Roman" w:cs="Times New Roman"/>
          <w:sz w:val="24"/>
          <w:szCs w:val="24"/>
        </w:rPr>
        <w:t>. (</w:t>
      </w:r>
      <w:r w:rsidRPr="003F29C8">
        <w:rPr>
          <w:rFonts w:ascii="Times New Roman" w:hAnsi="Times New Roman" w:cs="Times New Roman"/>
          <w:i/>
          <w:sz w:val="24"/>
          <w:szCs w:val="24"/>
        </w:rPr>
        <w:t xml:space="preserve">Представя се, в случай че </w:t>
      </w:r>
      <w:r w:rsidR="00047A95" w:rsidRPr="003F29C8">
        <w:rPr>
          <w:rFonts w:ascii="Times New Roman" w:hAnsi="Times New Roman" w:cs="Times New Roman"/>
          <w:i/>
          <w:sz w:val="24"/>
          <w:szCs w:val="24"/>
        </w:rPr>
        <w:t xml:space="preserve">проектното предложение е получило </w:t>
      </w:r>
      <w:r w:rsidRPr="003F29C8">
        <w:rPr>
          <w:rFonts w:ascii="Times New Roman" w:hAnsi="Times New Roman" w:cs="Times New Roman"/>
          <w:i/>
          <w:sz w:val="24"/>
          <w:szCs w:val="24"/>
        </w:rPr>
        <w:t xml:space="preserve">точки по критерии за подбор № </w:t>
      </w:r>
      <w:r w:rsidR="00047A95" w:rsidRPr="003F29C8">
        <w:rPr>
          <w:rFonts w:ascii="Times New Roman" w:hAnsi="Times New Roman" w:cs="Times New Roman"/>
          <w:i/>
          <w:sz w:val="24"/>
          <w:szCs w:val="24"/>
        </w:rPr>
        <w:t>2.2</w:t>
      </w:r>
      <w:r w:rsidRPr="003F29C8">
        <w:rPr>
          <w:rFonts w:ascii="Times New Roman" w:hAnsi="Times New Roman" w:cs="Times New Roman"/>
          <w:i/>
          <w:sz w:val="24"/>
          <w:szCs w:val="24"/>
        </w:rPr>
        <w:t xml:space="preserve"> и № 2.3 )</w:t>
      </w:r>
    </w:p>
    <w:p w14:paraId="4EC571E3" w14:textId="77777777" w:rsidR="00B01990" w:rsidRPr="00365F58" w:rsidRDefault="00B01990" w:rsidP="00365F58">
      <w:pPr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6. Оценка за съответствието на реалните показатели за коефициент на полезно действие, след реализацията на инвестицията за ХМСН, за които се отнася проектното предложение, със заложените показатели в инженерния проект към датата на кандидатстване или според оценката не са постигнати минималните изисквания за тези показатели</w:t>
      </w:r>
    </w:p>
    <w:p w14:paraId="07AEF918" w14:textId="77777777" w:rsidR="00110258" w:rsidRPr="00427EA6" w:rsidRDefault="00110258" w:rsidP="00365F58">
      <w:pPr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 xml:space="preserve">7. Оценка за съответствието на реалните показатели за коефициент на полезно действие, икономия на вода и ефективно намаление на консумацията на вода след реализацията на инвестицията за ХМСН, за които се отнася проектното предложение, със заложените показатели в инженерния проект към датата на кандидатстване или според оценката не са </w:t>
      </w:r>
      <w:r w:rsidRPr="00427EA6">
        <w:rPr>
          <w:rFonts w:ascii="Times New Roman" w:hAnsi="Times New Roman" w:cs="Times New Roman"/>
          <w:sz w:val="24"/>
          <w:szCs w:val="24"/>
        </w:rPr>
        <w:t>постигнати минималните изисквания за тези показатели</w:t>
      </w:r>
    </w:p>
    <w:p w14:paraId="5E96C936" w14:textId="77777777" w:rsidR="00597652" w:rsidRPr="00427EA6" w:rsidRDefault="00597652" w:rsidP="00365F5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A5073EA" w14:textId="4A551AF5" w:rsidR="00A667F8" w:rsidRPr="00427EA6" w:rsidRDefault="00A667F8" w:rsidP="00A667F8">
      <w:pPr>
        <w:pStyle w:val="BodyText"/>
        <w:spacing w:line="276" w:lineRule="auto"/>
        <w:rPr>
          <w:lang w:val="bg-BG"/>
        </w:rPr>
      </w:pPr>
      <w:r w:rsidRPr="00427EA6">
        <w:rPr>
          <w:lang w:val="bg-BG"/>
        </w:rPr>
        <w:t xml:space="preserve">8. Оценка за съответствието на реалният показател за икономия на вода след реализацията на инвестицията за ХМСН, за които се отнася проектното предложение, когато е било оценено по критерий за подбор № 1.2 </w:t>
      </w:r>
      <w:r w:rsidRPr="00427EA6">
        <w:rPr>
          <w:i/>
          <w:lang w:val="bg-BG"/>
        </w:rPr>
        <w:t>„С инвестициите по проектното предложение се осигурява най-малко 25% потенциална икономия на вода, съгласно настоящите им технически параметри на съответния елемент на напоителната инфраструктура“</w:t>
      </w:r>
      <w:r w:rsidRPr="00427EA6">
        <w:rPr>
          <w:lang w:val="bg-BG"/>
        </w:rPr>
        <w:t xml:space="preserve"> от Раздел 22 „Критерии и методика за оценка на проектните предложения” от Условията за кандидатстване</w:t>
      </w:r>
    </w:p>
    <w:p w14:paraId="3DF7F9DA" w14:textId="77777777" w:rsidR="003F29C8" w:rsidRPr="00427EA6" w:rsidRDefault="003F29C8" w:rsidP="00A667F8">
      <w:pPr>
        <w:pStyle w:val="BodyText"/>
        <w:spacing w:line="276" w:lineRule="auto"/>
        <w:rPr>
          <w:lang w:val="bg-BG"/>
        </w:rPr>
      </w:pPr>
    </w:p>
    <w:p w14:paraId="688CF98C" w14:textId="41EA5810" w:rsidR="00B6330A" w:rsidRPr="00427EA6" w:rsidRDefault="00A667F8" w:rsidP="00B6330A">
      <w:pPr>
        <w:pStyle w:val="BodyText"/>
        <w:spacing w:line="276" w:lineRule="auto"/>
        <w:rPr>
          <w:lang w:val="bg-BG"/>
        </w:rPr>
      </w:pPr>
      <w:r w:rsidRPr="00427EA6">
        <w:rPr>
          <w:lang w:val="bg-BG"/>
        </w:rPr>
        <w:t xml:space="preserve">9. </w:t>
      </w:r>
      <w:r w:rsidR="00B6330A" w:rsidRPr="00427EA6">
        <w:rPr>
          <w:lang w:val="bg-BG"/>
        </w:rPr>
        <w:t>Оценка за съответствието на реалният показател за увеличаване на площите с осигурена възможност за напояване, в границите на напоителното поле след реализацията на инвестицията за ХМСН, за които се отнася проектното предложение покрива заложения показател в инженерния проект, к</w:t>
      </w:r>
      <w:r w:rsidRPr="00427EA6">
        <w:rPr>
          <w:lang w:val="bg-BG"/>
        </w:rPr>
        <w:t xml:space="preserve">огато проектното предложение на </w:t>
      </w:r>
      <w:r w:rsidR="00B6330A" w:rsidRPr="00427EA6">
        <w:rPr>
          <w:b/>
          <w:lang w:val="bg-BG"/>
        </w:rPr>
        <w:t>б</w:t>
      </w:r>
      <w:r w:rsidRPr="00427EA6">
        <w:rPr>
          <w:b/>
          <w:lang w:val="bg-BG"/>
        </w:rPr>
        <w:t>енефициента</w:t>
      </w:r>
      <w:r w:rsidRPr="00427EA6">
        <w:rPr>
          <w:lang w:val="bg-BG"/>
        </w:rPr>
        <w:t xml:space="preserve"> е било оценено по критерий за подбор № 2.2 </w:t>
      </w:r>
      <w:r w:rsidRPr="00427EA6">
        <w:rPr>
          <w:i/>
          <w:lang w:val="bg-BG"/>
        </w:rPr>
        <w:t xml:space="preserve">„Инвестициите в хидромелиоративна </w:t>
      </w:r>
      <w:r w:rsidRPr="00427EA6">
        <w:rPr>
          <w:i/>
          <w:lang w:val="bg-BG"/>
        </w:rPr>
        <w:lastRenderedPageBreak/>
        <w:t>инфраструктура по проектното предложение водят до увеличаване на площите с осигурена възможност за напояване, в границите на напоителното поле, обхванато от тях, с най-малко 250 дка спрямо площите с осигурена възможност за напояване към годината на подаване на проектното предложение“</w:t>
      </w:r>
      <w:r w:rsidRPr="00427EA6">
        <w:rPr>
          <w:lang w:val="bg-BG"/>
        </w:rPr>
        <w:t xml:space="preserve"> от Раздел 22 „Критерии и методика за оценка на проектните предложения” </w:t>
      </w:r>
      <w:r w:rsidR="00B6330A" w:rsidRPr="00427EA6">
        <w:rPr>
          <w:lang w:val="bg-BG"/>
        </w:rPr>
        <w:t>от Условията за кандидатстване.</w:t>
      </w:r>
    </w:p>
    <w:p w14:paraId="1C8CE5FE" w14:textId="77777777" w:rsidR="00A667F8" w:rsidRPr="00427EA6" w:rsidRDefault="00A667F8" w:rsidP="00A667F8">
      <w:pPr>
        <w:pStyle w:val="BodyText"/>
        <w:spacing w:line="276" w:lineRule="auto"/>
        <w:rPr>
          <w:rFonts w:cs="Times New Roman"/>
          <w:color w:val="00B050"/>
          <w:szCs w:val="24"/>
          <w:lang w:val="bg-BG"/>
        </w:rPr>
      </w:pPr>
    </w:p>
    <w:p w14:paraId="6B299745" w14:textId="77777777" w:rsidR="006441AA" w:rsidRPr="00365F58" w:rsidRDefault="006441AA" w:rsidP="00365F5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9D2B00" w14:textId="77777777" w:rsidR="001462CE" w:rsidRPr="00365F58" w:rsidRDefault="006441AA" w:rsidP="00365F5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F58">
        <w:rPr>
          <w:rFonts w:ascii="Times New Roman" w:hAnsi="Times New Roman" w:cs="Times New Roman"/>
          <w:b/>
          <w:bCs/>
          <w:sz w:val="24"/>
          <w:szCs w:val="24"/>
        </w:rPr>
        <w:t>ІІІ. Документи</w:t>
      </w:r>
      <w:r w:rsidR="001462CE" w:rsidRPr="00365F58">
        <w:rPr>
          <w:rFonts w:ascii="Times New Roman" w:hAnsi="Times New Roman" w:cs="Times New Roman"/>
          <w:b/>
          <w:bCs/>
          <w:sz w:val="24"/>
          <w:szCs w:val="24"/>
        </w:rPr>
        <w:t xml:space="preserve"> за отчитане дейността на служителите, работещи по организация и управление на проекта</w:t>
      </w:r>
    </w:p>
    <w:p w14:paraId="69877F6E" w14:textId="77777777" w:rsidR="001462CE" w:rsidRPr="00365F58" w:rsidRDefault="001462CE" w:rsidP="00365F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 xml:space="preserve">Отчет за извършената дейност от всеки одобрен служител, извършващ по организацията и управлението </w:t>
      </w:r>
      <w:r w:rsidR="0080409D" w:rsidRPr="00365F58">
        <w:rPr>
          <w:rFonts w:ascii="Times New Roman" w:hAnsi="Times New Roman" w:cs="Times New Roman"/>
          <w:sz w:val="24"/>
          <w:szCs w:val="24"/>
        </w:rPr>
        <w:t>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</w:p>
    <w:p w14:paraId="0E309666" w14:textId="77777777" w:rsidR="001462CE" w:rsidRPr="00365F58" w:rsidRDefault="001462CE" w:rsidP="00365F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Сметка за изплатено възнаграждение, ведно с банкови извлечения за платени суми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</w:p>
    <w:p w14:paraId="79068F0F" w14:textId="77777777" w:rsidR="001462CE" w:rsidRPr="00365F58" w:rsidRDefault="001462CE" w:rsidP="00365F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Платежни нареждания за внесени</w:t>
      </w:r>
      <w:r w:rsidR="00F67676" w:rsidRPr="00365F58">
        <w:rPr>
          <w:rFonts w:ascii="Times New Roman" w:hAnsi="Times New Roman" w:cs="Times New Roman"/>
          <w:sz w:val="24"/>
          <w:szCs w:val="24"/>
        </w:rPr>
        <w:t xml:space="preserve"> социални и здравни</w:t>
      </w:r>
      <w:r w:rsidRPr="00365F58">
        <w:rPr>
          <w:rFonts w:ascii="Times New Roman" w:hAnsi="Times New Roman" w:cs="Times New Roman"/>
          <w:sz w:val="24"/>
          <w:szCs w:val="24"/>
        </w:rPr>
        <w:t xml:space="preserve"> осигуровки,</w:t>
      </w:r>
      <w:r w:rsidR="00F67676" w:rsidRPr="00365F58">
        <w:rPr>
          <w:rFonts w:ascii="Times New Roman" w:hAnsi="Times New Roman" w:cs="Times New Roman"/>
          <w:sz w:val="24"/>
          <w:szCs w:val="24"/>
        </w:rPr>
        <w:t xml:space="preserve"> съгласно действащото законодателство,</w:t>
      </w:r>
      <w:r w:rsidRPr="00365F58">
        <w:rPr>
          <w:rFonts w:ascii="Times New Roman" w:hAnsi="Times New Roman" w:cs="Times New Roman"/>
          <w:sz w:val="24"/>
          <w:szCs w:val="24"/>
        </w:rPr>
        <w:t xml:space="preserve"> ведно с банкови извлечения за платени суми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</w:p>
    <w:p w14:paraId="3F367FB2" w14:textId="7EF42D11" w:rsidR="0080409D" w:rsidRPr="00365F58" w:rsidRDefault="00BF6DA7" w:rsidP="00365F58">
      <w:pPr>
        <w:pStyle w:val="ListParagraph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Трудови д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оговори и/или допълнителни споразумения ведно с </w:t>
      </w:r>
      <w:r>
        <w:rPr>
          <w:rFonts w:ascii="Times New Roman" w:hAnsi="Times New Roman" w:cs="Times New Roman"/>
          <w:sz w:val="24"/>
          <w:szCs w:val="24"/>
        </w:rPr>
        <w:t>длъжностни</w:t>
      </w:r>
      <w:r w:rsidRPr="00365F58">
        <w:rPr>
          <w:rFonts w:ascii="Times New Roman" w:hAnsi="Times New Roman" w:cs="Times New Roman"/>
          <w:sz w:val="24"/>
          <w:szCs w:val="24"/>
        </w:rPr>
        <w:t xml:space="preserve"> </w:t>
      </w:r>
      <w:r w:rsidR="0080409D" w:rsidRPr="00365F58">
        <w:rPr>
          <w:rFonts w:ascii="Times New Roman" w:hAnsi="Times New Roman" w:cs="Times New Roman"/>
          <w:sz w:val="24"/>
          <w:szCs w:val="24"/>
        </w:rPr>
        <w:t>характеристики,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80409D" w:rsidRPr="00365F58">
        <w:rPr>
          <w:rFonts w:ascii="Times New Roman" w:hAnsi="Times New Roman" w:cs="Times New Roman"/>
          <w:sz w:val="24"/>
          <w:szCs w:val="24"/>
        </w:rPr>
        <w:t>;</w:t>
      </w:r>
    </w:p>
    <w:p w14:paraId="28CDB7D1" w14:textId="77777777" w:rsidR="00F33CC1" w:rsidRPr="00365F58" w:rsidRDefault="00F33CC1" w:rsidP="00365F58">
      <w:pPr>
        <w:pStyle w:val="ListParagraph"/>
        <w:ind w:left="502"/>
        <w:jc w:val="both"/>
        <w:rPr>
          <w:rFonts w:ascii="Times New Roman" w:hAnsi="Times New Roman" w:cs="Times New Roman"/>
          <w:color w:val="538135" w:themeColor="accent6" w:themeShade="BF"/>
          <w:sz w:val="24"/>
          <w:szCs w:val="24"/>
        </w:rPr>
      </w:pPr>
    </w:p>
    <w:p w14:paraId="771192D5" w14:textId="71D186F5" w:rsidR="00F33CC1" w:rsidRPr="00345A54" w:rsidRDefault="00345A54" w:rsidP="00345A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5A54">
        <w:rPr>
          <w:rFonts w:ascii="Times New Roman" w:hAnsi="Times New Roman" w:cs="Times New Roman"/>
          <w:b/>
          <w:bCs/>
          <w:sz w:val="24"/>
          <w:szCs w:val="24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Допълнителни документи</w:t>
      </w:r>
    </w:p>
    <w:p w14:paraId="783AE146" w14:textId="77777777" w:rsidR="00F33CC1" w:rsidRPr="00365F58" w:rsidRDefault="00F33CC1" w:rsidP="00365F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 xml:space="preserve">1. Декларация по образец за генериране на нетни приходи по проект. </w:t>
      </w:r>
    </w:p>
    <w:p w14:paraId="05E129DA" w14:textId="77777777" w:rsidR="00980184" w:rsidRPr="00365F58" w:rsidRDefault="00F33CC1" w:rsidP="00365F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2. Справка за паричните потоци, заплащани директно от потребителите за стоки и услуги, предоставени с проекта</w:t>
      </w:r>
      <w:r w:rsidR="00804F2B" w:rsidRPr="00365F58">
        <w:rPr>
          <w:rFonts w:ascii="Times New Roman" w:hAnsi="Times New Roman" w:cs="Times New Roman"/>
          <w:sz w:val="24"/>
          <w:szCs w:val="24"/>
        </w:rPr>
        <w:t>, като</w:t>
      </w:r>
      <w:r w:rsidRPr="00365F58">
        <w:rPr>
          <w:rFonts w:ascii="Times New Roman" w:hAnsi="Times New Roman" w:cs="Times New Roman"/>
          <w:sz w:val="24"/>
          <w:szCs w:val="24"/>
        </w:rPr>
        <w:t xml:space="preserve"> такси </w:t>
      </w:r>
      <w:r w:rsidR="00804F2B" w:rsidRPr="00365F58">
        <w:rPr>
          <w:rFonts w:ascii="Times New Roman" w:hAnsi="Times New Roman" w:cs="Times New Roman"/>
          <w:sz w:val="24"/>
          <w:szCs w:val="24"/>
        </w:rPr>
        <w:t>заплащани непосредствено от потребителите за използването на финансираната по проекта инфраструктура</w:t>
      </w:r>
      <w:r w:rsidRPr="00365F58">
        <w:rPr>
          <w:rFonts w:ascii="Times New Roman" w:hAnsi="Times New Roman" w:cs="Times New Roman"/>
          <w:sz w:val="24"/>
          <w:szCs w:val="24"/>
        </w:rPr>
        <w:t xml:space="preserve">, продажбата или </w:t>
      </w:r>
      <w:r w:rsidR="00804F2B" w:rsidRPr="00365F58">
        <w:rPr>
          <w:rFonts w:ascii="Times New Roman" w:hAnsi="Times New Roman" w:cs="Times New Roman"/>
          <w:sz w:val="24"/>
          <w:szCs w:val="24"/>
        </w:rPr>
        <w:t xml:space="preserve">наема на земя или сгради или плащанията за услуги </w:t>
      </w:r>
      <w:r w:rsidRPr="00365F58">
        <w:rPr>
          <w:rFonts w:ascii="Times New Roman" w:hAnsi="Times New Roman" w:cs="Times New Roman"/>
          <w:sz w:val="24"/>
          <w:szCs w:val="24"/>
        </w:rPr>
        <w:t xml:space="preserve"> за </w:t>
      </w:r>
      <w:r w:rsidR="00980184" w:rsidRPr="00365F58">
        <w:rPr>
          <w:rFonts w:ascii="Times New Roman" w:hAnsi="Times New Roman" w:cs="Times New Roman"/>
          <w:sz w:val="24"/>
          <w:szCs w:val="24"/>
        </w:rPr>
        <w:t xml:space="preserve">съответния период, подписана </w:t>
      </w:r>
      <w:r w:rsidR="00804F2B" w:rsidRPr="00365F58">
        <w:rPr>
          <w:rFonts w:ascii="Times New Roman" w:hAnsi="Times New Roman" w:cs="Times New Roman"/>
          <w:sz w:val="24"/>
          <w:szCs w:val="24"/>
        </w:rPr>
        <w:t>и</w:t>
      </w:r>
      <w:r w:rsidRPr="00365F58">
        <w:rPr>
          <w:rFonts w:ascii="Times New Roman" w:hAnsi="Times New Roman" w:cs="Times New Roman"/>
          <w:sz w:val="24"/>
          <w:szCs w:val="24"/>
        </w:rPr>
        <w:t xml:space="preserve"> от главния счетоводител</w:t>
      </w:r>
      <w:r w:rsidR="00980184" w:rsidRPr="00365F58">
        <w:rPr>
          <w:rFonts w:ascii="Times New Roman" w:hAnsi="Times New Roman" w:cs="Times New Roman"/>
          <w:sz w:val="24"/>
          <w:szCs w:val="24"/>
        </w:rPr>
        <w:t>.</w:t>
      </w:r>
    </w:p>
    <w:p w14:paraId="2A0F4792" w14:textId="77777777" w:rsidR="00980184" w:rsidRPr="00365F58" w:rsidRDefault="00F33CC1" w:rsidP="00365F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3. Справка за всички оперативни разходи и разходи за подмяна на недълготрайно оборудване</w:t>
      </w:r>
      <w:r w:rsidR="00980184" w:rsidRPr="00365F58">
        <w:rPr>
          <w:rFonts w:ascii="Times New Roman" w:hAnsi="Times New Roman" w:cs="Times New Roman"/>
          <w:sz w:val="24"/>
          <w:szCs w:val="24"/>
        </w:rPr>
        <w:t xml:space="preserve"> на финансираната по проекта инфраструктура през съответния период.</w:t>
      </w:r>
    </w:p>
    <w:sectPr w:rsidR="00980184" w:rsidRPr="00365F58" w:rsidSect="00047A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2926A" w14:textId="77777777" w:rsidR="007005B8" w:rsidRDefault="007005B8" w:rsidP="000622DD">
      <w:pPr>
        <w:spacing w:after="0" w:line="240" w:lineRule="auto"/>
      </w:pPr>
      <w:r>
        <w:separator/>
      </w:r>
    </w:p>
  </w:endnote>
  <w:endnote w:type="continuationSeparator" w:id="0">
    <w:p w14:paraId="77E3D083" w14:textId="77777777" w:rsidR="007005B8" w:rsidRDefault="007005B8" w:rsidP="0006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69921" w14:textId="77777777" w:rsidR="000622DD" w:rsidRDefault="000622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0C9AE" w14:textId="77777777" w:rsidR="000622DD" w:rsidRDefault="000622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53CB7" w14:textId="77777777" w:rsidR="000622DD" w:rsidRDefault="000622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2BBDC" w14:textId="77777777" w:rsidR="007005B8" w:rsidRDefault="007005B8" w:rsidP="000622DD">
      <w:pPr>
        <w:spacing w:after="0" w:line="240" w:lineRule="auto"/>
      </w:pPr>
      <w:r>
        <w:separator/>
      </w:r>
    </w:p>
  </w:footnote>
  <w:footnote w:type="continuationSeparator" w:id="0">
    <w:p w14:paraId="085E3523" w14:textId="77777777" w:rsidR="007005B8" w:rsidRDefault="007005B8" w:rsidP="00062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50113" w14:textId="77777777" w:rsidR="000622DD" w:rsidRDefault="000622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6825840"/>
      <w:docPartObj>
        <w:docPartGallery w:val="Watermarks"/>
        <w:docPartUnique/>
      </w:docPartObj>
    </w:sdtPr>
    <w:sdtContent>
      <w:p w14:paraId="1988AA0A" w14:textId="7FF25E36" w:rsidR="000622DD" w:rsidRDefault="000622DD">
        <w:pPr>
          <w:pStyle w:val="Header"/>
        </w:pPr>
        <w:r>
          <w:rPr>
            <w:noProof/>
            <w:lang w:eastAsia="zh-TW"/>
          </w:rPr>
          <w:pict w14:anchorId="69B0BF2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68061970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ПРОЕКТ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EC64E" w14:textId="77777777" w:rsidR="000622DD" w:rsidRDefault="000622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6CA6"/>
    <w:multiLevelType w:val="hybridMultilevel"/>
    <w:tmpl w:val="68889B1E"/>
    <w:lvl w:ilvl="0" w:tplc="0FE2A7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0015F"/>
    <w:multiLevelType w:val="hybridMultilevel"/>
    <w:tmpl w:val="946674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E22B1"/>
    <w:multiLevelType w:val="hybridMultilevel"/>
    <w:tmpl w:val="1DBE55A6"/>
    <w:lvl w:ilvl="0" w:tplc="0666B82E">
      <w:start w:val="1"/>
      <w:numFmt w:val="decimal"/>
      <w:lvlText w:val="2.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90FC8"/>
    <w:multiLevelType w:val="hybridMultilevel"/>
    <w:tmpl w:val="517C84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90915"/>
    <w:multiLevelType w:val="hybridMultilevel"/>
    <w:tmpl w:val="4C9C6BE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664757"/>
    <w:multiLevelType w:val="hybridMultilevel"/>
    <w:tmpl w:val="372293D8"/>
    <w:lvl w:ilvl="0" w:tplc="53D80E0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93702F"/>
    <w:multiLevelType w:val="hybridMultilevel"/>
    <w:tmpl w:val="553C638A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65"/>
    <w:rsid w:val="00047A95"/>
    <w:rsid w:val="000622DD"/>
    <w:rsid w:val="00066D62"/>
    <w:rsid w:val="00100AC7"/>
    <w:rsid w:val="00110258"/>
    <w:rsid w:val="001462CE"/>
    <w:rsid w:val="001917D8"/>
    <w:rsid w:val="0019471E"/>
    <w:rsid w:val="001E5F60"/>
    <w:rsid w:val="0023289B"/>
    <w:rsid w:val="00264E9D"/>
    <w:rsid w:val="002C0AC8"/>
    <w:rsid w:val="002D2CC6"/>
    <w:rsid w:val="002D617D"/>
    <w:rsid w:val="00326481"/>
    <w:rsid w:val="00345A54"/>
    <w:rsid w:val="00365F58"/>
    <w:rsid w:val="003C5494"/>
    <w:rsid w:val="003F29C8"/>
    <w:rsid w:val="00427EA6"/>
    <w:rsid w:val="004635D7"/>
    <w:rsid w:val="004D1C81"/>
    <w:rsid w:val="005037C1"/>
    <w:rsid w:val="00597652"/>
    <w:rsid w:val="00624097"/>
    <w:rsid w:val="00624A35"/>
    <w:rsid w:val="006312CA"/>
    <w:rsid w:val="006339B0"/>
    <w:rsid w:val="006441AA"/>
    <w:rsid w:val="006A592A"/>
    <w:rsid w:val="006D00C5"/>
    <w:rsid w:val="007005B8"/>
    <w:rsid w:val="00764554"/>
    <w:rsid w:val="00771AD9"/>
    <w:rsid w:val="0080409D"/>
    <w:rsid w:val="00804F2B"/>
    <w:rsid w:val="0089239F"/>
    <w:rsid w:val="008A1556"/>
    <w:rsid w:val="00980184"/>
    <w:rsid w:val="00A667F8"/>
    <w:rsid w:val="00B01990"/>
    <w:rsid w:val="00B234BB"/>
    <w:rsid w:val="00B6330A"/>
    <w:rsid w:val="00BF6DA7"/>
    <w:rsid w:val="00C67F8E"/>
    <w:rsid w:val="00CC3782"/>
    <w:rsid w:val="00CF39F8"/>
    <w:rsid w:val="00D04A4F"/>
    <w:rsid w:val="00D72E95"/>
    <w:rsid w:val="00DA51D1"/>
    <w:rsid w:val="00DA71F0"/>
    <w:rsid w:val="00DE1944"/>
    <w:rsid w:val="00E06A65"/>
    <w:rsid w:val="00E6138D"/>
    <w:rsid w:val="00EA4018"/>
    <w:rsid w:val="00F02AAD"/>
    <w:rsid w:val="00F33CC1"/>
    <w:rsid w:val="00F67676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07B74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4554"/>
    <w:pPr>
      <w:ind w:left="720"/>
      <w:contextualSpacing/>
    </w:pPr>
  </w:style>
  <w:style w:type="character" w:styleId="Hyperlink">
    <w:name w:val="Hyperlink"/>
    <w:uiPriority w:val="99"/>
    <w:unhideWhenUsed/>
    <w:rsid w:val="001462C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2C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1462C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lue1">
    <w:name w:val="blue1"/>
    <w:rsid w:val="001462CE"/>
    <w:rPr>
      <w:rFonts w:ascii="Times New Roman" w:hAnsi="Times New Roman" w:cs="Times New Roman" w:hint="default"/>
      <w:color w:val="0000F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B01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01990"/>
    <w:pPr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990"/>
    <w:rPr>
      <w:rFonts w:ascii="Times New Roman" w:eastAsia="Calibri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99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4BB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4BB"/>
    <w:rPr>
      <w:rFonts w:ascii="Times New Roman" w:eastAsia="Calibri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A667F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A667F8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062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2DD"/>
  </w:style>
  <w:style w:type="paragraph" w:styleId="Footer">
    <w:name w:val="footer"/>
    <w:basedOn w:val="Normal"/>
    <w:link w:val="FooterChar"/>
    <w:uiPriority w:val="99"/>
    <w:unhideWhenUsed/>
    <w:rsid w:val="00062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2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4554"/>
    <w:pPr>
      <w:ind w:left="720"/>
      <w:contextualSpacing/>
    </w:pPr>
  </w:style>
  <w:style w:type="character" w:styleId="Hyperlink">
    <w:name w:val="Hyperlink"/>
    <w:uiPriority w:val="99"/>
    <w:unhideWhenUsed/>
    <w:rsid w:val="001462C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2C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1462C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lue1">
    <w:name w:val="blue1"/>
    <w:rsid w:val="001462CE"/>
    <w:rPr>
      <w:rFonts w:ascii="Times New Roman" w:hAnsi="Times New Roman" w:cs="Times New Roman" w:hint="default"/>
      <w:color w:val="0000F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B01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01990"/>
    <w:pPr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990"/>
    <w:rPr>
      <w:rFonts w:ascii="Times New Roman" w:eastAsia="Calibri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99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4BB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4BB"/>
    <w:rPr>
      <w:rFonts w:ascii="Times New Roman" w:eastAsia="Calibri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A667F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A667F8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062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2DD"/>
  </w:style>
  <w:style w:type="paragraph" w:styleId="Footer">
    <w:name w:val="footer"/>
    <w:basedOn w:val="Normal"/>
    <w:link w:val="FooterChar"/>
    <w:uiPriority w:val="99"/>
    <w:unhideWhenUsed/>
    <w:rsid w:val="00062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('&#1095;&#1083;43_&#1072;&#1083;1');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('&#1087;&#1088;&#1080;&#1083;3');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javascript:%20NavigateDocument('&#1047;&#1045;&#1045;&#1092;&#1077;&#1082;&#1090;_2015');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&#1047;&#1045;&#1045;&#1092;&#1077;&#1082;&#1090;_201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2043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Ventseslavova Nikolova</dc:creator>
  <cp:lastModifiedBy>Lyubomir Mitov</cp:lastModifiedBy>
  <cp:revision>2</cp:revision>
  <dcterms:created xsi:type="dcterms:W3CDTF">2020-03-13T08:25:00Z</dcterms:created>
  <dcterms:modified xsi:type="dcterms:W3CDTF">2020-03-13T08:25:00Z</dcterms:modified>
</cp:coreProperties>
</file>