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УСТРОЙСТВЕН ПРАВИЛНИК на Изпълнителната агенция по рибарство и </w:t>
      </w:r>
      <w:proofErr w:type="spellStart"/>
      <w:r>
        <w:rPr>
          <w:rFonts w:ascii="Times New Roman" w:hAnsi="Times New Roman" w:cs="Times New Roman"/>
          <w:b/>
          <w:bCs/>
          <w:sz w:val="36"/>
          <w:szCs w:val="36"/>
          <w:lang w:val="x-none"/>
        </w:rPr>
        <w:t>аквакултури</w:t>
      </w:r>
      <w:proofErr w:type="spellEnd"/>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Приет с ПМС № 95 от 18.05.2010 г.,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41 от 1.06.2010 г., изм. и доп., бр. 14 от 17.02.2012 г., бр. 91 от 18.10.2013 г., в сила от 18.10.2013 г., бр. 29 от 21.04.2015 г., в сила от 21.04.2015 г., бр. 62 от 9.08.2016 г., в сила от 9.08.2016 г., бр. 20 от 10.03.2020 г., в сила от 1.04.2020 г.</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 ДВ, бр. 20 от 2020 г. , в сила от 1.04.2020 г.) С правилника се уреждат функциите, дейността, структурата, числеността на персонала и организацията на работа на Изпълнителната агенция по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xml:space="preserve"> към министъра на земеделието, храните и горите, наричана по-нататък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(Изм. – ДВ, бр. 91 от 2013 г., в сила от 18.10.2013 г., бр. 29 от 2015 г., в сила от 21.04.2015 г., бр. 20 от 2020 г. , в сила от 1.04.2020 г.) Агенцията е юридическо лице на бюджетна издръжка – второстепенен разпоредител с бюджет към министъра на земеделието, храните и горите, със седалище Бургас, с четири териториални звена.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91 от 2013 г., в сила от 18.10.2013 г.) Агенцията е администрация, която подпомага изпълнителния директор при осъществяване на правомощията му, осигурява технически дейността му и извършва дейности по административното обслужване на гражданите и юридическите лица.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2012 г., доп., бр. 91 от 2013 г., в сила от 18.10.2013 г., изм., бр. 29 от 2015 г., в сила от 21.04.2015 г.) Агенцията осъществява дейностите, свързани с прилагането на политиката в областта на рибарството в рамките на Общата политика в областта на рибарството, държавния надзор, контрола върху риболовните дейности в рибностопански води и обекти, като осъществява и други дейности, възложени й със закон или с акт на Министерския съвет.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29 от 2015 г., в сила от 21.04.2015 г.) Агенцията е определена за Управляващ орган по отношение на средствата от Европейския фонд по рибарство на Европейския съюз (ЕФР на ЕС), предназначени за прилагането на Оперативната програма за развитие на сектор "Рибарство" на Република България 2007 – 2013 г.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2015 г., в сила от 21.04.2015 г., отм., бр. 62 от 2016 г., в сила от 9.08.2016 г.).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(Предишна ал. 4 – ДВ, бр. 29 от 2015 г., в сила от 21.04.2015 г.) Агенцията изпълнява самостоятелно или съвместно с други органи и/или организации проекти и програми в областта на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финансирани със средства от Европейския съюз (ЕС) или от други международни източници, включително такива, в които българската страна участва със свои ресурси, като спазва регламентираните в тях условия и процедури.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91 от 2013 г., в сила от 18.10.2013 г., предишна ал. 5, бр. 29 от 2015 г., в сила от 21.04.2015 г.) Изпълнителната агенция по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xml:space="preserve">, Българската агенция по безопасност на храните и Изпълнителна агенция "Морска администрация" осъществяват съвместна дейност по регистрацията и контрола на риболовните кораби. Изпълнителната агенция по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xml:space="preserve"> води регистър на риболовните кораби.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91 от 2013 г., в сила от 18.10.2013 г., предишна ал. 6, бр. 29 от 2015 г., в сила от 21.04.2015 г.) Изпълнителната агенция по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xml:space="preserve"> осъществява при необходимост съвместна дейност с Главна дирекция "Гранична полиция" (ГДГП), с Агенция "Митници" и с всички служби, осъществяващи </w:t>
      </w:r>
      <w:r>
        <w:rPr>
          <w:rFonts w:ascii="Times New Roman" w:hAnsi="Times New Roman" w:cs="Times New Roman"/>
          <w:sz w:val="24"/>
          <w:szCs w:val="24"/>
          <w:lang w:val="x-none"/>
        </w:rPr>
        <w:lastRenderedPageBreak/>
        <w:t xml:space="preserve">задължителен граничен контрол, за наблюдение и контрол на риболовните кораби, риболова и рибно-стопанските дейности в граничната зона, в зоните на граничните контролно-пропускателни пунктове, пристанищата, вътрешните морски води, териториалното море, прилежащата зона, континенталния шелф, изключителната икономическа зона, българския участък на река Дунав и в другите гранични реки и водоеми, при внос и износ на риба, рибни продукти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Дейността на агенцията се осъществява на основата на принципите: законност, откритост и достъпност, ефективност, отговорност и отчетност, субординация и координация и обективност и безпристрастност.</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ИЗПЪЛНИТЕЛНИЯ ДИРЕКТОР</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(Изм. – ДВ, бр. 20 от 2020 г. , в сила от 1.04.2020 г.) Агенцията се ръководи и представлява от изпълнителен директор. Договорът с изпълнителния директор се сключва, изменя и прекратява от министъра на земеделието, храните и горите съгласувано с министър-председателя.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2012 г.) В дейността си изпълнителният директор се подпомага от двама заместник изпълнителни директори.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2012 г.) Изпълнителният директор делегира със заповед правомощия на всеки от заместник изпълнителните директори и определя техните функции.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2012 г.) Заместник изпълнителните директори се назначават и освобождават от изпълнителния директор на агенцията.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изпълнителния директор</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Изпълнителният директор: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14 от 2012 г., бр. 91 от 2013 г., в сила от 18.10.2013 г., бр. 29 от 2015 г., в сила от 21.04.2015 г.) представлява, ръководи, координира, контролира дейността на агенцията при осъществяване на всички функции съгласно чл. 2, ал. 3 – 8;</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14 от 2012 г.);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14 от 2012 г.) прилага държавната политика в изпълнение на ОПР на 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2012 г., бр. 29 от 2015 г., в сила от 21.04.2015 г.) прилага държавната политика по изпълнение на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планира, разпределя и контролира използването на предоставените на агенцията финансови и материални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одобрява проекти на програми за опазване на рибните ресурси, развитие на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и подобряване работата на администрацията;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и доп. – ДВ, бр. 29 от 2015 г., в сила от 21.04.2015 г., изм., бр. 62 от 2016 г., в сила от 9.08.2016 г.) одобрява или отхвърля с мотивирана заповед заявленията за кандидатстване по проекти за усвояване на средства от Европейския фонд по рибарство и Европейския фонд за морско дело и рибарство, и подписва договорите за предоставяне на безвъзмездна финансова помощ по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утвърждава документи и издава индивидуални административни актове, свързани с развитието на дейностите и организацията на работа на агенцията, в рамките на своята компетентност;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20 от 2020 г. , в сила от 1.04.2020 г.) представя на министъра на земеделието, храните и горите за утвърждаване проект на годишен план за действие на агенцията и проект на бюджет на агенцията за следващата година във вид и разбивка съгласно нормативните актове и/или вътрешните правила;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29 от 2015 г., в сила от 21.04.2015 г., бр. 20 от 2020 г. , в сила от 1.04.2020 г.) представя на министъра на земеделието, храните и горите годишни отчети за реализацията на плана за действие на агенцията, в т. ч. на дейности по Общата политика в областта на рибарството във вид и разбивка съгласно нормативните актове и/или вътрешните правила;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(отм. - ДВ, бр. 14 от 2012 г.);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организира разработването на нормативни актове, свързани с дейността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утвърждава необходимите документи, графици и други за организацията и провеждането на рибностопанските мероприятия, свързани с опазването, контрола и възпроизводството на рибните ресурси и развитието на </w:t>
      </w:r>
      <w:proofErr w:type="spellStart"/>
      <w:r>
        <w:rPr>
          <w:rFonts w:ascii="Times New Roman" w:hAnsi="Times New Roman" w:cs="Times New Roman"/>
          <w:sz w:val="24"/>
          <w:szCs w:val="24"/>
          <w:lang w:val="x-none"/>
        </w:rPr>
        <w:t>аквакултурата</w:t>
      </w:r>
      <w:proofErr w:type="spellEnd"/>
      <w:r>
        <w:rPr>
          <w:rFonts w:ascii="Times New Roman" w:hAnsi="Times New Roman" w:cs="Times New Roman"/>
          <w:sz w:val="24"/>
          <w:szCs w:val="24"/>
          <w:lang w:val="x-none"/>
        </w:rPr>
        <w:t>, на курсове и изпити за квалификация и подготовка на кадрите на агенцията и на кандидатите за получаване на разрешителни за стопански риболов;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сключва договори, свързани с прилагането на Закона за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и на подзаконовите нормативни актове по прилагането му;</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(доп. – ДВ, бр. 91 от 2013 г., в сила от 18.10.2013 г.) утвърждава длъжностното разписание в агенцията, създава и закрива отдели и сектори;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агенцията, и определя индивидуалния размер на възнагражденията в съответствие с изискванията на нормативните актове;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сформира работни групи и комисии за изпълнение на задачите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14 от 2012 г.) прилага държавната политика в областта на любителския риболов;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ръководи информационната политика, като осигурява публичност и прозрачност на дейността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изпълнява функциите на служител по сигурността на информацията в съответствие с изискванията на Закона за защита на класифицираната информация;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(нова - ДВ, бр. 14 от 2012 г., изм., бр. 29 от 2015 г., в сила от 21.04.2015 г., бр. 20 от 2020 г. , в сила от 1.04.2020 г.) участва в консултативен съвет към министъра на земеделието, храните и горите за решаване на проблеми от неговата компетентност, в който могат да бъдат привличани външни експерти;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91 от 2013 г., в сила от 18.10.2013 г.) възлага на юрисконсултите на агенцията осъществяването на процесуалното представителство пред всички съдилища и административни органи на територията на Република България;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91 от 2013 г., в сила от 18.10.2013 г.) контролира постъпването на информация на интернет страницата на агенцията, </w:t>
      </w:r>
      <w:proofErr w:type="spellStart"/>
      <w:r>
        <w:rPr>
          <w:rFonts w:ascii="Times New Roman" w:hAnsi="Times New Roman" w:cs="Times New Roman"/>
          <w:sz w:val="24"/>
          <w:szCs w:val="24"/>
          <w:lang w:val="x-none"/>
        </w:rPr>
        <w:t>касаеща</w:t>
      </w:r>
      <w:proofErr w:type="spellEnd"/>
      <w:r>
        <w:rPr>
          <w:rFonts w:ascii="Times New Roman" w:hAnsi="Times New Roman" w:cs="Times New Roman"/>
          <w:sz w:val="24"/>
          <w:szCs w:val="24"/>
          <w:lang w:val="x-none"/>
        </w:rPr>
        <w:t xml:space="preserve"> дейността й;</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91 от 2013 г., в сила от 18.10.2013 г.) участва при осъществяването на съвместни проверки и проекти за прилагане и адаптиране към българските условия на успешните антикорупционни практики и инструменти, прилагани в страните – членки на 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91 от 2013 г., в сила от 18.10.2013 г., изм., бр. 20 от 2020 г. , в сила от 1.04.2020 г.) осъществява и други функции във връзка с административния контрол, произтичащи от нормативни актове или възложени от министъра на земеделието, храните и горите съобразно правомощията му.</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2012 г.) Функциите на изпълнителния директор в негово отсъствие се изпълняват от определен със заповед заместник изпълнителен директор.</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ФУНКЦИИ И ОРГАНИЗАЦИЯ НА РАБОТАТА</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Агенцията е организирана в обща и специализирана администрация.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численост на персонала на агенцията и нейното разпределение по административни звена са посочени в приложението.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14 от 2012 г., бр. 91 от 2013 г., в сила от 18.10.2013 г., бр. 29 от 2015 г., в сила от 21.04.2015 г.) Общата администрация е организирана в дирекция "Административно-правно обслужване и човешки ресурси" и дирекция "Финансово-стопански дейности и управление на собствеността".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14 от 2012 г., изм., бр. 29 от 2015 г., в сила от 21.04.2015 г., бр. 20 от 2020 г. , в сила от 1.04.2020 г.) Специализираната администрация осигурява осъществяването на основните функции на агенцията и е организирана в Главна дирекция "Рибарство и контрол", дирекция "Управление на рибарството и опазване на рибните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(Изм. – ДВ, бр. 20 от 2020 г. , в сила от 1.04.2020 г.) Вътрешният одит в агенцията се осъществява от дирекция "Вътрешен одит" на Министерството на земеделието, храните и горите.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7а.</w:t>
      </w:r>
      <w:r>
        <w:rPr>
          <w:rFonts w:ascii="Times New Roman" w:hAnsi="Times New Roman" w:cs="Times New Roman"/>
          <w:sz w:val="24"/>
          <w:szCs w:val="24"/>
          <w:lang w:val="x-none"/>
        </w:rPr>
        <w:t xml:space="preserve"> (Нов – ДВ, бр. 29 от 2015 г., в сила от 21.04.2015 г., изм., бр. 20 от 2020 г. , в сила от 1.04.2020 г.) (1) Функциите на финансов контрольор се изпълняват от служители, които са определени със заповед на изпълнителния директор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Редът и начинът за осъществяването на предварителния контрол за законосъобразност се определят с акт на изпълнителния директор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(Изм. - ДВ, бр. 14 от 2012 г.) (1) Работното време на администрацията е 8 часа дневно с променливи граници от 7,30 до 18,30 ч с почивка 30 минути, която може да се ползва между 12,00 и 14,00 ч, и с период на задължително присъствие от 10,00 до 16,00 часа.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Продължителността и редът за отчитане на работното време по ал. 1 се определят със заповед на главния секретар.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20 от 2020 г. , в сила от 1.04.2020 г.) За служителите, които извършват контролни функции, се установява ненормиран работен ден, като при получен сигнал те реагират съгласно изискванията на трудовото законодателство.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За образцово изпълнение на служебните задължения държавните служители и служителите по трудово правоотношение могат да бъдат награждавани с отличия и награди от изпълнителния директор.</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Главен секретар</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Административното ръководство на агенцията се осъществява от главен секретар.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секретар: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координира и контролира функционирането на агенцията в изпълнение на законните разпореждания на изпълнителния директор;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 организационната връзка между изпълнителния директор и административните звена;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планирането и отчетността при изпълнение на ежегодните цели на администрацията;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координира оперативното изпълнение на съвместните задачи, възложени на общата и специализираната администрация;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утвърждава длъжностните характеристики на служителите;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пропускателния режим и охраната на предоставените за стопанисване на агенцията сгради, съответно помещения в тях;</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осигурява условия за ефективна работа на всички административни звена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осъществява общ контрол за изпълнението на възложените административни задачи;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изготвя годишен доклад за състоянието на администрацията и го представя на изпълнителния директор;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следи за законосъобразната обработка и защита на личните данни съгласно Закона за защита на личните данни;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изпълнява и други функции, възложени му със заповед от изпълнителния директор.</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29 от 2015 г., в сила от 21.04.2015 г.)</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 контрольор</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(Отм. – ДВ, бр. 29 от 2015 г., в сила от 21.04.2015 г.).</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администрация</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14 от 2012 г., бр. 91 от 2013 г., в сила от 18.10.2013 г., бр. 29 от 2015 г., в сила от 21.04.2015 г.) Дирекция "Административно-правно обслужване и човешки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оказва правна помощ на изпълнителния директор и на специализираната администрация на агенцията с оглед законосъобразното осъществяване на техните функции;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 процесуалното представителство на агенцията и защитата на държавните интереси по правни спорове;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предприема правни действия за своевременното събиране на вземанията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изготвя на базата на техническото задание документацията за участие в процедурите за възлагане на обществени поръчки и участва със свои представители в работата на комисиите, като следи за законосъобразността на процедурите по Закона за обществените поръчки (ЗОП);</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участва в разработването на проекти на нормативни актове и дава становища по тях при възлагане;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участва в разработването и съгласува проекти на индивидуални и общи административни актове;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изготвя проекти на актовете и документите, свързани с възникването, изменянето и прекратяването на служебните и трудовите правоотношения със служителите в агенцията и с налагането на дисциплинарни наказания и търсенето на имуществена отговорност по реда на Закона за държавния служител и Кодекса на труда;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управлението и развитието на човешките ресурси, като: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изготвя и актуализира длъжностното разписание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изготвя поименното разписание на длъжностите в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подпомага разработването и актуализирането на длъжностните характеристики на държавните служители и на лицата, работещи по трудово правоотношение в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съхранява служебните досиета на държавните служители и трудовите досиета на лицата по трудово правоотношение в агенцията и ги поддържа в съответствие с изискванията на закона;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поддържа автоматизирана система за управление на човешките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прави предложения за развитие на организационната и управленската структура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разработва проекти на вътрешноорганизационни документи за планиране, подбор, атестиране, развитие на персонала и организация на труда;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разработва основни насоки, проучва, анализира и обобщава потребностите от обучение и изготвя годишен план за задължително и специализирано обучение на служителите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осигурява условия за професионално и служебно развитие на персонала, както и организира провеждането на неговото обучение съгласувано с главния секретар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организира и осъществява деловодната и архивната дейност в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води отчетност и осигурява информация за входящата и изходящата кореспонденция;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осъществява предварителен контрол за законосъобразност на всички документи и действия, свързани с нефинансовата дейност;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29 от 2015 г., в сила от 21.04.2015 г.) подпомага дейности, свързани с прилагането на ОПРСР и ПМДР;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осигурява провеждането на информационната политика на агенцията, планира и координира осъществяването й, като: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информира обществеността за политиката на агенцията и за осъществяваните от нея програми и дейности;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29 от 2015 г., в сила от 21.04.2015 г.) организира публичните изяви на изпълнителния директор, заместник изпълнителните директори и служителите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отговаря за координацията на взаимоотношенията с браншовите организации в областта на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отговаря за дизайна, поддържането и ежедневното актуализиране на интернет страницата на агенцията, като публикува информация;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 бр. 29 от 2015 г., в сила от 21.04.2015 г.) изготвя и координира програмата на изпълнителния директор и на заместник изпълнителните директори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изготвя и координира програмите за посещение в страната на официални гости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подготвя необходимите документи и организира протоколно задграничните командировки на служителите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координира и контролира организирането, провеждането и протоколното осигуряване на официални и работни срещи, семинари и дискусии;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(отм. – ДВ, бр. 29 от 2015 г., в сила от 21.04.2015 г., изм., бр. 20 от 2020 г. , в сила от 1.04.2020 г.) подпомага дейностите по Програмата за морско дело и рибарство;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35.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36.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(Изм. и доп. - ДВ, бр. 14 от 2012 г. отм., бр. 91 от 2013 г., в сила от 18.10.2013 г., нов, бр. 29 от 2015 г., в сила от 21.04.2015 г.) Дирекция "Финансово-стопански дейности и управление на собствеността":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 за правилната организация на счетоводството и отчетността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съставя проекта на бюджет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тримесечни и годишни оборотни ведомости;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изготвя ежемесечни и тримесечни отчети за касовото изпълнение на бюджетите, на сметките за средства от Европейския съюз и на сметките за чужди средства;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 годишния финансов отчет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изготвя отчета за изпълнението на програмния и ориентиран към резултати бюджет;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ръководството и служителите на агенцията за правилното и законосъобразното използване на финансовите ресурси и за опазването на собствеността;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20 от 2020 г. , в сила от 1.04.2020 г.) подготвя предложения до министъра на земеделието, храните и горите за необходимите промени по изпълнението на бюджета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счетоводно отчитане на приходите и разходите по пълна бюджетна класификация и по счетоводни сметки от сметкоплана на бюджетните организации;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организира събирането и опазването на финансово-счетоводната информация на хартиен и електронен носител, както и ползването й от счетоводния архив;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контролира опазването на движимото и недвижимото имущество и провеждането на инвентаризации;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дава методически указания на териториалните звена на агенцията относно текущото счетоводно отчитане;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планира процедурите за възлагане на обществени поръчки, по които възложител е агенцията, участва със свои представители в работата на комисии по ЗОП, координира извършването на дейностите, свързани с обществените поръчки, и контролира финансовото изпълнение на сключените въз основа на тях договори;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организира и осъществява материално-техническото обслужване на регионалните центрове на агенцията, разпределянето и опазването на дълготрайните активи и поддръжката на техниката в администрацията;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организира правилното ползване и управление на собствеността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планира и подпомага изпълнението на инвестиционни програми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и контролира транспортното обслужване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изготвя ведомостите и изплаща работните заплати и подава необходимата информация в териториалната дирекция на Националната агенция за приходите и в районното управление "Социално осигуряване";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подпомага изграждането и функционирането на системите за финансово управление и контрол;</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изготвя и прилага вътрешните правила за работната заплата в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20 от 2020 г. , в сила от 1.04.2020 г.) подпомага дейностите по Програмата за морско дело и рибарство.</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Специализирана администрация</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(Изм. - ДВ, бр. 14 от 2012 г., бр. 91 от 2013 г., в сила от 18.10.2013 г., бр. 29 от 2015 г., в сила от 21.04.2015 г., бр. 20 от 2020 г. , в сила от 1.04.2020 г.) (1) Главна дирекция "Рибарство и контрол" има 6 териториални звена със статут на отдели, както следва: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отдел "Рибарство и контрол – Черно море" със седалище Бургас, с териториален обхват областите Бургас, Варна и Добрич;</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отдел "Рибарство и контрол – Централен Дунав" със седалище Русе, с териториален обхват областите Велико Търново, Габрово, Ловеч, Плевен, Разград, Русе, Търговище, Силистра и Шумен;</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отдел "Рибарство и контрол – Западна България" със седалище София, с териториален обхват областите Благоевград, Видин, Враца, Кюстендил, Монтана, Перник, София-град и София;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отдел "Рибарство и контрол – Южна България" със седалище Пловдив и с териториален обхват областите Кърджали, Пазарджик, Пловдив, Сливен, Смолян, Стара Загора, Хасково и Ямбол;</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отдел "Център за наблюдение на риболова" със седалище Варна и места за извършване на дейността в гр. Варна и в гр. Бургас;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отдел "Структурни фондове по рибарство" със седалище София.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агенцията определя числеността на всеки отдел с длъжностното разписание на агенцията в зависимост от географското разположение на областта, наличните рибностопански обекти в нея, специфичните особености и историческото присъствие на риболова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в региона и др.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Дейността на отделите се ръководи от началник на отдел, който се назначава от изпълнителния директор на агенцията и е пряко подчинен на директора на Главна дирекция "Рибарство и контрол".</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(Изм. - ДВ, бр. 14 от 2012 г.) Главна дирекция "Рибарство и контрол":</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контрола и отговаря за неговото изпълнение по отношение на дейностите, свързани със: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устойчивото развитие, контрола и възпроизводството на ресурсите от риба и други водни организми в рибностопанските води, както и с прилагането на утвърдените режими за стопански и любителски риболов и </w:t>
      </w:r>
      <w:proofErr w:type="spellStart"/>
      <w:r>
        <w:rPr>
          <w:rFonts w:ascii="Times New Roman" w:hAnsi="Times New Roman" w:cs="Times New Roman"/>
          <w:sz w:val="24"/>
          <w:szCs w:val="24"/>
          <w:lang w:val="x-none"/>
        </w:rPr>
        <w:t>аквакултура</w:t>
      </w:r>
      <w:proofErr w:type="spellEnd"/>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употребата на риболовните уреди, оборудването и спомагателните материали и другите технически средства за извършване на стопански и любителски риболов с оглед на установените правила, норми и режим за тяхното използване;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проверката на всички документи, удостоверяващи произхода на продукцията и търговските операции в обектите за търговия на едро и дребно с риба и рибни продукти (борси, тържища, магазини, складове и други), и на лицата, занимаващи се с нея, по отношение на произход и първа продажба на риба и други водни организми от стопански риболов, първа продажба в страната на риба и рибни продукти от внос, както и по отношение на минимално допустимите размери за </w:t>
      </w:r>
      <w:proofErr w:type="spellStart"/>
      <w:r>
        <w:rPr>
          <w:rFonts w:ascii="Times New Roman" w:hAnsi="Times New Roman" w:cs="Times New Roman"/>
          <w:sz w:val="24"/>
          <w:szCs w:val="24"/>
          <w:lang w:val="x-none"/>
        </w:rPr>
        <w:t>улов</w:t>
      </w:r>
      <w:proofErr w:type="spellEnd"/>
      <w:r>
        <w:rPr>
          <w:rFonts w:ascii="Times New Roman" w:hAnsi="Times New Roman" w:cs="Times New Roman"/>
          <w:sz w:val="24"/>
          <w:szCs w:val="24"/>
          <w:lang w:val="x-none"/>
        </w:rPr>
        <w:t xml:space="preserve"> на риба в координация, съгласувано или съвместно с другите компетентни органи в тази област;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 сателитна система за наблюдение и контрол на риболовните кораби и съхранява база данни, събрани от системата;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2013 г., в сила от 18.10.2013 г.) контролира и приема отчетите на отделите "РК" и анализира дейността им;</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2013 г., в сила от 18.10.2013 г., изм., бр. 29 от 2015 г., в сила от 21.04.2015 г.) осъществява функции по разработване на методически указания, изготвяне на обобщени отчети и анализи, координиране на дейностите, свързани с осъществяването на регистрационните и разрешителните режими, осигуряване на специализирано оборудване, предлага организирането на обучения за повишаване на квалификацията на служителите в дирекцията, както и контролни функции по ЗРА;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осигурява прилагане на системата на Съюза за контрол, инспекции и изпълнение, предвидена в чл. 36 от Регламент (ЕС) № 1380/2013 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(ОB, L 354 от 28 декември 2013 г.) (Регламент (ЕС) № 1380/2013 на Европейския парламент и на Съвета) и допълнително определена в Регламент (ЕО) № 1224/2009 на Съвета от 20 ноември 2009 г.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(OB, L 343 от 22 декември 2009 г.) (Регламент № 1224/2009 на Съвета);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20 от 2020 г. , в сила от 1.04.2020 г.) изготвя програмните документи за прилагане на структурната политика на ЕС в областта на рибарството;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20 от 2020 г. , в сила от 1.04.2020 г.) изпълнява функциите на Управляващ орган на ОПРСР, като: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удостоверява, че </w:t>
      </w:r>
      <w:proofErr w:type="spellStart"/>
      <w:r>
        <w:rPr>
          <w:rFonts w:ascii="Times New Roman" w:hAnsi="Times New Roman" w:cs="Times New Roman"/>
          <w:sz w:val="24"/>
          <w:szCs w:val="24"/>
          <w:lang w:val="x-none"/>
        </w:rPr>
        <w:t>съфинансираните</w:t>
      </w:r>
      <w:proofErr w:type="spellEnd"/>
      <w:r>
        <w:rPr>
          <w:rFonts w:ascii="Times New Roman" w:hAnsi="Times New Roman" w:cs="Times New Roman"/>
          <w:sz w:val="24"/>
          <w:szCs w:val="24"/>
          <w:lang w:val="x-none"/>
        </w:rPr>
        <w:t xml:space="preserve"> продукти и услуги са доставени или извършени и че декларираните от ползвателите разходи за проектите са действително изпълнени и са в съответствие с националните правила и с правилата на 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извършва проверки на място на отделни проекти в съответствие с одобрените правила и процедури за работа;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гарантира, че съхранява счетоводните записи за всеки проект по ОПРСР и че са събрани данните за изпълнението, които са необходими за финансово управление, мониторинг, проверки, одити и оценка на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гарантира, че ползвателите и други лица, които са включени в изпълнението на проектите, поддържат отделна счетоводна система или адекватна счетоводна аналитична сметка за всички сделки, отнасящи се до проекта, в съответствие с националните счетоводни актове;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гарантира, че оценките на ОПРСР се извършват съобразно националното законодателство и правото на 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гарантира, че Сертифициращият и </w:t>
      </w:r>
      <w:proofErr w:type="spellStart"/>
      <w:r>
        <w:rPr>
          <w:rFonts w:ascii="Times New Roman" w:hAnsi="Times New Roman" w:cs="Times New Roman"/>
          <w:sz w:val="24"/>
          <w:szCs w:val="24"/>
          <w:lang w:val="x-none"/>
        </w:rPr>
        <w:t>Одитният</w:t>
      </w:r>
      <w:proofErr w:type="spellEnd"/>
      <w:r>
        <w:rPr>
          <w:rFonts w:ascii="Times New Roman" w:hAnsi="Times New Roman" w:cs="Times New Roman"/>
          <w:sz w:val="24"/>
          <w:szCs w:val="24"/>
          <w:lang w:val="x-none"/>
        </w:rPr>
        <w:t xml:space="preserve"> орган получават цялата необходима информация относно процедурите и проверките, които са извършени във връзка с разходите за целите на сертифицирането и съответно на одита;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установява процедури, които да гарантират, че всички документи относно разходите и одитите, свързани с прилагането на ОПРСР, позволяват нейното проследяване;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20 от 2020 г. , в сила от 1.04.2020 г.) осигурява спазването на изискванията за информираност, прозрачност и публичност на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20 от 2020 г. , в сила от 1.04.2020 г.) поддържа и използва информационна система за управление на проекти по ОПРСР и база данни;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20 от 2020 г. , в сила от 1.04.2020 г.) изпълнява и други дейности, които са възложени с нормативен акт или от министъра на земеделието, храните и горите;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20 от 2020 г. , в сила от 1.04.2020 г.) администрира нередности и измами, като: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отговаря за администриране на нередности по проекти, които са финансирани по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отговаря за реда за администриране на сигнали за нередности;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отговаря за реда за администриране на нередности, в т.ч. установяване, регистриране, докладване, </w:t>
      </w:r>
      <w:proofErr w:type="spellStart"/>
      <w:r>
        <w:rPr>
          <w:rFonts w:ascii="Times New Roman" w:hAnsi="Times New Roman" w:cs="Times New Roman"/>
          <w:sz w:val="24"/>
          <w:szCs w:val="24"/>
          <w:lang w:val="x-none"/>
        </w:rPr>
        <w:t>корективни</w:t>
      </w:r>
      <w:proofErr w:type="spellEnd"/>
      <w:r>
        <w:rPr>
          <w:rFonts w:ascii="Times New Roman" w:hAnsi="Times New Roman" w:cs="Times New Roman"/>
          <w:sz w:val="24"/>
          <w:szCs w:val="24"/>
          <w:lang w:val="x-none"/>
        </w:rPr>
        <w:t xml:space="preserve"> действия, </w:t>
      </w:r>
      <w:proofErr w:type="spellStart"/>
      <w:r>
        <w:rPr>
          <w:rFonts w:ascii="Times New Roman" w:hAnsi="Times New Roman" w:cs="Times New Roman"/>
          <w:sz w:val="24"/>
          <w:szCs w:val="24"/>
          <w:lang w:val="x-none"/>
        </w:rPr>
        <w:t>последвaщото</w:t>
      </w:r>
      <w:proofErr w:type="spellEnd"/>
      <w:r>
        <w:rPr>
          <w:rFonts w:ascii="Times New Roman" w:hAnsi="Times New Roman" w:cs="Times New Roman"/>
          <w:sz w:val="24"/>
          <w:szCs w:val="24"/>
          <w:lang w:val="x-none"/>
        </w:rPr>
        <w:t xml:space="preserve"> им проследяване и приключване;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20 от 2020 г. , в сила от 1.04.2020 г.) докладва на дирекция "Защита на финансовите интереси на Европейския съюз" на Министерството на вътрешните работи (АФКОС), на Европейската служба за борба с измамите (ОЛАФ), на Министерството на земеделието, храните и горите и на Държавен фонд "Земеделие" – Разплащателна агенция;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20 от 2020 г. , в сила от 1.04.2020 г.) води необходимите регистри, които са свързани с нередностите и измамите;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20 от 2020 г. , в сила от 1.04.2020 г.) подпомага дейностите по Програмата за морско дело и рибарство.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14 от 2012 г., нова, бр. 20 от 2020 г. , в сила от 1.04.2020 г.) Отделите по чл. 14, ал. 1, т. 1 – 5:</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осъществяват оперативните функции по надзор и контрол върху стопанския и любителския риболов и </w:t>
      </w:r>
      <w:proofErr w:type="spellStart"/>
      <w:r>
        <w:rPr>
          <w:rFonts w:ascii="Times New Roman" w:hAnsi="Times New Roman" w:cs="Times New Roman"/>
          <w:sz w:val="24"/>
          <w:szCs w:val="24"/>
          <w:lang w:val="x-none"/>
        </w:rPr>
        <w:t>аквакултурата</w:t>
      </w:r>
      <w:proofErr w:type="spellEnd"/>
      <w:r>
        <w:rPr>
          <w:rFonts w:ascii="Times New Roman" w:hAnsi="Times New Roman" w:cs="Times New Roman"/>
          <w:sz w:val="24"/>
          <w:szCs w:val="24"/>
          <w:lang w:val="x-none"/>
        </w:rPr>
        <w:t xml:space="preserve">, спазването на правилата за отговорен риболов, опазването на рибните ресурси, търговията с водни организми и продукти от тях и други функции, които са регламентирани от Закона за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прилагат държавната политика в областта на любителския риболов;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отговарят за прилагането на европейското законодателство във връзка с контрола върху нелегалния, нерегулирания и недекларирания риболов.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2013 г., в сила от 18.10.2013 г., изм. и доп., ДВ, бр. 29 от 2015 г., в сила от 21.04.2015 г., бр. 62 от 2016 г., в сила от 9.08.2016 г., изм., бр. 20 от 2020 г. , в сила от 1.04.2020 г.) Отделът по чл. 14, ал. 1, т. 6 отговаря за извършване на дейностите по ОПРСР.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15а.</w:t>
      </w:r>
      <w:r>
        <w:rPr>
          <w:rFonts w:ascii="Times New Roman" w:hAnsi="Times New Roman" w:cs="Times New Roman"/>
          <w:sz w:val="24"/>
          <w:szCs w:val="24"/>
          <w:lang w:val="x-none"/>
        </w:rPr>
        <w:t xml:space="preserve"> (Нов - ДВ, бр. 14 от 2012 г.) Дирекция "Управление на рибарството и опазване на рибните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91 от 2013 г., в сила от 18.10.2013 г., бр. 29 от 2015 г., в сила от 21.04.2015 г.) изпълнява дейности по прилагането на Общата политика в областта на рибарството в страната и поддържа контакти с институциите на Европейската комисия при изпълнението;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2015 г., в сила от 21.04.2015 г.) участва в разработването на проекти на нормативни актове в областта на рибарството и морските въпроси;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и обслужва дейността по изпълнение на задълженията на българската държава по международни спогодби за риболов и други международни двустранни и многостранни договори, споразумения и конвенции в областта на рибарството, участва в работата на комитети, работни групи и други форуми, провеждани в рамките на институциите на ЕС, както и в други международни прояви;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становища и експертни оценки при решаването на въпроси в областта на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при поискване от компетентните органи на изпълнителната и съдебната власт, от междуправителствени органи и организации и от други физически или юридически лица;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координира работата с граждански, неправителствени, професионални и/или научни организации в сектора;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поддържа информационно-статистическа система за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като събира, обработва, обобщава и съхранява статистически данни и материали за състоянието и развитието им;</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води регистър и поддържа база данни за риболовните кораби по отношение на риболовната им активност и оборудването им;</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29 от 2015 г., в сила от 21.04.2015 г.) отговаря за прилагането на европейското законодателство при управление на капацитета на риболовния флот на страната;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(отм. – ДВ, бр. 29 от 2015 г., в сила от 21.04.2015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29 от 2015 г., в сила от 21.04.2015 г.) разработва планове и програми, свързани с изпълнението на задължения, произтичащи от европейското законодателство;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29 от 2015 г., в сила от 21.04.2015 г., бр. 62 от 2016 г., в сила от 9.08.2016 г.) осигурява изпълнението на изискванията за данните за управлението на рибарството, посочени в чл. 25 от Регламент (ЕС) № 1380/2013 на Европейския парламент и на Съвета и чл. 4 от Регламент (ЕО) № 199/2008 на Съвета от 25 февруари 2008 г. за установяване на </w:t>
      </w:r>
      <w:proofErr w:type="spellStart"/>
      <w:r>
        <w:rPr>
          <w:rFonts w:ascii="Times New Roman" w:hAnsi="Times New Roman" w:cs="Times New Roman"/>
          <w:sz w:val="24"/>
          <w:szCs w:val="24"/>
          <w:lang w:val="x-none"/>
        </w:rPr>
        <w:t>общностна</w:t>
      </w:r>
      <w:proofErr w:type="spellEnd"/>
      <w:r>
        <w:rPr>
          <w:rFonts w:ascii="Times New Roman" w:hAnsi="Times New Roman" w:cs="Times New Roman"/>
          <w:sz w:val="24"/>
          <w:szCs w:val="24"/>
          <w:lang w:val="x-none"/>
        </w:rPr>
        <w:t xml:space="preserve"> рамка за събиране, управление и използване на данни в сектор Рибарство и за подкрепа на научните консултации във връзка с Общата политика в областта на рибарството (OB, L 60 от 5 март 2008 г.) (Регламент (ЕО) № 199/2008 на Съвета);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62 от 2016 г., в сила от 9.08.2016 г.) изготвяне на доклад за риболовния капацитет в съответствие с чл. 22, параграф 2 от Регламент (ЕС) № 1380/2013 на Европейския парламент и на Съвета;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13 – ДВ, бр. 62 от 2016 г., в сила от 9.08.2016 г., изм., бр. 20 от 2020 г. , в сила от 1.04.2020 г.) изпълнява и други дейности, възложени с нормативен акт или от министъра на земеделието, храните и горите;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20 от 2020 г. , в сила от 1.04.2020 г.) подпомага дейностите по Програмата за морско дело и рибарство.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91 от 2013 г., в сила от 18.10.2013 г., изм. и доп., бр. 29 от 2015 г., в сила от 21.04.2015 г., изм., бр. 62 от 2016 г., в сила от 9.08.2016 г., отм., бр. 20 от 2020 г. , в сила от 1.04.2020 г.).</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работата с предложенията и сигналите</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Гражданите, организациите и </w:t>
      </w:r>
      <w:proofErr w:type="spellStart"/>
      <w:r>
        <w:rPr>
          <w:rFonts w:ascii="Times New Roman" w:hAnsi="Times New Roman" w:cs="Times New Roman"/>
          <w:sz w:val="24"/>
          <w:szCs w:val="24"/>
          <w:lang w:val="x-none"/>
        </w:rPr>
        <w:t>омбудсманът</w:t>
      </w:r>
      <w:proofErr w:type="spellEnd"/>
      <w:r>
        <w:rPr>
          <w:rFonts w:ascii="Times New Roman" w:hAnsi="Times New Roman" w:cs="Times New Roman"/>
          <w:sz w:val="24"/>
          <w:szCs w:val="24"/>
          <w:lang w:val="x-none"/>
        </w:rPr>
        <w:t xml:space="preserve"> могат да отправят до изпълнителния директор предложения за усъвършенстване на организацията и дейността на агенцията, както и за решаване на въпроси от правомощията на изпълнителния директор на агенцията, за които няма определен друг специален ред. Предложенията относно усъвършенстване на организацията и дейността на агенцията трябва да бъдат мотивирани и конкретни.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агенцията взема решение по предложението в срок до 2 месеца от неговото постъпване. Решението се съобщава на подателя в 7-дневен срок. Направените предложения, както и взетите по тях решения могат да се публикуват на интернет страницата на агенцията по преценка на изпълнителния директор.</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Гражданите, организациите и </w:t>
      </w:r>
      <w:proofErr w:type="spellStart"/>
      <w:r>
        <w:rPr>
          <w:rFonts w:ascii="Times New Roman" w:hAnsi="Times New Roman" w:cs="Times New Roman"/>
          <w:sz w:val="24"/>
          <w:szCs w:val="24"/>
          <w:lang w:val="x-none"/>
        </w:rPr>
        <w:t>омбудсманът</w:t>
      </w:r>
      <w:proofErr w:type="spellEnd"/>
      <w:r>
        <w:rPr>
          <w:rFonts w:ascii="Times New Roman" w:hAnsi="Times New Roman" w:cs="Times New Roman"/>
          <w:sz w:val="24"/>
          <w:szCs w:val="24"/>
          <w:lang w:val="x-none"/>
        </w:rPr>
        <w:t xml:space="preserve"> могат да подават до изпълнителния директор сигнали за злоупотреби с власт, корупция, лошо управление на държавното имущество, за други незаконосъобразни или нецелесъобразни действия или бездействия на заместник изпълнителния директор и на служителите на агенцията. Сигналите трябва да включват посочване на конкретни факти и обстоятелства, свързани с нарушението, за което се подават.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Сигнали за нарушения, извършени преди повече от две години, не се разглеждат. Сигнали, подадени повторно по въпрос, по който има решение, също не се разглеждат, освен ако са във връзка с изпълнение на взето решение или се основават на нови факти и обстоятелства.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директор на агенцията взема решение по сигнала в срок до два месеца след постъпването му, като този срок може да бъде удължаван с един месец, ако важни причини налагат това. Подателят се уведомява в 7-дневен срок за взетото решение и за предприетите мерки по сигнала. При данни за извършено престъпление изпълнителният директор на агенцията уведомява незабавно прокуратурата.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Не се разглеждат анонимни предложения и сигнали, които не са подписани от подателя или от негов представител по закон или пълномощие, както и такива, в които не са посочени: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на гражданина, адрес по местоживеене, както и телефон, факс или електронен адрес;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фирмата на търговеца или наименованието на юридическото лице, изписани и на български език, седалището и последният посочен в съответния регистър адрес на управление, както и телефон, факс или електронен адрес.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14 от 2012 г., бр. 29 от 2015 г., в сила от 21.04.2015 г.) Приемът на граждани и представители на организации и изслушването на техните предложения и сигнали се извършва всеки работен ден от 9,00 до 17,30 ч. от служителите на дирекция "Административно-правно обслужване и човешки ресурси".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агенцията приема граждани и представители на организации в определени дни и часове, които се оповестяват на интернет страницата на агенцията 7 дни предварително.</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ФИНАНСИРАНЕ</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Бюджетът на агенцията се формира от бюджетна субсидия и от собствени приходи.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Собствените приходи на агенцията се набират от: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таксите за издаване на разрешителни за стопански риболов, таксите за регистрация на </w:t>
      </w:r>
      <w:proofErr w:type="spellStart"/>
      <w:r>
        <w:rPr>
          <w:rFonts w:ascii="Times New Roman" w:hAnsi="Times New Roman" w:cs="Times New Roman"/>
          <w:sz w:val="24"/>
          <w:szCs w:val="24"/>
          <w:lang w:val="x-none"/>
        </w:rPr>
        <w:t>рибопроизводителите</w:t>
      </w:r>
      <w:proofErr w:type="spellEnd"/>
      <w:r>
        <w:rPr>
          <w:rFonts w:ascii="Times New Roman" w:hAnsi="Times New Roman" w:cs="Times New Roman"/>
          <w:sz w:val="24"/>
          <w:szCs w:val="24"/>
          <w:lang w:val="x-none"/>
        </w:rPr>
        <w:t xml:space="preserve"> и таксите за услугите, извършвани от агенцията, определени с тарифата по чл. 17а, ал. 4 от Закона за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(ЗРА);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таксите за издаване на билети за любителски риболов;</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петдесет на сто от събраните обезщетения в полза на държавата за нанесени вреди на рибата и другите водни организми в обектите по чл. 3, ал. 1, т. 1 ЗРА и в язовирите - държавна собственост;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постъпления от дарения, спонсорство, помощи, целеви постъпления от местни и чуждестранни физически или юридически лица или от международни организации, фондации и програми;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постъпления, определени със ЗРА или с друг нормативен акт;</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дейности по управление на собствеността, включително възмездно отдаване на материални активи и ресурси, предоставени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средства по програми и проекти на ЕС.</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Приходите от собствена дейност и бюджетната субсидия се разходват за покриване на одобрените разходи за: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издръжка на агенцията;</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дейности в областта на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29 от 2015 г., в сила от 21.04.2015 г.) изпълнение на дейности по Общата политика в областта на рибарството;</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закупуване на дълготрайни активи;</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основни ремонти на материалната база на агенцията.</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ЗАКЛЮЧИТЕЛНА РАЗПОРЕДБА</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Параграф единствен.</w:t>
      </w:r>
      <w:r>
        <w:rPr>
          <w:rFonts w:ascii="Times New Roman" w:hAnsi="Times New Roman" w:cs="Times New Roman"/>
          <w:sz w:val="24"/>
          <w:szCs w:val="24"/>
          <w:lang w:val="x-none"/>
        </w:rPr>
        <w:t xml:space="preserve"> Правилникът се приема на основание чл. 5, ал. 3 от Закона за рибарството и </w:t>
      </w:r>
      <w:proofErr w:type="spellStart"/>
      <w:r>
        <w:rPr>
          <w:rFonts w:ascii="Times New Roman" w:hAnsi="Times New Roman" w:cs="Times New Roman"/>
          <w:sz w:val="24"/>
          <w:szCs w:val="24"/>
          <w:lang w:val="x-none"/>
        </w:rPr>
        <w:t>аквакултурите</w:t>
      </w:r>
      <w:proofErr w:type="spellEnd"/>
      <w:r>
        <w:rPr>
          <w:rFonts w:ascii="Times New Roman" w:hAnsi="Times New Roman" w:cs="Times New Roman"/>
          <w:sz w:val="24"/>
          <w:szCs w:val="24"/>
          <w:lang w:val="x-none"/>
        </w:rPr>
        <w:t xml:space="preserve">.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38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6 март 2020 г. за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изменение и допълнение на нормативни актове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20 от 2020 г., в сила от 1.04.2020 г.)</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 В </w:t>
      </w:r>
      <w:proofErr w:type="spellStart"/>
      <w:r>
        <w:rPr>
          <w:rFonts w:ascii="Times New Roman" w:hAnsi="Times New Roman" w:cs="Times New Roman"/>
          <w:sz w:val="24"/>
          <w:szCs w:val="24"/>
          <w:lang w:val="x-none"/>
        </w:rPr>
        <w:t>Устройствения</w:t>
      </w:r>
      <w:proofErr w:type="spellEnd"/>
      <w:r>
        <w:rPr>
          <w:rFonts w:ascii="Times New Roman" w:hAnsi="Times New Roman" w:cs="Times New Roman"/>
          <w:sz w:val="24"/>
          <w:szCs w:val="24"/>
          <w:lang w:val="x-none"/>
        </w:rPr>
        <w:t xml:space="preserve"> правилник на Изпълнителната агенция по рибарство и </w:t>
      </w:r>
      <w:proofErr w:type="spellStart"/>
      <w:r>
        <w:rPr>
          <w:rFonts w:ascii="Times New Roman" w:hAnsi="Times New Roman" w:cs="Times New Roman"/>
          <w:sz w:val="24"/>
          <w:szCs w:val="24"/>
          <w:lang w:val="x-none"/>
        </w:rPr>
        <w:t>аквакултури</w:t>
      </w:r>
      <w:proofErr w:type="spellEnd"/>
      <w:r>
        <w:rPr>
          <w:rFonts w:ascii="Times New Roman" w:hAnsi="Times New Roman" w:cs="Times New Roman"/>
          <w:sz w:val="24"/>
          <w:szCs w:val="24"/>
          <w:lang w:val="x-none"/>
        </w:rPr>
        <w:t>, приет с Постановление № 95 на Министерския съвет от 2010 г.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41 от 2010 г.; изм. и доп., бр. 14 от 2012 г., бр. 91 от 2013 г., бр. 29 от 2015 г. и бр. 62 от 2016 г.), се правят следните изменения и допълнения:</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Навсякъде в текста думите "Министерството на земеделието и храните" и "министъра на земеделието и храните" се заменят съответно с "Министерството на земеделието, храните и горите" и "министъра на земеделието, храните и горите".</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943A98" w:rsidRDefault="00F537E0">
      <w:pPr>
        <w:widowControl w:val="0"/>
        <w:autoSpaceDE w:val="0"/>
        <w:autoSpaceDN w:val="0"/>
        <w:adjustRightInd w:val="0"/>
        <w:spacing w:after="0" w:line="240" w:lineRule="auto"/>
        <w:ind w:firstLine="480"/>
        <w:jc w:val="both"/>
        <w:rPr>
          <w:rFonts w:ascii="Courier New" w:hAnsi="Courier New" w:cs="Courier New"/>
          <w:b/>
          <w:bCs/>
          <w:sz w:val="20"/>
          <w:szCs w:val="20"/>
          <w:lang w:val="bg-BG"/>
        </w:rPr>
      </w:pPr>
      <w:r>
        <w:rPr>
          <w:rFonts w:ascii="Courier New" w:hAnsi="Courier New" w:cs="Courier New"/>
          <w:b/>
          <w:bCs/>
          <w:sz w:val="20"/>
          <w:szCs w:val="20"/>
          <w:lang w:val="x-none"/>
        </w:rPr>
        <w:t xml:space="preserve">                                                           </w:t>
      </w:r>
    </w:p>
    <w:p w:rsidR="00943A98" w:rsidRDefault="00943A98">
      <w:pPr>
        <w:widowControl w:val="0"/>
        <w:autoSpaceDE w:val="0"/>
        <w:autoSpaceDN w:val="0"/>
        <w:adjustRightInd w:val="0"/>
        <w:spacing w:after="0" w:line="240" w:lineRule="auto"/>
        <w:ind w:firstLine="480"/>
        <w:jc w:val="both"/>
        <w:rPr>
          <w:rFonts w:ascii="Courier New" w:hAnsi="Courier New" w:cs="Courier New"/>
          <w:b/>
          <w:bCs/>
          <w:sz w:val="20"/>
          <w:szCs w:val="20"/>
          <w:lang w:val="bg-BG"/>
        </w:rPr>
      </w:pPr>
    </w:p>
    <w:p w:rsidR="00D142C5" w:rsidRDefault="00F537E0" w:rsidP="00943A98">
      <w:pPr>
        <w:widowControl w:val="0"/>
        <w:autoSpaceDE w:val="0"/>
        <w:autoSpaceDN w:val="0"/>
        <w:adjustRightInd w:val="0"/>
        <w:spacing w:after="0" w:line="240" w:lineRule="auto"/>
        <w:ind w:firstLine="480"/>
        <w:jc w:val="right"/>
        <w:rPr>
          <w:rFonts w:ascii="Courier New" w:hAnsi="Courier New" w:cs="Courier New"/>
          <w:b/>
          <w:bCs/>
          <w:sz w:val="20"/>
          <w:szCs w:val="20"/>
          <w:lang w:val="x-none"/>
        </w:rPr>
      </w:pPr>
      <w:r>
        <w:rPr>
          <w:rFonts w:ascii="Courier New" w:hAnsi="Courier New" w:cs="Courier New"/>
          <w:b/>
          <w:bCs/>
          <w:sz w:val="20"/>
          <w:szCs w:val="20"/>
          <w:lang w:val="x-none"/>
        </w:rPr>
        <w:t>Приложение</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 ал. 2</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14 от 2012 г.,</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91 от 2013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18.10.2013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29 от 2015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21.04.2015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62 от 2016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9.08.2016 г.,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20 от 2020 г.</w:t>
      </w:r>
      <w:r>
        <w:rPr>
          <w:rFonts w:ascii="Courier New" w:hAnsi="Courier New" w:cs="Courier New"/>
          <w:sz w:val="20"/>
          <w:szCs w:val="20"/>
          <w:lang w:val="x-none"/>
        </w:rPr>
        <w:t xml:space="preserve"> , </w:t>
      </w:r>
    </w:p>
    <w:p w:rsidR="00D142C5"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1.04.2020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D142C5">
        <w:trPr>
          <w:tblCellSpacing w:w="15" w:type="dxa"/>
        </w:trPr>
        <w:tc>
          <w:tcPr>
            <w:tcW w:w="12735" w:type="dxa"/>
            <w:tcBorders>
              <w:top w:val="nil"/>
              <w:left w:val="nil"/>
              <w:bottom w:val="nil"/>
              <w:right w:val="nil"/>
            </w:tcBorders>
            <w:vAlign w:val="center"/>
          </w:tcPr>
          <w:p w:rsidR="00D142C5" w:rsidRDefault="00F537E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Численост на персонала в организационните структури </w:t>
            </w:r>
          </w:p>
          <w:p w:rsidR="00D142C5" w:rsidRDefault="00F537E0">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 административните звена на агенцията – 220 щатни бройки</w:t>
            </w:r>
          </w:p>
          <w:p w:rsidR="00D142C5" w:rsidRDefault="00F537E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(Загл. изм. – ДВ, бр. 62 от 2016 г., в сила от 9.08.2016 г., </w:t>
            </w:r>
          </w:p>
          <w:p w:rsidR="00D142C5" w:rsidRDefault="00F537E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 20 от 2020 г., в сила от 1.04.2020 г.)</w:t>
            </w:r>
          </w:p>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412" w:type="dxa"/>
              <w:tblCellSpacing w:w="0" w:type="dxa"/>
              <w:tblLayout w:type="fixed"/>
              <w:tblCellMar>
                <w:left w:w="0" w:type="dxa"/>
                <w:right w:w="0" w:type="dxa"/>
              </w:tblCellMar>
              <w:tblLook w:val="0000" w:firstRow="0" w:lastRow="0" w:firstColumn="0" w:lastColumn="0" w:noHBand="0" w:noVBand="0"/>
            </w:tblPr>
            <w:tblGrid>
              <w:gridCol w:w="8234"/>
              <w:gridCol w:w="1178"/>
            </w:tblGrid>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Изпълнителен директор</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Заместник изпълнителен директор</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Главен секретар</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Обща администрация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т.ч.</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28</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"Административно-правно обслужване и човешки ресурси"</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дирекция "Финансово-стопански дейности и управление на собствеността"</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14</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Специализирана администрация </w:t>
                  </w:r>
                </w:p>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 ч.:</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Главна дирекция "Рибарство и контрол" </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D142C5" w:rsidTr="00F90F1C">
              <w:trPr>
                <w:tblCellSpacing w:w="0" w:type="dxa"/>
              </w:trPr>
              <w:tc>
                <w:tcPr>
                  <w:tcW w:w="11160" w:type="dxa"/>
                  <w:vAlign w:val="center"/>
                </w:tcPr>
                <w:p w:rsidR="00D142C5" w:rsidRDefault="00F537E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дирекция "Управление на рибарството и опазване на рибните ресурси" </w:t>
                  </w:r>
                </w:p>
              </w:tc>
              <w:tc>
                <w:tcPr>
                  <w:tcW w:w="1590" w:type="dxa"/>
                  <w:vAlign w:val="center"/>
                </w:tcPr>
                <w:p w:rsidR="00D142C5" w:rsidRDefault="00F537E0">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D142C5" w:rsidRDefault="00D142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F537E0" w:rsidRDefault="00F537E0">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0" w:name="_GoBack"/>
      <w:bookmarkEnd w:id="0"/>
    </w:p>
    <w:sectPr w:rsidR="00F537E0" w:rsidSect="002C1EA9">
      <w:pgSz w:w="11907" w:h="16840" w:code="9"/>
      <w:pgMar w:top="1134" w:right="1134" w:bottom="567"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87"/>
    <w:rsid w:val="002C1EA9"/>
    <w:rsid w:val="00794887"/>
    <w:rsid w:val="00943A98"/>
    <w:rsid w:val="00D142C5"/>
    <w:rsid w:val="00F537E0"/>
    <w:rsid w:val="00F9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Angelov</dc:creator>
  <cp:lastModifiedBy>Velichka Kurteva</cp:lastModifiedBy>
  <cp:revision>5</cp:revision>
  <dcterms:created xsi:type="dcterms:W3CDTF">2020-03-10T09:51:00Z</dcterms:created>
  <dcterms:modified xsi:type="dcterms:W3CDTF">2020-03-11T10:39:00Z</dcterms:modified>
</cp:coreProperties>
</file>