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74" w:rsidRPr="003A2630" w:rsidRDefault="003A2630" w:rsidP="00E350BF">
      <w:pPr>
        <w:spacing w:line="360" w:lineRule="auto"/>
        <w:rPr>
          <w:rFonts w:ascii="Verdana" w:hAnsi="Verdana"/>
          <w:b/>
          <w:caps/>
          <w:sz w:val="20"/>
          <w:szCs w:val="20"/>
          <w:lang w:val="en-US"/>
        </w:rPr>
      </w:pPr>
      <w:r>
        <w:rPr>
          <w:rFonts w:ascii="Verdana" w:hAnsi="Verdana"/>
          <w:b/>
          <w:caps/>
          <w:sz w:val="20"/>
          <w:szCs w:val="20"/>
          <w:lang w:val="en-US"/>
        </w:rPr>
        <w:t xml:space="preserve">  </w:t>
      </w:r>
      <w:bookmarkStart w:id="0" w:name="_GoBack"/>
      <w:bookmarkEnd w:id="0"/>
    </w:p>
    <w:p w:rsidR="004F2974" w:rsidRPr="003A2630" w:rsidRDefault="002A05D9" w:rsidP="003A2630">
      <w:pPr>
        <w:spacing w:line="360" w:lineRule="auto"/>
        <w:ind w:left="4956"/>
        <w:rPr>
          <w:rFonts w:ascii="Verdana" w:hAnsi="Verdana"/>
          <w:b/>
          <w:bCs/>
          <w:caps/>
          <w:sz w:val="20"/>
          <w:szCs w:val="20"/>
          <w:lang w:val="en-US"/>
        </w:rPr>
      </w:pPr>
      <w:r w:rsidRPr="00710725">
        <w:rPr>
          <w:rFonts w:ascii="Verdana" w:hAnsi="Verdana"/>
          <w:b/>
          <w:caps/>
          <w:sz w:val="20"/>
          <w:szCs w:val="20"/>
        </w:rPr>
        <w:t xml:space="preserve">  </w:t>
      </w:r>
      <w:r w:rsidR="003A2630">
        <w:rPr>
          <w:rFonts w:ascii="Verdana" w:hAnsi="Verdana"/>
          <w:b/>
          <w:caps/>
          <w:sz w:val="20"/>
          <w:szCs w:val="20"/>
        </w:rPr>
        <w:t xml:space="preserve">     </w:t>
      </w: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710725" w:rsidTr="0069425D">
        <w:trPr>
          <w:trHeight w:val="958"/>
          <w:jc w:val="center"/>
        </w:trPr>
        <w:tc>
          <w:tcPr>
            <w:tcW w:w="15650" w:type="dxa"/>
            <w:shd w:val="clear" w:color="auto" w:fill="BDD6EE"/>
          </w:tcPr>
          <w:p w:rsidR="00815723" w:rsidRPr="0016598D" w:rsidRDefault="00815723" w:rsidP="00815723">
            <w:pPr>
              <w:tabs>
                <w:tab w:val="left" w:pos="2190"/>
              </w:tabs>
              <w:spacing w:before="100" w:line="360" w:lineRule="auto"/>
              <w:ind w:left="340" w:right="340"/>
              <w:jc w:val="center"/>
              <w:rPr>
                <w:rFonts w:ascii="Verdana" w:hAnsi="Verdana"/>
                <w:b/>
                <w:spacing w:val="90"/>
              </w:rPr>
            </w:pPr>
            <w:r w:rsidRPr="0016598D">
              <w:rPr>
                <w:rFonts w:ascii="Verdana" w:hAnsi="Verdana"/>
                <w:b/>
                <w:spacing w:val="90"/>
              </w:rPr>
              <w:t>СПРАВКА</w:t>
            </w:r>
          </w:p>
          <w:p w:rsidR="00E220AD" w:rsidRPr="00710725" w:rsidRDefault="000C197E" w:rsidP="00815723">
            <w:pPr>
              <w:tabs>
                <w:tab w:val="left" w:pos="2190"/>
              </w:tabs>
              <w:spacing w:after="40" w:line="360" w:lineRule="auto"/>
              <w:ind w:left="340" w:right="340"/>
              <w:jc w:val="center"/>
              <w:rPr>
                <w:rFonts w:ascii="Verdana" w:hAnsi="Verdana"/>
                <w:b/>
                <w:bCs/>
                <w:sz w:val="20"/>
                <w:szCs w:val="20"/>
              </w:rPr>
            </w:pPr>
            <w:r>
              <w:rPr>
                <w:rFonts w:ascii="Verdana" w:hAnsi="Verdana"/>
                <w:b/>
                <w:sz w:val="20"/>
                <w:szCs w:val="20"/>
              </w:rPr>
              <w:t>ЗА ОТРАЗЯВАНЕ НА ПОЛУЧЕНИТЕ ПРЕДЛОЖЕНИЯ И СТАНОВИЩА ОТ</w:t>
            </w:r>
            <w:r w:rsidR="00815723" w:rsidRPr="00815723">
              <w:rPr>
                <w:rFonts w:ascii="Verdana" w:hAnsi="Verdana"/>
                <w:b/>
                <w:sz w:val="20"/>
                <w:szCs w:val="20"/>
                <w:lang w:val="ru-RU"/>
              </w:rPr>
              <w:t xml:space="preserve"> </w:t>
            </w:r>
            <w:r w:rsidR="00815723" w:rsidRPr="00815723">
              <w:rPr>
                <w:rFonts w:ascii="Verdana" w:hAnsi="Verdana"/>
                <w:b/>
                <w:sz w:val="20"/>
                <w:szCs w:val="20"/>
              </w:rPr>
              <w:t>ПРОВЕДЕНАТА ОБЩЕСТВЕНА КОНСУЛТАЦИЯ НА ПРОЕКТА НА НАРЕДБА ЗА ИЗМЕНЕНИЕ И ДОПЪЛНЕНИЕ НА НАРЕДБА № 6 ОТ 2015 Г. ЗА ПРИЛАГАНЕ НА МЯРКА 13 „ПЛАЩАНИЯ ЗА Р</w:t>
            </w:r>
            <w:r w:rsidR="00815723" w:rsidRPr="00815723">
              <w:rPr>
                <w:rFonts w:ascii="Verdana" w:hAnsi="Verdana"/>
                <w:b/>
                <w:sz w:val="20"/>
                <w:szCs w:val="20"/>
              </w:rPr>
              <w:t>А</w:t>
            </w:r>
            <w:r w:rsidR="00815723" w:rsidRPr="00815723">
              <w:rPr>
                <w:rFonts w:ascii="Verdana" w:hAnsi="Verdana"/>
                <w:b/>
                <w:sz w:val="20"/>
                <w:szCs w:val="20"/>
              </w:rPr>
              <w:t>ЙОНИ С ПРИРОДНИ ИЛИ ДРУГИ СПЕЦИФИЧНИ ОГРАНИЧЕНИЯ“ ОТ ПРОГРАМАТА ЗА РАЗВИТИЕ НА СЕЛСКИТЕ РАЙОНИ ЗА П</w:t>
            </w:r>
            <w:r w:rsidR="00815723" w:rsidRPr="00815723">
              <w:rPr>
                <w:rFonts w:ascii="Verdana" w:hAnsi="Verdana"/>
                <w:b/>
                <w:sz w:val="20"/>
                <w:szCs w:val="20"/>
              </w:rPr>
              <w:t>Е</w:t>
            </w:r>
            <w:r w:rsidR="00815723" w:rsidRPr="00815723">
              <w:rPr>
                <w:rFonts w:ascii="Verdana" w:hAnsi="Verdana"/>
                <w:b/>
                <w:sz w:val="20"/>
                <w:szCs w:val="20"/>
              </w:rPr>
              <w:t>РИОДА 2014 – 2020 Г.</w:t>
            </w:r>
          </w:p>
        </w:tc>
      </w:tr>
    </w:tbl>
    <w:p w:rsidR="00801C67" w:rsidRPr="00710725" w:rsidRDefault="00801C67">
      <w:pPr>
        <w:rPr>
          <w:sz w:val="4"/>
          <w:szCs w:val="4"/>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455"/>
        <w:gridCol w:w="2577"/>
        <w:gridCol w:w="6520"/>
        <w:gridCol w:w="1676"/>
        <w:gridCol w:w="4422"/>
      </w:tblGrid>
      <w:tr w:rsidR="00E220AD" w:rsidRPr="00710725" w:rsidTr="008C7156">
        <w:trPr>
          <w:tblHeader/>
          <w:jc w:val="center"/>
        </w:trPr>
        <w:tc>
          <w:tcPr>
            <w:tcW w:w="455" w:type="dxa"/>
            <w:tcBorders>
              <w:bottom w:val="single" w:sz="36" w:space="0" w:color="2E74B5"/>
            </w:tcBorders>
            <w:shd w:val="clear" w:color="auto" w:fill="DEEAF6"/>
            <w:vAlign w:val="center"/>
          </w:tcPr>
          <w:p w:rsidR="00E220AD" w:rsidRPr="00710725" w:rsidRDefault="00E220AD" w:rsidP="00E220AD">
            <w:pPr>
              <w:tabs>
                <w:tab w:val="left" w:pos="192"/>
              </w:tabs>
              <w:jc w:val="center"/>
              <w:rPr>
                <w:rFonts w:ascii="Verdana" w:hAnsi="Verdana"/>
                <w:b/>
                <w:sz w:val="20"/>
                <w:szCs w:val="20"/>
              </w:rPr>
            </w:pPr>
            <w:r w:rsidRPr="00710725">
              <w:rPr>
                <w:rFonts w:ascii="Verdana" w:hAnsi="Verdana"/>
                <w:b/>
                <w:sz w:val="20"/>
                <w:szCs w:val="20"/>
              </w:rPr>
              <w:t>№</w:t>
            </w:r>
          </w:p>
        </w:tc>
        <w:tc>
          <w:tcPr>
            <w:tcW w:w="2577" w:type="dxa"/>
            <w:tcBorders>
              <w:bottom w:val="single" w:sz="36" w:space="0" w:color="2E74B5"/>
            </w:tcBorders>
            <w:shd w:val="clear" w:color="auto" w:fill="DEEAF6"/>
            <w:vAlign w:val="center"/>
          </w:tcPr>
          <w:p w:rsidR="00E220AD" w:rsidRPr="00710725" w:rsidRDefault="00E220AD" w:rsidP="00404BCC">
            <w:pPr>
              <w:spacing w:before="80"/>
              <w:jc w:val="center"/>
              <w:rPr>
                <w:rFonts w:ascii="Verdana" w:hAnsi="Verdana"/>
                <w:b/>
                <w:sz w:val="20"/>
                <w:szCs w:val="20"/>
              </w:rPr>
            </w:pPr>
            <w:r w:rsidRPr="00710725">
              <w:rPr>
                <w:rFonts w:ascii="Verdana" w:hAnsi="Verdana"/>
                <w:b/>
                <w:sz w:val="20"/>
                <w:szCs w:val="20"/>
              </w:rPr>
              <w:t>Организация/</w:t>
            </w:r>
            <w:r w:rsidR="00404BCC">
              <w:rPr>
                <w:rFonts w:ascii="Verdana" w:hAnsi="Verdana"/>
                <w:b/>
                <w:sz w:val="20"/>
                <w:szCs w:val="20"/>
              </w:rPr>
              <w:t xml:space="preserve"> </w:t>
            </w:r>
            <w:r w:rsidR="00404BCC">
              <w:rPr>
                <w:rFonts w:ascii="Verdana" w:hAnsi="Verdana"/>
                <w:b/>
                <w:sz w:val="20"/>
                <w:szCs w:val="20"/>
              </w:rPr>
              <w:br/>
            </w:r>
            <w:r w:rsidRPr="00710725">
              <w:rPr>
                <w:rFonts w:ascii="Verdana" w:hAnsi="Verdana"/>
                <w:b/>
                <w:sz w:val="20"/>
                <w:szCs w:val="20"/>
              </w:rPr>
              <w:t>потребител</w:t>
            </w:r>
          </w:p>
          <w:p w:rsidR="005424B9" w:rsidRPr="00404BCC" w:rsidRDefault="007613B0" w:rsidP="00404BCC">
            <w:pPr>
              <w:spacing w:after="80"/>
              <w:jc w:val="center"/>
              <w:rPr>
                <w:rFonts w:ascii="Verdana" w:hAnsi="Verdana"/>
                <w:b/>
                <w:sz w:val="12"/>
                <w:szCs w:val="12"/>
              </w:rPr>
            </w:pPr>
            <w:r w:rsidRPr="00404BCC">
              <w:rPr>
                <w:rFonts w:ascii="Verdana" w:hAnsi="Verdana"/>
                <w:b/>
                <w:sz w:val="12"/>
                <w:szCs w:val="12"/>
              </w:rPr>
              <w:t>(</w:t>
            </w:r>
            <w:r w:rsidR="005424B9" w:rsidRPr="00404BCC">
              <w:rPr>
                <w:rFonts w:ascii="Verdana" w:hAnsi="Verdana"/>
                <w:b/>
                <w:sz w:val="12"/>
                <w:szCs w:val="12"/>
              </w:rPr>
              <w:t>вкл. начина на получаване на предложението</w:t>
            </w:r>
            <w:r w:rsidRPr="00404BCC">
              <w:rPr>
                <w:rFonts w:ascii="Verdana" w:hAnsi="Verdana"/>
                <w:b/>
                <w:sz w:val="12"/>
                <w:szCs w:val="12"/>
              </w:rPr>
              <w:t>)</w:t>
            </w:r>
          </w:p>
        </w:tc>
        <w:tc>
          <w:tcPr>
            <w:tcW w:w="6520" w:type="dxa"/>
            <w:tcBorders>
              <w:bottom w:val="single" w:sz="36" w:space="0" w:color="2E74B5"/>
            </w:tcBorders>
            <w:shd w:val="clear" w:color="auto" w:fill="DEEAF6"/>
            <w:vAlign w:val="center"/>
          </w:tcPr>
          <w:p w:rsidR="00E220AD" w:rsidRPr="00710725" w:rsidRDefault="00E220AD" w:rsidP="00E220AD">
            <w:pPr>
              <w:jc w:val="center"/>
              <w:rPr>
                <w:rFonts w:ascii="Verdana" w:hAnsi="Verdana"/>
                <w:b/>
                <w:sz w:val="20"/>
                <w:szCs w:val="20"/>
              </w:rPr>
            </w:pPr>
            <w:r w:rsidRPr="00710725">
              <w:rPr>
                <w:rFonts w:ascii="Verdana" w:hAnsi="Verdana"/>
                <w:b/>
                <w:sz w:val="20"/>
                <w:szCs w:val="20"/>
              </w:rPr>
              <w:t>Бележки и предложения</w:t>
            </w:r>
          </w:p>
        </w:tc>
        <w:tc>
          <w:tcPr>
            <w:tcW w:w="1676" w:type="dxa"/>
            <w:tcBorders>
              <w:bottom w:val="single" w:sz="36" w:space="0" w:color="2E74B5"/>
            </w:tcBorders>
            <w:shd w:val="clear" w:color="auto" w:fill="DEEAF6"/>
            <w:vAlign w:val="center"/>
          </w:tcPr>
          <w:p w:rsidR="00E220AD" w:rsidRPr="00710725" w:rsidRDefault="00E220AD" w:rsidP="00E220AD">
            <w:pPr>
              <w:jc w:val="center"/>
              <w:rPr>
                <w:rFonts w:ascii="Verdana" w:hAnsi="Verdana"/>
                <w:b/>
                <w:sz w:val="20"/>
                <w:szCs w:val="20"/>
              </w:rPr>
            </w:pPr>
            <w:r w:rsidRPr="00710725">
              <w:rPr>
                <w:rFonts w:ascii="Verdana" w:hAnsi="Verdana"/>
                <w:b/>
                <w:sz w:val="20"/>
                <w:szCs w:val="20"/>
              </w:rPr>
              <w:t>Приети/</w:t>
            </w:r>
          </w:p>
          <w:p w:rsidR="00E220AD" w:rsidRPr="00710725" w:rsidRDefault="00E220AD" w:rsidP="00E220AD">
            <w:pPr>
              <w:jc w:val="center"/>
              <w:rPr>
                <w:rFonts w:ascii="Verdana" w:hAnsi="Verdana"/>
                <w:b/>
                <w:sz w:val="20"/>
                <w:szCs w:val="20"/>
              </w:rPr>
            </w:pPr>
            <w:r w:rsidRPr="00710725">
              <w:rPr>
                <w:rFonts w:ascii="Verdana" w:hAnsi="Verdana"/>
                <w:b/>
                <w:sz w:val="20"/>
                <w:szCs w:val="20"/>
              </w:rPr>
              <w:t>неприети</w:t>
            </w:r>
          </w:p>
        </w:tc>
        <w:tc>
          <w:tcPr>
            <w:tcW w:w="4422" w:type="dxa"/>
            <w:tcBorders>
              <w:bottom w:val="single" w:sz="36" w:space="0" w:color="2E74B5"/>
            </w:tcBorders>
            <w:shd w:val="clear" w:color="auto" w:fill="DEEAF6"/>
            <w:vAlign w:val="center"/>
          </w:tcPr>
          <w:p w:rsidR="00E220AD" w:rsidRPr="00710725" w:rsidRDefault="00E220AD" w:rsidP="00E220AD">
            <w:pPr>
              <w:jc w:val="center"/>
              <w:rPr>
                <w:rFonts w:ascii="Verdana" w:hAnsi="Verdana"/>
                <w:sz w:val="20"/>
                <w:szCs w:val="20"/>
              </w:rPr>
            </w:pPr>
            <w:r w:rsidRPr="00710725">
              <w:rPr>
                <w:rFonts w:ascii="Verdana" w:hAnsi="Verdana"/>
                <w:b/>
                <w:sz w:val="20"/>
                <w:szCs w:val="20"/>
              </w:rPr>
              <w:t>Мотиви</w:t>
            </w:r>
          </w:p>
        </w:tc>
      </w:tr>
      <w:tr w:rsidR="00E97FA9" w:rsidRPr="00710725" w:rsidTr="00404BCC">
        <w:trPr>
          <w:trHeight w:val="596"/>
          <w:jc w:val="center"/>
        </w:trPr>
        <w:tc>
          <w:tcPr>
            <w:tcW w:w="455" w:type="dxa"/>
            <w:tcBorders>
              <w:bottom w:val="nil"/>
            </w:tcBorders>
            <w:shd w:val="clear" w:color="auto" w:fill="auto"/>
          </w:tcPr>
          <w:p w:rsidR="00E97FA9" w:rsidRPr="00710725" w:rsidRDefault="00E97FA9" w:rsidP="00B01B31">
            <w:pPr>
              <w:tabs>
                <w:tab w:val="left" w:pos="192"/>
              </w:tabs>
              <w:ind w:left="284"/>
              <w:rPr>
                <w:rFonts w:ascii="Verdana" w:hAnsi="Verdana"/>
                <w:b/>
                <w:sz w:val="20"/>
                <w:szCs w:val="20"/>
              </w:rPr>
            </w:pPr>
          </w:p>
        </w:tc>
        <w:tc>
          <w:tcPr>
            <w:tcW w:w="2577" w:type="dxa"/>
            <w:tcBorders>
              <w:bottom w:val="nil"/>
            </w:tcBorders>
            <w:shd w:val="clear" w:color="auto" w:fill="auto"/>
          </w:tcPr>
          <w:p w:rsidR="00E97FA9" w:rsidRPr="00B01B31" w:rsidRDefault="00E97FA9" w:rsidP="00B01B31">
            <w:pPr>
              <w:spacing w:before="40" w:after="20"/>
              <w:rPr>
                <w:rFonts w:ascii="Verdana" w:hAnsi="Verdana"/>
                <w:sz w:val="20"/>
                <w:szCs w:val="20"/>
              </w:rPr>
            </w:pPr>
            <w:r w:rsidRPr="00B01B31">
              <w:rPr>
                <w:rFonts w:ascii="Verdana" w:hAnsi="Verdana"/>
                <w:sz w:val="20"/>
                <w:szCs w:val="20"/>
              </w:rPr>
              <w:t>krismari2008</w:t>
            </w:r>
          </w:p>
          <w:p w:rsidR="00E97FA9" w:rsidRPr="00710725" w:rsidRDefault="00E97FA9" w:rsidP="00B01B31">
            <w:pPr>
              <w:spacing w:before="40" w:after="20"/>
              <w:rPr>
                <w:rFonts w:ascii="Verdana" w:hAnsi="Verdana"/>
                <w:sz w:val="20"/>
                <w:szCs w:val="20"/>
              </w:rPr>
            </w:pPr>
            <w:r w:rsidRPr="00277990">
              <w:rPr>
                <w:rFonts w:ascii="Verdana" w:hAnsi="Verdana"/>
                <w:sz w:val="20"/>
                <w:szCs w:val="20"/>
              </w:rPr>
              <w:t xml:space="preserve">Становище от </w:t>
            </w:r>
            <w:proofErr w:type="spellStart"/>
            <w:r w:rsidRPr="00277990">
              <w:rPr>
                <w:rFonts w:ascii="Verdana" w:hAnsi="Verdana"/>
                <w:sz w:val="20"/>
                <w:szCs w:val="20"/>
              </w:rPr>
              <w:t>земeделски</w:t>
            </w:r>
            <w:proofErr w:type="spellEnd"/>
            <w:r w:rsidRPr="00277990">
              <w:rPr>
                <w:rFonts w:ascii="Verdana" w:hAnsi="Verdana"/>
                <w:sz w:val="20"/>
                <w:szCs w:val="20"/>
              </w:rPr>
              <w:t xml:space="preserve"> произв</w:t>
            </w:r>
            <w:r w:rsidRPr="00277990">
              <w:rPr>
                <w:rFonts w:ascii="Verdana" w:hAnsi="Verdana"/>
                <w:sz w:val="20"/>
                <w:szCs w:val="20"/>
              </w:rPr>
              <w:t>о</w:t>
            </w:r>
            <w:r w:rsidRPr="00277990">
              <w:rPr>
                <w:rFonts w:ascii="Verdana" w:hAnsi="Verdana"/>
                <w:sz w:val="20"/>
                <w:szCs w:val="20"/>
              </w:rPr>
              <w:t>дители в с</w:t>
            </w:r>
            <w:r w:rsidRPr="00B01B31">
              <w:rPr>
                <w:rFonts w:ascii="Verdana" w:hAnsi="Verdana"/>
                <w:sz w:val="20"/>
                <w:szCs w:val="20"/>
              </w:rPr>
              <w:t>. Веселие,</w:t>
            </w:r>
            <w:r>
              <w:rPr>
                <w:rFonts w:ascii="Verdana" w:hAnsi="Verdana"/>
                <w:sz w:val="20"/>
                <w:szCs w:val="20"/>
              </w:rPr>
              <w:t xml:space="preserve"> </w:t>
            </w:r>
            <w:r w:rsidRPr="00B01B31">
              <w:rPr>
                <w:rFonts w:ascii="Verdana" w:hAnsi="Verdana"/>
                <w:sz w:val="20"/>
                <w:szCs w:val="20"/>
              </w:rPr>
              <w:t>Ново Паничарево,</w:t>
            </w:r>
            <w:r>
              <w:rPr>
                <w:rFonts w:ascii="Verdana" w:hAnsi="Verdana"/>
                <w:sz w:val="20"/>
                <w:szCs w:val="20"/>
              </w:rPr>
              <w:t xml:space="preserve"> </w:t>
            </w:r>
            <w:r w:rsidRPr="00B01B31">
              <w:rPr>
                <w:rFonts w:ascii="Verdana" w:hAnsi="Verdana"/>
                <w:sz w:val="20"/>
                <w:szCs w:val="20"/>
              </w:rPr>
              <w:t>Индже Войвода,</w:t>
            </w:r>
            <w:r>
              <w:rPr>
                <w:rFonts w:ascii="Verdana" w:hAnsi="Verdana"/>
                <w:sz w:val="20"/>
                <w:szCs w:val="20"/>
              </w:rPr>
              <w:t xml:space="preserve"> </w:t>
            </w:r>
            <w:r w:rsidRPr="00B01B31">
              <w:rPr>
                <w:rFonts w:ascii="Verdana" w:hAnsi="Verdana"/>
                <w:sz w:val="20"/>
                <w:szCs w:val="20"/>
              </w:rPr>
              <w:t>Кр</w:t>
            </w:r>
            <w:r w:rsidRPr="00B01B31">
              <w:rPr>
                <w:rFonts w:ascii="Verdana" w:hAnsi="Verdana"/>
                <w:sz w:val="20"/>
                <w:szCs w:val="20"/>
              </w:rPr>
              <w:t>у</w:t>
            </w:r>
            <w:r w:rsidRPr="00B01B31">
              <w:rPr>
                <w:rFonts w:ascii="Verdana" w:hAnsi="Verdana"/>
                <w:sz w:val="20"/>
                <w:szCs w:val="20"/>
              </w:rPr>
              <w:t>шевец и Р.</w:t>
            </w:r>
            <w:r w:rsidRPr="00277990">
              <w:rPr>
                <w:rFonts w:ascii="Verdana" w:hAnsi="Verdana"/>
                <w:sz w:val="20"/>
                <w:szCs w:val="20"/>
                <w:lang w:val="ru-RU"/>
              </w:rPr>
              <w:t xml:space="preserve"> </w:t>
            </w:r>
            <w:r w:rsidRPr="00B01B31">
              <w:rPr>
                <w:rFonts w:ascii="Verdana" w:hAnsi="Verdana"/>
                <w:sz w:val="20"/>
                <w:szCs w:val="20"/>
              </w:rPr>
              <w:t>гора, о</w:t>
            </w:r>
            <w:r w:rsidRPr="00B01B31">
              <w:rPr>
                <w:rFonts w:ascii="Verdana" w:hAnsi="Verdana"/>
                <w:sz w:val="20"/>
                <w:szCs w:val="20"/>
              </w:rPr>
              <w:t>б</w:t>
            </w:r>
            <w:r w:rsidRPr="00B01B31">
              <w:rPr>
                <w:rFonts w:ascii="Verdana" w:hAnsi="Verdana"/>
                <w:sz w:val="20"/>
                <w:szCs w:val="20"/>
              </w:rPr>
              <w:t>ласт Бургас</w:t>
            </w:r>
          </w:p>
          <w:p w:rsidR="00E97FA9" w:rsidRPr="00710725" w:rsidRDefault="00E97FA9" w:rsidP="001268EF">
            <w:pPr>
              <w:spacing w:before="40" w:after="20"/>
              <w:rPr>
                <w:rFonts w:ascii="Verdana" w:hAnsi="Verdana"/>
                <w:b/>
                <w:sz w:val="20"/>
                <w:szCs w:val="20"/>
              </w:rPr>
            </w:pPr>
            <w:r w:rsidRPr="00710725">
              <w:rPr>
                <w:rFonts w:ascii="Verdana" w:hAnsi="Verdana"/>
                <w:sz w:val="20"/>
                <w:szCs w:val="20"/>
              </w:rPr>
              <w:t>(от Портала за обще</w:t>
            </w:r>
            <w:r w:rsidRPr="00710725">
              <w:rPr>
                <w:rFonts w:ascii="Verdana" w:hAnsi="Verdana"/>
                <w:sz w:val="20"/>
                <w:szCs w:val="20"/>
              </w:rPr>
              <w:t>с</w:t>
            </w:r>
            <w:r w:rsidRPr="00710725">
              <w:rPr>
                <w:rFonts w:ascii="Verdana" w:hAnsi="Verdana"/>
                <w:sz w:val="20"/>
                <w:szCs w:val="20"/>
              </w:rPr>
              <w:t xml:space="preserve">твени консултации)                                </w:t>
            </w:r>
          </w:p>
        </w:tc>
        <w:tc>
          <w:tcPr>
            <w:tcW w:w="6520" w:type="dxa"/>
            <w:tcBorders>
              <w:bottom w:val="nil"/>
            </w:tcBorders>
            <w:shd w:val="clear" w:color="auto" w:fill="auto"/>
          </w:tcPr>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С предложените изменения в гореописаната Наредба се изключват райони, които до момента са били включени като райони с ограничения, при това, при същите критерии, ко</w:t>
            </w:r>
            <w:r w:rsidRPr="00B01B31">
              <w:rPr>
                <w:rFonts w:ascii="Verdana" w:hAnsi="Verdana"/>
                <w:spacing w:val="-2"/>
                <w:sz w:val="20"/>
                <w:szCs w:val="20"/>
              </w:rPr>
              <w:t>и</w:t>
            </w:r>
            <w:r w:rsidRPr="00B01B31">
              <w:rPr>
                <w:rFonts w:ascii="Verdana" w:hAnsi="Verdana"/>
                <w:spacing w:val="-2"/>
                <w:sz w:val="20"/>
                <w:szCs w:val="20"/>
              </w:rPr>
              <w:t>то са приложени и в новото райониране.</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В публикувания доклад за заместник-министъра на земед</w:t>
            </w:r>
            <w:r w:rsidRPr="00B01B31">
              <w:rPr>
                <w:rFonts w:ascii="Verdana" w:hAnsi="Verdana"/>
                <w:spacing w:val="-2"/>
                <w:sz w:val="20"/>
                <w:szCs w:val="20"/>
              </w:rPr>
              <w:t>е</w:t>
            </w:r>
            <w:r w:rsidRPr="00B01B31">
              <w:rPr>
                <w:rFonts w:ascii="Verdana" w:hAnsi="Verdana"/>
                <w:spacing w:val="-2"/>
                <w:sz w:val="20"/>
                <w:szCs w:val="20"/>
              </w:rPr>
              <w:t>лието и храните д-р Лозана Василева няма нито един пос</w:t>
            </w:r>
            <w:r w:rsidRPr="00B01B31">
              <w:rPr>
                <w:rFonts w:ascii="Verdana" w:hAnsi="Verdana"/>
                <w:spacing w:val="-2"/>
                <w:sz w:val="20"/>
                <w:szCs w:val="20"/>
              </w:rPr>
              <w:t>о</w:t>
            </w:r>
            <w:r w:rsidRPr="00B01B31">
              <w:rPr>
                <w:rFonts w:ascii="Verdana" w:hAnsi="Verdana"/>
                <w:spacing w:val="-2"/>
                <w:sz w:val="20"/>
                <w:szCs w:val="20"/>
              </w:rPr>
              <w:t>чен аргумент, който да обоснове изключването на посоч</w:t>
            </w:r>
            <w:r w:rsidRPr="00B01B31">
              <w:rPr>
                <w:rFonts w:ascii="Verdana" w:hAnsi="Verdana"/>
                <w:spacing w:val="-2"/>
                <w:sz w:val="20"/>
                <w:szCs w:val="20"/>
              </w:rPr>
              <w:t>е</w:t>
            </w:r>
            <w:r w:rsidRPr="00B01B31">
              <w:rPr>
                <w:rFonts w:ascii="Verdana" w:hAnsi="Verdana"/>
                <w:spacing w:val="-2"/>
                <w:sz w:val="20"/>
                <w:szCs w:val="20"/>
              </w:rPr>
              <w:t>ните в Приложението към чл. 3, ал. 3 от проекта на посоч</w:t>
            </w:r>
            <w:r w:rsidRPr="00B01B31">
              <w:rPr>
                <w:rFonts w:ascii="Verdana" w:hAnsi="Verdana"/>
                <w:spacing w:val="-2"/>
                <w:sz w:val="20"/>
                <w:szCs w:val="20"/>
              </w:rPr>
              <w:t>е</w:t>
            </w:r>
            <w:r w:rsidRPr="00B01B31">
              <w:rPr>
                <w:rFonts w:ascii="Verdana" w:hAnsi="Verdana"/>
                <w:spacing w:val="-2"/>
                <w:sz w:val="20"/>
                <w:szCs w:val="20"/>
              </w:rPr>
              <w:t>ната наредба.</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Основната причина за изменение и допълнение на Наредба № 6 от 2015 г. за прилагане на мярка 13 „Плащания за р</w:t>
            </w:r>
            <w:r w:rsidRPr="00B01B31">
              <w:rPr>
                <w:rFonts w:ascii="Verdana" w:hAnsi="Verdana"/>
                <w:spacing w:val="-2"/>
                <w:sz w:val="20"/>
                <w:szCs w:val="20"/>
              </w:rPr>
              <w:t>а</w:t>
            </w:r>
            <w:r w:rsidRPr="00B01B31">
              <w:rPr>
                <w:rFonts w:ascii="Verdana" w:hAnsi="Verdana"/>
                <w:spacing w:val="-2"/>
                <w:sz w:val="20"/>
                <w:szCs w:val="20"/>
              </w:rPr>
              <w:t>йони с природни или други специфични ограничения“ от Програмата за развитие на селските райони за периода 2014-2020 г. са  обосновани с разпоредбите на Регламент (ЕС) № 1305/2013 на Европейски парламент и на Съвета от 17 декември 2013 година относно подпомагането на разв</w:t>
            </w:r>
            <w:r w:rsidRPr="00B01B31">
              <w:rPr>
                <w:rFonts w:ascii="Verdana" w:hAnsi="Verdana"/>
                <w:spacing w:val="-2"/>
                <w:sz w:val="20"/>
                <w:szCs w:val="20"/>
              </w:rPr>
              <w:t>и</w:t>
            </w:r>
            <w:r w:rsidRPr="00B01B31">
              <w:rPr>
                <w:rFonts w:ascii="Verdana" w:hAnsi="Verdana"/>
                <w:spacing w:val="-2"/>
                <w:sz w:val="20"/>
                <w:szCs w:val="20"/>
              </w:rPr>
              <w:t>тието на селските райони от Европейски земеделски фонд за развитие на селските райони (ЕЗФРСР) и за отмяна на Регламент (ЕО) № 1698/2005 на Съвета.</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В разпоредбата на чл. 32 от Регламента  ясно и категорично са определени критериите.</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lastRenderedPageBreak/>
              <w:t>Основният текст от посочената разпоредба, който предп</w:t>
            </w:r>
            <w:r w:rsidRPr="00B01B31">
              <w:rPr>
                <w:rFonts w:ascii="Verdana" w:hAnsi="Verdana"/>
                <w:spacing w:val="-2"/>
                <w:sz w:val="20"/>
                <w:szCs w:val="20"/>
              </w:rPr>
              <w:t>о</w:t>
            </w:r>
            <w:r w:rsidRPr="00B01B31">
              <w:rPr>
                <w:rFonts w:ascii="Verdana" w:hAnsi="Verdana"/>
                <w:spacing w:val="-2"/>
                <w:sz w:val="20"/>
                <w:szCs w:val="20"/>
              </w:rPr>
              <w:t xml:space="preserve">лага наличието на ново райониране е следният: </w:t>
            </w:r>
            <w:r w:rsidRPr="00B01B31">
              <w:rPr>
                <w:rFonts w:ascii="Verdana" w:hAnsi="Verdana"/>
                <w:i/>
                <w:iCs/>
                <w:spacing w:val="-2"/>
                <w:sz w:val="20"/>
                <w:szCs w:val="20"/>
              </w:rPr>
              <w:t>„При опр</w:t>
            </w:r>
            <w:r w:rsidRPr="00B01B31">
              <w:rPr>
                <w:rFonts w:ascii="Verdana" w:hAnsi="Verdana"/>
                <w:i/>
                <w:iCs/>
                <w:spacing w:val="-2"/>
                <w:sz w:val="20"/>
                <w:szCs w:val="20"/>
              </w:rPr>
              <w:t>е</w:t>
            </w:r>
            <w:r w:rsidRPr="00B01B31">
              <w:rPr>
                <w:rFonts w:ascii="Verdana" w:hAnsi="Verdana"/>
                <w:i/>
                <w:iCs/>
                <w:spacing w:val="-2"/>
                <w:sz w:val="20"/>
                <w:szCs w:val="20"/>
              </w:rPr>
              <w:t>делянето на районите, за които се отнася настоящият п</w:t>
            </w:r>
            <w:r w:rsidRPr="00B01B31">
              <w:rPr>
                <w:rFonts w:ascii="Verdana" w:hAnsi="Verdana"/>
                <w:i/>
                <w:iCs/>
                <w:spacing w:val="-2"/>
                <w:sz w:val="20"/>
                <w:szCs w:val="20"/>
              </w:rPr>
              <w:t>а</w:t>
            </w:r>
            <w:r w:rsidRPr="00B01B31">
              <w:rPr>
                <w:rFonts w:ascii="Verdana" w:hAnsi="Verdana"/>
                <w:i/>
                <w:iCs/>
                <w:spacing w:val="-2"/>
                <w:sz w:val="20"/>
                <w:szCs w:val="20"/>
              </w:rPr>
              <w:t>раграф, държавите членки извършват прецизиране въз о</w:t>
            </w:r>
            <w:r w:rsidRPr="00B01B31">
              <w:rPr>
                <w:rFonts w:ascii="Verdana" w:hAnsi="Verdana"/>
                <w:i/>
                <w:iCs/>
                <w:spacing w:val="-2"/>
                <w:sz w:val="20"/>
                <w:szCs w:val="20"/>
              </w:rPr>
              <w:t>с</w:t>
            </w:r>
            <w:r w:rsidRPr="00B01B31">
              <w:rPr>
                <w:rFonts w:ascii="Verdana" w:hAnsi="Verdana"/>
                <w:i/>
                <w:iCs/>
                <w:spacing w:val="-2"/>
                <w:sz w:val="20"/>
                <w:szCs w:val="20"/>
              </w:rPr>
              <w:t>нова на обективни критерии с цел изключване на райони, в които са отчетени съществени природни ограничения, пос</w:t>
            </w:r>
            <w:r w:rsidRPr="00B01B31">
              <w:rPr>
                <w:rFonts w:ascii="Verdana" w:hAnsi="Verdana"/>
                <w:i/>
                <w:iCs/>
                <w:spacing w:val="-2"/>
                <w:sz w:val="20"/>
                <w:szCs w:val="20"/>
              </w:rPr>
              <w:t>о</w:t>
            </w:r>
            <w:r w:rsidRPr="00B01B31">
              <w:rPr>
                <w:rFonts w:ascii="Verdana" w:hAnsi="Verdana"/>
                <w:i/>
                <w:iCs/>
                <w:spacing w:val="-2"/>
                <w:sz w:val="20"/>
                <w:szCs w:val="20"/>
              </w:rPr>
              <w:t>чени в първа алинея, но те са преодолени чрез инвестиции, чрез стопанска дейност, или чрез доказателства за норма</w:t>
            </w:r>
            <w:r w:rsidRPr="00B01B31">
              <w:rPr>
                <w:rFonts w:ascii="Verdana" w:hAnsi="Verdana"/>
                <w:i/>
                <w:iCs/>
                <w:spacing w:val="-2"/>
                <w:sz w:val="20"/>
                <w:szCs w:val="20"/>
              </w:rPr>
              <w:t>л</w:t>
            </w:r>
            <w:r w:rsidRPr="00B01B31">
              <w:rPr>
                <w:rFonts w:ascii="Verdana" w:hAnsi="Verdana"/>
                <w:i/>
                <w:iCs/>
                <w:spacing w:val="-2"/>
                <w:sz w:val="20"/>
                <w:szCs w:val="20"/>
              </w:rPr>
              <w:t>на производителност на земята, или в които производств</w:t>
            </w:r>
            <w:r w:rsidRPr="00B01B31">
              <w:rPr>
                <w:rFonts w:ascii="Verdana" w:hAnsi="Verdana"/>
                <w:i/>
                <w:iCs/>
                <w:spacing w:val="-2"/>
                <w:sz w:val="20"/>
                <w:szCs w:val="20"/>
              </w:rPr>
              <w:t>е</w:t>
            </w:r>
            <w:r w:rsidRPr="00B01B31">
              <w:rPr>
                <w:rFonts w:ascii="Verdana" w:hAnsi="Verdana"/>
                <w:i/>
                <w:iCs/>
                <w:spacing w:val="-2"/>
                <w:sz w:val="20"/>
                <w:szCs w:val="20"/>
              </w:rPr>
              <w:t>ните методи или селскостопанските системи са компенсир</w:t>
            </w:r>
            <w:r w:rsidRPr="00B01B31">
              <w:rPr>
                <w:rFonts w:ascii="Verdana" w:hAnsi="Verdana"/>
                <w:i/>
                <w:iCs/>
                <w:spacing w:val="-2"/>
                <w:sz w:val="20"/>
                <w:szCs w:val="20"/>
              </w:rPr>
              <w:t>а</w:t>
            </w:r>
            <w:r w:rsidRPr="00B01B31">
              <w:rPr>
                <w:rFonts w:ascii="Verdana" w:hAnsi="Verdana"/>
                <w:i/>
                <w:iCs/>
                <w:spacing w:val="-2"/>
                <w:sz w:val="20"/>
                <w:szCs w:val="20"/>
              </w:rPr>
              <w:t>ли загубата на доходи или добавените разходи, посочени в член 31, параграф 1.“</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От посоченото следва, че за да бъдат изключени определ</w:t>
            </w:r>
            <w:r w:rsidRPr="00B01B31">
              <w:rPr>
                <w:rFonts w:ascii="Verdana" w:hAnsi="Verdana"/>
                <w:spacing w:val="-2"/>
                <w:sz w:val="20"/>
                <w:szCs w:val="20"/>
              </w:rPr>
              <w:t>е</w:t>
            </w:r>
            <w:r w:rsidRPr="00B01B31">
              <w:rPr>
                <w:rFonts w:ascii="Verdana" w:hAnsi="Verdana"/>
                <w:spacing w:val="-2"/>
                <w:sz w:val="20"/>
                <w:szCs w:val="20"/>
              </w:rPr>
              <w:t>ни райони, в тях трябва да бъдат отчетени съществени и</w:t>
            </w:r>
            <w:r w:rsidRPr="00B01B31">
              <w:rPr>
                <w:rFonts w:ascii="Verdana" w:hAnsi="Verdana"/>
                <w:spacing w:val="-2"/>
                <w:sz w:val="20"/>
                <w:szCs w:val="20"/>
              </w:rPr>
              <w:t>н</w:t>
            </w:r>
            <w:r w:rsidRPr="00B01B31">
              <w:rPr>
                <w:rFonts w:ascii="Verdana" w:hAnsi="Verdana"/>
                <w:spacing w:val="-2"/>
                <w:sz w:val="20"/>
                <w:szCs w:val="20"/>
              </w:rPr>
              <w:t>вестиции, чрез стопанска дейност, или чрез доказателства за нормална производителност на земята.</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Докладът не почива на нито едно обективно доказателство, което да удостоверява наличието на посочените в разп</w:t>
            </w:r>
            <w:r w:rsidRPr="00B01B31">
              <w:rPr>
                <w:rFonts w:ascii="Verdana" w:hAnsi="Verdana"/>
                <w:spacing w:val="-2"/>
                <w:sz w:val="20"/>
                <w:szCs w:val="20"/>
              </w:rPr>
              <w:t>о</w:t>
            </w:r>
            <w:r w:rsidRPr="00B01B31">
              <w:rPr>
                <w:rFonts w:ascii="Verdana" w:hAnsi="Verdana"/>
                <w:spacing w:val="-2"/>
                <w:sz w:val="20"/>
                <w:szCs w:val="20"/>
              </w:rPr>
              <w:t>редбата критерии.</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В мотивите за приемането на Наредбата е посочено, че дейността по актуализиране обхвата на районите с приро</w:t>
            </w:r>
            <w:r w:rsidRPr="00B01B31">
              <w:rPr>
                <w:rFonts w:ascii="Verdana" w:hAnsi="Verdana"/>
                <w:spacing w:val="-2"/>
                <w:sz w:val="20"/>
                <w:szCs w:val="20"/>
              </w:rPr>
              <w:t>д</w:t>
            </w:r>
            <w:r w:rsidRPr="00B01B31">
              <w:rPr>
                <w:rFonts w:ascii="Verdana" w:hAnsi="Verdana"/>
                <w:spacing w:val="-2"/>
                <w:sz w:val="20"/>
                <w:szCs w:val="20"/>
              </w:rPr>
              <w:t>ни ограничения са извършени от компетентните научни и</w:t>
            </w:r>
            <w:r w:rsidRPr="00B01B31">
              <w:rPr>
                <w:rFonts w:ascii="Verdana" w:hAnsi="Verdana"/>
                <w:spacing w:val="-2"/>
                <w:sz w:val="20"/>
                <w:szCs w:val="20"/>
              </w:rPr>
              <w:t>н</w:t>
            </w:r>
            <w:r w:rsidRPr="00B01B31">
              <w:rPr>
                <w:rFonts w:ascii="Verdana" w:hAnsi="Verdana"/>
                <w:spacing w:val="-2"/>
                <w:sz w:val="20"/>
                <w:szCs w:val="20"/>
              </w:rPr>
              <w:t xml:space="preserve">ститути в България – Национален институт по метеорология и хидрология (НИМХ) и Институт по почвознание, </w:t>
            </w:r>
            <w:proofErr w:type="spellStart"/>
            <w:r w:rsidRPr="00B01B31">
              <w:rPr>
                <w:rFonts w:ascii="Verdana" w:hAnsi="Verdana"/>
                <w:spacing w:val="-2"/>
                <w:sz w:val="20"/>
                <w:szCs w:val="20"/>
              </w:rPr>
              <w:t>агроте</w:t>
            </w:r>
            <w:r w:rsidRPr="00B01B31">
              <w:rPr>
                <w:rFonts w:ascii="Verdana" w:hAnsi="Verdana"/>
                <w:spacing w:val="-2"/>
                <w:sz w:val="20"/>
                <w:szCs w:val="20"/>
              </w:rPr>
              <w:t>х</w:t>
            </w:r>
            <w:r w:rsidRPr="00B01B31">
              <w:rPr>
                <w:rFonts w:ascii="Verdana" w:hAnsi="Verdana"/>
                <w:spacing w:val="-2"/>
                <w:sz w:val="20"/>
                <w:szCs w:val="20"/>
              </w:rPr>
              <w:t>нологии</w:t>
            </w:r>
            <w:proofErr w:type="spellEnd"/>
            <w:r w:rsidRPr="00B01B31">
              <w:rPr>
                <w:rFonts w:ascii="Verdana" w:hAnsi="Verdana"/>
                <w:spacing w:val="-2"/>
                <w:sz w:val="20"/>
                <w:szCs w:val="20"/>
              </w:rPr>
              <w:t xml:space="preserve"> и защита на растенията „Никола </w:t>
            </w:r>
            <w:proofErr w:type="spellStart"/>
            <w:r w:rsidRPr="00B01B31">
              <w:rPr>
                <w:rFonts w:ascii="Verdana" w:hAnsi="Verdana"/>
                <w:spacing w:val="-2"/>
                <w:sz w:val="20"/>
                <w:szCs w:val="20"/>
              </w:rPr>
              <w:t>Пушкаров</w:t>
            </w:r>
            <w:proofErr w:type="spellEnd"/>
            <w:r w:rsidRPr="00B01B31">
              <w:rPr>
                <w:rFonts w:ascii="Verdana" w:hAnsi="Verdana"/>
                <w:spacing w:val="-2"/>
                <w:sz w:val="20"/>
                <w:szCs w:val="20"/>
              </w:rPr>
              <w:t>“ като са заложени три групи критерии за почви, климат и терен. П</w:t>
            </w:r>
            <w:r w:rsidRPr="00B01B31">
              <w:rPr>
                <w:rFonts w:ascii="Verdana" w:hAnsi="Verdana"/>
                <w:spacing w:val="-2"/>
                <w:sz w:val="20"/>
                <w:szCs w:val="20"/>
              </w:rPr>
              <w:t>о</w:t>
            </w:r>
            <w:r w:rsidRPr="00B01B31">
              <w:rPr>
                <w:rFonts w:ascii="Verdana" w:hAnsi="Verdana"/>
                <w:spacing w:val="-2"/>
                <w:sz w:val="20"/>
                <w:szCs w:val="20"/>
              </w:rPr>
              <w:t>сочените оценки, въз основа на който са направени извод</w:t>
            </w:r>
            <w:r w:rsidRPr="00B01B31">
              <w:rPr>
                <w:rFonts w:ascii="Verdana" w:hAnsi="Verdana"/>
                <w:spacing w:val="-2"/>
                <w:sz w:val="20"/>
                <w:szCs w:val="20"/>
              </w:rPr>
              <w:t>и</w:t>
            </w:r>
            <w:r w:rsidRPr="00B01B31">
              <w:rPr>
                <w:rFonts w:ascii="Verdana" w:hAnsi="Verdana"/>
                <w:spacing w:val="-2"/>
                <w:sz w:val="20"/>
                <w:szCs w:val="20"/>
              </w:rPr>
              <w:t>те за изключване на определени райони от обхвата на р</w:t>
            </w:r>
            <w:r w:rsidRPr="00B01B31">
              <w:rPr>
                <w:rFonts w:ascii="Verdana" w:hAnsi="Verdana"/>
                <w:spacing w:val="-2"/>
                <w:sz w:val="20"/>
                <w:szCs w:val="20"/>
              </w:rPr>
              <w:t>а</w:t>
            </w:r>
            <w:r w:rsidRPr="00B01B31">
              <w:rPr>
                <w:rFonts w:ascii="Verdana" w:hAnsi="Verdana"/>
                <w:spacing w:val="-2"/>
                <w:sz w:val="20"/>
                <w:szCs w:val="20"/>
              </w:rPr>
              <w:t>йони с ограничения, не са част от документите, публикув</w:t>
            </w:r>
            <w:r w:rsidRPr="00B01B31">
              <w:rPr>
                <w:rFonts w:ascii="Verdana" w:hAnsi="Verdana"/>
                <w:spacing w:val="-2"/>
                <w:sz w:val="20"/>
                <w:szCs w:val="20"/>
              </w:rPr>
              <w:t>а</w:t>
            </w:r>
            <w:r w:rsidRPr="00B01B31">
              <w:rPr>
                <w:rFonts w:ascii="Verdana" w:hAnsi="Verdana"/>
                <w:spacing w:val="-2"/>
                <w:sz w:val="20"/>
                <w:szCs w:val="20"/>
              </w:rPr>
              <w:t>ни заедно с проекта на Наредбата.</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 xml:space="preserve">В цитирания доклад, който по съществото си представлява слот-анализ при идентификацията на силни слаби страни не </w:t>
            </w:r>
            <w:r w:rsidRPr="00B01B31">
              <w:rPr>
                <w:rFonts w:ascii="Verdana" w:hAnsi="Verdana"/>
                <w:spacing w:val="-2"/>
                <w:sz w:val="20"/>
                <w:szCs w:val="20"/>
              </w:rPr>
              <w:lastRenderedPageBreak/>
              <w:t>са използвани никакви актуални данни. Чисто професи</w:t>
            </w:r>
            <w:r w:rsidRPr="00B01B31">
              <w:rPr>
                <w:rFonts w:ascii="Verdana" w:hAnsi="Verdana"/>
                <w:spacing w:val="-2"/>
                <w:sz w:val="20"/>
                <w:szCs w:val="20"/>
              </w:rPr>
              <w:t>о</w:t>
            </w:r>
            <w:r w:rsidRPr="00B01B31">
              <w:rPr>
                <w:rFonts w:ascii="Verdana" w:hAnsi="Verdana"/>
                <w:spacing w:val="-2"/>
                <w:sz w:val="20"/>
                <w:szCs w:val="20"/>
              </w:rPr>
              <w:t xml:space="preserve">налната преценка  на Института по почвознание, </w:t>
            </w:r>
            <w:proofErr w:type="spellStart"/>
            <w:r w:rsidRPr="00B01B31">
              <w:rPr>
                <w:rFonts w:ascii="Verdana" w:hAnsi="Verdana"/>
                <w:spacing w:val="-2"/>
                <w:sz w:val="20"/>
                <w:szCs w:val="20"/>
              </w:rPr>
              <w:t>агроте</w:t>
            </w:r>
            <w:r w:rsidRPr="00B01B31">
              <w:rPr>
                <w:rFonts w:ascii="Verdana" w:hAnsi="Verdana"/>
                <w:spacing w:val="-2"/>
                <w:sz w:val="20"/>
                <w:szCs w:val="20"/>
              </w:rPr>
              <w:t>х</w:t>
            </w:r>
            <w:r w:rsidRPr="00B01B31">
              <w:rPr>
                <w:rFonts w:ascii="Verdana" w:hAnsi="Verdana"/>
                <w:spacing w:val="-2"/>
                <w:sz w:val="20"/>
                <w:szCs w:val="20"/>
              </w:rPr>
              <w:t>нологии</w:t>
            </w:r>
            <w:proofErr w:type="spellEnd"/>
            <w:r w:rsidRPr="00B01B31">
              <w:rPr>
                <w:rFonts w:ascii="Verdana" w:hAnsi="Verdana"/>
                <w:spacing w:val="-2"/>
                <w:sz w:val="20"/>
                <w:szCs w:val="20"/>
              </w:rPr>
              <w:t xml:space="preserve"> и защита на растенията „Никола </w:t>
            </w:r>
            <w:proofErr w:type="spellStart"/>
            <w:r w:rsidRPr="00B01B31">
              <w:rPr>
                <w:rFonts w:ascii="Verdana" w:hAnsi="Verdana"/>
                <w:spacing w:val="-2"/>
                <w:sz w:val="20"/>
                <w:szCs w:val="20"/>
              </w:rPr>
              <w:t>Пушкаров</w:t>
            </w:r>
            <w:proofErr w:type="spellEnd"/>
            <w:r w:rsidRPr="00B01B31">
              <w:rPr>
                <w:rFonts w:ascii="Verdana" w:hAnsi="Verdana"/>
                <w:spacing w:val="-2"/>
                <w:sz w:val="20"/>
                <w:szCs w:val="20"/>
              </w:rPr>
              <w:t>“ е баз</w:t>
            </w:r>
            <w:r w:rsidRPr="00B01B31">
              <w:rPr>
                <w:rFonts w:ascii="Verdana" w:hAnsi="Verdana"/>
                <w:spacing w:val="-2"/>
                <w:sz w:val="20"/>
                <w:szCs w:val="20"/>
              </w:rPr>
              <w:t>и</w:t>
            </w:r>
            <w:r w:rsidRPr="00B01B31">
              <w:rPr>
                <w:rFonts w:ascii="Verdana" w:hAnsi="Verdana"/>
                <w:spacing w:val="-2"/>
                <w:sz w:val="20"/>
                <w:szCs w:val="20"/>
              </w:rPr>
              <w:t>рана на данни, които са от преди 30 години.  Няма напр</w:t>
            </w:r>
            <w:r w:rsidRPr="00B01B31">
              <w:rPr>
                <w:rFonts w:ascii="Verdana" w:hAnsi="Verdana"/>
                <w:spacing w:val="-2"/>
                <w:sz w:val="20"/>
                <w:szCs w:val="20"/>
              </w:rPr>
              <w:t>а</w:t>
            </w:r>
            <w:r w:rsidRPr="00B01B31">
              <w:rPr>
                <w:rFonts w:ascii="Verdana" w:hAnsi="Verdana"/>
                <w:spacing w:val="-2"/>
                <w:sz w:val="20"/>
                <w:szCs w:val="20"/>
              </w:rPr>
              <w:t>вен адекватен анализ на риска, който да може да доведе до правилен критерии за подбор при определяне на районите за подпомагане.</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  И в  отчета на НИМХ данните са последно от 2010 г., съо</w:t>
            </w:r>
            <w:r w:rsidRPr="00B01B31">
              <w:rPr>
                <w:rFonts w:ascii="Verdana" w:hAnsi="Verdana"/>
                <w:spacing w:val="-2"/>
                <w:sz w:val="20"/>
                <w:szCs w:val="20"/>
              </w:rPr>
              <w:t>т</w:t>
            </w:r>
            <w:r w:rsidRPr="00B01B31">
              <w:rPr>
                <w:rFonts w:ascii="Verdana" w:hAnsi="Verdana"/>
                <w:spacing w:val="-2"/>
                <w:sz w:val="20"/>
                <w:szCs w:val="20"/>
              </w:rPr>
              <w:t>ветно информацията за критерия „сухота“ към настоящия момент на приемане на Наредбата не отговаря на действ</w:t>
            </w:r>
            <w:r w:rsidRPr="00B01B31">
              <w:rPr>
                <w:rFonts w:ascii="Verdana" w:hAnsi="Verdana"/>
                <w:spacing w:val="-2"/>
                <w:sz w:val="20"/>
                <w:szCs w:val="20"/>
              </w:rPr>
              <w:t>и</w:t>
            </w:r>
            <w:r w:rsidRPr="00B01B31">
              <w:rPr>
                <w:rFonts w:ascii="Verdana" w:hAnsi="Verdana"/>
                <w:spacing w:val="-2"/>
                <w:sz w:val="20"/>
                <w:szCs w:val="20"/>
              </w:rPr>
              <w:t>телните стойности на критерия. Същото важи и за останал</w:t>
            </w:r>
            <w:r w:rsidRPr="00B01B31">
              <w:rPr>
                <w:rFonts w:ascii="Verdana" w:hAnsi="Verdana"/>
                <w:spacing w:val="-2"/>
                <w:sz w:val="20"/>
                <w:szCs w:val="20"/>
              </w:rPr>
              <w:t>и</w:t>
            </w:r>
            <w:r w:rsidRPr="00B01B31">
              <w:rPr>
                <w:rFonts w:ascii="Verdana" w:hAnsi="Verdana"/>
                <w:spacing w:val="-2"/>
                <w:sz w:val="20"/>
                <w:szCs w:val="20"/>
              </w:rPr>
              <w:t>те критерии. През последните години няма как да има пр</w:t>
            </w:r>
            <w:r w:rsidRPr="00B01B31">
              <w:rPr>
                <w:rFonts w:ascii="Verdana" w:hAnsi="Verdana"/>
                <w:spacing w:val="-2"/>
                <w:sz w:val="20"/>
                <w:szCs w:val="20"/>
              </w:rPr>
              <w:t>о</w:t>
            </w:r>
            <w:r w:rsidRPr="00B01B31">
              <w:rPr>
                <w:rFonts w:ascii="Verdana" w:hAnsi="Verdana"/>
                <w:spacing w:val="-2"/>
                <w:sz w:val="20"/>
                <w:szCs w:val="20"/>
              </w:rPr>
              <w:t>мени в релефа на районите и  климатичните условия, за да може да се твърди, че площите, които досега действащата нормативна уредба попадаха в необлагодетелстваните р</w:t>
            </w:r>
            <w:r w:rsidRPr="00B01B31">
              <w:rPr>
                <w:rFonts w:ascii="Verdana" w:hAnsi="Verdana"/>
                <w:spacing w:val="-2"/>
                <w:sz w:val="20"/>
                <w:szCs w:val="20"/>
              </w:rPr>
              <w:t>а</w:t>
            </w:r>
            <w:r w:rsidRPr="00B01B31">
              <w:rPr>
                <w:rFonts w:ascii="Verdana" w:hAnsi="Verdana"/>
                <w:spacing w:val="-2"/>
                <w:sz w:val="20"/>
                <w:szCs w:val="20"/>
              </w:rPr>
              <w:t>йони вече не отговарят на тези критерии. Посочените пр</w:t>
            </w:r>
            <w:r w:rsidRPr="00B01B31">
              <w:rPr>
                <w:rFonts w:ascii="Verdana" w:hAnsi="Verdana"/>
                <w:spacing w:val="-2"/>
                <w:sz w:val="20"/>
                <w:szCs w:val="20"/>
              </w:rPr>
              <w:t>о</w:t>
            </w:r>
            <w:r w:rsidRPr="00B01B31">
              <w:rPr>
                <w:rFonts w:ascii="Verdana" w:hAnsi="Verdana"/>
                <w:spacing w:val="-2"/>
                <w:sz w:val="20"/>
                <w:szCs w:val="20"/>
              </w:rPr>
              <w:t>мени в климат, терен, почви изискват много по-продължителен период от време.</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Предстоящите промени в районирането ще се отразят на запустяването на тези райони, чието обработване без д</w:t>
            </w:r>
            <w:r w:rsidRPr="00B01B31">
              <w:rPr>
                <w:rFonts w:ascii="Verdana" w:hAnsi="Verdana"/>
                <w:spacing w:val="-2"/>
                <w:sz w:val="20"/>
                <w:szCs w:val="20"/>
              </w:rPr>
              <w:t>о</w:t>
            </w:r>
            <w:r w:rsidRPr="00B01B31">
              <w:rPr>
                <w:rFonts w:ascii="Verdana" w:hAnsi="Verdana"/>
                <w:spacing w:val="-2"/>
                <w:sz w:val="20"/>
                <w:szCs w:val="20"/>
              </w:rPr>
              <w:t>пълнително субсидиране е трудно и със сигурност ще п</w:t>
            </w:r>
            <w:r w:rsidRPr="00B01B31">
              <w:rPr>
                <w:rFonts w:ascii="Verdana" w:hAnsi="Verdana"/>
                <w:spacing w:val="-2"/>
                <w:sz w:val="20"/>
                <w:szCs w:val="20"/>
              </w:rPr>
              <w:t>о</w:t>
            </w:r>
            <w:r w:rsidRPr="00B01B31">
              <w:rPr>
                <w:rFonts w:ascii="Verdana" w:hAnsi="Verdana"/>
                <w:spacing w:val="-2"/>
                <w:sz w:val="20"/>
                <w:szCs w:val="20"/>
              </w:rPr>
              <w:t>действа демотивиращо на голяма част от земеделските пр</w:t>
            </w:r>
            <w:r w:rsidRPr="00B01B31">
              <w:rPr>
                <w:rFonts w:ascii="Verdana" w:hAnsi="Verdana"/>
                <w:spacing w:val="-2"/>
                <w:sz w:val="20"/>
                <w:szCs w:val="20"/>
              </w:rPr>
              <w:t>о</w:t>
            </w:r>
            <w:r w:rsidRPr="00B01B31">
              <w:rPr>
                <w:rFonts w:ascii="Verdana" w:hAnsi="Verdana"/>
                <w:spacing w:val="-2"/>
                <w:sz w:val="20"/>
                <w:szCs w:val="20"/>
              </w:rPr>
              <w:t>изводители.</w:t>
            </w:r>
          </w:p>
          <w:p w:rsidR="00E97FA9" w:rsidRPr="00B01B31" w:rsidRDefault="00E97FA9" w:rsidP="00B01B31">
            <w:pPr>
              <w:spacing w:before="40" w:after="20"/>
              <w:jc w:val="both"/>
              <w:rPr>
                <w:rFonts w:ascii="Verdana" w:hAnsi="Verdana"/>
                <w:spacing w:val="-2"/>
                <w:sz w:val="20"/>
                <w:szCs w:val="20"/>
              </w:rPr>
            </w:pPr>
            <w:r w:rsidRPr="00B01B31">
              <w:rPr>
                <w:rFonts w:ascii="Verdana" w:hAnsi="Verdana"/>
                <w:spacing w:val="-2"/>
                <w:sz w:val="20"/>
                <w:szCs w:val="20"/>
              </w:rPr>
              <w:t>Горното твърдение е с оглед факта, че към настоящия м</w:t>
            </w:r>
            <w:r w:rsidRPr="00B01B31">
              <w:rPr>
                <w:rFonts w:ascii="Verdana" w:hAnsi="Verdana"/>
                <w:spacing w:val="-2"/>
                <w:sz w:val="20"/>
                <w:szCs w:val="20"/>
              </w:rPr>
              <w:t>о</w:t>
            </w:r>
            <w:r w:rsidRPr="00B01B31">
              <w:rPr>
                <w:rFonts w:ascii="Verdana" w:hAnsi="Verdana"/>
                <w:spacing w:val="-2"/>
                <w:sz w:val="20"/>
                <w:szCs w:val="20"/>
              </w:rPr>
              <w:t>мент, на практика се извършва приравняване на районите природни ограничения, различни от планинските с плод</w:t>
            </w:r>
            <w:r w:rsidRPr="00B01B31">
              <w:rPr>
                <w:rFonts w:ascii="Verdana" w:hAnsi="Verdana"/>
                <w:spacing w:val="-2"/>
                <w:sz w:val="20"/>
                <w:szCs w:val="20"/>
              </w:rPr>
              <w:t>о</w:t>
            </w:r>
            <w:r w:rsidRPr="00B01B31">
              <w:rPr>
                <w:rFonts w:ascii="Verdana" w:hAnsi="Verdana"/>
                <w:spacing w:val="-2"/>
                <w:sz w:val="20"/>
                <w:szCs w:val="20"/>
              </w:rPr>
              <w:t xml:space="preserve">родните, огромни равни полета в </w:t>
            </w:r>
            <w:proofErr w:type="spellStart"/>
            <w:r w:rsidRPr="00B01B31">
              <w:rPr>
                <w:rFonts w:ascii="Verdana" w:hAnsi="Verdana"/>
                <w:spacing w:val="-2"/>
                <w:sz w:val="20"/>
                <w:szCs w:val="20"/>
              </w:rPr>
              <w:t>зърнопроизводителните</w:t>
            </w:r>
            <w:proofErr w:type="spellEnd"/>
            <w:r w:rsidRPr="00B01B31">
              <w:rPr>
                <w:rFonts w:ascii="Verdana" w:hAnsi="Verdana"/>
                <w:spacing w:val="-2"/>
                <w:sz w:val="20"/>
                <w:szCs w:val="20"/>
              </w:rPr>
              <w:t xml:space="preserve"> райони на страната ни.</w:t>
            </w:r>
          </w:p>
        </w:tc>
        <w:tc>
          <w:tcPr>
            <w:tcW w:w="1676" w:type="dxa"/>
            <w:tcBorders>
              <w:bottom w:val="nil"/>
            </w:tcBorders>
            <w:shd w:val="clear" w:color="auto" w:fill="auto"/>
          </w:tcPr>
          <w:p w:rsidR="00E97FA9" w:rsidRPr="00710725" w:rsidRDefault="00114415" w:rsidP="008E14A9">
            <w:pPr>
              <w:spacing w:before="40" w:after="20"/>
              <w:rPr>
                <w:rFonts w:ascii="Verdana" w:hAnsi="Verdana"/>
                <w:color w:val="FF0000"/>
                <w:sz w:val="20"/>
                <w:szCs w:val="20"/>
              </w:rPr>
            </w:pPr>
            <w:r w:rsidRPr="00114415">
              <w:rPr>
                <w:rFonts w:ascii="Verdana" w:hAnsi="Verdana"/>
                <w:sz w:val="20"/>
                <w:szCs w:val="20"/>
              </w:rPr>
              <w:lastRenderedPageBreak/>
              <w:t>Не се приема</w:t>
            </w:r>
          </w:p>
        </w:tc>
        <w:tc>
          <w:tcPr>
            <w:tcW w:w="4422" w:type="dxa"/>
            <w:tcBorders>
              <w:bottom w:val="nil"/>
            </w:tcBorders>
            <w:shd w:val="clear" w:color="auto" w:fill="auto"/>
          </w:tcPr>
          <w:p w:rsidR="00E97FA9" w:rsidRPr="001B46FC" w:rsidRDefault="00E97FA9" w:rsidP="001B46FC">
            <w:pPr>
              <w:spacing w:before="40" w:after="20"/>
              <w:jc w:val="both"/>
              <w:rPr>
                <w:rFonts w:ascii="Verdana" w:hAnsi="Verdana"/>
                <w:sz w:val="20"/>
                <w:szCs w:val="20"/>
              </w:rPr>
            </w:pPr>
            <w:r w:rsidRPr="001B46FC">
              <w:rPr>
                <w:rFonts w:ascii="Verdana" w:hAnsi="Verdana"/>
                <w:sz w:val="20"/>
                <w:szCs w:val="20"/>
              </w:rPr>
              <w:t>Във връзка с направения ком</w:t>
            </w:r>
            <w:r w:rsidR="00114415" w:rsidRPr="001B46FC">
              <w:rPr>
                <w:rFonts w:ascii="Verdana" w:hAnsi="Verdana"/>
                <w:sz w:val="20"/>
                <w:szCs w:val="20"/>
              </w:rPr>
              <w:t>е</w:t>
            </w:r>
            <w:r w:rsidRPr="001B46FC">
              <w:rPr>
                <w:rFonts w:ascii="Verdana" w:hAnsi="Verdana"/>
                <w:sz w:val="20"/>
                <w:szCs w:val="20"/>
              </w:rPr>
              <w:t>нтар, следва да се има предвид, че изпол</w:t>
            </w:r>
            <w:r w:rsidRPr="001B46FC">
              <w:rPr>
                <w:rFonts w:ascii="Verdana" w:hAnsi="Verdana"/>
                <w:sz w:val="20"/>
                <w:szCs w:val="20"/>
              </w:rPr>
              <w:t>з</w:t>
            </w:r>
            <w:r w:rsidRPr="001B46FC">
              <w:rPr>
                <w:rFonts w:ascii="Verdana" w:hAnsi="Verdana"/>
                <w:sz w:val="20"/>
                <w:szCs w:val="20"/>
              </w:rPr>
              <w:t xml:space="preserve">ваните критерии, въведени от </w:t>
            </w:r>
            <w:r w:rsidR="00114415" w:rsidRPr="001B46FC">
              <w:rPr>
                <w:rFonts w:ascii="Verdana" w:hAnsi="Verdana"/>
                <w:sz w:val="20"/>
                <w:szCs w:val="20"/>
              </w:rPr>
              <w:t>Р</w:t>
            </w:r>
            <w:r w:rsidRPr="001B46FC">
              <w:rPr>
                <w:rFonts w:ascii="Verdana" w:hAnsi="Verdana"/>
                <w:sz w:val="20"/>
                <w:szCs w:val="20"/>
              </w:rPr>
              <w:t>егл</w:t>
            </w:r>
            <w:r w:rsidRPr="001B46FC">
              <w:rPr>
                <w:rFonts w:ascii="Verdana" w:hAnsi="Verdana"/>
                <w:sz w:val="20"/>
                <w:szCs w:val="20"/>
              </w:rPr>
              <w:t>а</w:t>
            </w:r>
            <w:r w:rsidRPr="001B46FC">
              <w:rPr>
                <w:rFonts w:ascii="Verdana" w:hAnsi="Verdana"/>
                <w:sz w:val="20"/>
                <w:szCs w:val="20"/>
              </w:rPr>
              <w:t>мент</w:t>
            </w:r>
            <w:r w:rsidR="00114415" w:rsidRPr="001B46FC">
              <w:rPr>
                <w:rFonts w:ascii="Verdana" w:hAnsi="Verdana"/>
                <w:sz w:val="20"/>
                <w:szCs w:val="20"/>
              </w:rPr>
              <w:t xml:space="preserve"> 1305/2013</w:t>
            </w:r>
            <w:r w:rsidRPr="001B46FC">
              <w:rPr>
                <w:rFonts w:ascii="Verdana" w:hAnsi="Verdana"/>
                <w:sz w:val="20"/>
                <w:szCs w:val="20"/>
              </w:rPr>
              <w:t xml:space="preserve"> са различни от крит</w:t>
            </w:r>
            <w:r w:rsidRPr="001B46FC">
              <w:rPr>
                <w:rFonts w:ascii="Verdana" w:hAnsi="Verdana"/>
                <w:sz w:val="20"/>
                <w:szCs w:val="20"/>
              </w:rPr>
              <w:t>е</w:t>
            </w:r>
            <w:r w:rsidRPr="001B46FC">
              <w:rPr>
                <w:rFonts w:ascii="Verdana" w:hAnsi="Verdana"/>
                <w:sz w:val="20"/>
                <w:szCs w:val="20"/>
              </w:rPr>
              <w:t>риите, използвани за определяне на обхвата на необлагодетелстваните р</w:t>
            </w:r>
            <w:r w:rsidRPr="001B46FC">
              <w:rPr>
                <w:rFonts w:ascii="Verdana" w:hAnsi="Verdana"/>
                <w:sz w:val="20"/>
                <w:szCs w:val="20"/>
              </w:rPr>
              <w:t>а</w:t>
            </w:r>
            <w:r w:rsidRPr="001B46FC">
              <w:rPr>
                <w:rFonts w:ascii="Verdana" w:hAnsi="Verdana"/>
                <w:sz w:val="20"/>
                <w:szCs w:val="20"/>
              </w:rPr>
              <w:t>йони, различни от планинските, в н</w:t>
            </w:r>
            <w:r w:rsidRPr="001B46FC">
              <w:rPr>
                <w:rFonts w:ascii="Verdana" w:hAnsi="Verdana"/>
                <w:sz w:val="20"/>
                <w:szCs w:val="20"/>
              </w:rPr>
              <w:t>а</w:t>
            </w:r>
            <w:r w:rsidRPr="001B46FC">
              <w:rPr>
                <w:rFonts w:ascii="Verdana" w:hAnsi="Verdana"/>
                <w:sz w:val="20"/>
                <w:szCs w:val="20"/>
              </w:rPr>
              <w:t>чалото на програмен период 2007-2013.</w:t>
            </w:r>
          </w:p>
          <w:p w:rsidR="00E97FA9" w:rsidRPr="001B46FC" w:rsidRDefault="00E97FA9" w:rsidP="00746A9A">
            <w:pPr>
              <w:spacing w:before="60" w:after="20"/>
              <w:jc w:val="both"/>
              <w:rPr>
                <w:rFonts w:ascii="Verdana" w:hAnsi="Verdana"/>
                <w:sz w:val="20"/>
                <w:szCs w:val="20"/>
              </w:rPr>
            </w:pPr>
            <w:r w:rsidRPr="001B46FC">
              <w:rPr>
                <w:rFonts w:ascii="Verdana" w:hAnsi="Verdana"/>
                <w:sz w:val="20"/>
                <w:szCs w:val="20"/>
              </w:rPr>
              <w:t>Съгласно чл. 32 от Регламент 1305/2013 държавите членки следва да определят райони с природни огр</w:t>
            </w:r>
            <w:r w:rsidRPr="001B46FC">
              <w:rPr>
                <w:rFonts w:ascii="Verdana" w:hAnsi="Verdana"/>
                <w:sz w:val="20"/>
                <w:szCs w:val="20"/>
              </w:rPr>
              <w:t>а</w:t>
            </w:r>
            <w:r w:rsidRPr="001B46FC">
              <w:rPr>
                <w:rFonts w:ascii="Verdana" w:hAnsi="Verdana"/>
                <w:sz w:val="20"/>
                <w:szCs w:val="20"/>
              </w:rPr>
              <w:t>ничения, различни от планинските на база приложими за съответната държ</w:t>
            </w:r>
            <w:r w:rsidRPr="001B46FC">
              <w:rPr>
                <w:rFonts w:ascii="Verdana" w:hAnsi="Verdana"/>
                <w:sz w:val="20"/>
                <w:szCs w:val="20"/>
              </w:rPr>
              <w:t>а</w:t>
            </w:r>
            <w:r w:rsidRPr="001B46FC">
              <w:rPr>
                <w:rFonts w:ascii="Verdana" w:hAnsi="Verdana"/>
                <w:sz w:val="20"/>
                <w:szCs w:val="20"/>
              </w:rPr>
              <w:t>вата биофизични критерии по Прил</w:t>
            </w:r>
            <w:r w:rsidRPr="001B46FC">
              <w:rPr>
                <w:rFonts w:ascii="Verdana" w:hAnsi="Verdana"/>
                <w:sz w:val="20"/>
                <w:szCs w:val="20"/>
              </w:rPr>
              <w:t>о</w:t>
            </w:r>
            <w:r w:rsidRPr="001B46FC">
              <w:rPr>
                <w:rFonts w:ascii="Verdana" w:hAnsi="Verdana"/>
                <w:sz w:val="20"/>
                <w:szCs w:val="20"/>
              </w:rPr>
              <w:t>жение III на регламента и допълните</w:t>
            </w:r>
            <w:r w:rsidRPr="001B46FC">
              <w:rPr>
                <w:rFonts w:ascii="Verdana" w:hAnsi="Verdana"/>
                <w:sz w:val="20"/>
                <w:szCs w:val="20"/>
              </w:rPr>
              <w:t>л</w:t>
            </w:r>
            <w:r w:rsidRPr="001B46FC">
              <w:rPr>
                <w:rFonts w:ascii="Verdana" w:hAnsi="Verdana"/>
                <w:sz w:val="20"/>
                <w:szCs w:val="20"/>
              </w:rPr>
              <w:t>но прецизиране. При определяне на районите с природни ограничения, различни от планинските в европей</w:t>
            </w:r>
            <w:r w:rsidRPr="001B46FC">
              <w:rPr>
                <w:rFonts w:ascii="Verdana" w:hAnsi="Verdana"/>
                <w:sz w:val="20"/>
                <w:szCs w:val="20"/>
              </w:rPr>
              <w:t>с</w:t>
            </w:r>
            <w:r w:rsidRPr="001B46FC">
              <w:rPr>
                <w:rFonts w:ascii="Verdana" w:hAnsi="Verdana"/>
                <w:sz w:val="20"/>
                <w:szCs w:val="20"/>
              </w:rPr>
              <w:t>кото законодателство е заложено изи</w:t>
            </w:r>
            <w:r w:rsidRPr="001B46FC">
              <w:rPr>
                <w:rFonts w:ascii="Verdana" w:hAnsi="Verdana"/>
                <w:sz w:val="20"/>
                <w:szCs w:val="20"/>
              </w:rPr>
              <w:t>с</w:t>
            </w:r>
            <w:r w:rsidRPr="001B46FC">
              <w:rPr>
                <w:rFonts w:ascii="Verdana" w:hAnsi="Verdana"/>
                <w:sz w:val="20"/>
                <w:szCs w:val="20"/>
              </w:rPr>
              <w:t xml:space="preserve">кването поне 60 % от земеделската </w:t>
            </w:r>
            <w:r w:rsidRPr="001B46FC">
              <w:rPr>
                <w:rFonts w:ascii="Verdana" w:hAnsi="Verdana"/>
                <w:sz w:val="20"/>
                <w:szCs w:val="20"/>
              </w:rPr>
              <w:lastRenderedPageBreak/>
              <w:t>земя на ниво местна административна единица-землище да отговаря на поне един от критериите от Приложение III</w:t>
            </w:r>
            <w:r w:rsidR="00114415" w:rsidRPr="001B46FC">
              <w:rPr>
                <w:rFonts w:ascii="Verdana" w:hAnsi="Verdana"/>
                <w:sz w:val="20"/>
                <w:szCs w:val="20"/>
              </w:rPr>
              <w:t>: почви, климат и терен.</w:t>
            </w:r>
            <w:r w:rsidRPr="001B46FC">
              <w:rPr>
                <w:rFonts w:ascii="Verdana" w:hAnsi="Verdana"/>
                <w:sz w:val="20"/>
                <w:szCs w:val="20"/>
              </w:rPr>
              <w:t xml:space="preserve"> Допълнително прецизиране на землищата, които о</w:t>
            </w:r>
            <w:r w:rsidRPr="001B46FC">
              <w:rPr>
                <w:rFonts w:ascii="Verdana" w:hAnsi="Verdana"/>
                <w:sz w:val="20"/>
                <w:szCs w:val="20"/>
              </w:rPr>
              <w:t>т</w:t>
            </w:r>
            <w:r w:rsidRPr="001B46FC">
              <w:rPr>
                <w:rFonts w:ascii="Verdana" w:hAnsi="Verdana"/>
                <w:sz w:val="20"/>
                <w:szCs w:val="20"/>
              </w:rPr>
              <w:t>говарят на горното условие е извърш</w:t>
            </w:r>
            <w:r w:rsidRPr="001B46FC">
              <w:rPr>
                <w:rFonts w:ascii="Verdana" w:hAnsi="Verdana"/>
                <w:sz w:val="20"/>
                <w:szCs w:val="20"/>
              </w:rPr>
              <w:t>е</w:t>
            </w:r>
            <w:r w:rsidRPr="001B46FC">
              <w:rPr>
                <w:rFonts w:ascii="Verdana" w:hAnsi="Verdana"/>
                <w:sz w:val="20"/>
                <w:szCs w:val="20"/>
              </w:rPr>
              <w:t>но във връзка с изискването на регл</w:t>
            </w:r>
            <w:r w:rsidRPr="001B46FC">
              <w:rPr>
                <w:rFonts w:ascii="Verdana" w:hAnsi="Verdana"/>
                <w:sz w:val="20"/>
                <w:szCs w:val="20"/>
              </w:rPr>
              <w:t>а</w:t>
            </w:r>
            <w:r w:rsidRPr="001B46FC">
              <w:rPr>
                <w:rFonts w:ascii="Verdana" w:hAnsi="Verdana"/>
                <w:sz w:val="20"/>
                <w:szCs w:val="20"/>
              </w:rPr>
              <w:t>мента, като е приложен критерият „нормална производителност на зем</w:t>
            </w:r>
            <w:r w:rsidRPr="001B46FC">
              <w:rPr>
                <w:rFonts w:ascii="Verdana" w:hAnsi="Verdana"/>
                <w:sz w:val="20"/>
                <w:szCs w:val="20"/>
              </w:rPr>
              <w:t>я</w:t>
            </w:r>
            <w:r w:rsidRPr="001B46FC">
              <w:rPr>
                <w:rFonts w:ascii="Verdana" w:hAnsi="Verdana"/>
                <w:sz w:val="20"/>
                <w:szCs w:val="20"/>
              </w:rPr>
              <w:t>та“. Методиката за оценка на произв</w:t>
            </w:r>
            <w:r w:rsidRPr="001B46FC">
              <w:rPr>
                <w:rFonts w:ascii="Verdana" w:hAnsi="Verdana"/>
                <w:sz w:val="20"/>
                <w:szCs w:val="20"/>
              </w:rPr>
              <w:t>о</w:t>
            </w:r>
            <w:r w:rsidRPr="001B46FC">
              <w:rPr>
                <w:rFonts w:ascii="Verdana" w:hAnsi="Verdana"/>
                <w:sz w:val="20"/>
                <w:szCs w:val="20"/>
              </w:rPr>
              <w:t xml:space="preserve">дителността на земята е разработена в ИПАЗР „Никола </w:t>
            </w:r>
            <w:proofErr w:type="spellStart"/>
            <w:r w:rsidRPr="001B46FC">
              <w:rPr>
                <w:rFonts w:ascii="Verdana" w:hAnsi="Verdana"/>
                <w:sz w:val="20"/>
                <w:szCs w:val="20"/>
              </w:rPr>
              <w:t>Пушкаров</w:t>
            </w:r>
            <w:proofErr w:type="spellEnd"/>
            <w:r w:rsidRPr="001B46FC">
              <w:rPr>
                <w:rFonts w:ascii="Verdana" w:hAnsi="Verdana"/>
                <w:sz w:val="20"/>
                <w:szCs w:val="20"/>
              </w:rPr>
              <w:t>“ и е актуал</w:t>
            </w:r>
            <w:r w:rsidRPr="001B46FC">
              <w:rPr>
                <w:rFonts w:ascii="Verdana" w:hAnsi="Verdana"/>
                <w:sz w:val="20"/>
                <w:szCs w:val="20"/>
              </w:rPr>
              <w:t>и</w:t>
            </w:r>
            <w:r w:rsidRPr="001B46FC">
              <w:rPr>
                <w:rFonts w:ascii="Verdana" w:hAnsi="Verdana"/>
                <w:sz w:val="20"/>
                <w:szCs w:val="20"/>
              </w:rPr>
              <w:t>зирана с приемане на препоръчаните от Организацията по прехрана и зем</w:t>
            </w:r>
            <w:r w:rsidRPr="001B46FC">
              <w:rPr>
                <w:rFonts w:ascii="Verdana" w:hAnsi="Verdana"/>
                <w:sz w:val="20"/>
                <w:szCs w:val="20"/>
              </w:rPr>
              <w:t>е</w:t>
            </w:r>
            <w:r w:rsidRPr="001B46FC">
              <w:rPr>
                <w:rFonts w:ascii="Verdana" w:hAnsi="Verdana"/>
                <w:sz w:val="20"/>
                <w:szCs w:val="20"/>
              </w:rPr>
              <w:t>делие (FAO) принципи за оценка на земята. Предвид това е възприета стойност на средно-претеглената кат</w:t>
            </w:r>
            <w:r w:rsidRPr="001B46FC">
              <w:rPr>
                <w:rFonts w:ascii="Verdana" w:hAnsi="Verdana"/>
                <w:sz w:val="20"/>
                <w:szCs w:val="20"/>
              </w:rPr>
              <w:t>е</w:t>
            </w:r>
            <w:r w:rsidRPr="001B46FC">
              <w:rPr>
                <w:rFonts w:ascii="Verdana" w:hAnsi="Verdana"/>
                <w:sz w:val="20"/>
                <w:szCs w:val="20"/>
              </w:rPr>
              <w:t xml:space="preserve">гория на земеделските земи в дадено землище 6-та или по-неблагоприятна. </w:t>
            </w:r>
          </w:p>
          <w:p w:rsidR="00E97FA9" w:rsidRPr="001B46FC" w:rsidRDefault="00E97FA9" w:rsidP="00114415">
            <w:pPr>
              <w:spacing w:before="60" w:after="20"/>
              <w:jc w:val="both"/>
              <w:rPr>
                <w:rFonts w:ascii="Verdana" w:hAnsi="Verdana"/>
                <w:color w:val="000000"/>
                <w:sz w:val="20"/>
                <w:szCs w:val="20"/>
                <w:lang w:val="ru-RU"/>
              </w:rPr>
            </w:pPr>
            <w:r w:rsidRPr="001B46FC">
              <w:rPr>
                <w:rFonts w:ascii="Verdana" w:hAnsi="Verdana"/>
                <w:color w:val="000000"/>
                <w:sz w:val="20"/>
                <w:szCs w:val="20"/>
              </w:rPr>
              <w:t>Определян</w:t>
            </w:r>
            <w:r w:rsidR="00114415" w:rsidRPr="001B46FC">
              <w:rPr>
                <w:rFonts w:ascii="Verdana" w:hAnsi="Verdana"/>
                <w:color w:val="000000"/>
                <w:sz w:val="20"/>
                <w:szCs w:val="20"/>
              </w:rPr>
              <w:t>ето на райони с природни ограни</w:t>
            </w:r>
            <w:r w:rsidRPr="001B46FC">
              <w:rPr>
                <w:rFonts w:ascii="Verdana" w:hAnsi="Verdana"/>
                <w:color w:val="000000"/>
                <w:sz w:val="20"/>
                <w:szCs w:val="20"/>
              </w:rPr>
              <w:t>чения, разл</w:t>
            </w:r>
            <w:r w:rsidR="00114415" w:rsidRPr="001B46FC">
              <w:rPr>
                <w:rFonts w:ascii="Verdana" w:hAnsi="Verdana"/>
                <w:color w:val="000000"/>
                <w:sz w:val="20"/>
                <w:szCs w:val="20"/>
              </w:rPr>
              <w:t>ични от планинските на база при</w:t>
            </w:r>
            <w:r w:rsidRPr="001B46FC">
              <w:rPr>
                <w:rFonts w:ascii="Verdana" w:hAnsi="Verdana"/>
                <w:color w:val="000000"/>
                <w:sz w:val="20"/>
                <w:szCs w:val="20"/>
              </w:rPr>
              <w:t>ложими</w:t>
            </w:r>
            <w:r w:rsidR="00114415" w:rsidRPr="001B46FC">
              <w:rPr>
                <w:rFonts w:ascii="Verdana" w:hAnsi="Verdana"/>
                <w:color w:val="000000"/>
                <w:sz w:val="20"/>
                <w:szCs w:val="20"/>
              </w:rPr>
              <w:t>те</w:t>
            </w:r>
            <w:r w:rsidRPr="001B46FC">
              <w:rPr>
                <w:rFonts w:ascii="Verdana" w:hAnsi="Verdana"/>
                <w:color w:val="000000"/>
                <w:sz w:val="20"/>
                <w:szCs w:val="20"/>
              </w:rPr>
              <w:t xml:space="preserve"> за страната би</w:t>
            </w:r>
            <w:r w:rsidRPr="001B46FC">
              <w:rPr>
                <w:rFonts w:ascii="Verdana" w:hAnsi="Verdana"/>
                <w:color w:val="000000"/>
                <w:sz w:val="20"/>
                <w:szCs w:val="20"/>
              </w:rPr>
              <w:t>о</w:t>
            </w:r>
            <w:r w:rsidRPr="001B46FC">
              <w:rPr>
                <w:rFonts w:ascii="Verdana" w:hAnsi="Verdana"/>
                <w:color w:val="000000"/>
                <w:sz w:val="20"/>
                <w:szCs w:val="20"/>
              </w:rPr>
              <w:t>физични критерии и допълнително</w:t>
            </w:r>
            <w:r w:rsidR="00114415" w:rsidRPr="001B46FC">
              <w:rPr>
                <w:rFonts w:ascii="Verdana" w:hAnsi="Verdana"/>
                <w:color w:val="000000"/>
                <w:sz w:val="20"/>
                <w:szCs w:val="20"/>
              </w:rPr>
              <w:t>то</w:t>
            </w:r>
            <w:r w:rsidRPr="001B46FC">
              <w:rPr>
                <w:rFonts w:ascii="Verdana" w:hAnsi="Verdana"/>
                <w:color w:val="000000"/>
                <w:sz w:val="20"/>
                <w:szCs w:val="20"/>
              </w:rPr>
              <w:t xml:space="preserve"> прецизиране е извършено по Насоки за прилагане на общи критерии за опр</w:t>
            </w:r>
            <w:r w:rsidRPr="001B46FC">
              <w:rPr>
                <w:rFonts w:ascii="Verdana" w:hAnsi="Verdana"/>
                <w:color w:val="000000"/>
                <w:sz w:val="20"/>
                <w:szCs w:val="20"/>
              </w:rPr>
              <w:t>е</w:t>
            </w:r>
            <w:r w:rsidRPr="001B46FC">
              <w:rPr>
                <w:rFonts w:ascii="Verdana" w:hAnsi="Verdana"/>
                <w:color w:val="000000"/>
                <w:sz w:val="20"/>
                <w:szCs w:val="20"/>
              </w:rPr>
              <w:t>деляне на земеделски райони с пр</w:t>
            </w:r>
            <w:r w:rsidRPr="001B46FC">
              <w:rPr>
                <w:rFonts w:ascii="Verdana" w:hAnsi="Verdana"/>
                <w:color w:val="000000"/>
                <w:sz w:val="20"/>
                <w:szCs w:val="20"/>
              </w:rPr>
              <w:t>и</w:t>
            </w:r>
            <w:r w:rsidRPr="001B46FC">
              <w:rPr>
                <w:rFonts w:ascii="Verdana" w:hAnsi="Verdana"/>
                <w:color w:val="000000"/>
                <w:sz w:val="20"/>
                <w:szCs w:val="20"/>
              </w:rPr>
              <w:t>родни ограничения, разработени от колектив на Съвместния из-следователски център към Европейск</w:t>
            </w:r>
            <w:r w:rsidRPr="001B46FC">
              <w:rPr>
                <w:rFonts w:ascii="Verdana" w:hAnsi="Verdana"/>
                <w:color w:val="000000"/>
                <w:sz w:val="20"/>
                <w:szCs w:val="20"/>
              </w:rPr>
              <w:t>а</w:t>
            </w:r>
            <w:r w:rsidR="001B46FC">
              <w:rPr>
                <w:rFonts w:ascii="Verdana" w:hAnsi="Verdana"/>
                <w:color w:val="000000"/>
                <w:sz w:val="20"/>
                <w:szCs w:val="20"/>
              </w:rPr>
              <w:t>та ко</w:t>
            </w:r>
            <w:r w:rsidRPr="001B46FC">
              <w:rPr>
                <w:rFonts w:ascii="Verdana" w:hAnsi="Verdana"/>
                <w:color w:val="000000"/>
                <w:sz w:val="20"/>
                <w:szCs w:val="20"/>
              </w:rPr>
              <w:t xml:space="preserve">мисия (JRC) през 2016 г. (Доклад EUR 26940 BG). Европейската комисия и JRC са редовно информирани и са </w:t>
            </w:r>
            <w:r w:rsidRPr="001B46FC">
              <w:rPr>
                <w:rFonts w:ascii="Verdana" w:hAnsi="Verdana"/>
                <w:color w:val="000000"/>
                <w:sz w:val="20"/>
                <w:szCs w:val="20"/>
              </w:rPr>
              <w:lastRenderedPageBreak/>
              <w:t>били участници в процеса по опред</w:t>
            </w:r>
            <w:r w:rsidRPr="001B46FC">
              <w:rPr>
                <w:rFonts w:ascii="Verdana" w:hAnsi="Verdana"/>
                <w:color w:val="000000"/>
                <w:sz w:val="20"/>
                <w:szCs w:val="20"/>
              </w:rPr>
              <w:t>е</w:t>
            </w:r>
            <w:r w:rsidRPr="001B46FC">
              <w:rPr>
                <w:rFonts w:ascii="Verdana" w:hAnsi="Verdana"/>
                <w:color w:val="000000"/>
                <w:sz w:val="20"/>
                <w:szCs w:val="20"/>
              </w:rPr>
              <w:t>лянето на териториалния обхват на районите, засегнати от значителни природни ограничения. Същите са пр</w:t>
            </w:r>
            <w:r w:rsidRPr="001B46FC">
              <w:rPr>
                <w:rFonts w:ascii="Verdana" w:hAnsi="Verdana"/>
                <w:color w:val="000000"/>
                <w:sz w:val="20"/>
                <w:szCs w:val="20"/>
              </w:rPr>
              <w:t>е</w:t>
            </w:r>
            <w:r w:rsidRPr="001B46FC">
              <w:rPr>
                <w:rFonts w:ascii="Verdana" w:hAnsi="Verdana"/>
                <w:color w:val="000000"/>
                <w:sz w:val="20"/>
                <w:szCs w:val="20"/>
              </w:rPr>
              <w:t>доставили своето неформал</w:t>
            </w:r>
            <w:r w:rsidR="00114415" w:rsidRPr="001B46FC">
              <w:rPr>
                <w:rFonts w:ascii="Verdana" w:hAnsi="Verdana"/>
                <w:color w:val="000000"/>
                <w:sz w:val="20"/>
                <w:szCs w:val="20"/>
              </w:rPr>
              <w:t>но одобр</w:t>
            </w:r>
            <w:r w:rsidR="00114415" w:rsidRPr="001B46FC">
              <w:rPr>
                <w:rFonts w:ascii="Verdana" w:hAnsi="Verdana"/>
                <w:color w:val="000000"/>
                <w:sz w:val="20"/>
                <w:szCs w:val="20"/>
              </w:rPr>
              <w:t>е</w:t>
            </w:r>
            <w:r w:rsidR="00114415" w:rsidRPr="001B46FC">
              <w:rPr>
                <w:rFonts w:ascii="Verdana" w:hAnsi="Verdana"/>
                <w:color w:val="000000"/>
                <w:sz w:val="20"/>
                <w:szCs w:val="20"/>
              </w:rPr>
              <w:t>ние и съгласие по отно</w:t>
            </w:r>
            <w:r w:rsidRPr="001B46FC">
              <w:rPr>
                <w:rFonts w:ascii="Verdana" w:hAnsi="Verdana"/>
                <w:color w:val="000000"/>
                <w:sz w:val="20"/>
                <w:szCs w:val="20"/>
              </w:rPr>
              <w:t>шение опред</w:t>
            </w:r>
            <w:r w:rsidRPr="001B46FC">
              <w:rPr>
                <w:rFonts w:ascii="Verdana" w:hAnsi="Verdana"/>
                <w:color w:val="000000"/>
                <w:sz w:val="20"/>
                <w:szCs w:val="20"/>
              </w:rPr>
              <w:t>е</w:t>
            </w:r>
            <w:r w:rsidRPr="001B46FC">
              <w:rPr>
                <w:rFonts w:ascii="Verdana" w:hAnsi="Verdana"/>
                <w:color w:val="000000"/>
                <w:sz w:val="20"/>
                <w:szCs w:val="20"/>
              </w:rPr>
              <w:t xml:space="preserve">лените граници на районите, засегнати </w:t>
            </w:r>
            <w:r w:rsidR="00114415" w:rsidRPr="001B46FC">
              <w:rPr>
                <w:rFonts w:ascii="Verdana" w:hAnsi="Verdana"/>
                <w:color w:val="000000"/>
                <w:sz w:val="20"/>
                <w:szCs w:val="20"/>
              </w:rPr>
              <w:t>от значителни природни ограниче</w:t>
            </w:r>
            <w:r w:rsidRPr="001B46FC">
              <w:rPr>
                <w:rFonts w:ascii="Verdana" w:hAnsi="Verdana"/>
                <w:color w:val="000000"/>
                <w:sz w:val="20"/>
                <w:szCs w:val="20"/>
              </w:rPr>
              <w:t>ния. Определеният обхват е и гласуван от Комитета по наблюдение, проведен на 15.01.2020 г.</w:t>
            </w:r>
          </w:p>
        </w:tc>
      </w:tr>
      <w:tr w:rsidR="00E97FA9" w:rsidRPr="00710725" w:rsidTr="00404BCC">
        <w:trPr>
          <w:trHeight w:val="596"/>
          <w:jc w:val="center"/>
        </w:trPr>
        <w:tc>
          <w:tcPr>
            <w:tcW w:w="455" w:type="dxa"/>
            <w:tcBorders>
              <w:top w:val="nil"/>
              <w:bottom w:val="single" w:sz="18" w:space="0" w:color="2E74B5"/>
            </w:tcBorders>
            <w:shd w:val="clear" w:color="auto" w:fill="auto"/>
          </w:tcPr>
          <w:p w:rsidR="00E97FA9" w:rsidRPr="00710725" w:rsidRDefault="00E97FA9" w:rsidP="008E14A9">
            <w:pPr>
              <w:tabs>
                <w:tab w:val="left" w:pos="192"/>
              </w:tabs>
              <w:ind w:left="340"/>
              <w:rPr>
                <w:rFonts w:ascii="Verdana" w:hAnsi="Verdana"/>
                <w:b/>
                <w:sz w:val="20"/>
                <w:szCs w:val="20"/>
              </w:rPr>
            </w:pPr>
          </w:p>
        </w:tc>
        <w:tc>
          <w:tcPr>
            <w:tcW w:w="2577" w:type="dxa"/>
            <w:tcBorders>
              <w:top w:val="nil"/>
              <w:bottom w:val="single" w:sz="18" w:space="0" w:color="2E74B5"/>
            </w:tcBorders>
            <w:shd w:val="clear" w:color="auto" w:fill="auto"/>
          </w:tcPr>
          <w:p w:rsidR="00E97FA9" w:rsidRPr="00710725" w:rsidRDefault="00E97FA9" w:rsidP="008E14A9">
            <w:pPr>
              <w:spacing w:before="40" w:after="20"/>
              <w:jc w:val="both"/>
              <w:rPr>
                <w:rFonts w:ascii="Verdana" w:hAnsi="Verdana"/>
                <w:b/>
                <w:sz w:val="20"/>
                <w:szCs w:val="20"/>
              </w:rPr>
            </w:pPr>
          </w:p>
        </w:tc>
        <w:tc>
          <w:tcPr>
            <w:tcW w:w="6520" w:type="dxa"/>
            <w:tcBorders>
              <w:top w:val="nil"/>
              <w:bottom w:val="single" w:sz="18" w:space="0" w:color="2E74B5"/>
            </w:tcBorders>
            <w:shd w:val="clear" w:color="auto" w:fill="auto"/>
          </w:tcPr>
          <w:p w:rsidR="00E97FA9" w:rsidRDefault="00E97FA9" w:rsidP="008E14A9">
            <w:pPr>
              <w:spacing w:before="40" w:after="20"/>
              <w:jc w:val="both"/>
              <w:rPr>
                <w:rFonts w:ascii="Verdana" w:hAnsi="Verdana"/>
                <w:spacing w:val="-2"/>
                <w:sz w:val="20"/>
                <w:szCs w:val="20"/>
              </w:rPr>
            </w:pPr>
            <w:r w:rsidRPr="00B01B31">
              <w:rPr>
                <w:rFonts w:ascii="Verdana" w:hAnsi="Verdana"/>
                <w:spacing w:val="-2"/>
                <w:sz w:val="20"/>
                <w:szCs w:val="20"/>
              </w:rPr>
              <w:t>С оглед на горното Ви молим да преразгледате предложен</w:t>
            </w:r>
            <w:r w:rsidRPr="00B01B31">
              <w:rPr>
                <w:rFonts w:ascii="Verdana" w:hAnsi="Verdana"/>
                <w:spacing w:val="-2"/>
                <w:sz w:val="20"/>
                <w:szCs w:val="20"/>
              </w:rPr>
              <w:t>и</w:t>
            </w:r>
            <w:r w:rsidRPr="00B01B31">
              <w:rPr>
                <w:rFonts w:ascii="Verdana" w:hAnsi="Verdana"/>
                <w:spacing w:val="-2"/>
                <w:sz w:val="20"/>
                <w:szCs w:val="20"/>
              </w:rPr>
              <w:t>те промени в Наредбата и да не ги приемете.</w:t>
            </w:r>
          </w:p>
          <w:p w:rsidR="00641A81" w:rsidRDefault="00114415" w:rsidP="008E14A9">
            <w:pPr>
              <w:spacing w:before="40" w:after="20"/>
              <w:jc w:val="both"/>
              <w:rPr>
                <w:rFonts w:ascii="Verdana" w:hAnsi="Verdana"/>
                <w:spacing w:val="-2"/>
                <w:sz w:val="20"/>
                <w:szCs w:val="20"/>
                <w:lang w:val="ru-RU"/>
              </w:rPr>
            </w:pPr>
            <w:r w:rsidRPr="00B01B31">
              <w:rPr>
                <w:rFonts w:ascii="Verdana" w:hAnsi="Verdana"/>
                <w:spacing w:val="-2"/>
                <w:sz w:val="20"/>
                <w:szCs w:val="20"/>
              </w:rPr>
              <w:t>Молим при изготвянето на бъдещи промени да се съобраз</w:t>
            </w:r>
            <w:r w:rsidRPr="00B01B31">
              <w:rPr>
                <w:rFonts w:ascii="Verdana" w:hAnsi="Verdana"/>
                <w:spacing w:val="-2"/>
                <w:sz w:val="20"/>
                <w:szCs w:val="20"/>
              </w:rPr>
              <w:t>и</w:t>
            </w:r>
            <w:r w:rsidRPr="00B01B31">
              <w:rPr>
                <w:rFonts w:ascii="Verdana" w:hAnsi="Verdana"/>
                <w:spacing w:val="-2"/>
                <w:sz w:val="20"/>
                <w:szCs w:val="20"/>
              </w:rPr>
              <w:lastRenderedPageBreak/>
              <w:t>те с наличните и актуални факти и обстоятелства. Надяваме се при новото изготвяне на промени в Наредбата, въз осн</w:t>
            </w:r>
            <w:r w:rsidRPr="00B01B31">
              <w:rPr>
                <w:rFonts w:ascii="Verdana" w:hAnsi="Verdana"/>
                <w:spacing w:val="-2"/>
                <w:sz w:val="20"/>
                <w:szCs w:val="20"/>
              </w:rPr>
              <w:t>о</w:t>
            </w:r>
            <w:r w:rsidRPr="00B01B31">
              <w:rPr>
                <w:rFonts w:ascii="Verdana" w:hAnsi="Verdana"/>
                <w:spacing w:val="-2"/>
                <w:sz w:val="20"/>
                <w:szCs w:val="20"/>
              </w:rPr>
              <w:t xml:space="preserve">ва на които, ще се </w:t>
            </w:r>
            <w:proofErr w:type="spellStart"/>
            <w:r w:rsidRPr="00B01B31">
              <w:rPr>
                <w:rFonts w:ascii="Verdana" w:hAnsi="Verdana"/>
                <w:spacing w:val="-2"/>
                <w:sz w:val="20"/>
                <w:szCs w:val="20"/>
              </w:rPr>
              <w:t>предефинират</w:t>
            </w:r>
            <w:proofErr w:type="spellEnd"/>
            <w:r w:rsidRPr="00B01B31">
              <w:rPr>
                <w:rFonts w:ascii="Verdana" w:hAnsi="Verdana"/>
                <w:spacing w:val="-2"/>
                <w:sz w:val="20"/>
                <w:szCs w:val="20"/>
              </w:rPr>
              <w:t xml:space="preserve"> районите с природни о</w:t>
            </w:r>
            <w:r w:rsidRPr="00B01B31">
              <w:rPr>
                <w:rFonts w:ascii="Verdana" w:hAnsi="Verdana"/>
                <w:spacing w:val="-2"/>
                <w:sz w:val="20"/>
                <w:szCs w:val="20"/>
              </w:rPr>
              <w:t>г</w:t>
            </w:r>
            <w:r w:rsidRPr="00B01B31">
              <w:rPr>
                <w:rFonts w:ascii="Verdana" w:hAnsi="Verdana"/>
                <w:spacing w:val="-2"/>
                <w:sz w:val="20"/>
                <w:szCs w:val="20"/>
              </w:rPr>
              <w:t>раничения, различни от планинските да бъде дадена шир</w:t>
            </w:r>
            <w:r w:rsidRPr="00B01B31">
              <w:rPr>
                <w:rFonts w:ascii="Verdana" w:hAnsi="Verdana"/>
                <w:spacing w:val="-2"/>
                <w:sz w:val="20"/>
                <w:szCs w:val="20"/>
              </w:rPr>
              <w:t>о</w:t>
            </w:r>
            <w:r w:rsidRPr="00B01B31">
              <w:rPr>
                <w:rFonts w:ascii="Verdana" w:hAnsi="Verdana"/>
                <w:spacing w:val="-2"/>
                <w:sz w:val="20"/>
                <w:szCs w:val="20"/>
              </w:rPr>
              <w:t>ка публичност , относно изготвянето им и срокът за общес</w:t>
            </w:r>
            <w:r w:rsidRPr="00B01B31">
              <w:rPr>
                <w:rFonts w:ascii="Verdana" w:hAnsi="Verdana"/>
                <w:spacing w:val="-2"/>
                <w:sz w:val="20"/>
                <w:szCs w:val="20"/>
              </w:rPr>
              <w:t>т</w:t>
            </w:r>
            <w:r w:rsidRPr="00B01B31">
              <w:rPr>
                <w:rFonts w:ascii="Verdana" w:hAnsi="Verdana"/>
                <w:spacing w:val="-2"/>
                <w:sz w:val="20"/>
                <w:szCs w:val="20"/>
              </w:rPr>
              <w:t>вено обсъждане да не бъде скъсяван на 14 дни, за да могат по-голяма част от заинтересованите лица да вземат стан</w:t>
            </w:r>
            <w:r w:rsidRPr="00B01B31">
              <w:rPr>
                <w:rFonts w:ascii="Verdana" w:hAnsi="Verdana"/>
                <w:spacing w:val="-2"/>
                <w:sz w:val="20"/>
                <w:szCs w:val="20"/>
              </w:rPr>
              <w:t>о</w:t>
            </w:r>
            <w:r w:rsidRPr="00B01B31">
              <w:rPr>
                <w:rFonts w:ascii="Verdana" w:hAnsi="Verdana"/>
                <w:spacing w:val="-2"/>
                <w:sz w:val="20"/>
                <w:szCs w:val="20"/>
              </w:rPr>
              <w:t>вище и дадат предложения.</w:t>
            </w:r>
          </w:p>
          <w:p w:rsidR="00114415" w:rsidRPr="00641A81" w:rsidRDefault="00114415" w:rsidP="00641A81">
            <w:pPr>
              <w:tabs>
                <w:tab w:val="left" w:pos="2456"/>
              </w:tabs>
              <w:rPr>
                <w:rFonts w:ascii="Verdana" w:hAnsi="Verdana"/>
                <w:sz w:val="20"/>
                <w:szCs w:val="20"/>
                <w:lang w:val="ru-RU"/>
              </w:rPr>
            </w:pPr>
          </w:p>
        </w:tc>
        <w:tc>
          <w:tcPr>
            <w:tcW w:w="1676" w:type="dxa"/>
            <w:tcBorders>
              <w:top w:val="nil"/>
              <w:bottom w:val="single" w:sz="18" w:space="0" w:color="2E74B5"/>
            </w:tcBorders>
            <w:shd w:val="clear" w:color="auto" w:fill="auto"/>
          </w:tcPr>
          <w:p w:rsidR="00E97FA9" w:rsidRPr="00710725" w:rsidRDefault="00E97FA9" w:rsidP="008E14A9">
            <w:pPr>
              <w:spacing w:before="40" w:after="20"/>
              <w:rPr>
                <w:rFonts w:ascii="Verdana" w:hAnsi="Verdana"/>
                <w:color w:val="FF0000"/>
                <w:sz w:val="20"/>
                <w:szCs w:val="20"/>
              </w:rPr>
            </w:pPr>
            <w:r w:rsidRPr="00E97FA9">
              <w:rPr>
                <w:rFonts w:ascii="Verdana" w:hAnsi="Verdana"/>
                <w:sz w:val="20"/>
                <w:szCs w:val="20"/>
              </w:rPr>
              <w:lastRenderedPageBreak/>
              <w:t>Не се приема</w:t>
            </w:r>
          </w:p>
        </w:tc>
        <w:tc>
          <w:tcPr>
            <w:tcW w:w="4422" w:type="dxa"/>
            <w:tcBorders>
              <w:top w:val="nil"/>
              <w:bottom w:val="single" w:sz="18" w:space="0" w:color="2E74B5"/>
            </w:tcBorders>
            <w:shd w:val="clear" w:color="auto" w:fill="auto"/>
          </w:tcPr>
          <w:p w:rsidR="00E97FA9" w:rsidRPr="00641A81" w:rsidRDefault="00114415" w:rsidP="00641A81">
            <w:pPr>
              <w:spacing w:before="40" w:after="20"/>
              <w:jc w:val="both"/>
              <w:rPr>
                <w:rFonts w:ascii="Verdana" w:hAnsi="Verdana"/>
                <w:spacing w:val="4"/>
                <w:sz w:val="20"/>
                <w:szCs w:val="20"/>
              </w:rPr>
            </w:pPr>
            <w:r w:rsidRPr="00641A81">
              <w:rPr>
                <w:rFonts w:ascii="Verdana" w:hAnsi="Verdana"/>
                <w:color w:val="000000"/>
                <w:spacing w:val="4"/>
                <w:sz w:val="20"/>
                <w:szCs w:val="20"/>
              </w:rPr>
              <w:t>П</w:t>
            </w:r>
            <w:r w:rsidR="00641A81" w:rsidRPr="00641A81">
              <w:rPr>
                <w:rFonts w:ascii="Verdana" w:hAnsi="Verdana"/>
                <w:color w:val="000000"/>
                <w:spacing w:val="4"/>
                <w:sz w:val="20"/>
                <w:szCs w:val="20"/>
              </w:rPr>
              <w:t>роектът на П</w:t>
            </w:r>
            <w:r w:rsidRPr="00641A81">
              <w:rPr>
                <w:rFonts w:ascii="Verdana" w:hAnsi="Verdana"/>
                <w:color w:val="000000"/>
                <w:spacing w:val="4"/>
                <w:sz w:val="20"/>
                <w:szCs w:val="20"/>
              </w:rPr>
              <w:t>остановление за изм</w:t>
            </w:r>
            <w:r w:rsidRPr="00641A81">
              <w:rPr>
                <w:rFonts w:ascii="Verdana" w:hAnsi="Verdana"/>
                <w:color w:val="000000"/>
                <w:spacing w:val="4"/>
                <w:sz w:val="20"/>
                <w:szCs w:val="20"/>
              </w:rPr>
              <w:t>е</w:t>
            </w:r>
            <w:r w:rsidRPr="00641A81">
              <w:rPr>
                <w:rFonts w:ascii="Verdana" w:hAnsi="Verdana"/>
                <w:color w:val="000000"/>
                <w:spacing w:val="4"/>
                <w:sz w:val="20"/>
                <w:szCs w:val="20"/>
              </w:rPr>
              <w:t>нение и допълнение на Наредбата за определяне на критериите за необл</w:t>
            </w:r>
            <w:r w:rsidRPr="00641A81">
              <w:rPr>
                <w:rFonts w:ascii="Verdana" w:hAnsi="Verdana"/>
                <w:color w:val="000000"/>
                <w:spacing w:val="4"/>
                <w:sz w:val="20"/>
                <w:szCs w:val="20"/>
              </w:rPr>
              <w:t>а</w:t>
            </w:r>
            <w:r w:rsidRPr="00641A81">
              <w:rPr>
                <w:rFonts w:ascii="Verdana" w:hAnsi="Verdana"/>
                <w:color w:val="000000"/>
                <w:spacing w:val="4"/>
                <w:sz w:val="20"/>
                <w:szCs w:val="20"/>
              </w:rPr>
              <w:lastRenderedPageBreak/>
              <w:t>годетелстваните райони и територ</w:t>
            </w:r>
            <w:r w:rsidRPr="00641A81">
              <w:rPr>
                <w:rFonts w:ascii="Verdana" w:hAnsi="Verdana"/>
                <w:color w:val="000000"/>
                <w:spacing w:val="4"/>
                <w:sz w:val="20"/>
                <w:szCs w:val="20"/>
              </w:rPr>
              <w:t>и</w:t>
            </w:r>
            <w:r w:rsidRPr="00641A81">
              <w:rPr>
                <w:rFonts w:ascii="Verdana" w:hAnsi="Verdana"/>
                <w:color w:val="000000"/>
                <w:spacing w:val="4"/>
                <w:sz w:val="20"/>
                <w:szCs w:val="20"/>
              </w:rPr>
              <w:t>алния им обхват, приета с Постано</w:t>
            </w:r>
            <w:r w:rsidRPr="00641A81">
              <w:rPr>
                <w:rFonts w:ascii="Verdana" w:hAnsi="Verdana"/>
                <w:color w:val="000000"/>
                <w:spacing w:val="4"/>
                <w:sz w:val="20"/>
                <w:szCs w:val="20"/>
              </w:rPr>
              <w:t>в</w:t>
            </w:r>
            <w:r w:rsidRPr="00641A81">
              <w:rPr>
                <w:rFonts w:ascii="Verdana" w:hAnsi="Verdana"/>
                <w:color w:val="000000"/>
                <w:spacing w:val="4"/>
                <w:sz w:val="20"/>
                <w:szCs w:val="20"/>
              </w:rPr>
              <w:t>ление № 30 на Министерския съвет от 2008 г. (</w:t>
            </w:r>
            <w:proofErr w:type="spellStart"/>
            <w:r w:rsidRPr="00641A81">
              <w:rPr>
                <w:rFonts w:ascii="Verdana" w:hAnsi="Verdana"/>
                <w:color w:val="000000"/>
                <w:spacing w:val="4"/>
                <w:sz w:val="20"/>
                <w:szCs w:val="20"/>
              </w:rPr>
              <w:t>обн</w:t>
            </w:r>
            <w:proofErr w:type="spellEnd"/>
            <w:r w:rsidRPr="00641A81">
              <w:rPr>
                <w:rFonts w:ascii="Verdana" w:hAnsi="Verdana"/>
                <w:color w:val="000000"/>
                <w:spacing w:val="4"/>
                <w:sz w:val="20"/>
                <w:szCs w:val="20"/>
              </w:rPr>
              <w:t xml:space="preserve">., </w:t>
            </w:r>
            <w:proofErr w:type="spellStart"/>
            <w:r w:rsidRPr="00641A81">
              <w:rPr>
                <w:rFonts w:ascii="Verdana" w:hAnsi="Verdana"/>
                <w:color w:val="000000"/>
                <w:spacing w:val="4"/>
                <w:sz w:val="20"/>
                <w:szCs w:val="20"/>
              </w:rPr>
              <w:t>дв</w:t>
            </w:r>
            <w:proofErr w:type="spellEnd"/>
            <w:r w:rsidRPr="00641A81">
              <w:rPr>
                <w:rFonts w:ascii="Verdana" w:hAnsi="Verdana"/>
                <w:color w:val="000000"/>
                <w:spacing w:val="4"/>
                <w:sz w:val="20"/>
                <w:szCs w:val="20"/>
              </w:rPr>
              <w:t>, бр. 20 от 2008 г., изм. и доп., бр. 53 от 2011 г.), в ко</w:t>
            </w:r>
            <w:r w:rsidRPr="00641A81">
              <w:rPr>
                <w:rFonts w:ascii="Verdana" w:hAnsi="Verdana"/>
                <w:color w:val="000000"/>
                <w:spacing w:val="4"/>
                <w:sz w:val="20"/>
                <w:szCs w:val="20"/>
              </w:rPr>
              <w:t>й</w:t>
            </w:r>
            <w:r w:rsidRPr="00641A81">
              <w:rPr>
                <w:rFonts w:ascii="Verdana" w:hAnsi="Verdana"/>
                <w:color w:val="000000"/>
                <w:spacing w:val="4"/>
                <w:sz w:val="20"/>
                <w:szCs w:val="20"/>
              </w:rPr>
              <w:t>то е включен новият обхват на рай</w:t>
            </w:r>
            <w:r w:rsidRPr="00641A81">
              <w:rPr>
                <w:rFonts w:ascii="Verdana" w:hAnsi="Verdana"/>
                <w:color w:val="000000"/>
                <w:spacing w:val="4"/>
                <w:sz w:val="20"/>
                <w:szCs w:val="20"/>
              </w:rPr>
              <w:t>о</w:t>
            </w:r>
            <w:r w:rsidRPr="00641A81">
              <w:rPr>
                <w:rFonts w:ascii="Verdana" w:hAnsi="Verdana"/>
                <w:color w:val="000000"/>
                <w:spacing w:val="4"/>
                <w:sz w:val="20"/>
                <w:szCs w:val="20"/>
              </w:rPr>
              <w:t>ните с природни ограничения, ра</w:t>
            </w:r>
            <w:r w:rsidRPr="00641A81">
              <w:rPr>
                <w:rFonts w:ascii="Verdana" w:hAnsi="Verdana"/>
                <w:color w:val="000000"/>
                <w:spacing w:val="4"/>
                <w:sz w:val="20"/>
                <w:szCs w:val="20"/>
              </w:rPr>
              <w:t>з</w:t>
            </w:r>
            <w:r w:rsidRPr="00641A81">
              <w:rPr>
                <w:rFonts w:ascii="Verdana" w:hAnsi="Verdana"/>
                <w:color w:val="000000"/>
                <w:spacing w:val="4"/>
                <w:sz w:val="20"/>
                <w:szCs w:val="20"/>
              </w:rPr>
              <w:t>лични от планински</w:t>
            </w:r>
            <w:r w:rsidR="00641A81" w:rsidRPr="00641A81">
              <w:rPr>
                <w:rFonts w:ascii="Verdana" w:hAnsi="Verdana"/>
                <w:color w:val="000000"/>
                <w:spacing w:val="4"/>
                <w:sz w:val="20"/>
                <w:szCs w:val="20"/>
              </w:rPr>
              <w:t>те, е качен на П</w:t>
            </w:r>
            <w:r w:rsidRPr="00641A81">
              <w:rPr>
                <w:rFonts w:ascii="Verdana" w:hAnsi="Verdana"/>
                <w:color w:val="000000"/>
                <w:spacing w:val="4"/>
                <w:sz w:val="20"/>
                <w:szCs w:val="20"/>
              </w:rPr>
              <w:t xml:space="preserve">ортала за обществена консултация и на </w:t>
            </w:r>
            <w:r w:rsidR="00641A81">
              <w:rPr>
                <w:rFonts w:ascii="Verdana" w:hAnsi="Verdana"/>
                <w:color w:val="000000"/>
                <w:spacing w:val="4"/>
                <w:sz w:val="20"/>
                <w:szCs w:val="20"/>
              </w:rPr>
              <w:t xml:space="preserve">интернет </w:t>
            </w:r>
            <w:r w:rsidRPr="00641A81">
              <w:rPr>
                <w:rFonts w:ascii="Verdana" w:hAnsi="Verdana"/>
                <w:color w:val="000000"/>
                <w:spacing w:val="4"/>
                <w:sz w:val="20"/>
                <w:szCs w:val="20"/>
              </w:rPr>
              <w:t>страницата на Министе</w:t>
            </w:r>
            <w:r w:rsidRPr="00641A81">
              <w:rPr>
                <w:rFonts w:ascii="Verdana" w:hAnsi="Verdana"/>
                <w:color w:val="000000"/>
                <w:spacing w:val="4"/>
                <w:sz w:val="20"/>
                <w:szCs w:val="20"/>
              </w:rPr>
              <w:t>р</w:t>
            </w:r>
            <w:r w:rsidRPr="00641A81">
              <w:rPr>
                <w:rFonts w:ascii="Verdana" w:hAnsi="Verdana"/>
                <w:color w:val="000000"/>
                <w:spacing w:val="4"/>
                <w:sz w:val="20"/>
                <w:szCs w:val="20"/>
              </w:rPr>
              <w:t>ство на земеделието, храните и</w:t>
            </w:r>
            <w:r w:rsidR="00641A81" w:rsidRPr="00641A81">
              <w:rPr>
                <w:rFonts w:ascii="Verdana" w:hAnsi="Verdana"/>
                <w:color w:val="000000"/>
                <w:spacing w:val="4"/>
                <w:sz w:val="20"/>
                <w:szCs w:val="20"/>
              </w:rPr>
              <w:t xml:space="preserve"> гор</w:t>
            </w:r>
            <w:r w:rsidR="00641A81" w:rsidRPr="00641A81">
              <w:rPr>
                <w:rFonts w:ascii="Verdana" w:hAnsi="Verdana"/>
                <w:color w:val="000000"/>
                <w:spacing w:val="4"/>
                <w:sz w:val="20"/>
                <w:szCs w:val="20"/>
              </w:rPr>
              <w:t>и</w:t>
            </w:r>
            <w:r w:rsidR="00641A81" w:rsidRPr="00641A81">
              <w:rPr>
                <w:rFonts w:ascii="Verdana" w:hAnsi="Verdana"/>
                <w:color w:val="000000"/>
                <w:spacing w:val="4"/>
                <w:sz w:val="20"/>
                <w:szCs w:val="20"/>
              </w:rPr>
              <w:t>те на 15.01.2020 г. за 30-</w:t>
            </w:r>
            <w:r w:rsidRPr="00641A81">
              <w:rPr>
                <w:rFonts w:ascii="Verdana" w:hAnsi="Verdana"/>
                <w:color w:val="000000"/>
                <w:spacing w:val="4"/>
                <w:sz w:val="20"/>
                <w:szCs w:val="20"/>
              </w:rPr>
              <w:t xml:space="preserve">дневен срок на обсъждане. С </w:t>
            </w:r>
            <w:r w:rsidR="001B46FC" w:rsidRPr="00641A81">
              <w:rPr>
                <w:rFonts w:ascii="Verdana" w:hAnsi="Verdana"/>
                <w:color w:val="000000"/>
                <w:spacing w:val="4"/>
                <w:sz w:val="20"/>
                <w:szCs w:val="20"/>
              </w:rPr>
              <w:t>Постановление</w:t>
            </w:r>
            <w:r w:rsidR="00641A81" w:rsidRPr="00641A81">
              <w:rPr>
                <w:rFonts w:ascii="Verdana" w:hAnsi="Verdana"/>
                <w:color w:val="000000"/>
                <w:spacing w:val="4"/>
                <w:sz w:val="20"/>
                <w:szCs w:val="20"/>
              </w:rPr>
              <w:t xml:space="preserve"> № 25</w:t>
            </w:r>
            <w:r w:rsidRPr="00641A81">
              <w:rPr>
                <w:rFonts w:ascii="Verdana" w:hAnsi="Verdana"/>
                <w:color w:val="000000"/>
                <w:spacing w:val="4"/>
                <w:sz w:val="20"/>
                <w:szCs w:val="20"/>
              </w:rPr>
              <w:t xml:space="preserve"> на Министерски</w:t>
            </w:r>
            <w:r w:rsidR="00641A81" w:rsidRPr="00641A81">
              <w:rPr>
                <w:rFonts w:ascii="Verdana" w:hAnsi="Verdana"/>
                <w:color w:val="000000"/>
                <w:spacing w:val="4"/>
                <w:sz w:val="20"/>
                <w:szCs w:val="20"/>
              </w:rPr>
              <w:t>я</w:t>
            </w:r>
            <w:r w:rsidRPr="00641A81">
              <w:rPr>
                <w:rFonts w:ascii="Verdana" w:hAnsi="Verdana"/>
                <w:color w:val="000000"/>
                <w:spacing w:val="4"/>
                <w:sz w:val="20"/>
                <w:szCs w:val="20"/>
              </w:rPr>
              <w:t xml:space="preserve"> съвет от 2020 г. е прието изме</w:t>
            </w:r>
            <w:r w:rsidR="00641A81">
              <w:rPr>
                <w:rFonts w:ascii="Verdana" w:hAnsi="Verdana"/>
                <w:color w:val="000000"/>
                <w:spacing w:val="4"/>
                <w:sz w:val="20"/>
                <w:szCs w:val="20"/>
              </w:rPr>
              <w:t>нение и допълнение</w:t>
            </w:r>
            <w:r w:rsidRPr="00641A81">
              <w:rPr>
                <w:rFonts w:ascii="Verdana" w:hAnsi="Verdana"/>
                <w:color w:val="000000"/>
                <w:spacing w:val="4"/>
                <w:sz w:val="20"/>
                <w:szCs w:val="20"/>
              </w:rPr>
              <w:t xml:space="preserve"> на Наредбата за определяне на критер</w:t>
            </w:r>
            <w:r w:rsidRPr="00641A81">
              <w:rPr>
                <w:rFonts w:ascii="Verdana" w:hAnsi="Verdana"/>
                <w:color w:val="000000"/>
                <w:spacing w:val="4"/>
                <w:sz w:val="20"/>
                <w:szCs w:val="20"/>
              </w:rPr>
              <w:t>и</w:t>
            </w:r>
            <w:r w:rsidRPr="00641A81">
              <w:rPr>
                <w:rFonts w:ascii="Verdana" w:hAnsi="Verdana"/>
                <w:color w:val="000000"/>
                <w:spacing w:val="4"/>
                <w:sz w:val="20"/>
                <w:szCs w:val="20"/>
              </w:rPr>
              <w:t xml:space="preserve">ите за необлагодетелстваните райони и териториалния им обхват. </w:t>
            </w:r>
            <w:r w:rsidR="00641A81" w:rsidRPr="00641A81">
              <w:rPr>
                <w:rFonts w:ascii="Verdana" w:hAnsi="Verdana"/>
                <w:color w:val="000000"/>
                <w:spacing w:val="4"/>
                <w:sz w:val="20"/>
                <w:szCs w:val="20"/>
              </w:rPr>
              <w:t>Пост</w:t>
            </w:r>
            <w:r w:rsidR="00641A81" w:rsidRPr="00641A81">
              <w:rPr>
                <w:rFonts w:ascii="Verdana" w:hAnsi="Verdana"/>
                <w:color w:val="000000"/>
                <w:spacing w:val="4"/>
                <w:sz w:val="20"/>
                <w:szCs w:val="20"/>
              </w:rPr>
              <w:t>а</w:t>
            </w:r>
            <w:r w:rsidR="00641A81" w:rsidRPr="00641A81">
              <w:rPr>
                <w:rFonts w:ascii="Verdana" w:hAnsi="Verdana"/>
                <w:color w:val="000000"/>
                <w:spacing w:val="4"/>
                <w:sz w:val="20"/>
                <w:szCs w:val="20"/>
              </w:rPr>
              <w:t>новлението</w:t>
            </w:r>
            <w:r w:rsidRPr="00641A81">
              <w:rPr>
                <w:rFonts w:ascii="Verdana" w:hAnsi="Verdana"/>
                <w:color w:val="000000"/>
                <w:spacing w:val="4"/>
                <w:sz w:val="20"/>
                <w:szCs w:val="20"/>
              </w:rPr>
              <w:t xml:space="preserve"> е обнародван</w:t>
            </w:r>
            <w:r w:rsidR="00641A81" w:rsidRPr="00641A81">
              <w:rPr>
                <w:rFonts w:ascii="Verdana" w:hAnsi="Verdana"/>
                <w:color w:val="000000"/>
                <w:spacing w:val="4"/>
                <w:sz w:val="20"/>
                <w:szCs w:val="20"/>
              </w:rPr>
              <w:t>о</w:t>
            </w:r>
            <w:r w:rsidRPr="00641A81">
              <w:rPr>
                <w:spacing w:val="4"/>
              </w:rPr>
              <w:t xml:space="preserve"> </w:t>
            </w:r>
            <w:r w:rsidR="00641A81" w:rsidRPr="00641A81">
              <w:rPr>
                <w:rFonts w:ascii="Verdana" w:hAnsi="Verdana"/>
                <w:color w:val="000000"/>
                <w:spacing w:val="4"/>
                <w:sz w:val="20"/>
                <w:szCs w:val="20"/>
              </w:rPr>
              <w:t>в</w:t>
            </w:r>
            <w:r w:rsidRPr="00641A81">
              <w:rPr>
                <w:rFonts w:ascii="Verdana" w:hAnsi="Verdana"/>
                <w:color w:val="000000"/>
                <w:spacing w:val="4"/>
                <w:sz w:val="20"/>
                <w:szCs w:val="20"/>
              </w:rPr>
              <w:t xml:space="preserve"> б</w:t>
            </w:r>
            <w:r w:rsidR="00641A81" w:rsidRPr="00641A81">
              <w:rPr>
                <w:rFonts w:ascii="Verdana" w:hAnsi="Verdana"/>
                <w:color w:val="000000"/>
                <w:spacing w:val="4"/>
                <w:sz w:val="20"/>
                <w:szCs w:val="20"/>
              </w:rPr>
              <w:t>рой 16 на Държавен вестник от 24.2.2020 г</w:t>
            </w:r>
            <w:r w:rsidRPr="00641A81">
              <w:rPr>
                <w:rFonts w:ascii="Verdana" w:hAnsi="Verdana"/>
                <w:color w:val="000000"/>
                <w:spacing w:val="4"/>
                <w:sz w:val="20"/>
                <w:szCs w:val="20"/>
              </w:rPr>
              <w:t>.</w:t>
            </w:r>
          </w:p>
        </w:tc>
      </w:tr>
    </w:tbl>
    <w:p w:rsidR="008D64AA" w:rsidRPr="00710725" w:rsidRDefault="008D64AA" w:rsidP="00133358">
      <w:pPr>
        <w:rPr>
          <w:rFonts w:ascii="Verdana" w:hAnsi="Verdana"/>
          <w:smallCaps/>
          <w:color w:val="000000"/>
          <w:sz w:val="20"/>
          <w:szCs w:val="20"/>
          <w:lang w:eastAsia="en-US"/>
        </w:rPr>
      </w:pPr>
    </w:p>
    <w:p w:rsidR="00FF32AE" w:rsidRPr="00710725" w:rsidRDefault="00FF32AE" w:rsidP="00133358">
      <w:pPr>
        <w:rPr>
          <w:rFonts w:ascii="Verdana" w:hAnsi="Verdana"/>
          <w:smallCaps/>
          <w:color w:val="000000"/>
          <w:sz w:val="20"/>
          <w:szCs w:val="20"/>
          <w:lang w:eastAsia="en-US"/>
        </w:rPr>
      </w:pPr>
    </w:p>
    <w:p w:rsidR="008E14A9" w:rsidRPr="008C7156" w:rsidRDefault="008E14A9" w:rsidP="00133358">
      <w:pPr>
        <w:rPr>
          <w:rFonts w:ascii="Verdana" w:hAnsi="Verdana"/>
          <w:smallCaps/>
          <w:color w:val="000000"/>
          <w:sz w:val="20"/>
          <w:szCs w:val="20"/>
          <w:lang w:val="ru-RU" w:eastAsia="en-US"/>
        </w:rPr>
      </w:pPr>
    </w:p>
    <w:p w:rsidR="008C7156" w:rsidRPr="008C7156" w:rsidRDefault="008C7156" w:rsidP="00133358">
      <w:pPr>
        <w:rPr>
          <w:rFonts w:ascii="Verdana" w:hAnsi="Verdana"/>
          <w:smallCaps/>
          <w:color w:val="000000"/>
          <w:sz w:val="20"/>
          <w:szCs w:val="20"/>
          <w:lang w:val="ru-RU" w:eastAsia="en-US"/>
        </w:rPr>
      </w:pPr>
    </w:p>
    <w:p w:rsidR="008D64AA" w:rsidRPr="001B46FC" w:rsidRDefault="008D64AA" w:rsidP="008543B8">
      <w:pPr>
        <w:ind w:firstLine="426"/>
        <w:rPr>
          <w:rFonts w:ascii="Verdana" w:hAnsi="Verdana"/>
          <w:smallCaps/>
          <w:color w:val="000000"/>
          <w:sz w:val="20"/>
          <w:szCs w:val="20"/>
          <w:lang w:val="ru-RU" w:eastAsia="en-US"/>
        </w:rPr>
      </w:pPr>
    </w:p>
    <w:p w:rsidR="00F14E0D" w:rsidRPr="001B46FC" w:rsidRDefault="00F14E0D" w:rsidP="008543B8">
      <w:pPr>
        <w:ind w:firstLine="426"/>
        <w:rPr>
          <w:rFonts w:ascii="Verdana" w:hAnsi="Verdana"/>
          <w:smallCaps/>
          <w:color w:val="000000"/>
          <w:sz w:val="20"/>
          <w:szCs w:val="20"/>
          <w:lang w:val="ru-RU" w:eastAsia="en-US"/>
        </w:rPr>
      </w:pPr>
    </w:p>
    <w:sectPr w:rsidR="00F14E0D" w:rsidRPr="001B46FC" w:rsidSect="003A2630">
      <w:headerReference w:type="default" r:id="rId9"/>
      <w:footerReference w:type="even" r:id="rId10"/>
      <w:footerReference w:type="default" r:id="rId11"/>
      <w:pgSz w:w="16838" w:h="11906" w:orient="landscape" w:code="9"/>
      <w:pgMar w:top="1843"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7B" w:rsidRDefault="00C72C7B">
      <w:r>
        <w:separator/>
      </w:r>
    </w:p>
  </w:endnote>
  <w:endnote w:type="continuationSeparator" w:id="0">
    <w:p w:rsidR="00C72C7B" w:rsidRDefault="00C7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48486"/>
      <w:docPartObj>
        <w:docPartGallery w:val="Page Numbers (Bottom of Page)"/>
        <w:docPartUnique/>
      </w:docPartObj>
    </w:sdtPr>
    <w:sdtEndPr>
      <w:rPr>
        <w:rFonts w:ascii="Verdana" w:hAnsi="Verdana"/>
        <w:noProof/>
        <w:sz w:val="16"/>
        <w:szCs w:val="16"/>
      </w:rPr>
    </w:sdtEndPr>
    <w:sdtContent>
      <w:p w:rsidR="00046C3E" w:rsidRPr="007613B0" w:rsidRDefault="007613B0" w:rsidP="007613B0">
        <w:pPr>
          <w:pStyle w:val="Footer"/>
          <w:jc w:val="right"/>
          <w:rPr>
            <w:rFonts w:ascii="Verdana" w:hAnsi="Verdana"/>
            <w:sz w:val="16"/>
            <w:szCs w:val="16"/>
          </w:rPr>
        </w:pPr>
        <w:r w:rsidRPr="007613B0">
          <w:rPr>
            <w:rFonts w:ascii="Verdana" w:hAnsi="Verdana"/>
            <w:sz w:val="16"/>
            <w:szCs w:val="16"/>
          </w:rPr>
          <w:fldChar w:fldCharType="begin"/>
        </w:r>
        <w:r w:rsidRPr="007613B0">
          <w:rPr>
            <w:rFonts w:ascii="Verdana" w:hAnsi="Verdana"/>
            <w:sz w:val="16"/>
            <w:szCs w:val="16"/>
          </w:rPr>
          <w:instrText xml:space="preserve"> PAGE   \* MERGEFORMAT </w:instrText>
        </w:r>
        <w:r w:rsidRPr="007613B0">
          <w:rPr>
            <w:rFonts w:ascii="Verdana" w:hAnsi="Verdana"/>
            <w:sz w:val="16"/>
            <w:szCs w:val="16"/>
          </w:rPr>
          <w:fldChar w:fldCharType="separate"/>
        </w:r>
        <w:r w:rsidR="003A2630">
          <w:rPr>
            <w:rFonts w:ascii="Verdana" w:hAnsi="Verdana"/>
            <w:noProof/>
            <w:sz w:val="16"/>
            <w:szCs w:val="16"/>
          </w:rPr>
          <w:t>4</w:t>
        </w:r>
        <w:r w:rsidRPr="007613B0">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7B" w:rsidRDefault="00C72C7B">
      <w:r>
        <w:separator/>
      </w:r>
    </w:p>
  </w:footnote>
  <w:footnote w:type="continuationSeparator" w:id="0">
    <w:p w:rsidR="00C72C7B" w:rsidRDefault="00C7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28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577E"/>
    <w:rsid w:val="00016086"/>
    <w:rsid w:val="00020062"/>
    <w:rsid w:val="000200AF"/>
    <w:rsid w:val="000201C6"/>
    <w:rsid w:val="0002348E"/>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2C56"/>
    <w:rsid w:val="00075594"/>
    <w:rsid w:val="0008079F"/>
    <w:rsid w:val="00082171"/>
    <w:rsid w:val="00084700"/>
    <w:rsid w:val="000902D1"/>
    <w:rsid w:val="00090401"/>
    <w:rsid w:val="00091E5A"/>
    <w:rsid w:val="000937D4"/>
    <w:rsid w:val="000937F5"/>
    <w:rsid w:val="000953A8"/>
    <w:rsid w:val="00097783"/>
    <w:rsid w:val="000A1017"/>
    <w:rsid w:val="000A228F"/>
    <w:rsid w:val="000A30BF"/>
    <w:rsid w:val="000A3E16"/>
    <w:rsid w:val="000B298E"/>
    <w:rsid w:val="000B2EB1"/>
    <w:rsid w:val="000B3D5F"/>
    <w:rsid w:val="000B6D57"/>
    <w:rsid w:val="000C0295"/>
    <w:rsid w:val="000C036A"/>
    <w:rsid w:val="000C12D7"/>
    <w:rsid w:val="000C197E"/>
    <w:rsid w:val="000C46A7"/>
    <w:rsid w:val="000C5E61"/>
    <w:rsid w:val="000C7CB3"/>
    <w:rsid w:val="000D1626"/>
    <w:rsid w:val="000D3F6C"/>
    <w:rsid w:val="000D4198"/>
    <w:rsid w:val="000D54C8"/>
    <w:rsid w:val="000D7417"/>
    <w:rsid w:val="000E04DF"/>
    <w:rsid w:val="000E3570"/>
    <w:rsid w:val="000E38E0"/>
    <w:rsid w:val="000F0059"/>
    <w:rsid w:val="000F02C5"/>
    <w:rsid w:val="000F2C2C"/>
    <w:rsid w:val="000F31C8"/>
    <w:rsid w:val="000F3490"/>
    <w:rsid w:val="000F73D3"/>
    <w:rsid w:val="0010687D"/>
    <w:rsid w:val="001143E4"/>
    <w:rsid w:val="00114415"/>
    <w:rsid w:val="0011484F"/>
    <w:rsid w:val="00115EDD"/>
    <w:rsid w:val="00120ABA"/>
    <w:rsid w:val="001268EF"/>
    <w:rsid w:val="00132E3D"/>
    <w:rsid w:val="00133358"/>
    <w:rsid w:val="00133A14"/>
    <w:rsid w:val="00134E1D"/>
    <w:rsid w:val="00135AE2"/>
    <w:rsid w:val="0013629D"/>
    <w:rsid w:val="00141BFB"/>
    <w:rsid w:val="00144034"/>
    <w:rsid w:val="001440FE"/>
    <w:rsid w:val="0014437A"/>
    <w:rsid w:val="00152AD1"/>
    <w:rsid w:val="00155CAF"/>
    <w:rsid w:val="00163AE2"/>
    <w:rsid w:val="0016598D"/>
    <w:rsid w:val="0016599E"/>
    <w:rsid w:val="00165DAB"/>
    <w:rsid w:val="001668E1"/>
    <w:rsid w:val="00167658"/>
    <w:rsid w:val="00175004"/>
    <w:rsid w:val="00176D23"/>
    <w:rsid w:val="00177AA6"/>
    <w:rsid w:val="001808B4"/>
    <w:rsid w:val="0018509E"/>
    <w:rsid w:val="001948B0"/>
    <w:rsid w:val="001A0680"/>
    <w:rsid w:val="001A57F5"/>
    <w:rsid w:val="001A6CA1"/>
    <w:rsid w:val="001B43CF"/>
    <w:rsid w:val="001B4686"/>
    <w:rsid w:val="001B46FC"/>
    <w:rsid w:val="001B4CD8"/>
    <w:rsid w:val="001D362A"/>
    <w:rsid w:val="001D3DE1"/>
    <w:rsid w:val="001E398B"/>
    <w:rsid w:val="001E4FE9"/>
    <w:rsid w:val="001E64F2"/>
    <w:rsid w:val="001F0567"/>
    <w:rsid w:val="001F1F60"/>
    <w:rsid w:val="001F314D"/>
    <w:rsid w:val="0020103A"/>
    <w:rsid w:val="00201455"/>
    <w:rsid w:val="00206678"/>
    <w:rsid w:val="0021035B"/>
    <w:rsid w:val="00212D43"/>
    <w:rsid w:val="00213781"/>
    <w:rsid w:val="00214B75"/>
    <w:rsid w:val="00215178"/>
    <w:rsid w:val="00221143"/>
    <w:rsid w:val="002217C0"/>
    <w:rsid w:val="00221B68"/>
    <w:rsid w:val="00230E0E"/>
    <w:rsid w:val="002312A3"/>
    <w:rsid w:val="00233C04"/>
    <w:rsid w:val="002348DC"/>
    <w:rsid w:val="002369C8"/>
    <w:rsid w:val="002375B3"/>
    <w:rsid w:val="00237A17"/>
    <w:rsid w:val="00241F4C"/>
    <w:rsid w:val="00243442"/>
    <w:rsid w:val="0024444A"/>
    <w:rsid w:val="00245270"/>
    <w:rsid w:val="00247622"/>
    <w:rsid w:val="002536A8"/>
    <w:rsid w:val="00257983"/>
    <w:rsid w:val="00260F55"/>
    <w:rsid w:val="002632C1"/>
    <w:rsid w:val="00263E76"/>
    <w:rsid w:val="002640E1"/>
    <w:rsid w:val="002670AA"/>
    <w:rsid w:val="0027210E"/>
    <w:rsid w:val="00272EE3"/>
    <w:rsid w:val="00273219"/>
    <w:rsid w:val="00275375"/>
    <w:rsid w:val="00277990"/>
    <w:rsid w:val="002804CF"/>
    <w:rsid w:val="00282A08"/>
    <w:rsid w:val="002900C5"/>
    <w:rsid w:val="00293CA6"/>
    <w:rsid w:val="0029482B"/>
    <w:rsid w:val="00295B2B"/>
    <w:rsid w:val="002964C1"/>
    <w:rsid w:val="002A051B"/>
    <w:rsid w:val="002A05D9"/>
    <w:rsid w:val="002A0706"/>
    <w:rsid w:val="002A0C5D"/>
    <w:rsid w:val="002A3B76"/>
    <w:rsid w:val="002A5448"/>
    <w:rsid w:val="002A59D9"/>
    <w:rsid w:val="002A5A11"/>
    <w:rsid w:val="002A67D5"/>
    <w:rsid w:val="002B2610"/>
    <w:rsid w:val="002C03AF"/>
    <w:rsid w:val="002C2CD6"/>
    <w:rsid w:val="002C5843"/>
    <w:rsid w:val="002C5E6A"/>
    <w:rsid w:val="002C7F10"/>
    <w:rsid w:val="002D083C"/>
    <w:rsid w:val="002D2176"/>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D31"/>
    <w:rsid w:val="00314F63"/>
    <w:rsid w:val="003154C2"/>
    <w:rsid w:val="00316618"/>
    <w:rsid w:val="00321BD0"/>
    <w:rsid w:val="00326B58"/>
    <w:rsid w:val="003336CE"/>
    <w:rsid w:val="00333BD7"/>
    <w:rsid w:val="003412C2"/>
    <w:rsid w:val="00345113"/>
    <w:rsid w:val="00346856"/>
    <w:rsid w:val="00351063"/>
    <w:rsid w:val="003640F0"/>
    <w:rsid w:val="0037191E"/>
    <w:rsid w:val="00377A96"/>
    <w:rsid w:val="00377FE2"/>
    <w:rsid w:val="00384B8B"/>
    <w:rsid w:val="00387130"/>
    <w:rsid w:val="00387162"/>
    <w:rsid w:val="00395655"/>
    <w:rsid w:val="003A060F"/>
    <w:rsid w:val="003A2630"/>
    <w:rsid w:val="003B0380"/>
    <w:rsid w:val="003C1F1E"/>
    <w:rsid w:val="003C563D"/>
    <w:rsid w:val="003C5C7B"/>
    <w:rsid w:val="003D60B6"/>
    <w:rsid w:val="003D6231"/>
    <w:rsid w:val="003D71A3"/>
    <w:rsid w:val="003E361D"/>
    <w:rsid w:val="003F2026"/>
    <w:rsid w:val="003F3728"/>
    <w:rsid w:val="003F7612"/>
    <w:rsid w:val="003F7CD4"/>
    <w:rsid w:val="00404BCC"/>
    <w:rsid w:val="00406DF4"/>
    <w:rsid w:val="00407815"/>
    <w:rsid w:val="00414F26"/>
    <w:rsid w:val="00415D7B"/>
    <w:rsid w:val="00417315"/>
    <w:rsid w:val="00420A7D"/>
    <w:rsid w:val="00420F8B"/>
    <w:rsid w:val="004224CD"/>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C28"/>
    <w:rsid w:val="00453E85"/>
    <w:rsid w:val="00455D0B"/>
    <w:rsid w:val="004568F8"/>
    <w:rsid w:val="0046759A"/>
    <w:rsid w:val="00467C52"/>
    <w:rsid w:val="0047261C"/>
    <w:rsid w:val="004738F9"/>
    <w:rsid w:val="0047484F"/>
    <w:rsid w:val="004806C2"/>
    <w:rsid w:val="00487E51"/>
    <w:rsid w:val="00491B5B"/>
    <w:rsid w:val="00496618"/>
    <w:rsid w:val="00497730"/>
    <w:rsid w:val="004A0A82"/>
    <w:rsid w:val="004A207E"/>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D24E9"/>
    <w:rsid w:val="004D3191"/>
    <w:rsid w:val="004D3792"/>
    <w:rsid w:val="004D5E3A"/>
    <w:rsid w:val="004E0260"/>
    <w:rsid w:val="004E4897"/>
    <w:rsid w:val="004E6D10"/>
    <w:rsid w:val="004F17EA"/>
    <w:rsid w:val="004F2349"/>
    <w:rsid w:val="004F2974"/>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33A"/>
    <w:rsid w:val="00520903"/>
    <w:rsid w:val="00522F73"/>
    <w:rsid w:val="0052467D"/>
    <w:rsid w:val="00524AA8"/>
    <w:rsid w:val="005260B9"/>
    <w:rsid w:val="0053103C"/>
    <w:rsid w:val="00532E4B"/>
    <w:rsid w:val="00534E66"/>
    <w:rsid w:val="00540C53"/>
    <w:rsid w:val="00541C72"/>
    <w:rsid w:val="005424B9"/>
    <w:rsid w:val="00543E05"/>
    <w:rsid w:val="005462B1"/>
    <w:rsid w:val="005531AA"/>
    <w:rsid w:val="00554B28"/>
    <w:rsid w:val="00554CC1"/>
    <w:rsid w:val="00563FA3"/>
    <w:rsid w:val="005644C8"/>
    <w:rsid w:val="00564E98"/>
    <w:rsid w:val="00574D7A"/>
    <w:rsid w:val="005808D9"/>
    <w:rsid w:val="00583A7E"/>
    <w:rsid w:val="005913D0"/>
    <w:rsid w:val="00597D5D"/>
    <w:rsid w:val="005A338B"/>
    <w:rsid w:val="005A5DAE"/>
    <w:rsid w:val="005A6C42"/>
    <w:rsid w:val="005C280B"/>
    <w:rsid w:val="005C2DFD"/>
    <w:rsid w:val="005C43C6"/>
    <w:rsid w:val="005D06F0"/>
    <w:rsid w:val="005D094A"/>
    <w:rsid w:val="005D276C"/>
    <w:rsid w:val="005D3B47"/>
    <w:rsid w:val="005D5B4B"/>
    <w:rsid w:val="005D72C5"/>
    <w:rsid w:val="005D733F"/>
    <w:rsid w:val="005E08BD"/>
    <w:rsid w:val="005E0B66"/>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66FB"/>
    <w:rsid w:val="006369A7"/>
    <w:rsid w:val="0063730A"/>
    <w:rsid w:val="00641A81"/>
    <w:rsid w:val="00642470"/>
    <w:rsid w:val="00642D90"/>
    <w:rsid w:val="00644C7A"/>
    <w:rsid w:val="00645DFC"/>
    <w:rsid w:val="00656642"/>
    <w:rsid w:val="006712A6"/>
    <w:rsid w:val="00671E4E"/>
    <w:rsid w:val="0067456E"/>
    <w:rsid w:val="00675133"/>
    <w:rsid w:val="006802C1"/>
    <w:rsid w:val="00682FF4"/>
    <w:rsid w:val="00685979"/>
    <w:rsid w:val="00690FE6"/>
    <w:rsid w:val="00691BD4"/>
    <w:rsid w:val="00694141"/>
    <w:rsid w:val="0069425D"/>
    <w:rsid w:val="00697863"/>
    <w:rsid w:val="006A512F"/>
    <w:rsid w:val="006B4070"/>
    <w:rsid w:val="006D1F20"/>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2F57"/>
    <w:rsid w:val="006F33DD"/>
    <w:rsid w:val="006F35F8"/>
    <w:rsid w:val="006F3B76"/>
    <w:rsid w:val="006F6420"/>
    <w:rsid w:val="006F70E6"/>
    <w:rsid w:val="007045C7"/>
    <w:rsid w:val="00707A8E"/>
    <w:rsid w:val="00710725"/>
    <w:rsid w:val="0071354E"/>
    <w:rsid w:val="007160B3"/>
    <w:rsid w:val="00716B72"/>
    <w:rsid w:val="00720625"/>
    <w:rsid w:val="0072098B"/>
    <w:rsid w:val="00723D89"/>
    <w:rsid w:val="00731B88"/>
    <w:rsid w:val="00732DEB"/>
    <w:rsid w:val="007362EB"/>
    <w:rsid w:val="00736C03"/>
    <w:rsid w:val="00737BC4"/>
    <w:rsid w:val="00737D3E"/>
    <w:rsid w:val="007400BF"/>
    <w:rsid w:val="007423F8"/>
    <w:rsid w:val="007431DE"/>
    <w:rsid w:val="00745349"/>
    <w:rsid w:val="00745BC7"/>
    <w:rsid w:val="007516D1"/>
    <w:rsid w:val="0075213E"/>
    <w:rsid w:val="00756290"/>
    <w:rsid w:val="00756A19"/>
    <w:rsid w:val="0076108C"/>
    <w:rsid w:val="007613B0"/>
    <w:rsid w:val="00761B5E"/>
    <w:rsid w:val="0076408A"/>
    <w:rsid w:val="00774BE7"/>
    <w:rsid w:val="00777754"/>
    <w:rsid w:val="00781306"/>
    <w:rsid w:val="007836C8"/>
    <w:rsid w:val="00792182"/>
    <w:rsid w:val="007934F1"/>
    <w:rsid w:val="00794229"/>
    <w:rsid w:val="007966CE"/>
    <w:rsid w:val="007A1B6F"/>
    <w:rsid w:val="007A70FB"/>
    <w:rsid w:val="007B1141"/>
    <w:rsid w:val="007B24F7"/>
    <w:rsid w:val="007B3D33"/>
    <w:rsid w:val="007C6C8E"/>
    <w:rsid w:val="007D3694"/>
    <w:rsid w:val="007D6B06"/>
    <w:rsid w:val="007E249E"/>
    <w:rsid w:val="007E30E7"/>
    <w:rsid w:val="007E633B"/>
    <w:rsid w:val="007E6AD6"/>
    <w:rsid w:val="007F135A"/>
    <w:rsid w:val="007F390A"/>
    <w:rsid w:val="007F3A54"/>
    <w:rsid w:val="00801C67"/>
    <w:rsid w:val="0080232E"/>
    <w:rsid w:val="008038AF"/>
    <w:rsid w:val="00812789"/>
    <w:rsid w:val="00815723"/>
    <w:rsid w:val="00826F86"/>
    <w:rsid w:val="00831124"/>
    <w:rsid w:val="00831D3C"/>
    <w:rsid w:val="00831E9A"/>
    <w:rsid w:val="00833124"/>
    <w:rsid w:val="00833531"/>
    <w:rsid w:val="00842C8D"/>
    <w:rsid w:val="00844CC3"/>
    <w:rsid w:val="00845BC3"/>
    <w:rsid w:val="008476BF"/>
    <w:rsid w:val="00847CFC"/>
    <w:rsid w:val="008508D5"/>
    <w:rsid w:val="0085319B"/>
    <w:rsid w:val="008543B8"/>
    <w:rsid w:val="00854E7C"/>
    <w:rsid w:val="00855317"/>
    <w:rsid w:val="00855962"/>
    <w:rsid w:val="00857187"/>
    <w:rsid w:val="00860FE7"/>
    <w:rsid w:val="0086131E"/>
    <w:rsid w:val="00861CE5"/>
    <w:rsid w:val="0086226E"/>
    <w:rsid w:val="00864193"/>
    <w:rsid w:val="0086505F"/>
    <w:rsid w:val="00865EE3"/>
    <w:rsid w:val="0086600C"/>
    <w:rsid w:val="00866A8A"/>
    <w:rsid w:val="0086769D"/>
    <w:rsid w:val="00872A86"/>
    <w:rsid w:val="00874481"/>
    <w:rsid w:val="00875D88"/>
    <w:rsid w:val="00880C6A"/>
    <w:rsid w:val="00881967"/>
    <w:rsid w:val="008829FD"/>
    <w:rsid w:val="0089123B"/>
    <w:rsid w:val="00891BE7"/>
    <w:rsid w:val="00894946"/>
    <w:rsid w:val="008A00BC"/>
    <w:rsid w:val="008A0BCD"/>
    <w:rsid w:val="008A1687"/>
    <w:rsid w:val="008A2DF5"/>
    <w:rsid w:val="008A52D8"/>
    <w:rsid w:val="008A5E27"/>
    <w:rsid w:val="008A721D"/>
    <w:rsid w:val="008C0503"/>
    <w:rsid w:val="008C4A55"/>
    <w:rsid w:val="008C5E5E"/>
    <w:rsid w:val="008C7156"/>
    <w:rsid w:val="008D06FA"/>
    <w:rsid w:val="008D08F5"/>
    <w:rsid w:val="008D2350"/>
    <w:rsid w:val="008D56D6"/>
    <w:rsid w:val="008D579B"/>
    <w:rsid w:val="008D583E"/>
    <w:rsid w:val="008D64AA"/>
    <w:rsid w:val="008D6CE1"/>
    <w:rsid w:val="008D7657"/>
    <w:rsid w:val="008E14A9"/>
    <w:rsid w:val="008E1CC8"/>
    <w:rsid w:val="008E24D8"/>
    <w:rsid w:val="008E3AC0"/>
    <w:rsid w:val="008E6946"/>
    <w:rsid w:val="008E7705"/>
    <w:rsid w:val="008E77F4"/>
    <w:rsid w:val="008E7AF3"/>
    <w:rsid w:val="008E7E4D"/>
    <w:rsid w:val="008F35DB"/>
    <w:rsid w:val="008F4969"/>
    <w:rsid w:val="008F6393"/>
    <w:rsid w:val="0090393F"/>
    <w:rsid w:val="00905CDA"/>
    <w:rsid w:val="00905EB8"/>
    <w:rsid w:val="00905F3A"/>
    <w:rsid w:val="0090782D"/>
    <w:rsid w:val="00910D87"/>
    <w:rsid w:val="009141DB"/>
    <w:rsid w:val="0091523F"/>
    <w:rsid w:val="0091558A"/>
    <w:rsid w:val="00917058"/>
    <w:rsid w:val="00924F7D"/>
    <w:rsid w:val="009312BE"/>
    <w:rsid w:val="00943021"/>
    <w:rsid w:val="0094334A"/>
    <w:rsid w:val="00943E2F"/>
    <w:rsid w:val="00952D0A"/>
    <w:rsid w:val="0095371E"/>
    <w:rsid w:val="00953FD7"/>
    <w:rsid w:val="00954732"/>
    <w:rsid w:val="009551F9"/>
    <w:rsid w:val="00963AE2"/>
    <w:rsid w:val="00972F4C"/>
    <w:rsid w:val="00975F5E"/>
    <w:rsid w:val="00977612"/>
    <w:rsid w:val="009827FE"/>
    <w:rsid w:val="00983B09"/>
    <w:rsid w:val="00987806"/>
    <w:rsid w:val="00990860"/>
    <w:rsid w:val="00990FC4"/>
    <w:rsid w:val="00992F12"/>
    <w:rsid w:val="0099513B"/>
    <w:rsid w:val="00996B48"/>
    <w:rsid w:val="009A19C4"/>
    <w:rsid w:val="009B07AB"/>
    <w:rsid w:val="009B1744"/>
    <w:rsid w:val="009B1EE9"/>
    <w:rsid w:val="009B3DAC"/>
    <w:rsid w:val="009B568A"/>
    <w:rsid w:val="009C031E"/>
    <w:rsid w:val="009D0944"/>
    <w:rsid w:val="009D120C"/>
    <w:rsid w:val="009D6D2E"/>
    <w:rsid w:val="009D753B"/>
    <w:rsid w:val="009E0CEB"/>
    <w:rsid w:val="009E484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377AE"/>
    <w:rsid w:val="00A42438"/>
    <w:rsid w:val="00A4509D"/>
    <w:rsid w:val="00A50CD4"/>
    <w:rsid w:val="00A53401"/>
    <w:rsid w:val="00A53909"/>
    <w:rsid w:val="00A57A10"/>
    <w:rsid w:val="00A57F06"/>
    <w:rsid w:val="00A600FC"/>
    <w:rsid w:val="00A606F7"/>
    <w:rsid w:val="00A60884"/>
    <w:rsid w:val="00A610CB"/>
    <w:rsid w:val="00A643D6"/>
    <w:rsid w:val="00A64DC1"/>
    <w:rsid w:val="00A6623B"/>
    <w:rsid w:val="00A7058C"/>
    <w:rsid w:val="00A70B39"/>
    <w:rsid w:val="00A754E7"/>
    <w:rsid w:val="00A82833"/>
    <w:rsid w:val="00A85598"/>
    <w:rsid w:val="00A856B0"/>
    <w:rsid w:val="00A8607A"/>
    <w:rsid w:val="00A90530"/>
    <w:rsid w:val="00A917A9"/>
    <w:rsid w:val="00A919EA"/>
    <w:rsid w:val="00A91DFD"/>
    <w:rsid w:val="00A93F7F"/>
    <w:rsid w:val="00A94B87"/>
    <w:rsid w:val="00A95B15"/>
    <w:rsid w:val="00A9750F"/>
    <w:rsid w:val="00AA1F62"/>
    <w:rsid w:val="00AA599A"/>
    <w:rsid w:val="00AA68E4"/>
    <w:rsid w:val="00AB5812"/>
    <w:rsid w:val="00AB7845"/>
    <w:rsid w:val="00AC135D"/>
    <w:rsid w:val="00AC2072"/>
    <w:rsid w:val="00AC7A6E"/>
    <w:rsid w:val="00AD265E"/>
    <w:rsid w:val="00AD26E0"/>
    <w:rsid w:val="00AD3F9D"/>
    <w:rsid w:val="00AD4746"/>
    <w:rsid w:val="00AD5010"/>
    <w:rsid w:val="00AE20C4"/>
    <w:rsid w:val="00AE2731"/>
    <w:rsid w:val="00AE4C05"/>
    <w:rsid w:val="00AE6BE8"/>
    <w:rsid w:val="00AE6FA9"/>
    <w:rsid w:val="00AF2498"/>
    <w:rsid w:val="00AF2585"/>
    <w:rsid w:val="00B01B31"/>
    <w:rsid w:val="00B0691A"/>
    <w:rsid w:val="00B1358E"/>
    <w:rsid w:val="00B17C41"/>
    <w:rsid w:val="00B17FDB"/>
    <w:rsid w:val="00B24B51"/>
    <w:rsid w:val="00B31B92"/>
    <w:rsid w:val="00B320D9"/>
    <w:rsid w:val="00B321D4"/>
    <w:rsid w:val="00B330B9"/>
    <w:rsid w:val="00B3495F"/>
    <w:rsid w:val="00B34AF6"/>
    <w:rsid w:val="00B34CBF"/>
    <w:rsid w:val="00B40DAD"/>
    <w:rsid w:val="00B40FC3"/>
    <w:rsid w:val="00B42361"/>
    <w:rsid w:val="00B429D4"/>
    <w:rsid w:val="00B4322C"/>
    <w:rsid w:val="00B458D2"/>
    <w:rsid w:val="00B45F8B"/>
    <w:rsid w:val="00B5191C"/>
    <w:rsid w:val="00B541F1"/>
    <w:rsid w:val="00B5751A"/>
    <w:rsid w:val="00B5758A"/>
    <w:rsid w:val="00B6355E"/>
    <w:rsid w:val="00B65B84"/>
    <w:rsid w:val="00B66B2D"/>
    <w:rsid w:val="00B7272A"/>
    <w:rsid w:val="00B73133"/>
    <w:rsid w:val="00B74629"/>
    <w:rsid w:val="00B75F90"/>
    <w:rsid w:val="00B8036D"/>
    <w:rsid w:val="00B84A5C"/>
    <w:rsid w:val="00B84EAE"/>
    <w:rsid w:val="00B8586A"/>
    <w:rsid w:val="00B87124"/>
    <w:rsid w:val="00B948D2"/>
    <w:rsid w:val="00BA478A"/>
    <w:rsid w:val="00BA66F5"/>
    <w:rsid w:val="00BA726F"/>
    <w:rsid w:val="00BD0FA0"/>
    <w:rsid w:val="00BD2B98"/>
    <w:rsid w:val="00BD5862"/>
    <w:rsid w:val="00BD63BB"/>
    <w:rsid w:val="00BD7BD3"/>
    <w:rsid w:val="00BE0D0E"/>
    <w:rsid w:val="00BE395D"/>
    <w:rsid w:val="00BE482D"/>
    <w:rsid w:val="00BE6BFB"/>
    <w:rsid w:val="00BF0159"/>
    <w:rsid w:val="00C03495"/>
    <w:rsid w:val="00C12F19"/>
    <w:rsid w:val="00C1385A"/>
    <w:rsid w:val="00C20CDA"/>
    <w:rsid w:val="00C21772"/>
    <w:rsid w:val="00C2421A"/>
    <w:rsid w:val="00C27D33"/>
    <w:rsid w:val="00C31286"/>
    <w:rsid w:val="00C31A5B"/>
    <w:rsid w:val="00C342A6"/>
    <w:rsid w:val="00C34978"/>
    <w:rsid w:val="00C34C0E"/>
    <w:rsid w:val="00C353A7"/>
    <w:rsid w:val="00C35EF2"/>
    <w:rsid w:val="00C36F30"/>
    <w:rsid w:val="00C403B4"/>
    <w:rsid w:val="00C406DE"/>
    <w:rsid w:val="00C41B61"/>
    <w:rsid w:val="00C4319F"/>
    <w:rsid w:val="00C45CCE"/>
    <w:rsid w:val="00C46170"/>
    <w:rsid w:val="00C467CA"/>
    <w:rsid w:val="00C467D4"/>
    <w:rsid w:val="00C47381"/>
    <w:rsid w:val="00C5278E"/>
    <w:rsid w:val="00C538D8"/>
    <w:rsid w:val="00C550EA"/>
    <w:rsid w:val="00C63AA7"/>
    <w:rsid w:val="00C64180"/>
    <w:rsid w:val="00C718DA"/>
    <w:rsid w:val="00C72C7B"/>
    <w:rsid w:val="00C73873"/>
    <w:rsid w:val="00C75FCC"/>
    <w:rsid w:val="00C86431"/>
    <w:rsid w:val="00C9316D"/>
    <w:rsid w:val="00C9514E"/>
    <w:rsid w:val="00C975B4"/>
    <w:rsid w:val="00C97FB9"/>
    <w:rsid w:val="00CA155E"/>
    <w:rsid w:val="00CA2E10"/>
    <w:rsid w:val="00CA6A17"/>
    <w:rsid w:val="00CA7999"/>
    <w:rsid w:val="00CB4E0C"/>
    <w:rsid w:val="00CB6814"/>
    <w:rsid w:val="00CD056E"/>
    <w:rsid w:val="00CD0F5D"/>
    <w:rsid w:val="00CD1405"/>
    <w:rsid w:val="00CD40B2"/>
    <w:rsid w:val="00CE2A7F"/>
    <w:rsid w:val="00CE3610"/>
    <w:rsid w:val="00CF24CD"/>
    <w:rsid w:val="00CF3509"/>
    <w:rsid w:val="00CF5221"/>
    <w:rsid w:val="00CF5822"/>
    <w:rsid w:val="00CF5A9B"/>
    <w:rsid w:val="00CF61A2"/>
    <w:rsid w:val="00CF6672"/>
    <w:rsid w:val="00D03A5F"/>
    <w:rsid w:val="00D0427F"/>
    <w:rsid w:val="00D05E4D"/>
    <w:rsid w:val="00D11E74"/>
    <w:rsid w:val="00D11FEB"/>
    <w:rsid w:val="00D130F7"/>
    <w:rsid w:val="00D144A4"/>
    <w:rsid w:val="00D22435"/>
    <w:rsid w:val="00D23711"/>
    <w:rsid w:val="00D25823"/>
    <w:rsid w:val="00D2649F"/>
    <w:rsid w:val="00D2742F"/>
    <w:rsid w:val="00D36CA4"/>
    <w:rsid w:val="00D37896"/>
    <w:rsid w:val="00D40D89"/>
    <w:rsid w:val="00D41A30"/>
    <w:rsid w:val="00D469E3"/>
    <w:rsid w:val="00D519E8"/>
    <w:rsid w:val="00D51F30"/>
    <w:rsid w:val="00D532DC"/>
    <w:rsid w:val="00D55085"/>
    <w:rsid w:val="00D62680"/>
    <w:rsid w:val="00D63557"/>
    <w:rsid w:val="00D66EAF"/>
    <w:rsid w:val="00D71C75"/>
    <w:rsid w:val="00D76AAD"/>
    <w:rsid w:val="00D76DCC"/>
    <w:rsid w:val="00D805DE"/>
    <w:rsid w:val="00D80F2E"/>
    <w:rsid w:val="00D82A70"/>
    <w:rsid w:val="00D83702"/>
    <w:rsid w:val="00D838C4"/>
    <w:rsid w:val="00D96DF5"/>
    <w:rsid w:val="00DA0F8B"/>
    <w:rsid w:val="00DA4C8E"/>
    <w:rsid w:val="00DB5EFB"/>
    <w:rsid w:val="00DB75E1"/>
    <w:rsid w:val="00DC60E2"/>
    <w:rsid w:val="00DD0465"/>
    <w:rsid w:val="00DD139E"/>
    <w:rsid w:val="00DD4DA6"/>
    <w:rsid w:val="00DD7AA4"/>
    <w:rsid w:val="00DE1C7B"/>
    <w:rsid w:val="00DE370C"/>
    <w:rsid w:val="00DE48BE"/>
    <w:rsid w:val="00DE5489"/>
    <w:rsid w:val="00DF0601"/>
    <w:rsid w:val="00DF4AC7"/>
    <w:rsid w:val="00DF568A"/>
    <w:rsid w:val="00DF5EF4"/>
    <w:rsid w:val="00E00230"/>
    <w:rsid w:val="00E00380"/>
    <w:rsid w:val="00E00442"/>
    <w:rsid w:val="00E009B2"/>
    <w:rsid w:val="00E015B8"/>
    <w:rsid w:val="00E01D0E"/>
    <w:rsid w:val="00E02445"/>
    <w:rsid w:val="00E047E9"/>
    <w:rsid w:val="00E0521D"/>
    <w:rsid w:val="00E074E3"/>
    <w:rsid w:val="00E13B7B"/>
    <w:rsid w:val="00E158DF"/>
    <w:rsid w:val="00E2203D"/>
    <w:rsid w:val="00E220AD"/>
    <w:rsid w:val="00E222BB"/>
    <w:rsid w:val="00E26258"/>
    <w:rsid w:val="00E2769A"/>
    <w:rsid w:val="00E27FFC"/>
    <w:rsid w:val="00E350BF"/>
    <w:rsid w:val="00E352D8"/>
    <w:rsid w:val="00E36D56"/>
    <w:rsid w:val="00E377AA"/>
    <w:rsid w:val="00E41613"/>
    <w:rsid w:val="00E41BB3"/>
    <w:rsid w:val="00E52B88"/>
    <w:rsid w:val="00E53B43"/>
    <w:rsid w:val="00E54558"/>
    <w:rsid w:val="00E55296"/>
    <w:rsid w:val="00E5708A"/>
    <w:rsid w:val="00E61E3D"/>
    <w:rsid w:val="00E61F16"/>
    <w:rsid w:val="00E67755"/>
    <w:rsid w:val="00E72CDA"/>
    <w:rsid w:val="00E73446"/>
    <w:rsid w:val="00E76BD1"/>
    <w:rsid w:val="00E77299"/>
    <w:rsid w:val="00E7793E"/>
    <w:rsid w:val="00E7794B"/>
    <w:rsid w:val="00E804F0"/>
    <w:rsid w:val="00E8474D"/>
    <w:rsid w:val="00E87046"/>
    <w:rsid w:val="00E95144"/>
    <w:rsid w:val="00E9569E"/>
    <w:rsid w:val="00E959BD"/>
    <w:rsid w:val="00E96851"/>
    <w:rsid w:val="00E97FA9"/>
    <w:rsid w:val="00EA151B"/>
    <w:rsid w:val="00EA28DD"/>
    <w:rsid w:val="00EA3777"/>
    <w:rsid w:val="00EA39BD"/>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F21BC"/>
    <w:rsid w:val="00EF3B04"/>
    <w:rsid w:val="00EF4920"/>
    <w:rsid w:val="00EF72B0"/>
    <w:rsid w:val="00F0092E"/>
    <w:rsid w:val="00F00C40"/>
    <w:rsid w:val="00F00CD5"/>
    <w:rsid w:val="00F03EE5"/>
    <w:rsid w:val="00F04A79"/>
    <w:rsid w:val="00F06310"/>
    <w:rsid w:val="00F074F5"/>
    <w:rsid w:val="00F12F9E"/>
    <w:rsid w:val="00F14607"/>
    <w:rsid w:val="00F14E0D"/>
    <w:rsid w:val="00F15297"/>
    <w:rsid w:val="00F22DEC"/>
    <w:rsid w:val="00F23427"/>
    <w:rsid w:val="00F2409D"/>
    <w:rsid w:val="00F2644F"/>
    <w:rsid w:val="00F34578"/>
    <w:rsid w:val="00F37E2C"/>
    <w:rsid w:val="00F40495"/>
    <w:rsid w:val="00F4277F"/>
    <w:rsid w:val="00F43176"/>
    <w:rsid w:val="00F44CFD"/>
    <w:rsid w:val="00F456C2"/>
    <w:rsid w:val="00F47010"/>
    <w:rsid w:val="00F51B36"/>
    <w:rsid w:val="00F521F4"/>
    <w:rsid w:val="00F54AC6"/>
    <w:rsid w:val="00F61E91"/>
    <w:rsid w:val="00F7694A"/>
    <w:rsid w:val="00F80CD3"/>
    <w:rsid w:val="00F80F43"/>
    <w:rsid w:val="00F80FDF"/>
    <w:rsid w:val="00F84100"/>
    <w:rsid w:val="00F8787B"/>
    <w:rsid w:val="00F87E94"/>
    <w:rsid w:val="00F92145"/>
    <w:rsid w:val="00F93CB3"/>
    <w:rsid w:val="00F94C2A"/>
    <w:rsid w:val="00F96E87"/>
    <w:rsid w:val="00F97925"/>
    <w:rsid w:val="00F97DD0"/>
    <w:rsid w:val="00FA26A0"/>
    <w:rsid w:val="00FA2D8D"/>
    <w:rsid w:val="00FA3B4C"/>
    <w:rsid w:val="00FB0D80"/>
    <w:rsid w:val="00FB1992"/>
    <w:rsid w:val="00FB3C2D"/>
    <w:rsid w:val="00FB4BB4"/>
    <w:rsid w:val="00FB55BD"/>
    <w:rsid w:val="00FC3975"/>
    <w:rsid w:val="00FD0C75"/>
    <w:rsid w:val="00FD2E83"/>
    <w:rsid w:val="00FD6185"/>
    <w:rsid w:val="00FD6A47"/>
    <w:rsid w:val="00FD6F7C"/>
    <w:rsid w:val="00FE05A8"/>
    <w:rsid w:val="00FE49AA"/>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495"/>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7613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495"/>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7613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4195864">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858783785">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21200972">
      <w:bodyDiv w:val="1"/>
      <w:marLeft w:val="0"/>
      <w:marRight w:val="0"/>
      <w:marTop w:val="0"/>
      <w:marBottom w:val="0"/>
      <w:divBdr>
        <w:top w:val="none" w:sz="0" w:space="0" w:color="auto"/>
        <w:left w:val="none" w:sz="0" w:space="0" w:color="auto"/>
        <w:bottom w:val="none" w:sz="0" w:space="0" w:color="auto"/>
        <w:right w:val="none" w:sz="0" w:space="0" w:color="auto"/>
      </w:divBdr>
      <w:divsChild>
        <w:div w:id="1780484885">
          <w:marLeft w:val="0"/>
          <w:marRight w:val="0"/>
          <w:marTop w:val="0"/>
          <w:marBottom w:val="0"/>
          <w:divBdr>
            <w:top w:val="none" w:sz="0" w:space="0" w:color="auto"/>
            <w:left w:val="none" w:sz="0" w:space="0" w:color="auto"/>
            <w:bottom w:val="none" w:sz="0" w:space="0" w:color="auto"/>
            <w:right w:val="none" w:sz="0" w:space="0" w:color="auto"/>
          </w:divBdr>
          <w:divsChild>
            <w:div w:id="1577007434">
              <w:marLeft w:val="300"/>
              <w:marRight w:val="300"/>
              <w:marTop w:val="0"/>
              <w:marBottom w:val="0"/>
              <w:divBdr>
                <w:top w:val="none" w:sz="0" w:space="0" w:color="auto"/>
                <w:left w:val="none" w:sz="0" w:space="0" w:color="auto"/>
                <w:bottom w:val="none" w:sz="0" w:space="0" w:color="auto"/>
                <w:right w:val="none" w:sz="0" w:space="0" w:color="auto"/>
              </w:divBdr>
              <w:divsChild>
                <w:div w:id="1219167565">
                  <w:marLeft w:val="0"/>
                  <w:marRight w:val="0"/>
                  <w:marTop w:val="0"/>
                  <w:marBottom w:val="0"/>
                  <w:divBdr>
                    <w:top w:val="none" w:sz="0" w:space="0" w:color="auto"/>
                    <w:left w:val="none" w:sz="0" w:space="0" w:color="auto"/>
                    <w:bottom w:val="none" w:sz="0" w:space="0" w:color="auto"/>
                    <w:right w:val="none" w:sz="0" w:space="0" w:color="auto"/>
                  </w:divBdr>
                  <w:divsChild>
                    <w:div w:id="1973707645">
                      <w:marLeft w:val="0"/>
                      <w:marRight w:val="0"/>
                      <w:marTop w:val="0"/>
                      <w:marBottom w:val="0"/>
                      <w:divBdr>
                        <w:top w:val="none" w:sz="0" w:space="0" w:color="auto"/>
                        <w:left w:val="none" w:sz="0" w:space="0" w:color="auto"/>
                        <w:bottom w:val="none" w:sz="0" w:space="0" w:color="auto"/>
                        <w:right w:val="none" w:sz="0" w:space="0" w:color="auto"/>
                      </w:divBdr>
                      <w:divsChild>
                        <w:div w:id="1802647832">
                          <w:marLeft w:val="0"/>
                          <w:marRight w:val="0"/>
                          <w:marTop w:val="0"/>
                          <w:marBottom w:val="0"/>
                          <w:divBdr>
                            <w:top w:val="single" w:sz="6" w:space="5" w:color="FFFFFF"/>
                            <w:left w:val="none" w:sz="0" w:space="0" w:color="auto"/>
                            <w:bottom w:val="none" w:sz="0" w:space="0" w:color="auto"/>
                            <w:right w:val="none" w:sz="0" w:space="0" w:color="auto"/>
                          </w:divBdr>
                          <w:divsChild>
                            <w:div w:id="1173912977">
                              <w:marLeft w:val="0"/>
                              <w:marRight w:val="105"/>
                              <w:marTop w:val="0"/>
                              <w:marBottom w:val="90"/>
                              <w:divBdr>
                                <w:top w:val="single" w:sz="6" w:space="1" w:color="D8D8D8"/>
                                <w:left w:val="single" w:sz="6" w:space="6" w:color="D8D8D8"/>
                                <w:bottom w:val="single" w:sz="6" w:space="1" w:color="D8D8D8"/>
                                <w:right w:val="single" w:sz="6" w:space="6" w:color="D8D8D8"/>
                              </w:divBdr>
                            </w:div>
                            <w:div w:id="12274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19193950">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42263703">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7113816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ED9C-BB0D-4518-A36A-E9DFE6F6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2020-02-25T12:20:00Z</dcterms:created>
  <dcterms:modified xsi:type="dcterms:W3CDTF">2020-02-25T12:20:00Z</dcterms:modified>
</cp:coreProperties>
</file>