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430" w:rsidRPr="0088791C" w:rsidRDefault="001B1430" w:rsidP="001B1430">
      <w:pPr>
        <w:jc w:val="both"/>
        <w:rPr>
          <w:rFonts w:ascii="Arial" w:eastAsia="SimSun" w:hAnsi="Arial" w:cs="Arial"/>
          <w:b/>
          <w:bCs/>
          <w:noProof/>
          <w:color w:val="000000"/>
          <w:sz w:val="20"/>
          <w:lang w:val="en-US" w:eastAsia="bg-BG"/>
        </w:rPr>
      </w:pPr>
    </w:p>
    <w:tbl>
      <w:tblPr>
        <w:tblW w:w="10156" w:type="dxa"/>
        <w:tblInd w:w="108" w:type="dxa"/>
        <w:tblLook w:val="01E0" w:firstRow="1" w:lastRow="1" w:firstColumn="1" w:lastColumn="1" w:noHBand="0" w:noVBand="0"/>
      </w:tblPr>
      <w:tblGrid>
        <w:gridCol w:w="9900"/>
        <w:gridCol w:w="256"/>
      </w:tblGrid>
      <w:tr w:rsidR="001B1430" w:rsidRPr="00673725" w:rsidTr="00F73636">
        <w:tc>
          <w:tcPr>
            <w:tcW w:w="9900" w:type="dxa"/>
            <w:shd w:val="clear" w:color="auto" w:fill="C0C0C0"/>
            <w:hideMark/>
          </w:tcPr>
          <w:p w:rsidR="001B1430" w:rsidRPr="00673725" w:rsidRDefault="001B1430" w:rsidP="00F73636">
            <w:pPr>
              <w:tabs>
                <w:tab w:val="left" w:pos="1020"/>
              </w:tabs>
              <w:autoSpaceDE w:val="0"/>
              <w:autoSpaceDN w:val="0"/>
              <w:adjustRightInd w:val="0"/>
              <w:jc w:val="both"/>
              <w:rPr>
                <w:rFonts w:ascii="Arial" w:hAnsi="Arial" w:cs="Arial"/>
                <w:b/>
                <w:i/>
                <w:iCs/>
                <w:noProof/>
                <w:sz w:val="20"/>
              </w:rPr>
            </w:pPr>
            <w:r w:rsidRPr="00673725">
              <w:rPr>
                <w:rFonts w:ascii="Arial" w:hAnsi="Arial" w:cs="Arial"/>
                <w:b/>
                <w:i/>
                <w:noProof/>
                <w:sz w:val="20"/>
              </w:rPr>
              <w:t>Визия за ОСП след 2020 г.</w:t>
            </w:r>
          </w:p>
        </w:tc>
        <w:tc>
          <w:tcPr>
            <w:tcW w:w="256" w:type="dxa"/>
          </w:tcPr>
          <w:p w:rsidR="001B1430" w:rsidRPr="00673725" w:rsidRDefault="001B1430" w:rsidP="00F73636">
            <w:pPr>
              <w:jc w:val="both"/>
              <w:rPr>
                <w:rFonts w:ascii="Arial" w:hAnsi="Arial" w:cs="Arial"/>
                <w:b/>
                <w:noProof/>
                <w:sz w:val="20"/>
              </w:rPr>
            </w:pPr>
          </w:p>
        </w:tc>
      </w:tr>
    </w:tbl>
    <w:p w:rsidR="00C116FD" w:rsidRPr="00673725" w:rsidRDefault="00C116FD" w:rsidP="00C116FD">
      <w:pPr>
        <w:jc w:val="both"/>
        <w:rPr>
          <w:rFonts w:ascii="Arial" w:hAnsi="Arial" w:cs="Arial"/>
          <w:b/>
          <w:noProof/>
          <w:sz w:val="20"/>
        </w:rPr>
      </w:pPr>
    </w:p>
    <w:p w:rsidR="0024555C" w:rsidRPr="00673725" w:rsidRDefault="00346B34" w:rsidP="00C116FD">
      <w:pPr>
        <w:jc w:val="both"/>
        <w:rPr>
          <w:rFonts w:ascii="Arial" w:hAnsi="Arial" w:cs="Arial"/>
          <w:noProof/>
          <w:sz w:val="20"/>
        </w:rPr>
      </w:pPr>
      <w:r>
        <w:rPr>
          <w:rFonts w:ascii="Arial" w:hAnsi="Arial" w:cs="Arial"/>
          <w:b/>
          <w:noProof/>
          <w:sz w:val="20"/>
        </w:rPr>
        <w:t>5</w:t>
      </w:r>
      <w:r w:rsidR="00C116FD" w:rsidRPr="00673725">
        <w:rPr>
          <w:rFonts w:ascii="Arial" w:hAnsi="Arial" w:cs="Arial"/>
          <w:b/>
          <w:noProof/>
          <w:sz w:val="20"/>
        </w:rPr>
        <w:t xml:space="preserve">. Европейската комисия (ЕК) инициира обществена консултация на пътната карта, свързана с предстоящото издаване на Стратегията от фермата до трапезата. </w:t>
      </w:r>
      <w:r w:rsidR="00C116FD" w:rsidRPr="00673725">
        <w:rPr>
          <w:rFonts w:ascii="Arial" w:hAnsi="Arial" w:cs="Arial"/>
          <w:noProof/>
          <w:sz w:val="20"/>
        </w:rPr>
        <w:t xml:space="preserve">Мненията и становищата на гражданите се приемат в срок от 17 февруари до 16 март 2020 г. на сайта: </w:t>
      </w:r>
      <w:hyperlink r:id="rId9" w:history="1">
        <w:r w:rsidR="00C116FD" w:rsidRPr="00673725">
          <w:rPr>
            <w:rStyle w:val="Hyperlink"/>
            <w:rFonts w:ascii="Arial" w:hAnsi="Arial" w:cs="Arial"/>
            <w:noProof/>
            <w:sz w:val="20"/>
          </w:rPr>
          <w:t>https://ec.europa.eu/info/law/better-regulation/have-your-say/initiatives/12183-Farm-to-Fork-Strategy</w:t>
        </w:r>
      </w:hyperlink>
      <w:r w:rsidR="00C116FD" w:rsidRPr="00673725">
        <w:rPr>
          <w:rFonts w:ascii="Arial" w:hAnsi="Arial" w:cs="Arial"/>
          <w:noProof/>
          <w:sz w:val="20"/>
        </w:rPr>
        <w:t xml:space="preserve">. Европейският зелен пакт не може да бъде постигнат без адресиране на темата за устойчиво производство на храни. ЕК съобщи в Комюникето за Зеления пакт, което беше издадено на 11 декември 2019 г., че предстоящата Стратегия от фермата до трапезата, която се очаква през пролетта на 2020 г. ще поясни целите и действията, които са необходими за постигането на справедлива, здравословна и съвместима с околната среда хранителна система. Стратегията ще комбинира регулаторните и нерегулаторни инициативи, необходими за постигането на целите. ОСП и Общата политика по рибарство ще бъдат ключовите инструменти за подкрепа на стратегията. Консултацията с всички заинтересовани страни ще подсигури стратегията да адресира всички съотносими въпроси. Допитването има за цел да събере подходяща информация относно предизвикателствата, пред които са изправени първичните производители, работещите в хранителната промишленост, преработката и търговията, както и всички граждани. По-конкретно, консултацията има за цел да идентифицира основните пропуски, които могат да бъдат адресирани на ниво ЕС и да идентифицира области, в които ЕС може да има добавена стойност.  </w:t>
      </w:r>
    </w:p>
    <w:p w:rsidR="0024555C" w:rsidRPr="00673725" w:rsidRDefault="0024555C" w:rsidP="00C116FD">
      <w:pPr>
        <w:jc w:val="both"/>
        <w:rPr>
          <w:rFonts w:ascii="Arial" w:hAnsi="Arial" w:cs="Arial"/>
          <w:noProof/>
          <w:sz w:val="20"/>
        </w:rPr>
      </w:pPr>
    </w:p>
    <w:p w:rsidR="001B1430" w:rsidRPr="0088791C" w:rsidRDefault="00346B34" w:rsidP="0088791C">
      <w:pPr>
        <w:jc w:val="both"/>
        <w:rPr>
          <w:rFonts w:ascii="Arial" w:hAnsi="Arial" w:cs="Arial"/>
          <w:noProof/>
          <w:sz w:val="20"/>
          <w:lang w:val="en-US"/>
        </w:rPr>
      </w:pPr>
      <w:r>
        <w:rPr>
          <w:rFonts w:ascii="Arial" w:hAnsi="Arial" w:cs="Arial"/>
          <w:b/>
          <w:noProof/>
          <w:sz w:val="20"/>
        </w:rPr>
        <w:t>6</w:t>
      </w:r>
      <w:r w:rsidR="0024555C" w:rsidRPr="00673725">
        <w:rPr>
          <w:rFonts w:ascii="Arial" w:hAnsi="Arial" w:cs="Arial"/>
          <w:b/>
          <w:noProof/>
          <w:sz w:val="20"/>
        </w:rPr>
        <w:t xml:space="preserve">. Няма постигнато споразумение по параметрите на Многогодишната финансова рамка (МФР) 2021-2027 г. </w:t>
      </w:r>
      <w:r w:rsidR="0024555C" w:rsidRPr="00673725">
        <w:rPr>
          <w:rFonts w:ascii="Arial" w:hAnsi="Arial" w:cs="Arial"/>
          <w:noProof/>
          <w:sz w:val="20"/>
        </w:rPr>
        <w:t xml:space="preserve">Въпреки, че в рамките на Европейския Съвет на 21 февруари 2020 г. имаше преговори, продължили повече от 30 часа, делегациите не успяха да намерят консенсусно решение за финансирането в следващия период. Отправна точка на дискусията беше преговорната кутия, представена от председателя на Европейския Съвет Шарл Мишел на 14 февруари. Предложението предвижда разпределянето на 329.3 млрд. евро за ОСП за периода 2021-2027 г. (по цени 2018 г.). Това е с 1.5% повече от предложеното от ЕК през май 2018 г. (324.3 млрд.евро), но с около 13.9% под пакета за ОСП за МФР 2014-2020 г. (382.9 млрд. евро). Според фермерската организация Copa-Cogeca предложението на Шарл Мишел е неприемливо, защото не осигурява достатъчна подкрепа за земеделските стопани да адресират предизвикателствата, пред които са изправени и няма да им помогне за постигането на принос към целите, определени в Европейския Зелен пакт. Предложението за бюджет за 2021-2027 г. беше неприемливо и за председателя на Европейския Парламент – Давид Сасоли, който е готов да отхвърли споразумение, което не предоставя достатъчно ресурси за справяне с новите предизвикателства и беше особено критичен към предложението за намаляване на традиционните политики (земеделие и кохезия). По време на 30-часовите преговори в Европейския Съвет беше разпространено ново предложение, предвиждащо увеличение с около 4.4 млрд. евро за ОСП (+ 2 млрд. евро за директни плащания и + 2.4 млрд. евро за развитие на селските райони) и допълнителни 4.8 млрд. евро за кохезия. Говорейки от името на 17 ДЧ, които получават финансиране за развитие, премиерът на Португалия заяви, че преговорите не могат да продължат в рамките на това заседание, защото предложението не е приемливо за мнозинството. Според Нидерландия е необходимо да се свият разходите до 1% от БНД (последният компромисен текст предлага 1.069%, закръглени на 1.07% от БНД) и поиска по-структурирани отстъпки за Нидерландия, Австрия, Швеция, Дания, Германия. Председателят на Европейския Съвет Шарл Мишел проведе редица двустранни срещи с държавите членки, както и разговори с т.нар „пестелива четворка“ (Нидерландия, Швеция, Австрия, Дания), които искат МФР 2021-2027 г. да се финансира с вноски от 1% от БНД и въведените рестрикции в бюджетите за отделните политики да останат. Лидерите на четирите страни считат, че разходите в бюджета трябва да бъдат модернизирани, като се постави фокус върху върховенството на закона, миграциите, иновациите и климата. Мишел се срещна и с т.нар „Кохезионна група“ или ново-наименовани „Приятели на амбициозна Европа“, които искат амбициозен бюджет за ЕС за най-добро посрещане на интересите на Европа и европейските граждани. Въпреки проведените срещи и преговори нямаше сближаване на позициите и договарянето на бюджета за МФР 2021-2027 г. продължава в следващите седмици. </w:t>
      </w:r>
      <w:bookmarkStart w:id="0" w:name="_GoBack"/>
      <w:bookmarkEnd w:id="0"/>
    </w:p>
    <w:p w:rsidR="005B7D03" w:rsidRPr="00673725" w:rsidRDefault="005B7D03" w:rsidP="00AD5A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noProof/>
          <w:sz w:val="20"/>
        </w:rPr>
      </w:pPr>
    </w:p>
    <w:p w:rsidR="00AD5A1E" w:rsidRPr="00673725" w:rsidRDefault="00AD5A1E" w:rsidP="00915641">
      <w:pPr>
        <w:spacing w:after="200" w:line="276" w:lineRule="auto"/>
        <w:jc w:val="both"/>
        <w:rPr>
          <w:rStyle w:val="longtext"/>
          <w:noProof/>
        </w:rPr>
      </w:pPr>
    </w:p>
    <w:p w:rsidR="0001496E" w:rsidRPr="0088791C" w:rsidRDefault="0001496E" w:rsidP="00120AD2">
      <w:pPr>
        <w:jc w:val="both"/>
        <w:rPr>
          <w:rStyle w:val="longtext"/>
          <w:rFonts w:ascii="Arial" w:hAnsi="Arial" w:cs="Arial"/>
          <w:noProof/>
          <w:sz w:val="20"/>
          <w:lang w:val="en-US"/>
        </w:rPr>
      </w:pPr>
    </w:p>
    <w:sectPr w:rsidR="0001496E" w:rsidRPr="0088791C" w:rsidSect="00852688">
      <w:headerReference w:type="default" r:id="rId10"/>
      <w:footerReference w:type="even" r:id="rId11"/>
      <w:footerReference w:type="default" r:id="rId12"/>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5C5" w:rsidRDefault="00D205C5">
      <w:r>
        <w:separator/>
      </w:r>
    </w:p>
  </w:endnote>
  <w:endnote w:type="continuationSeparator" w:id="0">
    <w:p w:rsidR="00D205C5" w:rsidRDefault="00D2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D205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D205C5" w:rsidP="004B3CB3">
    <w:pPr>
      <w:pStyle w:val="Footer"/>
      <w:pBdr>
        <w:bottom w:val="single" w:sz="4" w:space="1" w:color="7030A0"/>
      </w:pBdr>
      <w:ind w:right="-23"/>
      <w:rPr>
        <w:rFonts w:ascii="Arial" w:hAnsi="Arial"/>
        <w:i/>
        <w:iCs/>
        <w:color w:val="800080"/>
        <w:sz w:val="18"/>
        <w:szCs w:val="18"/>
        <w:lang w:val="en-US"/>
      </w:rPr>
    </w:pPr>
  </w:p>
  <w:p w:rsidR="00AB2303" w:rsidRPr="004B3CB3" w:rsidRDefault="00403CB9" w:rsidP="00AB230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p>
  <w:p w:rsidR="004B3CB3" w:rsidRPr="004B3CB3" w:rsidRDefault="00403CB9" w:rsidP="004B3CB3">
    <w:pPr>
      <w:pStyle w:val="Footer"/>
      <w:ind w:right="-23"/>
      <w:rPr>
        <w:rFonts w:ascii="Arial" w:hAnsi="Arial"/>
        <w:i/>
        <w:iCs/>
        <w:color w:val="800080"/>
        <w:sz w:val="18"/>
        <w:szCs w:val="18"/>
        <w:lang w:val="ru-RU"/>
      </w:rPr>
    </w:pPr>
    <w:r w:rsidRPr="004B3CB3">
      <w:rPr>
        <w:rFonts w:ascii="Arial" w:hAnsi="Arial"/>
        <w:i/>
        <w:iCs/>
        <w:color w:val="800080"/>
        <w:sz w:val="18"/>
        <w:szCs w:val="18"/>
        <w:lang w:val="ru-RU"/>
      </w:rPr>
      <w:t xml:space="preserve">     </w:t>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88791C">
      <w:rPr>
        <w:rFonts w:ascii="Arial" w:hAnsi="Arial"/>
        <w:i/>
        <w:iCs/>
        <w:noProof/>
        <w:color w:val="800080"/>
        <w:sz w:val="18"/>
        <w:szCs w:val="18"/>
      </w:rPr>
      <w:t>1</w:t>
    </w:r>
    <w:r w:rsidRPr="004B3CB3">
      <w:rPr>
        <w:rFonts w:ascii="Arial" w:hAnsi="Arial"/>
        <w:i/>
        <w:iCs/>
        <w:color w:val="800080"/>
        <w:sz w:val="18"/>
        <w:szCs w:val="18"/>
      </w:rPr>
      <w:fldChar w:fldCharType="end"/>
    </w:r>
  </w:p>
  <w:p w:rsidR="005618E1" w:rsidRPr="004B3CB3" w:rsidRDefault="00D205C5">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5C5" w:rsidRDefault="00D205C5">
      <w:r>
        <w:separator/>
      </w:r>
    </w:p>
  </w:footnote>
  <w:footnote w:type="continuationSeparator" w:id="0">
    <w:p w:rsidR="00D205C5" w:rsidRDefault="00D20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eastAsia="bg-BG"/>
            </w:rPr>
            <w:drawing>
              <wp:inline distT="0" distB="0" distL="0" distR="0" wp14:anchorId="4E0DB07E" wp14:editId="7E38AA69">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D205C5"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p>
      </w:tc>
      <w:tc>
        <w:tcPr>
          <w:tcW w:w="2535" w:type="dxa"/>
          <w:vMerge/>
          <w:tcBorders>
            <w:top w:val="single" w:sz="4" w:space="0" w:color="auto"/>
            <w:bottom w:val="single" w:sz="24" w:space="0" w:color="0000FF"/>
          </w:tcBorders>
        </w:tcPr>
        <w:p w:rsidR="005618E1" w:rsidRDefault="00D205C5">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40</w:t>
    </w:r>
    <w:r w:rsidR="007C75B4">
      <w:rPr>
        <w:rFonts w:ascii="Arial" w:hAnsi="Arial"/>
        <w:b/>
        <w:bCs/>
        <w:color w:val="800080"/>
        <w:sz w:val="20"/>
        <w:lang w:val="en-US"/>
      </w:rPr>
      <w:t>8</w:t>
    </w:r>
    <w:r>
      <w:rPr>
        <w:rFonts w:ascii="Arial" w:hAnsi="Arial"/>
        <w:b/>
        <w:bCs/>
        <w:color w:val="800080"/>
        <w:sz w:val="20"/>
      </w:rPr>
      <w:t>/</w:t>
    </w:r>
    <w:r w:rsidR="007C75B4">
      <w:rPr>
        <w:rFonts w:ascii="Arial" w:hAnsi="Arial"/>
        <w:b/>
        <w:bCs/>
        <w:color w:val="800080"/>
        <w:sz w:val="20"/>
        <w:lang w:val="en-US"/>
      </w:rPr>
      <w:t>24</w:t>
    </w:r>
    <w:r w:rsidR="006E7A46">
      <w:rPr>
        <w:rFonts w:ascii="Arial" w:hAnsi="Arial"/>
        <w:b/>
        <w:bCs/>
        <w:color w:val="800080"/>
        <w:sz w:val="20"/>
        <w:lang w:val="en-US"/>
      </w:rPr>
      <w:t>.</w:t>
    </w:r>
    <w:r w:rsidR="002C512F">
      <w:rPr>
        <w:rFonts w:ascii="Arial" w:hAnsi="Arial"/>
        <w:b/>
        <w:bCs/>
        <w:color w:val="800080"/>
        <w:sz w:val="20"/>
        <w:lang w:val="en-US"/>
      </w:rPr>
      <w:t>02</w:t>
    </w:r>
    <w:r>
      <w:rPr>
        <w:rFonts w:ascii="Arial" w:hAnsi="Arial"/>
        <w:b/>
        <w:bCs/>
        <w:color w:val="800080"/>
        <w:sz w:val="20"/>
      </w:rPr>
      <w:t>.20</w:t>
    </w:r>
    <w:r w:rsidR="00B36E39">
      <w:rPr>
        <w:rFonts w:ascii="Arial" w:hAnsi="Arial"/>
        <w:b/>
        <w:bCs/>
        <w:color w:val="800080"/>
        <w:sz w:val="20"/>
        <w:lang w:val="en-US"/>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2"/>
  </w:num>
  <w:num w:numId="5">
    <w:abstractNumId w:val="0"/>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144D9"/>
    <w:rsid w:val="0001496E"/>
    <w:rsid w:val="0002497A"/>
    <w:rsid w:val="00024DB1"/>
    <w:rsid w:val="00032EDB"/>
    <w:rsid w:val="00046BB0"/>
    <w:rsid w:val="00046D50"/>
    <w:rsid w:val="00050832"/>
    <w:rsid w:val="0005714A"/>
    <w:rsid w:val="0006687D"/>
    <w:rsid w:val="000678FD"/>
    <w:rsid w:val="0007208A"/>
    <w:rsid w:val="00081BD0"/>
    <w:rsid w:val="00081DAE"/>
    <w:rsid w:val="00091CD4"/>
    <w:rsid w:val="000A31F0"/>
    <w:rsid w:val="000B2026"/>
    <w:rsid w:val="000B7B54"/>
    <w:rsid w:val="001164FC"/>
    <w:rsid w:val="001173C3"/>
    <w:rsid w:val="00117A81"/>
    <w:rsid w:val="00120AD2"/>
    <w:rsid w:val="00131A6D"/>
    <w:rsid w:val="00134872"/>
    <w:rsid w:val="0013606E"/>
    <w:rsid w:val="0014608C"/>
    <w:rsid w:val="0015229E"/>
    <w:rsid w:val="001639CC"/>
    <w:rsid w:val="00173E25"/>
    <w:rsid w:val="00180441"/>
    <w:rsid w:val="00186654"/>
    <w:rsid w:val="00193EEE"/>
    <w:rsid w:val="001A2A3D"/>
    <w:rsid w:val="001A6A7A"/>
    <w:rsid w:val="001B1430"/>
    <w:rsid w:val="001B5399"/>
    <w:rsid w:val="001C3F62"/>
    <w:rsid w:val="001E1EAA"/>
    <w:rsid w:val="001E1F98"/>
    <w:rsid w:val="001E4050"/>
    <w:rsid w:val="001E4C01"/>
    <w:rsid w:val="001F2EC7"/>
    <w:rsid w:val="001F396B"/>
    <w:rsid w:val="00210721"/>
    <w:rsid w:val="002118F6"/>
    <w:rsid w:val="002163C0"/>
    <w:rsid w:val="00221CDF"/>
    <w:rsid w:val="0024546F"/>
    <w:rsid w:val="0024555C"/>
    <w:rsid w:val="002521C1"/>
    <w:rsid w:val="002610A9"/>
    <w:rsid w:val="002653C2"/>
    <w:rsid w:val="00274F4E"/>
    <w:rsid w:val="00275471"/>
    <w:rsid w:val="00285183"/>
    <w:rsid w:val="0029075B"/>
    <w:rsid w:val="002918DE"/>
    <w:rsid w:val="0029220D"/>
    <w:rsid w:val="002A2C5F"/>
    <w:rsid w:val="002A5150"/>
    <w:rsid w:val="002A6A4C"/>
    <w:rsid w:val="002B379D"/>
    <w:rsid w:val="002B44DA"/>
    <w:rsid w:val="002C065E"/>
    <w:rsid w:val="002C21A3"/>
    <w:rsid w:val="002C512F"/>
    <w:rsid w:val="002C6EFE"/>
    <w:rsid w:val="002D0216"/>
    <w:rsid w:val="002D1A87"/>
    <w:rsid w:val="002D25F9"/>
    <w:rsid w:val="002D4BE9"/>
    <w:rsid w:val="002F1104"/>
    <w:rsid w:val="002F6211"/>
    <w:rsid w:val="002F7E40"/>
    <w:rsid w:val="00300FA3"/>
    <w:rsid w:val="00303C35"/>
    <w:rsid w:val="00304D05"/>
    <w:rsid w:val="00312DA6"/>
    <w:rsid w:val="00313FBA"/>
    <w:rsid w:val="00320AF0"/>
    <w:rsid w:val="0033369E"/>
    <w:rsid w:val="00346B34"/>
    <w:rsid w:val="00353ACF"/>
    <w:rsid w:val="003877CA"/>
    <w:rsid w:val="00391FB3"/>
    <w:rsid w:val="003952CE"/>
    <w:rsid w:val="00396C28"/>
    <w:rsid w:val="003A56BA"/>
    <w:rsid w:val="003A5BDE"/>
    <w:rsid w:val="003B7AAB"/>
    <w:rsid w:val="003C0E47"/>
    <w:rsid w:val="003C1BFF"/>
    <w:rsid w:val="003C3DEB"/>
    <w:rsid w:val="003D0C6C"/>
    <w:rsid w:val="003D4968"/>
    <w:rsid w:val="003D5B7F"/>
    <w:rsid w:val="003D6634"/>
    <w:rsid w:val="003E0404"/>
    <w:rsid w:val="003E118D"/>
    <w:rsid w:val="003E5CB2"/>
    <w:rsid w:val="00403CB9"/>
    <w:rsid w:val="00411829"/>
    <w:rsid w:val="004133A8"/>
    <w:rsid w:val="00422311"/>
    <w:rsid w:val="0044148C"/>
    <w:rsid w:val="00446398"/>
    <w:rsid w:val="0046415A"/>
    <w:rsid w:val="004923C1"/>
    <w:rsid w:val="00496775"/>
    <w:rsid w:val="004A0254"/>
    <w:rsid w:val="004A4C92"/>
    <w:rsid w:val="004B46D9"/>
    <w:rsid w:val="004F4705"/>
    <w:rsid w:val="004F5E4F"/>
    <w:rsid w:val="00502A0A"/>
    <w:rsid w:val="0051071D"/>
    <w:rsid w:val="005179AD"/>
    <w:rsid w:val="005247A5"/>
    <w:rsid w:val="0052706F"/>
    <w:rsid w:val="00530C09"/>
    <w:rsid w:val="00537A32"/>
    <w:rsid w:val="00542DE9"/>
    <w:rsid w:val="00562C02"/>
    <w:rsid w:val="00563064"/>
    <w:rsid w:val="00594324"/>
    <w:rsid w:val="00596313"/>
    <w:rsid w:val="005A0184"/>
    <w:rsid w:val="005B1884"/>
    <w:rsid w:val="005B4574"/>
    <w:rsid w:val="005B7D03"/>
    <w:rsid w:val="005C1BB7"/>
    <w:rsid w:val="00606F43"/>
    <w:rsid w:val="00623765"/>
    <w:rsid w:val="00626A3F"/>
    <w:rsid w:val="00627881"/>
    <w:rsid w:val="006367A9"/>
    <w:rsid w:val="00642BB6"/>
    <w:rsid w:val="0066444F"/>
    <w:rsid w:val="00673725"/>
    <w:rsid w:val="00682667"/>
    <w:rsid w:val="00686AF4"/>
    <w:rsid w:val="006961F0"/>
    <w:rsid w:val="006A094F"/>
    <w:rsid w:val="006A7391"/>
    <w:rsid w:val="006A739D"/>
    <w:rsid w:val="006C053F"/>
    <w:rsid w:val="006C196D"/>
    <w:rsid w:val="006E7A46"/>
    <w:rsid w:val="006F38F7"/>
    <w:rsid w:val="00701CA8"/>
    <w:rsid w:val="0070200F"/>
    <w:rsid w:val="00705B40"/>
    <w:rsid w:val="00713942"/>
    <w:rsid w:val="00714838"/>
    <w:rsid w:val="00726AB6"/>
    <w:rsid w:val="00734448"/>
    <w:rsid w:val="00750FB4"/>
    <w:rsid w:val="007712FE"/>
    <w:rsid w:val="00782D3D"/>
    <w:rsid w:val="007846E5"/>
    <w:rsid w:val="007A388B"/>
    <w:rsid w:val="007A70E6"/>
    <w:rsid w:val="007B03F2"/>
    <w:rsid w:val="007B0CB0"/>
    <w:rsid w:val="007C75B4"/>
    <w:rsid w:val="007D7438"/>
    <w:rsid w:val="007E475C"/>
    <w:rsid w:val="007F4E89"/>
    <w:rsid w:val="008030C3"/>
    <w:rsid w:val="00811B89"/>
    <w:rsid w:val="00816686"/>
    <w:rsid w:val="0082007C"/>
    <w:rsid w:val="008206C1"/>
    <w:rsid w:val="0083184F"/>
    <w:rsid w:val="0083232B"/>
    <w:rsid w:val="00845489"/>
    <w:rsid w:val="00852DE4"/>
    <w:rsid w:val="00861450"/>
    <w:rsid w:val="00865E24"/>
    <w:rsid w:val="0087702E"/>
    <w:rsid w:val="0087763E"/>
    <w:rsid w:val="008803A4"/>
    <w:rsid w:val="008836F2"/>
    <w:rsid w:val="0088791C"/>
    <w:rsid w:val="008933AB"/>
    <w:rsid w:val="008A1360"/>
    <w:rsid w:val="008B2118"/>
    <w:rsid w:val="008D0E78"/>
    <w:rsid w:val="008D2FF4"/>
    <w:rsid w:val="008E07E7"/>
    <w:rsid w:val="008E0F81"/>
    <w:rsid w:val="008F75D2"/>
    <w:rsid w:val="008F7C98"/>
    <w:rsid w:val="008F7ECC"/>
    <w:rsid w:val="009063C7"/>
    <w:rsid w:val="00910462"/>
    <w:rsid w:val="00915641"/>
    <w:rsid w:val="009203FA"/>
    <w:rsid w:val="00934FA6"/>
    <w:rsid w:val="009355BA"/>
    <w:rsid w:val="00956512"/>
    <w:rsid w:val="009704A2"/>
    <w:rsid w:val="00977CA7"/>
    <w:rsid w:val="00991C98"/>
    <w:rsid w:val="0099695D"/>
    <w:rsid w:val="009A2752"/>
    <w:rsid w:val="009A5D09"/>
    <w:rsid w:val="009B1FAD"/>
    <w:rsid w:val="009D0924"/>
    <w:rsid w:val="009D6F1E"/>
    <w:rsid w:val="009E45D3"/>
    <w:rsid w:val="009E6BDB"/>
    <w:rsid w:val="009F4E95"/>
    <w:rsid w:val="009F7022"/>
    <w:rsid w:val="00A02393"/>
    <w:rsid w:val="00A1170C"/>
    <w:rsid w:val="00A15D87"/>
    <w:rsid w:val="00A227FC"/>
    <w:rsid w:val="00A355B1"/>
    <w:rsid w:val="00A447C0"/>
    <w:rsid w:val="00A50E2C"/>
    <w:rsid w:val="00A56825"/>
    <w:rsid w:val="00A673EB"/>
    <w:rsid w:val="00A74737"/>
    <w:rsid w:val="00A77EC5"/>
    <w:rsid w:val="00AB140A"/>
    <w:rsid w:val="00AB1841"/>
    <w:rsid w:val="00AB2303"/>
    <w:rsid w:val="00AC64B0"/>
    <w:rsid w:val="00AC73DE"/>
    <w:rsid w:val="00AD504F"/>
    <w:rsid w:val="00AD5A1E"/>
    <w:rsid w:val="00AE0D25"/>
    <w:rsid w:val="00AE14FF"/>
    <w:rsid w:val="00AE2FF4"/>
    <w:rsid w:val="00B03285"/>
    <w:rsid w:val="00B16835"/>
    <w:rsid w:val="00B200ED"/>
    <w:rsid w:val="00B34793"/>
    <w:rsid w:val="00B36E39"/>
    <w:rsid w:val="00B539A9"/>
    <w:rsid w:val="00B6207E"/>
    <w:rsid w:val="00B64F87"/>
    <w:rsid w:val="00B73DA3"/>
    <w:rsid w:val="00B81125"/>
    <w:rsid w:val="00B8112B"/>
    <w:rsid w:val="00B853D4"/>
    <w:rsid w:val="00B90317"/>
    <w:rsid w:val="00B93F21"/>
    <w:rsid w:val="00B953AC"/>
    <w:rsid w:val="00BC35B8"/>
    <w:rsid w:val="00BC70E2"/>
    <w:rsid w:val="00BE55CA"/>
    <w:rsid w:val="00BF118B"/>
    <w:rsid w:val="00BF28EC"/>
    <w:rsid w:val="00C00F88"/>
    <w:rsid w:val="00C05E95"/>
    <w:rsid w:val="00C116FD"/>
    <w:rsid w:val="00C20809"/>
    <w:rsid w:val="00C3643A"/>
    <w:rsid w:val="00C37B23"/>
    <w:rsid w:val="00C44608"/>
    <w:rsid w:val="00C574EE"/>
    <w:rsid w:val="00C60D17"/>
    <w:rsid w:val="00C6312D"/>
    <w:rsid w:val="00C718EB"/>
    <w:rsid w:val="00C7577F"/>
    <w:rsid w:val="00C8585D"/>
    <w:rsid w:val="00CA35A8"/>
    <w:rsid w:val="00CA7960"/>
    <w:rsid w:val="00CB196D"/>
    <w:rsid w:val="00CB2886"/>
    <w:rsid w:val="00CC7CF0"/>
    <w:rsid w:val="00CE5E69"/>
    <w:rsid w:val="00CF0DEA"/>
    <w:rsid w:val="00D000AE"/>
    <w:rsid w:val="00D100BD"/>
    <w:rsid w:val="00D1195A"/>
    <w:rsid w:val="00D167B1"/>
    <w:rsid w:val="00D205C5"/>
    <w:rsid w:val="00D25C9A"/>
    <w:rsid w:val="00D3159B"/>
    <w:rsid w:val="00D32B06"/>
    <w:rsid w:val="00D43BBD"/>
    <w:rsid w:val="00D61B59"/>
    <w:rsid w:val="00D6359C"/>
    <w:rsid w:val="00D758EF"/>
    <w:rsid w:val="00D80D84"/>
    <w:rsid w:val="00D8519B"/>
    <w:rsid w:val="00D86732"/>
    <w:rsid w:val="00D912F0"/>
    <w:rsid w:val="00DA44A9"/>
    <w:rsid w:val="00DA4860"/>
    <w:rsid w:val="00DC5A8E"/>
    <w:rsid w:val="00DE752F"/>
    <w:rsid w:val="00DF7E91"/>
    <w:rsid w:val="00E02B6A"/>
    <w:rsid w:val="00E17E07"/>
    <w:rsid w:val="00E2125A"/>
    <w:rsid w:val="00E23670"/>
    <w:rsid w:val="00E24FA2"/>
    <w:rsid w:val="00E256E7"/>
    <w:rsid w:val="00E35D6F"/>
    <w:rsid w:val="00E4290A"/>
    <w:rsid w:val="00E44DF1"/>
    <w:rsid w:val="00E47639"/>
    <w:rsid w:val="00E51A6D"/>
    <w:rsid w:val="00E5449B"/>
    <w:rsid w:val="00E6099A"/>
    <w:rsid w:val="00E60B1D"/>
    <w:rsid w:val="00E67885"/>
    <w:rsid w:val="00EA4B29"/>
    <w:rsid w:val="00EA4B99"/>
    <w:rsid w:val="00EA5878"/>
    <w:rsid w:val="00EB0F17"/>
    <w:rsid w:val="00EB289B"/>
    <w:rsid w:val="00EB783C"/>
    <w:rsid w:val="00EC0DDC"/>
    <w:rsid w:val="00EC4213"/>
    <w:rsid w:val="00EC6BA3"/>
    <w:rsid w:val="00EE0807"/>
    <w:rsid w:val="00EE1065"/>
    <w:rsid w:val="00EE38E7"/>
    <w:rsid w:val="00EE7B1B"/>
    <w:rsid w:val="00F0360F"/>
    <w:rsid w:val="00F12C83"/>
    <w:rsid w:val="00F23EFD"/>
    <w:rsid w:val="00F30D26"/>
    <w:rsid w:val="00F40970"/>
    <w:rsid w:val="00F4416D"/>
    <w:rsid w:val="00F531AD"/>
    <w:rsid w:val="00F6008B"/>
    <w:rsid w:val="00F67B7A"/>
    <w:rsid w:val="00F70B6C"/>
    <w:rsid w:val="00F72B07"/>
    <w:rsid w:val="00F73C4B"/>
    <w:rsid w:val="00F74337"/>
    <w:rsid w:val="00F74747"/>
    <w:rsid w:val="00FD4196"/>
    <w:rsid w:val="00FE14C1"/>
    <w:rsid w:val="00FE657F"/>
    <w:rsid w:val="00FF041A"/>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326859943">
      <w:bodyDiv w:val="1"/>
      <w:marLeft w:val="0"/>
      <w:marRight w:val="0"/>
      <w:marTop w:val="0"/>
      <w:marBottom w:val="0"/>
      <w:divBdr>
        <w:top w:val="none" w:sz="0" w:space="0" w:color="auto"/>
        <w:left w:val="none" w:sz="0" w:space="0" w:color="auto"/>
        <w:bottom w:val="none" w:sz="0" w:space="0" w:color="auto"/>
        <w:right w:val="none" w:sz="0" w:space="0" w:color="auto"/>
      </w:divBdr>
    </w:div>
    <w:div w:id="1402022703">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c.europa.eu/info/law/better-regulation/have-your-say/initiatives/12183-Farm-to-Fork-Strateg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78B17-D195-49AA-8067-8D481C598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Desislava g. Georgieva</cp:lastModifiedBy>
  <cp:revision>24</cp:revision>
  <dcterms:created xsi:type="dcterms:W3CDTF">2020-02-17T15:43:00Z</dcterms:created>
  <dcterms:modified xsi:type="dcterms:W3CDTF">2020-02-25T07:17:00Z</dcterms:modified>
</cp:coreProperties>
</file>