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9B" w:rsidRDefault="00291E9B"/>
    <w:p w:rsidR="006C71C0" w:rsidRDefault="006C71C0"/>
    <w:p w:rsidR="00E61C1E" w:rsidRPr="00E61C1E" w:rsidRDefault="00E61C1E"/>
    <w:p w:rsidR="00291E9B" w:rsidRPr="00291E9B" w:rsidRDefault="00291E9B">
      <w:pPr>
        <w:rPr>
          <w:lang w:val="en-US"/>
        </w:rPr>
      </w:pPr>
    </w:p>
    <w:tbl>
      <w:tblPr>
        <w:tblW w:w="15650" w:type="dxa"/>
        <w:jc w:val="center"/>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ayout w:type="fixed"/>
        <w:tblLook w:val="0000" w:firstRow="0" w:lastRow="0" w:firstColumn="0" w:lastColumn="0" w:noHBand="0" w:noVBand="0"/>
      </w:tblPr>
      <w:tblGrid>
        <w:gridCol w:w="15650"/>
      </w:tblGrid>
      <w:tr w:rsidR="00C975B4" w:rsidRPr="00CE2A7F" w:rsidTr="005C75B3">
        <w:trPr>
          <w:trHeight w:val="958"/>
          <w:jc w:val="center"/>
        </w:trPr>
        <w:tc>
          <w:tcPr>
            <w:tcW w:w="15650" w:type="dxa"/>
            <w:shd w:val="clear" w:color="auto" w:fill="BDD6EE"/>
          </w:tcPr>
          <w:p w:rsidR="00C975B4" w:rsidRPr="00DD502C" w:rsidRDefault="00C975B4" w:rsidP="00291E9B">
            <w:pPr>
              <w:tabs>
                <w:tab w:val="left" w:pos="2190"/>
              </w:tabs>
              <w:spacing w:before="120" w:line="360" w:lineRule="auto"/>
              <w:jc w:val="center"/>
              <w:rPr>
                <w:rFonts w:ascii="Times New Roman Bold" w:hAnsi="Times New Roman Bold"/>
                <w:b/>
                <w:spacing w:val="60"/>
                <w:sz w:val="28"/>
                <w:szCs w:val="28"/>
              </w:rPr>
            </w:pPr>
            <w:r w:rsidRPr="00DD502C">
              <w:rPr>
                <w:rFonts w:ascii="Times New Roman Bold" w:hAnsi="Times New Roman Bold"/>
                <w:b/>
                <w:spacing w:val="60"/>
                <w:sz w:val="28"/>
                <w:szCs w:val="28"/>
              </w:rPr>
              <w:t>СПРАВКА</w:t>
            </w:r>
          </w:p>
          <w:p w:rsidR="00E220AD" w:rsidRPr="00CE2A7F" w:rsidRDefault="00C975B4" w:rsidP="00DD502C">
            <w:pPr>
              <w:tabs>
                <w:tab w:val="left" w:pos="2190"/>
              </w:tabs>
              <w:spacing w:after="120" w:line="360" w:lineRule="auto"/>
              <w:ind w:left="567" w:right="567"/>
              <w:jc w:val="center"/>
              <w:rPr>
                <w:b/>
                <w:sz w:val="23"/>
                <w:szCs w:val="23"/>
              </w:rPr>
            </w:pPr>
            <w:r w:rsidRPr="00CE2A7F">
              <w:rPr>
                <w:b/>
                <w:sz w:val="23"/>
                <w:szCs w:val="23"/>
              </w:rPr>
              <w:t>ЗА ОТРАЗЯВАНЕ НА ПОСТЪПИЛИТЕ ПРЕДЛОЖЕНИЯ ОТ ОБЩЕСТВЕНИТЕ КОНСУЛТАЦИИ НА</w:t>
            </w:r>
            <w:r w:rsidR="000632EC" w:rsidRPr="00CE2A7F">
              <w:rPr>
                <w:b/>
                <w:sz w:val="23"/>
                <w:szCs w:val="23"/>
              </w:rPr>
              <w:t xml:space="preserve"> ПРОЕКТ НА </w:t>
            </w:r>
            <w:r w:rsidR="005F53D2" w:rsidRPr="005F53D2">
              <w:rPr>
                <w:b/>
                <w:sz w:val="23"/>
                <w:szCs w:val="23"/>
              </w:rPr>
              <w:t xml:space="preserve">НАРЕДБА ЗА ИЗМЕНЕНИЕ И ДОПЪЛНЕНИЕ НА НАРЕДБА № 3 ОТ 2015 Г. ЗА УСЛОВИЯТА И РЕДА ЗА ПРИЛАГАНЕ НА СХЕМИТЕ ЗА </w:t>
            </w:r>
            <w:r w:rsidR="00DD502C">
              <w:rPr>
                <w:b/>
                <w:sz w:val="23"/>
                <w:szCs w:val="23"/>
              </w:rPr>
              <w:br/>
            </w:r>
            <w:r w:rsidR="005F53D2" w:rsidRPr="005F53D2">
              <w:rPr>
                <w:b/>
                <w:sz w:val="23"/>
                <w:szCs w:val="23"/>
              </w:rPr>
              <w:t>ДИРЕКТНИ ПЛАЩАНИЯ</w:t>
            </w:r>
          </w:p>
        </w:tc>
      </w:tr>
    </w:tbl>
    <w:p w:rsidR="00291E9B" w:rsidRPr="00291E9B" w:rsidRDefault="00291E9B">
      <w:pPr>
        <w:rPr>
          <w:sz w:val="16"/>
          <w:szCs w:val="16"/>
        </w:rPr>
      </w:pPr>
    </w:p>
    <w:tbl>
      <w:tblPr>
        <w:tblW w:w="15650" w:type="dxa"/>
        <w:jc w:val="center"/>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ayout w:type="fixed"/>
        <w:tblLook w:val="0000" w:firstRow="0" w:lastRow="0" w:firstColumn="0" w:lastColumn="0" w:noHBand="0" w:noVBand="0"/>
      </w:tblPr>
      <w:tblGrid>
        <w:gridCol w:w="622"/>
        <w:gridCol w:w="2410"/>
        <w:gridCol w:w="6467"/>
        <w:gridCol w:w="1613"/>
        <w:gridCol w:w="4538"/>
      </w:tblGrid>
      <w:tr w:rsidR="00E220AD" w:rsidRPr="00CE2A7F" w:rsidTr="00E44A1B">
        <w:trPr>
          <w:trHeight w:val="565"/>
          <w:tblHeader/>
          <w:jc w:val="center"/>
        </w:trPr>
        <w:tc>
          <w:tcPr>
            <w:tcW w:w="622" w:type="dxa"/>
            <w:tcBorders>
              <w:bottom w:val="single" w:sz="12" w:space="0" w:color="2E74B5"/>
            </w:tcBorders>
            <w:shd w:val="clear" w:color="auto" w:fill="DEEAF6"/>
            <w:vAlign w:val="center"/>
          </w:tcPr>
          <w:p w:rsidR="00E220AD" w:rsidRPr="00CE2A7F" w:rsidRDefault="00E220AD" w:rsidP="00E220AD">
            <w:pPr>
              <w:tabs>
                <w:tab w:val="left" w:pos="192"/>
              </w:tabs>
              <w:jc w:val="center"/>
              <w:rPr>
                <w:b/>
                <w:sz w:val="23"/>
                <w:szCs w:val="23"/>
              </w:rPr>
            </w:pPr>
            <w:r w:rsidRPr="00CE2A7F">
              <w:rPr>
                <w:b/>
                <w:sz w:val="23"/>
                <w:szCs w:val="23"/>
              </w:rPr>
              <w:t>№</w:t>
            </w:r>
          </w:p>
        </w:tc>
        <w:tc>
          <w:tcPr>
            <w:tcW w:w="2410" w:type="dxa"/>
            <w:tcBorders>
              <w:bottom w:val="single" w:sz="12" w:space="0" w:color="2E74B5"/>
            </w:tcBorders>
            <w:shd w:val="clear" w:color="auto" w:fill="DEEAF6"/>
            <w:vAlign w:val="center"/>
          </w:tcPr>
          <w:p w:rsidR="00E220AD" w:rsidRPr="00CE2A7F" w:rsidRDefault="00E220AD" w:rsidP="00DD502C">
            <w:pPr>
              <w:spacing w:before="40"/>
              <w:jc w:val="center"/>
              <w:rPr>
                <w:b/>
                <w:sz w:val="23"/>
                <w:szCs w:val="23"/>
              </w:rPr>
            </w:pPr>
            <w:r w:rsidRPr="00CE2A7F">
              <w:rPr>
                <w:b/>
                <w:sz w:val="23"/>
                <w:szCs w:val="23"/>
              </w:rPr>
              <w:t>Организация/</w:t>
            </w:r>
            <w:r w:rsidR="00DD502C">
              <w:rPr>
                <w:b/>
                <w:sz w:val="23"/>
                <w:szCs w:val="23"/>
              </w:rPr>
              <w:t xml:space="preserve"> </w:t>
            </w:r>
            <w:r w:rsidR="00DD502C">
              <w:rPr>
                <w:b/>
                <w:sz w:val="23"/>
                <w:szCs w:val="23"/>
              </w:rPr>
              <w:br/>
            </w:r>
            <w:r w:rsidRPr="00CE2A7F">
              <w:rPr>
                <w:b/>
                <w:sz w:val="23"/>
                <w:szCs w:val="23"/>
              </w:rPr>
              <w:t>потребител</w:t>
            </w:r>
          </w:p>
          <w:p w:rsidR="005424B9" w:rsidRPr="00CE2A7F" w:rsidRDefault="00291E9B" w:rsidP="00DD502C">
            <w:pPr>
              <w:spacing w:after="20"/>
              <w:jc w:val="center"/>
              <w:rPr>
                <w:b/>
                <w:sz w:val="16"/>
                <w:szCs w:val="16"/>
              </w:rPr>
            </w:pPr>
            <w:r>
              <w:rPr>
                <w:b/>
                <w:sz w:val="16"/>
                <w:szCs w:val="16"/>
              </w:rPr>
              <w:t>(</w:t>
            </w:r>
            <w:r w:rsidR="005424B9" w:rsidRPr="00CE2A7F">
              <w:rPr>
                <w:b/>
                <w:sz w:val="16"/>
                <w:szCs w:val="16"/>
              </w:rPr>
              <w:t>вкл. начина на получаване на предложението</w:t>
            </w:r>
            <w:r>
              <w:rPr>
                <w:b/>
                <w:sz w:val="16"/>
                <w:szCs w:val="16"/>
              </w:rPr>
              <w:t>)</w:t>
            </w:r>
          </w:p>
        </w:tc>
        <w:tc>
          <w:tcPr>
            <w:tcW w:w="6467" w:type="dxa"/>
            <w:shd w:val="clear" w:color="auto" w:fill="DEEAF6"/>
            <w:vAlign w:val="center"/>
          </w:tcPr>
          <w:p w:rsidR="00E220AD" w:rsidRPr="00CE2A7F" w:rsidRDefault="00E220AD" w:rsidP="00E220AD">
            <w:pPr>
              <w:jc w:val="center"/>
              <w:rPr>
                <w:b/>
                <w:sz w:val="23"/>
                <w:szCs w:val="23"/>
              </w:rPr>
            </w:pPr>
            <w:r w:rsidRPr="00CE2A7F">
              <w:rPr>
                <w:b/>
                <w:sz w:val="23"/>
                <w:szCs w:val="23"/>
              </w:rPr>
              <w:t>Бележки и предложения</w:t>
            </w:r>
          </w:p>
        </w:tc>
        <w:tc>
          <w:tcPr>
            <w:tcW w:w="1613" w:type="dxa"/>
            <w:shd w:val="clear" w:color="auto" w:fill="DEEAF6"/>
            <w:vAlign w:val="center"/>
          </w:tcPr>
          <w:p w:rsidR="00E220AD" w:rsidRPr="00CE2A7F" w:rsidRDefault="00E220AD" w:rsidP="00E220AD">
            <w:pPr>
              <w:jc w:val="center"/>
              <w:rPr>
                <w:b/>
                <w:sz w:val="23"/>
                <w:szCs w:val="23"/>
              </w:rPr>
            </w:pPr>
            <w:r w:rsidRPr="00CE2A7F">
              <w:rPr>
                <w:b/>
                <w:sz w:val="23"/>
                <w:szCs w:val="23"/>
              </w:rPr>
              <w:t>Приети/</w:t>
            </w:r>
          </w:p>
          <w:p w:rsidR="00E220AD" w:rsidRPr="00CE2A7F" w:rsidRDefault="00E220AD" w:rsidP="00E220AD">
            <w:pPr>
              <w:jc w:val="center"/>
              <w:rPr>
                <w:b/>
                <w:sz w:val="23"/>
                <w:szCs w:val="23"/>
              </w:rPr>
            </w:pPr>
            <w:r w:rsidRPr="00CE2A7F">
              <w:rPr>
                <w:b/>
                <w:sz w:val="23"/>
                <w:szCs w:val="23"/>
              </w:rPr>
              <w:t>неприети</w:t>
            </w:r>
          </w:p>
        </w:tc>
        <w:tc>
          <w:tcPr>
            <w:tcW w:w="4538" w:type="dxa"/>
            <w:shd w:val="clear" w:color="auto" w:fill="DEEAF6"/>
            <w:vAlign w:val="center"/>
          </w:tcPr>
          <w:p w:rsidR="00E220AD" w:rsidRPr="00CE2A7F" w:rsidRDefault="00E220AD" w:rsidP="00E220AD">
            <w:pPr>
              <w:jc w:val="center"/>
              <w:rPr>
                <w:sz w:val="23"/>
                <w:szCs w:val="23"/>
              </w:rPr>
            </w:pPr>
            <w:r w:rsidRPr="00CE2A7F">
              <w:rPr>
                <w:b/>
                <w:sz w:val="23"/>
                <w:szCs w:val="23"/>
              </w:rPr>
              <w:t>Мотиви</w:t>
            </w:r>
          </w:p>
        </w:tc>
      </w:tr>
      <w:tr w:rsidR="00E220AD" w:rsidRPr="00A426CE" w:rsidTr="00E44A1B">
        <w:trPr>
          <w:trHeight w:val="596"/>
          <w:jc w:val="center"/>
        </w:trPr>
        <w:tc>
          <w:tcPr>
            <w:tcW w:w="622" w:type="dxa"/>
            <w:tcBorders>
              <w:bottom w:val="nil"/>
            </w:tcBorders>
            <w:shd w:val="clear" w:color="auto" w:fill="auto"/>
          </w:tcPr>
          <w:p w:rsidR="00E220AD" w:rsidRPr="00A426CE" w:rsidRDefault="00E220AD" w:rsidP="00C975B4">
            <w:pPr>
              <w:numPr>
                <w:ilvl w:val="0"/>
                <w:numId w:val="5"/>
              </w:numPr>
              <w:tabs>
                <w:tab w:val="left" w:pos="192"/>
              </w:tabs>
              <w:ind w:left="0" w:firstLine="0"/>
              <w:jc w:val="center"/>
              <w:rPr>
                <w:b/>
              </w:rPr>
            </w:pPr>
          </w:p>
        </w:tc>
        <w:tc>
          <w:tcPr>
            <w:tcW w:w="2410" w:type="dxa"/>
            <w:tcBorders>
              <w:bottom w:val="nil"/>
            </w:tcBorders>
            <w:shd w:val="clear" w:color="auto" w:fill="auto"/>
          </w:tcPr>
          <w:p w:rsidR="006E2D88" w:rsidRPr="00915B80" w:rsidRDefault="006C71C0" w:rsidP="00AF7291">
            <w:pPr>
              <w:rPr>
                <w:b/>
                <w:bCs/>
                <w:color w:val="000000"/>
                <w:sz w:val="20"/>
                <w:szCs w:val="20"/>
              </w:rPr>
            </w:pPr>
            <w:r w:rsidRPr="00915B80">
              <w:rPr>
                <w:b/>
                <w:bCs/>
                <w:color w:val="000000"/>
                <w:sz w:val="20"/>
                <w:szCs w:val="20"/>
              </w:rPr>
              <w:t xml:space="preserve">Национална </w:t>
            </w:r>
            <w:proofErr w:type="spellStart"/>
            <w:r w:rsidRPr="00915B80">
              <w:rPr>
                <w:b/>
                <w:bCs/>
                <w:color w:val="000000"/>
                <w:sz w:val="20"/>
                <w:szCs w:val="20"/>
              </w:rPr>
              <w:t>Био</w:t>
            </w:r>
            <w:proofErr w:type="spellEnd"/>
            <w:r w:rsidRPr="00915B80">
              <w:rPr>
                <w:b/>
                <w:bCs/>
                <w:color w:val="000000"/>
                <w:sz w:val="20"/>
                <w:szCs w:val="20"/>
              </w:rPr>
              <w:t xml:space="preserve"> Ас</w:t>
            </w:r>
            <w:r w:rsidRPr="00915B80">
              <w:rPr>
                <w:b/>
                <w:bCs/>
                <w:color w:val="000000"/>
                <w:sz w:val="20"/>
                <w:szCs w:val="20"/>
              </w:rPr>
              <w:t>о</w:t>
            </w:r>
            <w:r w:rsidRPr="00915B80">
              <w:rPr>
                <w:b/>
                <w:bCs/>
                <w:color w:val="000000"/>
                <w:sz w:val="20"/>
                <w:szCs w:val="20"/>
              </w:rPr>
              <w:t>циация</w:t>
            </w:r>
            <w:r w:rsidR="006E2D88" w:rsidRPr="00915B80">
              <w:rPr>
                <w:b/>
                <w:bCs/>
                <w:color w:val="000000"/>
                <w:sz w:val="20"/>
                <w:szCs w:val="20"/>
              </w:rPr>
              <w:t xml:space="preserve"> - постъпило в МЗХГ с регистраци</w:t>
            </w:r>
            <w:r w:rsidR="006E2D88" w:rsidRPr="00915B80">
              <w:rPr>
                <w:b/>
                <w:bCs/>
                <w:color w:val="000000"/>
                <w:sz w:val="20"/>
                <w:szCs w:val="20"/>
              </w:rPr>
              <w:t>о</w:t>
            </w:r>
            <w:r w:rsidR="006E2D88" w:rsidRPr="00915B80">
              <w:rPr>
                <w:b/>
                <w:bCs/>
                <w:color w:val="000000"/>
                <w:sz w:val="20"/>
                <w:szCs w:val="20"/>
              </w:rPr>
              <w:t xml:space="preserve">нен индекс </w:t>
            </w:r>
          </w:p>
          <w:p w:rsidR="00E220AD" w:rsidRPr="00915B80" w:rsidRDefault="006E2D88" w:rsidP="00AF7291">
            <w:pPr>
              <w:rPr>
                <w:b/>
              </w:rPr>
            </w:pPr>
            <w:r w:rsidRPr="00915B80">
              <w:rPr>
                <w:b/>
                <w:bCs/>
                <w:color w:val="000000"/>
                <w:sz w:val="20"/>
                <w:szCs w:val="20"/>
              </w:rPr>
              <w:t>15-53 от 17.02.2020 г.</w:t>
            </w:r>
          </w:p>
        </w:tc>
        <w:tc>
          <w:tcPr>
            <w:tcW w:w="6467" w:type="dxa"/>
            <w:shd w:val="clear" w:color="auto" w:fill="auto"/>
          </w:tcPr>
          <w:p w:rsidR="001D2756" w:rsidRPr="00915B80" w:rsidRDefault="001D2756" w:rsidP="001D2756">
            <w:pPr>
              <w:jc w:val="both"/>
            </w:pPr>
            <w:r w:rsidRPr="00915B80">
              <w:t xml:space="preserve">Ние представителите на Национална </w:t>
            </w:r>
            <w:proofErr w:type="spellStart"/>
            <w:r w:rsidRPr="00915B80">
              <w:t>Био</w:t>
            </w:r>
            <w:proofErr w:type="spellEnd"/>
            <w:r w:rsidRPr="00915B80">
              <w:t xml:space="preserve"> Асоциация, бяхме силно изненадани и притеснени от изнесените факти от страна на държавната администрация в лицето на Мини</w:t>
            </w:r>
            <w:r w:rsidRPr="00915B80">
              <w:t>с</w:t>
            </w:r>
            <w:r w:rsidRPr="00915B80">
              <w:t>терство на земеделието, храните и горите и Държавен фонд „Земеделие“ - РА, относно изключително високия процент на злоупотреба в сектор „Растениевъдство“, по отношение на схемите за директни плащания и по специално тези об</w:t>
            </w:r>
            <w:r w:rsidRPr="00915B80">
              <w:t>х</w:t>
            </w:r>
            <w:r w:rsidRPr="00915B80">
              <w:t>ващащи обвързаната подкрепа. Категорично, ние подкреп</w:t>
            </w:r>
            <w:r w:rsidRPr="00915B80">
              <w:t>я</w:t>
            </w:r>
            <w:r w:rsidRPr="00915B80">
              <w:t xml:space="preserve">ме изцяло Вашите усилия, за пресичане на всякакви </w:t>
            </w:r>
            <w:proofErr w:type="spellStart"/>
            <w:r w:rsidRPr="00915B80">
              <w:t>въ</w:t>
            </w:r>
            <w:r w:rsidRPr="00915B80">
              <w:t>з</w:t>
            </w:r>
            <w:r w:rsidRPr="00915B80">
              <w:t>можностти</w:t>
            </w:r>
            <w:proofErr w:type="spellEnd"/>
            <w:r w:rsidRPr="00915B80">
              <w:t xml:space="preserve"> за злоупотреби и създаването на изкуствени у</w:t>
            </w:r>
            <w:r w:rsidRPr="00915B80">
              <w:t>с</w:t>
            </w:r>
            <w:r w:rsidRPr="00915B80">
              <w:t xml:space="preserve">ловия и/или измама по визираните схеми и мерки. Като сдружение регистрирано в публична полза, занимаващо се основно със защитата на интересите на </w:t>
            </w:r>
            <w:proofErr w:type="spellStart"/>
            <w:r w:rsidRPr="00915B80">
              <w:t>биопроизводител</w:t>
            </w:r>
            <w:r w:rsidRPr="00915B80">
              <w:t>и</w:t>
            </w:r>
            <w:r w:rsidRPr="00915B80">
              <w:t>те</w:t>
            </w:r>
            <w:proofErr w:type="spellEnd"/>
            <w:r w:rsidRPr="00915B80">
              <w:t>, не на последно място се намира и обществения интерес на цялото общество в защитата на финансовите интереси и защита от „източване“ на публични средства от бюджета на ЕС и Република България. Както знаем, основен принцип на правото е защитата на публичния интерес пред частния, к</w:t>
            </w:r>
            <w:r w:rsidRPr="00915B80">
              <w:t>а</w:t>
            </w:r>
            <w:r w:rsidRPr="00915B80">
              <w:t>то в този ред на мисли, смятаме че е изключително налож</w:t>
            </w:r>
            <w:r w:rsidRPr="00915B80">
              <w:t>и</w:t>
            </w:r>
            <w:r w:rsidRPr="00915B80">
              <w:t>телно ограничаване на възможността на лица, да злоупотр</w:t>
            </w:r>
            <w:r w:rsidRPr="00915B80">
              <w:t>е</w:t>
            </w:r>
            <w:r w:rsidRPr="00915B80">
              <w:lastRenderedPageBreak/>
              <w:t>бяват с начините на финансиране по линия на схемите на директните плащания. От изнесената информация от адм</w:t>
            </w:r>
            <w:r w:rsidRPr="00915B80">
              <w:t>и</w:t>
            </w:r>
            <w:r w:rsidRPr="00915B80">
              <w:t>нистрацията на МЗХГ и ДФЗ, ние правим следните изводи :</w:t>
            </w:r>
          </w:p>
          <w:p w:rsidR="001D2756" w:rsidRPr="00915B80" w:rsidRDefault="001D2756" w:rsidP="001D2756">
            <w:pPr>
              <w:jc w:val="both"/>
            </w:pPr>
            <w:r w:rsidRPr="00915B80">
              <w:t>На заявени площи по схеми за обвързана подкрепа - изцяло липсва засята култура или културата се различава от заяв</w:t>
            </w:r>
            <w:r w:rsidRPr="00915B80">
              <w:t>е</w:t>
            </w:r>
            <w:r w:rsidRPr="00915B80">
              <w:t>ната; Тенденциозно се засяват култури включени по схем</w:t>
            </w:r>
            <w:r w:rsidRPr="00915B80">
              <w:t>и</w:t>
            </w:r>
            <w:r w:rsidRPr="00915B80">
              <w:t>те за обвързана подкрепа, чиято реколта впоследствие не се прибира, а се цели отчитането единствено на „фиктивна дейност“.</w:t>
            </w:r>
          </w:p>
          <w:p w:rsidR="00E220AD" w:rsidRPr="00915B80" w:rsidRDefault="001D2756" w:rsidP="001D2756">
            <w:pPr>
              <w:jc w:val="both"/>
            </w:pPr>
            <w:r w:rsidRPr="00915B80">
              <w:t>Именно водени от гореизложеното, като поставяме общес</w:t>
            </w:r>
            <w:r w:rsidRPr="00915B80">
              <w:t>т</w:t>
            </w:r>
            <w:r w:rsidRPr="00915B80">
              <w:t>вения интерес над всичко, включително и пред нашия соб</w:t>
            </w:r>
            <w:r w:rsidRPr="00915B80">
              <w:t>с</w:t>
            </w:r>
            <w:r w:rsidRPr="00915B80">
              <w:t>твен в качеството ни на земеделски производители, ние с цел защита на финансовите интереси на ЕС и Република България, водени от принципите за ефективност и ефика</w:t>
            </w:r>
            <w:r w:rsidRPr="00915B80">
              <w:t>с</w:t>
            </w:r>
            <w:r w:rsidRPr="00915B80">
              <w:t>ност на изразходваните на публични средства</w:t>
            </w:r>
          </w:p>
        </w:tc>
        <w:tc>
          <w:tcPr>
            <w:tcW w:w="1613" w:type="dxa"/>
            <w:shd w:val="clear" w:color="auto" w:fill="auto"/>
          </w:tcPr>
          <w:p w:rsidR="00BE6BFB" w:rsidRPr="00A426CE" w:rsidRDefault="00BE6BFB" w:rsidP="00831124">
            <w:pPr>
              <w:rPr>
                <w:color w:val="000000"/>
              </w:rPr>
            </w:pPr>
          </w:p>
        </w:tc>
        <w:tc>
          <w:tcPr>
            <w:tcW w:w="4538" w:type="dxa"/>
            <w:shd w:val="clear" w:color="auto" w:fill="auto"/>
          </w:tcPr>
          <w:p w:rsidR="002472CF" w:rsidRPr="00A426CE" w:rsidRDefault="002472CF" w:rsidP="00915B80">
            <w:pPr>
              <w:jc w:val="both"/>
            </w:pPr>
          </w:p>
        </w:tc>
      </w:tr>
      <w:tr w:rsidR="00450BCC" w:rsidRPr="00A426CE" w:rsidTr="00E44A1B">
        <w:trPr>
          <w:trHeight w:val="596"/>
          <w:jc w:val="center"/>
        </w:trPr>
        <w:tc>
          <w:tcPr>
            <w:tcW w:w="622" w:type="dxa"/>
            <w:tcBorders>
              <w:top w:val="nil"/>
              <w:bottom w:val="nil"/>
            </w:tcBorders>
            <w:shd w:val="clear" w:color="auto" w:fill="auto"/>
          </w:tcPr>
          <w:p w:rsidR="00450BCC" w:rsidRPr="00A426CE" w:rsidRDefault="00450BCC" w:rsidP="00EB11E2">
            <w:pPr>
              <w:tabs>
                <w:tab w:val="left" w:pos="192"/>
              </w:tabs>
              <w:jc w:val="center"/>
              <w:rPr>
                <w:b/>
              </w:rPr>
            </w:pPr>
          </w:p>
        </w:tc>
        <w:tc>
          <w:tcPr>
            <w:tcW w:w="2410" w:type="dxa"/>
            <w:tcBorders>
              <w:top w:val="nil"/>
              <w:bottom w:val="nil"/>
            </w:tcBorders>
            <w:shd w:val="clear" w:color="auto" w:fill="auto"/>
          </w:tcPr>
          <w:p w:rsidR="00450BCC" w:rsidRPr="00A426CE" w:rsidRDefault="00450BCC" w:rsidP="00831124">
            <w:pPr>
              <w:rPr>
                <w:b/>
                <w:bCs/>
                <w:color w:val="000000"/>
                <w:spacing w:val="-2"/>
                <w:w w:val="86"/>
              </w:rPr>
            </w:pPr>
          </w:p>
        </w:tc>
        <w:tc>
          <w:tcPr>
            <w:tcW w:w="6467" w:type="dxa"/>
            <w:shd w:val="clear" w:color="auto" w:fill="auto"/>
          </w:tcPr>
          <w:p w:rsidR="001D2756" w:rsidRPr="001D2756" w:rsidRDefault="001D2756" w:rsidP="001D2756">
            <w:pPr>
              <w:jc w:val="both"/>
            </w:pPr>
            <w:r w:rsidRPr="001D2756">
              <w:t>ПРЕДЛАГАМЕ:</w:t>
            </w:r>
          </w:p>
          <w:p w:rsidR="00450BCC" w:rsidRPr="00CC7B28" w:rsidRDefault="001D2756" w:rsidP="001D2756">
            <w:pPr>
              <w:jc w:val="both"/>
            </w:pPr>
            <w:r w:rsidRPr="001D2756">
              <w:t>Да бъде наложен таван на подпомаганите площи по схеми и мерки на директните плащания, обхващащи схемите за д</w:t>
            </w:r>
            <w:r w:rsidRPr="001D2756">
              <w:t>и</w:t>
            </w:r>
            <w:r w:rsidRPr="001D2756">
              <w:t>ректни плащания визирани в чл. 18, точки 9,10,11,12,13,14 и 16, а именно (</w:t>
            </w:r>
            <w:proofErr w:type="spellStart"/>
            <w:r w:rsidRPr="001D2756">
              <w:rPr>
                <w:u w:val="single"/>
              </w:rPr>
              <w:t>долуизброените</w:t>
            </w:r>
            <w:proofErr w:type="spellEnd"/>
            <w:r w:rsidRPr="001D2756">
              <w:rPr>
                <w:u w:val="single"/>
              </w:rPr>
              <w:t xml:space="preserve"> маркирани в черно</w:t>
            </w:r>
            <w:r w:rsidRPr="001D2756">
              <w:t>)</w:t>
            </w:r>
            <w:r w:rsidR="0080529C" w:rsidRPr="00CC7B28">
              <w:t>:</w:t>
            </w:r>
          </w:p>
          <w:p w:rsidR="0080529C" w:rsidRPr="001D2756" w:rsidRDefault="0080529C" w:rsidP="0080529C">
            <w:pPr>
              <w:jc w:val="both"/>
            </w:pPr>
            <w:r w:rsidRPr="001D2756">
              <w:t>„Чл. 18. (Изм. - ДВ, бр. 19 от 2017 г., в сипа от 28.02.2017 г.) Прилагат се следните схеми за обвързано с производството подпомагане:</w:t>
            </w:r>
          </w:p>
          <w:p w:rsidR="0080529C" w:rsidRPr="001D2756" w:rsidRDefault="0080529C" w:rsidP="0080529C">
            <w:pPr>
              <w:jc w:val="both"/>
            </w:pPr>
            <w:r>
              <w:t xml:space="preserve">1. </w:t>
            </w:r>
            <w:r w:rsidRPr="001D2756">
              <w:t>схема за обвързано подпомагане за млечни крави;</w:t>
            </w:r>
          </w:p>
          <w:p w:rsidR="0080529C" w:rsidRPr="001D2756" w:rsidRDefault="0080529C" w:rsidP="0080529C">
            <w:pPr>
              <w:jc w:val="both"/>
            </w:pPr>
            <w:r>
              <w:t xml:space="preserve">2. </w:t>
            </w:r>
            <w:r w:rsidRPr="001D2756">
              <w:t>схема за обвързано подпомагане за млечни крави под с</w:t>
            </w:r>
            <w:r w:rsidRPr="001D2756">
              <w:t>е</w:t>
            </w:r>
            <w:r w:rsidRPr="001D2756">
              <w:t>лекционен контрол;</w:t>
            </w:r>
          </w:p>
          <w:p w:rsidR="0080529C" w:rsidRPr="001D2756" w:rsidRDefault="0080529C" w:rsidP="0080529C">
            <w:pPr>
              <w:jc w:val="both"/>
            </w:pPr>
            <w:r>
              <w:t xml:space="preserve">3. </w:t>
            </w:r>
            <w:r w:rsidRPr="001D2756">
              <w:t>схема за обвързано подпомагане за млечни крави в пл</w:t>
            </w:r>
            <w:r w:rsidRPr="001D2756">
              <w:t>а</w:t>
            </w:r>
            <w:r w:rsidRPr="001D2756">
              <w:t>нински райони (5-9 животни);</w:t>
            </w:r>
          </w:p>
          <w:p w:rsidR="0080529C" w:rsidRPr="001D2756" w:rsidRDefault="0080529C" w:rsidP="0080529C">
            <w:pPr>
              <w:jc w:val="both"/>
            </w:pPr>
            <w:r>
              <w:t xml:space="preserve">4. </w:t>
            </w:r>
            <w:r w:rsidRPr="001D2756">
              <w:t>схема за обвързано подпомагане за месодайни крави и/или юници;</w:t>
            </w:r>
          </w:p>
          <w:p w:rsidR="0080529C" w:rsidRPr="001D2756" w:rsidRDefault="0080529C" w:rsidP="0080529C">
            <w:pPr>
              <w:jc w:val="both"/>
            </w:pPr>
            <w:r>
              <w:lastRenderedPageBreak/>
              <w:t xml:space="preserve">5. </w:t>
            </w:r>
            <w:r w:rsidRPr="001D2756">
              <w:t>схема за обвързано подпомагане за месодайни крави под селекционен контрол;</w:t>
            </w:r>
          </w:p>
          <w:p w:rsidR="0080529C" w:rsidRPr="001D2756" w:rsidRDefault="0080529C" w:rsidP="0080529C">
            <w:pPr>
              <w:jc w:val="both"/>
            </w:pPr>
            <w:r>
              <w:t xml:space="preserve">6. </w:t>
            </w:r>
            <w:r w:rsidRPr="001D2756">
              <w:t>схема за обвързано подпомагане за овце-майки и/или к</w:t>
            </w:r>
            <w:r w:rsidRPr="001D2756">
              <w:t>о</w:t>
            </w:r>
            <w:r w:rsidRPr="001D2756">
              <w:t>зи-майки в планински райони (10 -</w:t>
            </w:r>
            <w:r>
              <w:t xml:space="preserve"> </w:t>
            </w:r>
            <w:r w:rsidRPr="001D2756">
              <w:t>49 животни);</w:t>
            </w:r>
          </w:p>
          <w:p w:rsidR="0080529C" w:rsidRPr="001D2756" w:rsidRDefault="0080529C" w:rsidP="0080529C">
            <w:pPr>
              <w:jc w:val="both"/>
            </w:pPr>
            <w:r>
              <w:t xml:space="preserve">7. </w:t>
            </w:r>
            <w:r w:rsidRPr="001D2756">
              <w:t>схема за обвързано подпомагане за овце-майки и/или к</w:t>
            </w:r>
            <w:r w:rsidRPr="001D2756">
              <w:t>о</w:t>
            </w:r>
            <w:r w:rsidRPr="001D2756">
              <w:t>зи-майки под селекционен</w:t>
            </w:r>
            <w:r>
              <w:t xml:space="preserve"> </w:t>
            </w:r>
            <w:r w:rsidRPr="001D2756">
              <w:t>контрол;</w:t>
            </w:r>
          </w:p>
          <w:p w:rsidR="0080529C" w:rsidRPr="001D2756" w:rsidRDefault="0080529C" w:rsidP="0080529C">
            <w:pPr>
              <w:jc w:val="both"/>
            </w:pPr>
            <w:r>
              <w:t xml:space="preserve">8. </w:t>
            </w:r>
            <w:r w:rsidRPr="001D2756">
              <w:t>схема за обвързано подпомагане за биволи;</w:t>
            </w:r>
          </w:p>
          <w:p w:rsidR="0080529C" w:rsidRPr="003B4449" w:rsidRDefault="0080529C" w:rsidP="0080529C">
            <w:pPr>
              <w:jc w:val="both"/>
              <w:rPr>
                <w:b/>
              </w:rPr>
            </w:pPr>
            <w:r w:rsidRPr="003B4449">
              <w:rPr>
                <w:b/>
              </w:rPr>
              <w:t>9. схема за обвързано подпомагане за плодове (основна група);</w:t>
            </w:r>
          </w:p>
          <w:p w:rsidR="0080529C" w:rsidRPr="003B4449" w:rsidRDefault="0080529C" w:rsidP="0080529C">
            <w:pPr>
              <w:jc w:val="both"/>
              <w:rPr>
                <w:b/>
              </w:rPr>
            </w:pPr>
            <w:r w:rsidRPr="003B4449">
              <w:rPr>
                <w:b/>
              </w:rPr>
              <w:t>10. схема за обвързано подпомагане за плодове (сливи и десертно грозде);</w:t>
            </w:r>
          </w:p>
          <w:p w:rsidR="0080529C" w:rsidRPr="003B4449" w:rsidRDefault="0080529C" w:rsidP="0080529C">
            <w:pPr>
              <w:jc w:val="both"/>
              <w:rPr>
                <w:b/>
              </w:rPr>
            </w:pPr>
            <w:r w:rsidRPr="003B4449">
              <w:rPr>
                <w:b/>
              </w:rPr>
              <w:t xml:space="preserve">11. (изм. - ДВ. бр. 20 от 2019 г., в сила от 08.03.2019 г.) схема за обвързано подпомагане за зеленчуци (домати, краставици, </w:t>
            </w:r>
            <w:proofErr w:type="spellStart"/>
            <w:r w:rsidRPr="003B4449">
              <w:rPr>
                <w:b/>
              </w:rPr>
              <w:t>корнишони</w:t>
            </w:r>
            <w:proofErr w:type="spellEnd"/>
            <w:r w:rsidRPr="003B4449">
              <w:rPr>
                <w:b/>
              </w:rPr>
              <w:t xml:space="preserve"> и патладжан);</w:t>
            </w:r>
          </w:p>
          <w:p w:rsidR="0080529C" w:rsidRPr="003B4449" w:rsidRDefault="0080529C" w:rsidP="0080529C">
            <w:pPr>
              <w:jc w:val="both"/>
              <w:rPr>
                <w:b/>
              </w:rPr>
            </w:pPr>
            <w:r w:rsidRPr="003B4449">
              <w:rPr>
                <w:b/>
              </w:rPr>
              <w:t>12. (нова - ДВ. бр. 20 от 2019 г., в сила от 08.03.2019 г.) схема за обвързано подпомагане за зеленчуци (пипер);</w:t>
            </w:r>
          </w:p>
          <w:p w:rsidR="0080529C" w:rsidRPr="003B4449" w:rsidRDefault="0080529C" w:rsidP="0080529C">
            <w:pPr>
              <w:jc w:val="both"/>
              <w:rPr>
                <w:b/>
              </w:rPr>
            </w:pPr>
            <w:r w:rsidRPr="003B4449">
              <w:rPr>
                <w:b/>
              </w:rPr>
              <w:t>13. (изм. - ДВ. бр. 20 от 2019 г., в сила от 08.03.2019 г.) схема за обвързано подпомагане за зеленчуци (картофи, лук и чесън);</w:t>
            </w:r>
          </w:p>
          <w:p w:rsidR="0080529C" w:rsidRPr="003B4449" w:rsidRDefault="0080529C" w:rsidP="0080529C">
            <w:pPr>
              <w:jc w:val="both"/>
              <w:rPr>
                <w:b/>
              </w:rPr>
            </w:pPr>
            <w:r w:rsidRPr="003B4449">
              <w:rPr>
                <w:b/>
              </w:rPr>
              <w:t>14. (нова - ДВ. бр. 20 от 2019 г., в сила от 08.03.2019 г.) схема за обвързано подпомагане за зеленчуци (моркови, зеле, дини и пъпеши);</w:t>
            </w:r>
          </w:p>
          <w:p w:rsidR="0080529C" w:rsidRPr="001D2756" w:rsidRDefault="0080529C" w:rsidP="0080529C">
            <w:pPr>
              <w:jc w:val="both"/>
            </w:pPr>
            <w:r>
              <w:t xml:space="preserve">15. </w:t>
            </w:r>
            <w:r w:rsidRPr="001D2756">
              <w:t>(предишна т. 12 - ДВ, бр. 20 от 2019 г., в сила от 08.03.2019 г.) схема за обвързано</w:t>
            </w:r>
            <w:r>
              <w:t xml:space="preserve"> </w:t>
            </w:r>
            <w:r w:rsidRPr="001D2756">
              <w:t>подпомагане за оранж</w:t>
            </w:r>
            <w:r w:rsidRPr="001D2756">
              <w:t>е</w:t>
            </w:r>
            <w:r w:rsidRPr="001D2756">
              <w:t>рийни зеленчуци;</w:t>
            </w:r>
          </w:p>
          <w:p w:rsidR="0080529C" w:rsidRPr="00CC7B28" w:rsidRDefault="0080529C" w:rsidP="0080529C">
            <w:pPr>
              <w:jc w:val="both"/>
            </w:pPr>
            <w:r w:rsidRPr="003B4449">
              <w:rPr>
                <w:b/>
              </w:rPr>
              <w:t>16. (предишна т. 14 - ДВ. бр. 20 от 2019 г., в сила от 08.03.2019 г.) схема за обвързано подпомагане за проте</w:t>
            </w:r>
            <w:r w:rsidRPr="003B4449">
              <w:rPr>
                <w:b/>
              </w:rPr>
              <w:t>и</w:t>
            </w:r>
            <w:r w:rsidRPr="003B4449">
              <w:rPr>
                <w:b/>
              </w:rPr>
              <w:t>нови култури.“</w:t>
            </w:r>
          </w:p>
        </w:tc>
        <w:tc>
          <w:tcPr>
            <w:tcW w:w="1613" w:type="dxa"/>
            <w:shd w:val="clear" w:color="auto" w:fill="auto"/>
          </w:tcPr>
          <w:p w:rsidR="00450BCC" w:rsidRPr="00A426CE" w:rsidRDefault="00EF17B5" w:rsidP="00CC7B28">
            <w:pPr>
              <w:rPr>
                <w:color w:val="000000"/>
              </w:rPr>
            </w:pPr>
            <w:r w:rsidRPr="00EF17B5">
              <w:rPr>
                <w:color w:val="000000"/>
              </w:rPr>
              <w:lastRenderedPageBreak/>
              <w:t>Не се прие-ма</w:t>
            </w:r>
          </w:p>
        </w:tc>
        <w:tc>
          <w:tcPr>
            <w:tcW w:w="4538" w:type="dxa"/>
            <w:shd w:val="clear" w:color="auto" w:fill="auto"/>
          </w:tcPr>
          <w:p w:rsidR="00450BCC" w:rsidRPr="00A426CE" w:rsidRDefault="00F15BAF" w:rsidP="00AE7DF6">
            <w:pPr>
              <w:jc w:val="both"/>
            </w:pPr>
            <w:r w:rsidRPr="00F15BAF">
              <w:t>Проектът отразява промените в схемите за обвързан</w:t>
            </w:r>
            <w:r w:rsidR="00E3274A">
              <w:t>а подкрепа, дискутирани с предс</w:t>
            </w:r>
            <w:r w:rsidRPr="00F15BAF">
              <w:t>тавители на браншовите организ</w:t>
            </w:r>
            <w:r w:rsidRPr="00F15BAF">
              <w:t>а</w:t>
            </w:r>
            <w:r w:rsidRPr="00F15BAF">
              <w:t xml:space="preserve">ции в сектор </w:t>
            </w:r>
            <w:r w:rsidR="00AE7DF6">
              <w:t>„</w:t>
            </w:r>
            <w:r w:rsidRPr="00F15BAF">
              <w:t>Плодове и зеленчуци</w:t>
            </w:r>
            <w:r w:rsidR="00AE7DF6">
              <w:t>“</w:t>
            </w:r>
            <w:r w:rsidRPr="00F15BAF">
              <w:t xml:space="preserve"> през юли 2019 г. Предложението на Наци</w:t>
            </w:r>
            <w:r w:rsidRPr="00F15BAF">
              <w:t>о</w:t>
            </w:r>
            <w:r w:rsidR="00E3274A">
              <w:t xml:space="preserve">нална </w:t>
            </w:r>
            <w:proofErr w:type="spellStart"/>
            <w:r w:rsidR="00E3274A">
              <w:t>Био</w:t>
            </w:r>
            <w:proofErr w:type="spellEnd"/>
            <w:r w:rsidR="00E3274A">
              <w:t xml:space="preserve"> Асо</w:t>
            </w:r>
            <w:r w:rsidRPr="00F15BAF">
              <w:t xml:space="preserve">циация касае промяна в </w:t>
            </w:r>
            <w:proofErr w:type="spellStart"/>
            <w:r w:rsidRPr="00F15BAF">
              <w:t>нотифицираните</w:t>
            </w:r>
            <w:proofErr w:type="spellEnd"/>
            <w:r w:rsidRPr="00F15BAF">
              <w:t xml:space="preserve"> пред ЕК на 1 август 2019 г. условия за подпомагане по гор</w:t>
            </w:r>
            <w:r w:rsidRPr="00F15BAF">
              <w:t>е</w:t>
            </w:r>
            <w:r w:rsidRPr="00F15BAF">
              <w:t>посочените схеми, което предполага ш</w:t>
            </w:r>
            <w:r w:rsidRPr="00F15BAF">
              <w:t>и</w:t>
            </w:r>
            <w:r w:rsidRPr="00F15BAF">
              <w:t>рока обществена дискусия при следващи дебати по евентуални проме</w:t>
            </w:r>
            <w:r w:rsidR="00E3274A">
              <w:t>ни в схемите за обвързано подпо</w:t>
            </w:r>
            <w:r w:rsidRPr="00F15BAF">
              <w:t>магане.</w:t>
            </w:r>
          </w:p>
        </w:tc>
      </w:tr>
      <w:tr w:rsidR="004C6279" w:rsidRPr="00A426CE" w:rsidTr="00E44A1B">
        <w:trPr>
          <w:trHeight w:val="596"/>
          <w:jc w:val="center"/>
        </w:trPr>
        <w:tc>
          <w:tcPr>
            <w:tcW w:w="622" w:type="dxa"/>
            <w:tcBorders>
              <w:top w:val="nil"/>
              <w:bottom w:val="nil"/>
            </w:tcBorders>
            <w:shd w:val="clear" w:color="auto" w:fill="auto"/>
          </w:tcPr>
          <w:p w:rsidR="004C6279" w:rsidRPr="00A426CE" w:rsidRDefault="004C6279" w:rsidP="00EB11E2">
            <w:pPr>
              <w:tabs>
                <w:tab w:val="left" w:pos="192"/>
              </w:tabs>
              <w:jc w:val="center"/>
              <w:rPr>
                <w:b/>
              </w:rPr>
            </w:pPr>
          </w:p>
        </w:tc>
        <w:tc>
          <w:tcPr>
            <w:tcW w:w="2410" w:type="dxa"/>
            <w:tcBorders>
              <w:top w:val="nil"/>
              <w:bottom w:val="nil"/>
            </w:tcBorders>
            <w:shd w:val="clear" w:color="auto" w:fill="auto"/>
          </w:tcPr>
          <w:p w:rsidR="004C6279" w:rsidRPr="00A426CE" w:rsidRDefault="004C6279" w:rsidP="00831124">
            <w:pPr>
              <w:rPr>
                <w:b/>
                <w:bCs/>
                <w:color w:val="000000"/>
                <w:spacing w:val="-2"/>
                <w:w w:val="86"/>
              </w:rPr>
            </w:pPr>
          </w:p>
        </w:tc>
        <w:tc>
          <w:tcPr>
            <w:tcW w:w="6467" w:type="dxa"/>
            <w:shd w:val="clear" w:color="auto" w:fill="auto"/>
          </w:tcPr>
          <w:p w:rsidR="003B4449" w:rsidRPr="003B4449" w:rsidRDefault="003B4449" w:rsidP="003B4449">
            <w:pPr>
              <w:jc w:val="both"/>
            </w:pPr>
            <w:r w:rsidRPr="003B4449">
              <w:t xml:space="preserve">По същество това са едногодишни култури, чиито площи могат да бъдат манипулирани ежегодно с цел декларирането </w:t>
            </w:r>
            <w:r w:rsidRPr="003B4449">
              <w:lastRenderedPageBreak/>
              <w:t>им по схемите за обвързана подкрепа и представянето на една „фиктивна дейност</w:t>
            </w:r>
            <w:r>
              <w:t>“</w:t>
            </w:r>
            <w:r w:rsidRPr="003B4449">
              <w:t>, като реална.</w:t>
            </w:r>
          </w:p>
          <w:p w:rsidR="003B4449" w:rsidRPr="003B4449" w:rsidRDefault="003B4449" w:rsidP="003B4449">
            <w:pPr>
              <w:jc w:val="both"/>
            </w:pPr>
            <w:r w:rsidRPr="003B4449">
              <w:t>По отношение на стопанствата с над 50 ха с плодове, това са изключително рентабилни и конкурентоспособни стопанс</w:t>
            </w:r>
            <w:r w:rsidRPr="003B4449">
              <w:t>т</w:t>
            </w:r>
            <w:r w:rsidRPr="003B4449">
              <w:t>ва, които получават т.н. икономия от мащаба и не е необх</w:t>
            </w:r>
            <w:r w:rsidRPr="003B4449">
              <w:t>о</w:t>
            </w:r>
            <w:r w:rsidRPr="003B4449">
              <w:t>димо разходване на публични средства, по отношение на тяхното „свръх</w:t>
            </w:r>
            <w:r>
              <w:t>“</w:t>
            </w:r>
            <w:r w:rsidRPr="003B4449">
              <w:t xml:space="preserve"> подпомагане, тъй като те получават дост</w:t>
            </w:r>
            <w:r w:rsidRPr="003B4449">
              <w:t>а</w:t>
            </w:r>
            <w:r w:rsidRPr="003B4449">
              <w:t>тъчно доход от дейността си.</w:t>
            </w:r>
          </w:p>
          <w:p w:rsidR="004C6279" w:rsidRPr="003B4449" w:rsidRDefault="003B4449" w:rsidP="003B4449">
            <w:pPr>
              <w:jc w:val="both"/>
            </w:pPr>
            <w:r w:rsidRPr="003B4449">
              <w:t>По този начин съобразно изнесените данни около 30% от бюджета по схемите няма да бъ</w:t>
            </w:r>
            <w:r>
              <w:t>де „източен“</w:t>
            </w:r>
            <w:r w:rsidRPr="003B4449">
              <w:t xml:space="preserve"> от земеделски стопани с фиктивна дейн</w:t>
            </w:r>
            <w:r>
              <w:t>о</w:t>
            </w:r>
            <w:r w:rsidRPr="003B4449">
              <w:t>ст и ще се разпредели пропорци</w:t>
            </w:r>
            <w:r w:rsidRPr="003B4449">
              <w:t>о</w:t>
            </w:r>
            <w:r w:rsidRPr="003B4449">
              <w:t>нално върху всички останали реални земеделски производ</w:t>
            </w:r>
            <w:r w:rsidRPr="003B4449">
              <w:t>и</w:t>
            </w:r>
            <w:r w:rsidRPr="003B4449">
              <w:t>тели.</w:t>
            </w:r>
          </w:p>
        </w:tc>
        <w:tc>
          <w:tcPr>
            <w:tcW w:w="1613" w:type="dxa"/>
            <w:shd w:val="clear" w:color="auto" w:fill="auto"/>
          </w:tcPr>
          <w:p w:rsidR="004C6279" w:rsidRPr="00A426CE" w:rsidRDefault="001A1330" w:rsidP="00CC7B28">
            <w:pPr>
              <w:rPr>
                <w:color w:val="000000"/>
              </w:rPr>
            </w:pPr>
            <w:r w:rsidRPr="001A1330">
              <w:rPr>
                <w:color w:val="000000"/>
              </w:rPr>
              <w:lastRenderedPageBreak/>
              <w:t>Не се приема</w:t>
            </w:r>
          </w:p>
        </w:tc>
        <w:tc>
          <w:tcPr>
            <w:tcW w:w="4538" w:type="dxa"/>
            <w:shd w:val="clear" w:color="auto" w:fill="auto"/>
          </w:tcPr>
          <w:p w:rsidR="004C6279" w:rsidRPr="00A426CE" w:rsidRDefault="0020153E" w:rsidP="00FC66C2">
            <w:pPr>
              <w:jc w:val="both"/>
            </w:pPr>
            <w:r w:rsidRPr="0020153E">
              <w:t>Проектът отразява промените в схемите за обвързана подкре</w:t>
            </w:r>
            <w:r w:rsidR="00AE7DF6">
              <w:t xml:space="preserve">па, дискутирани с </w:t>
            </w:r>
            <w:r w:rsidR="00AE7DF6">
              <w:lastRenderedPageBreak/>
              <w:t>предс</w:t>
            </w:r>
            <w:r w:rsidRPr="0020153E">
              <w:t>тавители на браншовите организ</w:t>
            </w:r>
            <w:r w:rsidRPr="0020153E">
              <w:t>а</w:t>
            </w:r>
            <w:r w:rsidRPr="0020153E">
              <w:t xml:space="preserve">ции в сектор </w:t>
            </w:r>
            <w:r w:rsidR="00D824B2">
              <w:t>„</w:t>
            </w:r>
            <w:r w:rsidRPr="0020153E">
              <w:t>Плодове и зеленчуци</w:t>
            </w:r>
            <w:r w:rsidR="00D824B2">
              <w:t>“</w:t>
            </w:r>
            <w:r w:rsidRPr="0020153E">
              <w:t xml:space="preserve"> през юли 2019 г. Предложението на Наци</w:t>
            </w:r>
            <w:r w:rsidRPr="0020153E">
              <w:t>о</w:t>
            </w:r>
            <w:r w:rsidRPr="0020153E">
              <w:t xml:space="preserve">нална </w:t>
            </w:r>
            <w:proofErr w:type="spellStart"/>
            <w:r w:rsidRPr="0020153E">
              <w:t>био</w:t>
            </w:r>
            <w:proofErr w:type="spellEnd"/>
            <w:r w:rsidRPr="0020153E">
              <w:t xml:space="preserve"> асоциация касае промяна в </w:t>
            </w:r>
            <w:proofErr w:type="spellStart"/>
            <w:r w:rsidRPr="0020153E">
              <w:t>нотифицираните</w:t>
            </w:r>
            <w:proofErr w:type="spellEnd"/>
            <w:r w:rsidRPr="0020153E">
              <w:t xml:space="preserve"> пред ЕК на 1 август 201</w:t>
            </w:r>
            <w:r w:rsidR="00FC66C2">
              <w:t>9</w:t>
            </w:r>
            <w:r w:rsidRPr="0020153E">
              <w:t xml:space="preserve"> г. условия за подпомагане по гор</w:t>
            </w:r>
            <w:r w:rsidRPr="0020153E">
              <w:t>е</w:t>
            </w:r>
            <w:r w:rsidRPr="0020153E">
              <w:t>посочените схеми, което предполага ш</w:t>
            </w:r>
            <w:r w:rsidRPr="0020153E">
              <w:t>и</w:t>
            </w:r>
            <w:r w:rsidRPr="0020153E">
              <w:t>рока обществена дискусия при следващи дебати по евентуални проме</w:t>
            </w:r>
            <w:r w:rsidR="00FC66C2">
              <w:t>ни в схемите за обвързано подпо</w:t>
            </w:r>
            <w:r w:rsidRPr="0020153E">
              <w:t>магане.</w:t>
            </w:r>
          </w:p>
        </w:tc>
      </w:tr>
      <w:tr w:rsidR="004C6279" w:rsidRPr="00A426CE" w:rsidTr="00E44A1B">
        <w:trPr>
          <w:trHeight w:val="596"/>
          <w:jc w:val="center"/>
        </w:trPr>
        <w:tc>
          <w:tcPr>
            <w:tcW w:w="622" w:type="dxa"/>
            <w:tcBorders>
              <w:top w:val="nil"/>
              <w:bottom w:val="single" w:sz="12" w:space="0" w:color="2E74B5"/>
            </w:tcBorders>
            <w:shd w:val="clear" w:color="auto" w:fill="auto"/>
          </w:tcPr>
          <w:p w:rsidR="004C6279" w:rsidRPr="00A426CE" w:rsidRDefault="004C6279" w:rsidP="00EB11E2">
            <w:pPr>
              <w:tabs>
                <w:tab w:val="left" w:pos="192"/>
              </w:tabs>
              <w:jc w:val="center"/>
              <w:rPr>
                <w:b/>
              </w:rPr>
            </w:pPr>
          </w:p>
        </w:tc>
        <w:tc>
          <w:tcPr>
            <w:tcW w:w="2410" w:type="dxa"/>
            <w:tcBorders>
              <w:top w:val="nil"/>
              <w:bottom w:val="single" w:sz="12" w:space="0" w:color="2E74B5"/>
            </w:tcBorders>
            <w:shd w:val="clear" w:color="auto" w:fill="auto"/>
          </w:tcPr>
          <w:p w:rsidR="004C6279" w:rsidRPr="00A426CE" w:rsidRDefault="004C6279" w:rsidP="00831124">
            <w:pPr>
              <w:rPr>
                <w:b/>
                <w:bCs/>
                <w:color w:val="000000"/>
                <w:spacing w:val="-2"/>
                <w:w w:val="86"/>
              </w:rPr>
            </w:pPr>
          </w:p>
        </w:tc>
        <w:tc>
          <w:tcPr>
            <w:tcW w:w="6467" w:type="dxa"/>
            <w:shd w:val="clear" w:color="auto" w:fill="auto"/>
          </w:tcPr>
          <w:p w:rsidR="00372DCB" w:rsidRDefault="00372DCB" w:rsidP="0016097E">
            <w:pPr>
              <w:jc w:val="both"/>
            </w:pPr>
            <w:r w:rsidRPr="003B4449">
              <w:t xml:space="preserve">Имайки предвид всичко изложено в настоящето СТАНО-ВИЩЕ, ние Ви предлагаме следните текстове, които вече са </w:t>
            </w:r>
            <w:r>
              <w:t>приети по мярка 10 „</w:t>
            </w:r>
            <w:proofErr w:type="spellStart"/>
            <w:r w:rsidRPr="0016097E">
              <w:t>Агроекология</w:t>
            </w:r>
            <w:proofErr w:type="spellEnd"/>
            <w:r w:rsidRPr="0016097E">
              <w:t xml:space="preserve"> и климат</w:t>
            </w:r>
            <w:r>
              <w:t xml:space="preserve">“ </w:t>
            </w:r>
            <w:r w:rsidRPr="003B4449">
              <w:t>и мярка 11 „Био</w:t>
            </w:r>
            <w:r>
              <w:t>логично земеделие“</w:t>
            </w:r>
            <w:r w:rsidRPr="003B4449">
              <w:t xml:space="preserve"> от ПРСР, а именно в</w:t>
            </w:r>
            <w:r>
              <w:t>:</w:t>
            </w:r>
          </w:p>
          <w:p w:rsidR="00372DCB" w:rsidRDefault="00372DCB" w:rsidP="0016097E">
            <w:pPr>
              <w:jc w:val="both"/>
            </w:pPr>
          </w:p>
          <w:p w:rsidR="0016097E" w:rsidRPr="00CC7B28" w:rsidRDefault="0016097E" w:rsidP="0016097E">
            <w:pPr>
              <w:jc w:val="both"/>
            </w:pPr>
            <w:r w:rsidRPr="00CC7B28">
              <w:t>ПРЕХОДНИ И ЗАКЛЮЧИТЕЛНИ РАЗПОРЕДБИ</w:t>
            </w:r>
          </w:p>
          <w:p w:rsidR="0016097E" w:rsidRPr="0016097E" w:rsidRDefault="0016097E" w:rsidP="0016097E">
            <w:pPr>
              <w:jc w:val="both"/>
            </w:pPr>
            <w:r w:rsidRPr="0016097E">
              <w:t>§ 1 За Кампания 2020 и следващите на подпомагане по сх</w:t>
            </w:r>
            <w:r w:rsidRPr="0016097E">
              <w:t>е</w:t>
            </w:r>
            <w:r w:rsidRPr="0016097E">
              <w:t>мите за директни плащания подпомагането се извършва по след</w:t>
            </w:r>
            <w:r>
              <w:t>ния начин</w:t>
            </w:r>
            <w:r w:rsidRPr="0016097E">
              <w:t>:</w:t>
            </w:r>
          </w:p>
          <w:p w:rsidR="0016097E" w:rsidRPr="0016097E" w:rsidRDefault="0016097E" w:rsidP="00DD502C">
            <w:r>
              <w:t xml:space="preserve">1. За </w:t>
            </w:r>
            <w:r w:rsidRPr="0016097E">
              <w:t xml:space="preserve">култури </w:t>
            </w:r>
            <w:r>
              <w:t xml:space="preserve">от групата </w:t>
            </w:r>
            <w:r w:rsidRPr="0016097E">
              <w:t>на</w:t>
            </w:r>
            <w:r w:rsidR="00DD502C">
              <w:t xml:space="preserve"> </w:t>
            </w:r>
            <w:r>
              <w:t xml:space="preserve">чл. </w:t>
            </w:r>
            <w:r w:rsidRPr="0016097E">
              <w:t>18,</w:t>
            </w:r>
            <w:r>
              <w:t xml:space="preserve"> </w:t>
            </w:r>
            <w:r w:rsidRPr="0016097E">
              <w:t>т.</w:t>
            </w:r>
            <w:r>
              <w:t xml:space="preserve"> </w:t>
            </w:r>
            <w:r w:rsidRPr="0016097E">
              <w:t>9,</w:t>
            </w:r>
            <w:r>
              <w:t xml:space="preserve"> </w:t>
            </w:r>
            <w:r w:rsidRPr="0016097E">
              <w:t>т.</w:t>
            </w:r>
            <w:r>
              <w:t xml:space="preserve"> </w:t>
            </w:r>
            <w:r w:rsidRPr="0016097E">
              <w:t>10,</w:t>
            </w:r>
            <w:r>
              <w:t xml:space="preserve"> </w:t>
            </w:r>
            <w:r w:rsidRPr="0016097E">
              <w:t>т.</w:t>
            </w:r>
            <w:r>
              <w:t xml:space="preserve"> </w:t>
            </w:r>
            <w:r w:rsidRPr="0016097E">
              <w:t>11,</w:t>
            </w:r>
            <w:r>
              <w:t xml:space="preserve"> </w:t>
            </w:r>
            <w:r w:rsidRPr="0016097E">
              <w:t>т.</w:t>
            </w:r>
            <w:r>
              <w:t xml:space="preserve"> </w:t>
            </w:r>
            <w:r w:rsidRPr="0016097E">
              <w:t>12,</w:t>
            </w:r>
            <w:r>
              <w:t xml:space="preserve"> </w:t>
            </w:r>
            <w:r w:rsidRPr="0016097E">
              <w:t>т.</w:t>
            </w:r>
            <w:r>
              <w:t xml:space="preserve"> </w:t>
            </w:r>
            <w:r w:rsidRPr="0016097E">
              <w:t>13,</w:t>
            </w:r>
            <w:r>
              <w:t xml:space="preserve"> </w:t>
            </w:r>
            <w:r w:rsidRPr="0016097E">
              <w:t>т.</w:t>
            </w:r>
            <w:r>
              <w:t xml:space="preserve"> </w:t>
            </w:r>
            <w:r w:rsidRPr="0016097E">
              <w:t>14 и т.1</w:t>
            </w:r>
            <w:r>
              <w:t>6</w:t>
            </w:r>
            <w:r w:rsidRPr="0016097E">
              <w:t xml:space="preserve"> се подпомагат както следва:</w:t>
            </w:r>
          </w:p>
          <w:p w:rsidR="0016097E" w:rsidRPr="0016097E" w:rsidRDefault="0016097E" w:rsidP="0016097E">
            <w:pPr>
              <w:jc w:val="both"/>
            </w:pPr>
            <w:r>
              <w:t xml:space="preserve">а) </w:t>
            </w:r>
            <w:r w:rsidRPr="0016097E">
              <w:t>за площи до 50 ха подпомагането е в размер на 100% от финансовото</w:t>
            </w:r>
            <w:r>
              <w:t xml:space="preserve"> </w:t>
            </w:r>
            <w:r w:rsidRPr="0016097E">
              <w:t>подпомагане от годишното плащане на хектар;</w:t>
            </w:r>
          </w:p>
          <w:p w:rsidR="004C6279" w:rsidRPr="00CC7B28" w:rsidRDefault="0016097E" w:rsidP="0016097E">
            <w:pPr>
              <w:jc w:val="both"/>
            </w:pPr>
            <w:r>
              <w:t xml:space="preserve">б) </w:t>
            </w:r>
            <w:r w:rsidRPr="0016097E">
              <w:t>за площите над 50 ха. подпомагането е в размер на 1 % от годишното</w:t>
            </w:r>
            <w:r>
              <w:t xml:space="preserve"> </w:t>
            </w:r>
            <w:r w:rsidRPr="0016097E">
              <w:t>плащане на хектар от финансовото подпомагане.</w:t>
            </w:r>
          </w:p>
        </w:tc>
        <w:tc>
          <w:tcPr>
            <w:tcW w:w="1613" w:type="dxa"/>
            <w:shd w:val="clear" w:color="auto" w:fill="auto"/>
          </w:tcPr>
          <w:p w:rsidR="004C6279" w:rsidRPr="00A426CE" w:rsidRDefault="00633D08" w:rsidP="00CC7B28">
            <w:pPr>
              <w:rPr>
                <w:color w:val="000000"/>
              </w:rPr>
            </w:pPr>
            <w:r w:rsidRPr="00633D08">
              <w:rPr>
                <w:color w:val="000000"/>
              </w:rPr>
              <w:t>Не се приема</w:t>
            </w:r>
          </w:p>
        </w:tc>
        <w:tc>
          <w:tcPr>
            <w:tcW w:w="4538" w:type="dxa"/>
            <w:shd w:val="clear" w:color="auto" w:fill="auto"/>
          </w:tcPr>
          <w:p w:rsidR="004C6279" w:rsidRPr="00A426CE" w:rsidRDefault="009B2B15" w:rsidP="00CD6F72">
            <w:pPr>
              <w:jc w:val="both"/>
            </w:pPr>
            <w:r w:rsidRPr="009B2B15">
              <w:t>Проектът отразява промените в схемите за обвързан</w:t>
            </w:r>
            <w:r w:rsidR="00372DCB">
              <w:t>а подкрепа, дискутирани с предс</w:t>
            </w:r>
            <w:r w:rsidRPr="009B2B15">
              <w:t>тавители на браншовите организ</w:t>
            </w:r>
            <w:r w:rsidRPr="009B2B15">
              <w:t>а</w:t>
            </w:r>
            <w:r w:rsidRPr="009B2B15">
              <w:t xml:space="preserve">ции в сектор </w:t>
            </w:r>
            <w:r w:rsidR="00372DCB">
              <w:t>„</w:t>
            </w:r>
            <w:r w:rsidRPr="009B2B15">
              <w:t>Плодове и зеленчуци</w:t>
            </w:r>
            <w:r w:rsidR="00372DCB">
              <w:t>“</w:t>
            </w:r>
            <w:r w:rsidRPr="009B2B15">
              <w:t xml:space="preserve"> през юли 2019 г. Предложението на Наци</w:t>
            </w:r>
            <w:r w:rsidRPr="009B2B15">
              <w:t>о</w:t>
            </w:r>
            <w:r w:rsidRPr="009B2B15">
              <w:t xml:space="preserve">нална </w:t>
            </w:r>
            <w:proofErr w:type="spellStart"/>
            <w:r w:rsidRPr="009B2B15">
              <w:t>био</w:t>
            </w:r>
            <w:proofErr w:type="spellEnd"/>
            <w:r w:rsidRPr="009B2B15">
              <w:t xml:space="preserve"> асоциация касае промяна в </w:t>
            </w:r>
            <w:proofErr w:type="spellStart"/>
            <w:r w:rsidRPr="009B2B15">
              <w:t>нотифицираните</w:t>
            </w:r>
            <w:proofErr w:type="spellEnd"/>
            <w:r w:rsidRPr="009B2B15">
              <w:t xml:space="preserve"> пред ЕК на 1 август 2019 г. условия за подпомагане по гор</w:t>
            </w:r>
            <w:r w:rsidRPr="009B2B15">
              <w:t>е</w:t>
            </w:r>
            <w:r w:rsidRPr="009B2B15">
              <w:t>посочените схеми, с оглед което предп</w:t>
            </w:r>
            <w:r w:rsidRPr="009B2B15">
              <w:t>о</w:t>
            </w:r>
            <w:r w:rsidRPr="009B2B15">
              <w:t>лага широка обществена дискусия при следващи дебати по евентуални промени в схемите за обвързано подпомагане.</w:t>
            </w:r>
          </w:p>
        </w:tc>
      </w:tr>
      <w:tr w:rsidR="00FA70A7" w:rsidRPr="00A426CE" w:rsidTr="00E44A1B">
        <w:trPr>
          <w:trHeight w:val="596"/>
          <w:jc w:val="center"/>
        </w:trPr>
        <w:tc>
          <w:tcPr>
            <w:tcW w:w="622" w:type="dxa"/>
            <w:tcBorders>
              <w:bottom w:val="nil"/>
            </w:tcBorders>
            <w:shd w:val="clear" w:color="auto" w:fill="auto"/>
          </w:tcPr>
          <w:p w:rsidR="00FA70A7" w:rsidRPr="00A426CE" w:rsidRDefault="00FA70A7" w:rsidP="00FA70A7">
            <w:pPr>
              <w:numPr>
                <w:ilvl w:val="0"/>
                <w:numId w:val="5"/>
              </w:numPr>
              <w:tabs>
                <w:tab w:val="left" w:pos="192"/>
              </w:tabs>
              <w:ind w:left="0" w:firstLine="0"/>
              <w:jc w:val="center"/>
              <w:rPr>
                <w:b/>
              </w:rPr>
            </w:pPr>
          </w:p>
        </w:tc>
        <w:tc>
          <w:tcPr>
            <w:tcW w:w="2410" w:type="dxa"/>
            <w:tcBorders>
              <w:bottom w:val="nil"/>
            </w:tcBorders>
            <w:shd w:val="clear" w:color="auto" w:fill="auto"/>
          </w:tcPr>
          <w:p w:rsidR="0074534D" w:rsidRPr="0074534D" w:rsidRDefault="0074534D" w:rsidP="000B279A">
            <w:pPr>
              <w:rPr>
                <w:sz w:val="22"/>
                <w:szCs w:val="22"/>
              </w:rPr>
            </w:pPr>
            <w:proofErr w:type="spellStart"/>
            <w:r w:rsidRPr="0074534D">
              <w:rPr>
                <w:rStyle w:val="Hyperlink"/>
                <w:b/>
                <w:bCs/>
                <w:color w:val="000000"/>
                <w:sz w:val="20"/>
                <w:szCs w:val="20"/>
                <w:u w:val="none"/>
              </w:rPr>
              <w:t>ilin</w:t>
            </w:r>
            <w:proofErr w:type="spellEnd"/>
            <w:r w:rsidRPr="0074534D">
              <w:rPr>
                <w:rStyle w:val="Hyperlink"/>
                <w:b/>
                <w:bCs/>
                <w:color w:val="000000"/>
                <w:sz w:val="20"/>
                <w:szCs w:val="20"/>
                <w:u w:val="none"/>
              </w:rPr>
              <w:t xml:space="preserve"> </w:t>
            </w:r>
            <w:proofErr w:type="spellStart"/>
            <w:r w:rsidRPr="0074534D">
              <w:rPr>
                <w:rStyle w:val="Hyperlink"/>
                <w:b/>
                <w:bCs/>
                <w:color w:val="000000"/>
                <w:sz w:val="20"/>
                <w:szCs w:val="20"/>
                <w:u w:val="none"/>
              </w:rPr>
              <w:t>Stepanchev</w:t>
            </w:r>
            <w:proofErr w:type="spellEnd"/>
            <w:r w:rsidRPr="0074534D">
              <w:rPr>
                <w:rStyle w:val="Hyperlink"/>
                <w:b/>
                <w:bCs/>
                <w:color w:val="000000"/>
                <w:sz w:val="20"/>
                <w:szCs w:val="20"/>
                <w:u w:val="none"/>
              </w:rPr>
              <w:t xml:space="preserve"> </w:t>
            </w:r>
            <w:hyperlink r:id="rId9" w:history="1">
              <w:r w:rsidRPr="00371937">
                <w:rPr>
                  <w:rStyle w:val="Hyperlink"/>
                  <w:sz w:val="20"/>
                  <w:szCs w:val="20"/>
                  <w:lang w:val="en-US"/>
                </w:rPr>
                <w:t>ilin_666@abv.bg</w:t>
              </w:r>
            </w:hyperlink>
          </w:p>
          <w:p w:rsidR="000B279A" w:rsidRPr="00E4166F" w:rsidRDefault="0074534D" w:rsidP="000B279A">
            <w:pPr>
              <w:rPr>
                <w:b/>
                <w:bCs/>
                <w:color w:val="000000"/>
                <w:sz w:val="20"/>
                <w:szCs w:val="20"/>
              </w:rPr>
            </w:pPr>
            <w:r>
              <w:rPr>
                <w:b/>
                <w:bCs/>
                <w:color w:val="000000"/>
                <w:sz w:val="20"/>
                <w:szCs w:val="20"/>
              </w:rPr>
              <w:t xml:space="preserve">17.02.2020 </w:t>
            </w:r>
            <w:r w:rsidR="000B279A">
              <w:rPr>
                <w:b/>
                <w:bCs/>
                <w:color w:val="000000"/>
                <w:sz w:val="20"/>
                <w:szCs w:val="20"/>
              </w:rPr>
              <w:t>г.</w:t>
            </w:r>
          </w:p>
          <w:p w:rsidR="00FA70A7" w:rsidRPr="000B279A" w:rsidRDefault="000B279A" w:rsidP="00853C0E">
            <w:pPr>
              <w:rPr>
                <w:b/>
                <w:bCs/>
                <w:color w:val="000000"/>
                <w:sz w:val="20"/>
                <w:szCs w:val="20"/>
              </w:rPr>
            </w:pPr>
            <w:r>
              <w:rPr>
                <w:b/>
                <w:bCs/>
                <w:color w:val="000000"/>
                <w:sz w:val="20"/>
                <w:szCs w:val="20"/>
              </w:rPr>
              <w:lastRenderedPageBreak/>
              <w:t>(по електронен път)</w:t>
            </w:r>
            <w:r w:rsidR="00FA70A7" w:rsidRPr="00344138">
              <w:rPr>
                <w:b/>
                <w:bCs/>
                <w:color w:val="000000"/>
                <w:sz w:val="20"/>
                <w:szCs w:val="20"/>
              </w:rPr>
              <w:t xml:space="preserve">. </w:t>
            </w:r>
          </w:p>
        </w:tc>
        <w:tc>
          <w:tcPr>
            <w:tcW w:w="6467" w:type="dxa"/>
            <w:shd w:val="clear" w:color="auto" w:fill="auto"/>
          </w:tcPr>
          <w:p w:rsidR="00FA70A7" w:rsidRPr="000B279A" w:rsidRDefault="00EA2ADC" w:rsidP="00E65C58">
            <w:pPr>
              <w:jc w:val="both"/>
            </w:pPr>
            <w:r w:rsidRPr="00EA2ADC">
              <w:lastRenderedPageBreak/>
              <w:t>1.</w:t>
            </w:r>
            <w:r w:rsidR="00C266A4">
              <w:t xml:space="preserve"> </w:t>
            </w:r>
            <w:r w:rsidRPr="00EA2ADC">
              <w:t>Официален документ , чрез който да се доказва мл</w:t>
            </w:r>
            <w:r w:rsidRPr="00EA2ADC">
              <w:t>я</w:t>
            </w:r>
            <w:r w:rsidRPr="00EA2ADC">
              <w:t xml:space="preserve">ко(продукция) да бъде само фактура, а не </w:t>
            </w:r>
            <w:proofErr w:type="spellStart"/>
            <w:r w:rsidRPr="00EA2ADC">
              <w:t>приемо-</w:t>
            </w:r>
            <w:r w:rsidRPr="00EA2ADC">
              <w:lastRenderedPageBreak/>
              <w:t>предавателен</w:t>
            </w:r>
            <w:proofErr w:type="spellEnd"/>
            <w:r w:rsidRPr="00EA2ADC">
              <w:t xml:space="preserve"> протокол. </w:t>
            </w:r>
            <w:proofErr w:type="spellStart"/>
            <w:r w:rsidRPr="00EA2ADC">
              <w:t>Приемо</w:t>
            </w:r>
            <w:proofErr w:type="spellEnd"/>
            <w:r w:rsidRPr="00EA2ADC">
              <w:t>- предавателните протоколи да доказват продукция само при затворен цикъл, ферма-преработвателно предприятие.</w:t>
            </w:r>
          </w:p>
        </w:tc>
        <w:tc>
          <w:tcPr>
            <w:tcW w:w="1613" w:type="dxa"/>
            <w:shd w:val="clear" w:color="auto" w:fill="auto"/>
          </w:tcPr>
          <w:p w:rsidR="00FA70A7" w:rsidRPr="00A426CE" w:rsidRDefault="001A6707" w:rsidP="00CC7B28">
            <w:r w:rsidRPr="001A6707">
              <w:lastRenderedPageBreak/>
              <w:t>Не се приема</w:t>
            </w:r>
          </w:p>
        </w:tc>
        <w:tc>
          <w:tcPr>
            <w:tcW w:w="4538" w:type="dxa"/>
            <w:shd w:val="clear" w:color="auto" w:fill="auto"/>
          </w:tcPr>
          <w:p w:rsidR="00FA70A7" w:rsidRPr="00A426CE" w:rsidRDefault="001A308F" w:rsidP="00E87AAD">
            <w:pPr>
              <w:jc w:val="both"/>
            </w:pPr>
            <w:r w:rsidRPr="001A308F">
              <w:t xml:space="preserve">Всички </w:t>
            </w:r>
            <w:r w:rsidR="00E87AAD" w:rsidRPr="001A308F">
              <w:t>документи</w:t>
            </w:r>
            <w:r w:rsidR="00E87AAD">
              <w:t xml:space="preserve"> </w:t>
            </w:r>
            <w:r w:rsidRPr="001A308F">
              <w:t>за доказване на реа</w:t>
            </w:r>
            <w:r w:rsidR="00E87AAD">
              <w:t>л</w:t>
            </w:r>
            <w:r w:rsidR="00E87AAD">
              <w:t>и</w:t>
            </w:r>
            <w:r w:rsidRPr="001A308F">
              <w:t>зация</w:t>
            </w:r>
            <w:r w:rsidR="00E87AAD">
              <w:t>,</w:t>
            </w:r>
            <w:r w:rsidRPr="001A308F">
              <w:t xml:space="preserve"> </w:t>
            </w:r>
            <w:r w:rsidR="00E87AAD" w:rsidRPr="001A308F">
              <w:t xml:space="preserve">предвидени </w:t>
            </w:r>
            <w:r w:rsidRPr="001A308F">
              <w:t xml:space="preserve">в Наредба № 3/2015 г., </w:t>
            </w:r>
            <w:r w:rsidRPr="001A308F">
              <w:lastRenderedPageBreak/>
              <w:t>включите</w:t>
            </w:r>
            <w:r w:rsidR="00C15115">
              <w:t>лно в настоящия проект за не</w:t>
            </w:r>
            <w:r w:rsidR="00C15115">
              <w:t>й</w:t>
            </w:r>
            <w:r w:rsidR="00C15115">
              <w:t>но</w:t>
            </w:r>
            <w:r w:rsidRPr="001A308F">
              <w:t>то изменение и допълнение, реферират към Закона за счетоводството, с изкл</w:t>
            </w:r>
            <w:r w:rsidRPr="001A308F">
              <w:t>ю</w:t>
            </w:r>
            <w:r w:rsidRPr="001A308F">
              <w:t>чение на документите, изискуеми по се</w:t>
            </w:r>
            <w:r w:rsidRPr="001A308F">
              <w:t>к</w:t>
            </w:r>
            <w:r w:rsidRPr="001A308F">
              <w:t>торното законодателство.</w:t>
            </w:r>
          </w:p>
        </w:tc>
      </w:tr>
      <w:tr w:rsidR="00FA70A7" w:rsidRPr="00A426CE" w:rsidTr="00616625">
        <w:trPr>
          <w:trHeight w:val="596"/>
          <w:jc w:val="center"/>
        </w:trPr>
        <w:tc>
          <w:tcPr>
            <w:tcW w:w="622" w:type="dxa"/>
            <w:tcBorders>
              <w:top w:val="nil"/>
              <w:bottom w:val="single" w:sz="12" w:space="0" w:color="2E74B5"/>
            </w:tcBorders>
            <w:shd w:val="clear" w:color="auto" w:fill="auto"/>
          </w:tcPr>
          <w:p w:rsidR="00FA70A7" w:rsidRPr="00A426CE" w:rsidRDefault="00FA70A7" w:rsidP="00853C0E">
            <w:pPr>
              <w:tabs>
                <w:tab w:val="left" w:pos="192"/>
              </w:tabs>
              <w:jc w:val="center"/>
              <w:rPr>
                <w:b/>
                <w:highlight w:val="yellow"/>
              </w:rPr>
            </w:pPr>
          </w:p>
        </w:tc>
        <w:tc>
          <w:tcPr>
            <w:tcW w:w="2410" w:type="dxa"/>
            <w:tcBorders>
              <w:top w:val="nil"/>
              <w:bottom w:val="single" w:sz="12" w:space="0" w:color="2E74B5"/>
            </w:tcBorders>
            <w:shd w:val="clear" w:color="auto" w:fill="auto"/>
          </w:tcPr>
          <w:p w:rsidR="00FA70A7" w:rsidRPr="00A426CE" w:rsidRDefault="00FA70A7" w:rsidP="00853C0E">
            <w:pPr>
              <w:rPr>
                <w:b/>
                <w:bCs/>
                <w:color w:val="000000"/>
                <w:spacing w:val="-2"/>
                <w:w w:val="86"/>
                <w:highlight w:val="yellow"/>
              </w:rPr>
            </w:pPr>
          </w:p>
        </w:tc>
        <w:tc>
          <w:tcPr>
            <w:tcW w:w="6467" w:type="dxa"/>
            <w:shd w:val="clear" w:color="auto" w:fill="auto"/>
          </w:tcPr>
          <w:p w:rsidR="00FA70A7" w:rsidRPr="000B279A" w:rsidRDefault="00EA2ADC" w:rsidP="00C9387E">
            <w:pPr>
              <w:jc w:val="both"/>
            </w:pPr>
            <w:r w:rsidRPr="00EA2ADC">
              <w:t>2. Да отпадне доказването на реализация на биволско мляко за изхранване на други видове животни.</w:t>
            </w:r>
          </w:p>
        </w:tc>
        <w:tc>
          <w:tcPr>
            <w:tcW w:w="1613" w:type="dxa"/>
            <w:shd w:val="clear" w:color="auto" w:fill="auto"/>
          </w:tcPr>
          <w:p w:rsidR="00FA70A7" w:rsidRPr="00A27017" w:rsidRDefault="005953A7" w:rsidP="00CC7B28">
            <w:r w:rsidRPr="00A27017">
              <w:t xml:space="preserve">Частично се </w:t>
            </w:r>
            <w:r w:rsidR="00E123B0" w:rsidRPr="00A27017">
              <w:t xml:space="preserve"> приема</w:t>
            </w:r>
            <w:r w:rsidRPr="00A27017">
              <w:t>.</w:t>
            </w:r>
          </w:p>
        </w:tc>
        <w:tc>
          <w:tcPr>
            <w:tcW w:w="4538" w:type="dxa"/>
            <w:shd w:val="clear" w:color="auto" w:fill="auto"/>
          </w:tcPr>
          <w:p w:rsidR="005953A7" w:rsidRPr="00A27017" w:rsidRDefault="004705AC" w:rsidP="005953A7">
            <w:pPr>
              <w:spacing w:after="200" w:line="276" w:lineRule="auto"/>
              <w:jc w:val="both"/>
              <w:rPr>
                <w:lang w:val="en-US"/>
              </w:rPr>
            </w:pPr>
            <w:r w:rsidRPr="00A27017">
              <w:t>Въвежда се ограничение за реализиране  на добитото биволско мляко, в стопанс</w:t>
            </w:r>
            <w:r w:rsidRPr="00A27017">
              <w:t>т</w:t>
            </w:r>
            <w:r w:rsidRPr="00A27017">
              <w:t>ва, които са заявили за подпомагане над 50 броя биволи, като мляко за изхранване на животни в други стопанства.</w:t>
            </w:r>
          </w:p>
          <w:p w:rsidR="00364798" w:rsidRPr="00A27017" w:rsidRDefault="00364798" w:rsidP="005953A7">
            <w:pPr>
              <w:spacing w:after="200" w:line="276" w:lineRule="auto"/>
              <w:jc w:val="both"/>
              <w:rPr>
                <w:lang w:val="en-US"/>
              </w:rPr>
            </w:pPr>
            <w:r w:rsidRPr="00A27017">
              <w:t>За всички земеделски стопанствата се запазват и останалите възможности за реализация на мляко.</w:t>
            </w:r>
          </w:p>
          <w:p w:rsidR="00FA70A7" w:rsidRPr="00A27017" w:rsidRDefault="00FA70A7" w:rsidP="0033087A">
            <w:pPr>
              <w:jc w:val="both"/>
            </w:pPr>
          </w:p>
        </w:tc>
      </w:tr>
      <w:tr w:rsidR="00EE6EA0" w:rsidRPr="00A426CE" w:rsidTr="00616625">
        <w:trPr>
          <w:trHeight w:val="596"/>
          <w:jc w:val="center"/>
        </w:trPr>
        <w:tc>
          <w:tcPr>
            <w:tcW w:w="622" w:type="dxa"/>
            <w:tcBorders>
              <w:bottom w:val="nil"/>
            </w:tcBorders>
            <w:shd w:val="clear" w:color="auto" w:fill="auto"/>
          </w:tcPr>
          <w:p w:rsidR="00EE6EA0" w:rsidRPr="00A426CE" w:rsidRDefault="00EE6EA0" w:rsidP="00F01245">
            <w:pPr>
              <w:numPr>
                <w:ilvl w:val="0"/>
                <w:numId w:val="5"/>
              </w:numPr>
              <w:tabs>
                <w:tab w:val="left" w:pos="192"/>
              </w:tabs>
              <w:ind w:left="0" w:firstLine="0"/>
              <w:jc w:val="center"/>
              <w:rPr>
                <w:b/>
              </w:rPr>
            </w:pPr>
          </w:p>
        </w:tc>
        <w:tc>
          <w:tcPr>
            <w:tcW w:w="2410" w:type="dxa"/>
            <w:vMerge w:val="restart"/>
            <w:tcBorders>
              <w:bottom w:val="nil"/>
            </w:tcBorders>
            <w:shd w:val="clear" w:color="auto" w:fill="auto"/>
          </w:tcPr>
          <w:p w:rsidR="00EE6EA0" w:rsidRPr="00EA6B4F" w:rsidRDefault="00EE6EA0" w:rsidP="00EA6B4F">
            <w:pPr>
              <w:rPr>
                <w:b/>
                <w:bCs/>
                <w:strike/>
                <w:color w:val="FF0000"/>
                <w:sz w:val="20"/>
                <w:szCs w:val="20"/>
              </w:rPr>
            </w:pPr>
            <w:r>
              <w:t xml:space="preserve"> </w:t>
            </w:r>
            <w:r>
              <w:rPr>
                <w:b/>
                <w:bCs/>
                <w:sz w:val="22"/>
                <w:szCs w:val="22"/>
              </w:rPr>
              <w:t>Сдружение „Асоци</w:t>
            </w:r>
            <w:r>
              <w:rPr>
                <w:b/>
                <w:bCs/>
                <w:sz w:val="22"/>
                <w:szCs w:val="22"/>
              </w:rPr>
              <w:t>а</w:t>
            </w:r>
            <w:r>
              <w:rPr>
                <w:b/>
                <w:bCs/>
                <w:sz w:val="22"/>
                <w:szCs w:val="22"/>
              </w:rPr>
              <w:t xml:space="preserve">ция за развъждане на месодайните породи говеда в България“ </w:t>
            </w:r>
          </w:p>
          <w:p w:rsidR="00EE6EA0" w:rsidRPr="0074534D" w:rsidRDefault="00EE6EA0" w:rsidP="00956BD2">
            <w:pPr>
              <w:rPr>
                <w:rStyle w:val="Hyperlink"/>
                <w:b/>
                <w:bCs/>
                <w:color w:val="000000"/>
                <w:sz w:val="20"/>
                <w:szCs w:val="20"/>
                <w:u w:val="none"/>
              </w:rPr>
            </w:pPr>
            <w:r w:rsidRPr="0074534D">
              <w:rPr>
                <w:rStyle w:val="Hyperlink"/>
                <w:sz w:val="20"/>
                <w:szCs w:val="20"/>
              </w:rPr>
              <w:t>office@bbab.bg</w:t>
            </w:r>
          </w:p>
          <w:p w:rsidR="00EE6EA0" w:rsidRPr="00E4166F" w:rsidRDefault="00EE6EA0" w:rsidP="00956BD2">
            <w:pPr>
              <w:rPr>
                <w:b/>
                <w:bCs/>
                <w:color w:val="000000"/>
                <w:sz w:val="20"/>
                <w:szCs w:val="20"/>
              </w:rPr>
            </w:pPr>
            <w:r>
              <w:rPr>
                <w:b/>
                <w:bCs/>
                <w:color w:val="000000"/>
                <w:sz w:val="20"/>
                <w:szCs w:val="20"/>
              </w:rPr>
              <w:t>17.02.2020 г.</w:t>
            </w:r>
          </w:p>
          <w:p w:rsidR="00EE6EA0" w:rsidRPr="00E4166F" w:rsidRDefault="00EE6EA0" w:rsidP="00956BD2">
            <w:pPr>
              <w:rPr>
                <w:b/>
                <w:bCs/>
                <w:color w:val="000000"/>
                <w:sz w:val="20"/>
                <w:szCs w:val="20"/>
              </w:rPr>
            </w:pPr>
            <w:r>
              <w:rPr>
                <w:b/>
                <w:bCs/>
                <w:color w:val="000000"/>
                <w:sz w:val="20"/>
                <w:szCs w:val="20"/>
              </w:rPr>
              <w:t>(по електронен път)</w:t>
            </w:r>
          </w:p>
        </w:tc>
        <w:tc>
          <w:tcPr>
            <w:tcW w:w="6467" w:type="dxa"/>
            <w:shd w:val="clear" w:color="auto" w:fill="auto"/>
          </w:tcPr>
          <w:p w:rsidR="00EE6EA0" w:rsidRPr="00CC7B28" w:rsidRDefault="00EE6EA0" w:rsidP="00C528AD">
            <w:pPr>
              <w:jc w:val="both"/>
            </w:pPr>
            <w:r w:rsidRPr="00A30F0D">
              <w:t xml:space="preserve">Предлагаме следните промени в </w:t>
            </w:r>
            <w:proofErr w:type="spellStart"/>
            <w:r w:rsidRPr="00A30F0D">
              <w:t>проекто</w:t>
            </w:r>
            <w:r w:rsidR="00FA029D" w:rsidRPr="00CC7B28">
              <w:t>-</w:t>
            </w:r>
            <w:r w:rsidRPr="00A30F0D">
              <w:t>наредбата</w:t>
            </w:r>
            <w:proofErr w:type="spellEnd"/>
            <w:r w:rsidR="00E33457">
              <w:t xml:space="preserve"> за пр</w:t>
            </w:r>
            <w:r w:rsidR="00E33457">
              <w:t>о</w:t>
            </w:r>
            <w:r w:rsidR="00E33457">
              <w:t xml:space="preserve">мяна на Наредба 3 от </w:t>
            </w:r>
            <w:r w:rsidR="00E33457" w:rsidRPr="00E33457">
              <w:t>17.02.2015 г.</w:t>
            </w:r>
            <w:r w:rsidRPr="00A30F0D">
              <w:t>, предложена за обсъжд</w:t>
            </w:r>
            <w:r w:rsidRPr="00A30F0D">
              <w:t>а</w:t>
            </w:r>
            <w:r w:rsidRPr="00A30F0D">
              <w:t>не:</w:t>
            </w:r>
          </w:p>
        </w:tc>
        <w:tc>
          <w:tcPr>
            <w:tcW w:w="1613" w:type="dxa"/>
            <w:shd w:val="clear" w:color="auto" w:fill="auto"/>
          </w:tcPr>
          <w:p w:rsidR="00EE6EA0" w:rsidRPr="00A426CE" w:rsidRDefault="00EE6EA0" w:rsidP="00956BD2"/>
        </w:tc>
        <w:tc>
          <w:tcPr>
            <w:tcW w:w="4538" w:type="dxa"/>
            <w:shd w:val="clear" w:color="auto" w:fill="auto"/>
          </w:tcPr>
          <w:p w:rsidR="00EE6EA0" w:rsidRPr="00A426CE" w:rsidRDefault="00EE6EA0" w:rsidP="00915B80">
            <w:pPr>
              <w:jc w:val="both"/>
            </w:pPr>
          </w:p>
        </w:tc>
      </w:tr>
      <w:tr w:rsidR="00EE6EA0" w:rsidRPr="00A426CE" w:rsidTr="00616625">
        <w:trPr>
          <w:trHeight w:val="596"/>
          <w:jc w:val="center"/>
        </w:trPr>
        <w:tc>
          <w:tcPr>
            <w:tcW w:w="622" w:type="dxa"/>
            <w:tcBorders>
              <w:top w:val="nil"/>
              <w:bottom w:val="nil"/>
            </w:tcBorders>
            <w:shd w:val="clear" w:color="auto" w:fill="auto"/>
          </w:tcPr>
          <w:p w:rsidR="00EE6EA0" w:rsidRPr="00A426CE" w:rsidRDefault="00EE6EA0" w:rsidP="00A30F0D">
            <w:pPr>
              <w:tabs>
                <w:tab w:val="left" w:pos="192"/>
              </w:tabs>
              <w:rPr>
                <w:b/>
              </w:rPr>
            </w:pPr>
          </w:p>
        </w:tc>
        <w:tc>
          <w:tcPr>
            <w:tcW w:w="2410" w:type="dxa"/>
            <w:vMerge/>
            <w:tcBorders>
              <w:top w:val="nil"/>
              <w:bottom w:val="nil"/>
            </w:tcBorders>
            <w:shd w:val="clear" w:color="auto" w:fill="auto"/>
          </w:tcPr>
          <w:p w:rsidR="00EE6EA0" w:rsidRDefault="00EE6EA0" w:rsidP="00956BD2">
            <w:pPr>
              <w:rPr>
                <w:b/>
                <w:bCs/>
                <w:color w:val="000000"/>
                <w:sz w:val="20"/>
                <w:szCs w:val="20"/>
              </w:rPr>
            </w:pPr>
          </w:p>
        </w:tc>
        <w:tc>
          <w:tcPr>
            <w:tcW w:w="6467" w:type="dxa"/>
            <w:shd w:val="clear" w:color="auto" w:fill="auto"/>
          </w:tcPr>
          <w:p w:rsidR="00EE6EA0" w:rsidRDefault="00EE6EA0" w:rsidP="00A30F0D">
            <w:pPr>
              <w:jc w:val="both"/>
            </w:pPr>
            <w:r>
              <w:t xml:space="preserve">1. </w:t>
            </w:r>
            <w:r w:rsidRPr="00A30F0D">
              <w:t>В чл.</w:t>
            </w:r>
            <w:r>
              <w:t xml:space="preserve"> </w:t>
            </w:r>
            <w:r w:rsidRPr="00A30F0D">
              <w:t>20, ал.</w:t>
            </w:r>
            <w:r>
              <w:t xml:space="preserve"> 1 след думите „за производство на месо“ </w:t>
            </w:r>
            <w:r w:rsidRPr="00A30F0D">
              <w:t>да се</w:t>
            </w:r>
            <w:r>
              <w:t xml:space="preserve"> добави текста“</w:t>
            </w:r>
            <w:r w:rsidRPr="00A30F0D">
              <w:t>, както и други</w:t>
            </w:r>
            <w:r>
              <w:t xml:space="preserve"> </w:t>
            </w:r>
            <w:r w:rsidRPr="00A30F0D">
              <w:t>породи и/или кръстоски крави и/или юници с предназначени за производство на м</w:t>
            </w:r>
            <w:r w:rsidRPr="00A30F0D">
              <w:t>е</w:t>
            </w:r>
            <w:r>
              <w:t>со“</w:t>
            </w:r>
            <w:r w:rsidRPr="00A30F0D">
              <w:t>. Може</w:t>
            </w:r>
            <w:r>
              <w:t xml:space="preserve"> </w:t>
            </w:r>
            <w:r w:rsidRPr="00A30F0D">
              <w:t>последния текст да се добави като изречение вт</w:t>
            </w:r>
            <w:r w:rsidRPr="00A30F0D">
              <w:t>о</w:t>
            </w:r>
            <w:r w:rsidRPr="00A30F0D">
              <w:t>ро, а имен</w:t>
            </w:r>
            <w:r>
              <w:t>но. „</w:t>
            </w:r>
            <w:r w:rsidRPr="00A30F0D">
              <w:t>На подпомагане по схемата подлежат</w:t>
            </w:r>
            <w:r>
              <w:t xml:space="preserve"> </w:t>
            </w:r>
            <w:r w:rsidRPr="00A30F0D">
              <w:t>и други породи и/или кръстоски крави и/или юници с предназнач</w:t>
            </w:r>
            <w:r w:rsidRPr="00A30F0D">
              <w:t>е</w:t>
            </w:r>
            <w:r>
              <w:t>ни за производство на месо.“</w:t>
            </w:r>
          </w:p>
          <w:p w:rsidR="00231DF3" w:rsidRPr="00A30F0D" w:rsidRDefault="00231DF3" w:rsidP="00A30F0D">
            <w:pPr>
              <w:jc w:val="both"/>
            </w:pPr>
          </w:p>
          <w:p w:rsidR="00EE6EA0" w:rsidRPr="00CC7B28" w:rsidRDefault="00EE6EA0" w:rsidP="00F30D37">
            <w:pPr>
              <w:jc w:val="both"/>
            </w:pPr>
            <w:r w:rsidRPr="00A30F0D">
              <w:t>Мотив: Уточнението се налага с оглед на разговорите, които сме водили между представители на АРМПГБ и МЗХГ</w:t>
            </w:r>
            <w:r>
              <w:t xml:space="preserve"> </w:t>
            </w:r>
            <w:r w:rsidRPr="00A30F0D">
              <w:t>з</w:t>
            </w:r>
            <w:r>
              <w:t xml:space="preserve">а </w:t>
            </w:r>
            <w:r>
              <w:lastRenderedPageBreak/>
              <w:t>я</w:t>
            </w:r>
            <w:r w:rsidRPr="00A30F0D">
              <w:t>сно разграничаване на месодайни породи говеда от всички други породи и/или кръстоски крави и/или юници с пре</w:t>
            </w:r>
            <w:r w:rsidRPr="00A30F0D">
              <w:t>д</w:t>
            </w:r>
            <w:r w:rsidRPr="00A30F0D">
              <w:t>назначени за производство на месо.</w:t>
            </w:r>
          </w:p>
        </w:tc>
        <w:tc>
          <w:tcPr>
            <w:tcW w:w="1613" w:type="dxa"/>
            <w:shd w:val="clear" w:color="auto" w:fill="auto"/>
          </w:tcPr>
          <w:p w:rsidR="00EE6EA0" w:rsidRPr="00A426CE" w:rsidRDefault="00A11521" w:rsidP="00CC7B28">
            <w:r w:rsidRPr="00A11521">
              <w:lastRenderedPageBreak/>
              <w:t>Не се приема</w:t>
            </w:r>
          </w:p>
        </w:tc>
        <w:tc>
          <w:tcPr>
            <w:tcW w:w="4538" w:type="dxa"/>
            <w:shd w:val="clear" w:color="auto" w:fill="auto"/>
          </w:tcPr>
          <w:p w:rsidR="00EE6EA0" w:rsidRPr="00A426CE" w:rsidRDefault="007863C8" w:rsidP="00231DF3">
            <w:pPr>
              <w:jc w:val="both"/>
            </w:pPr>
            <w:r w:rsidRPr="007863C8">
              <w:t>Предложението на Сдружение „Асоци</w:t>
            </w:r>
            <w:r w:rsidRPr="007863C8">
              <w:t>а</w:t>
            </w:r>
            <w:r w:rsidRPr="007863C8">
              <w:t>ция за развъждане на месодайните пор</w:t>
            </w:r>
            <w:r w:rsidRPr="007863C8">
              <w:t>о</w:t>
            </w:r>
            <w:r w:rsidR="005D001E">
              <w:t>ди го</w:t>
            </w:r>
            <w:r w:rsidRPr="007863C8">
              <w:t xml:space="preserve">веда в </w:t>
            </w:r>
            <w:r w:rsidR="00057519">
              <w:t>България</w:t>
            </w:r>
            <w:r w:rsidR="005D001E">
              <w:t>“</w:t>
            </w:r>
            <w:r w:rsidR="00057519">
              <w:t xml:space="preserve"> касае промяна в </w:t>
            </w:r>
            <w:proofErr w:type="spellStart"/>
            <w:r w:rsidR="00057519">
              <w:t>нотифи</w:t>
            </w:r>
            <w:r w:rsidRPr="007863C8">
              <w:t>цираните</w:t>
            </w:r>
            <w:proofErr w:type="spellEnd"/>
            <w:r w:rsidRPr="007863C8">
              <w:t xml:space="preserve"> п</w:t>
            </w:r>
            <w:r w:rsidR="00057519">
              <w:t>ред ЕК на 1 август 2019 г. усло</w:t>
            </w:r>
            <w:r w:rsidRPr="007863C8">
              <w:t>вия за подпомагане по гор</w:t>
            </w:r>
            <w:r w:rsidRPr="007863C8">
              <w:t>е</w:t>
            </w:r>
            <w:r w:rsidRPr="007863C8">
              <w:t>посочените схеми, което предполага ш</w:t>
            </w:r>
            <w:r w:rsidRPr="007863C8">
              <w:t>и</w:t>
            </w:r>
            <w:r w:rsidRPr="007863C8">
              <w:t>рока обществена дискусия при следващи дебати по евентуални промени в схемите за обвързано подпомагане.</w:t>
            </w:r>
          </w:p>
        </w:tc>
      </w:tr>
      <w:tr w:rsidR="00A30F0D" w:rsidRPr="00A426CE" w:rsidTr="00616625">
        <w:trPr>
          <w:trHeight w:val="596"/>
          <w:jc w:val="center"/>
        </w:trPr>
        <w:tc>
          <w:tcPr>
            <w:tcW w:w="622" w:type="dxa"/>
            <w:tcBorders>
              <w:top w:val="nil"/>
              <w:bottom w:val="nil"/>
            </w:tcBorders>
            <w:shd w:val="clear" w:color="auto" w:fill="auto"/>
          </w:tcPr>
          <w:p w:rsidR="00A30F0D" w:rsidRPr="00A426CE" w:rsidRDefault="00A30F0D" w:rsidP="00A30F0D">
            <w:pPr>
              <w:tabs>
                <w:tab w:val="left" w:pos="192"/>
              </w:tabs>
              <w:rPr>
                <w:b/>
              </w:rPr>
            </w:pPr>
          </w:p>
        </w:tc>
        <w:tc>
          <w:tcPr>
            <w:tcW w:w="2410" w:type="dxa"/>
            <w:tcBorders>
              <w:top w:val="nil"/>
              <w:bottom w:val="nil"/>
            </w:tcBorders>
            <w:shd w:val="clear" w:color="auto" w:fill="auto"/>
          </w:tcPr>
          <w:p w:rsidR="00A30F0D" w:rsidRDefault="00A30F0D" w:rsidP="00956BD2">
            <w:pPr>
              <w:rPr>
                <w:b/>
                <w:bCs/>
                <w:color w:val="000000"/>
                <w:sz w:val="20"/>
                <w:szCs w:val="20"/>
              </w:rPr>
            </w:pPr>
          </w:p>
        </w:tc>
        <w:tc>
          <w:tcPr>
            <w:tcW w:w="6467" w:type="dxa"/>
            <w:shd w:val="clear" w:color="auto" w:fill="auto"/>
          </w:tcPr>
          <w:p w:rsidR="00A30F0D" w:rsidRPr="00F30D37" w:rsidRDefault="00F30D37" w:rsidP="00934865">
            <w:pPr>
              <w:jc w:val="both"/>
            </w:pPr>
            <w:r w:rsidRPr="00F30D37">
              <w:t xml:space="preserve">2. </w:t>
            </w:r>
            <w:r w:rsidR="00A30F0D" w:rsidRPr="00F30D37">
              <w:t>Текстът в чл.</w:t>
            </w:r>
            <w:r w:rsidRPr="00F30D37">
              <w:t xml:space="preserve"> </w:t>
            </w:r>
            <w:r w:rsidR="00A30F0D" w:rsidRPr="00F30D37">
              <w:t>21, ал,</w:t>
            </w:r>
            <w:r w:rsidRPr="00F30D37">
              <w:t xml:space="preserve"> </w:t>
            </w:r>
            <w:r>
              <w:t>1 след думите</w:t>
            </w:r>
            <w:r w:rsidR="00934865">
              <w:t xml:space="preserve"> </w:t>
            </w:r>
            <w:r>
              <w:t>“</w:t>
            </w:r>
            <w:r w:rsidR="00A30F0D" w:rsidRPr="00F30D37">
              <w:t>,</w:t>
            </w:r>
            <w:r>
              <w:t xml:space="preserve"> в сила от 23.02.   </w:t>
            </w:r>
            <w:r w:rsidR="00A30F0D" w:rsidRPr="00F30D37">
              <w:t>2018</w:t>
            </w:r>
            <w:r>
              <w:t xml:space="preserve"> г.)“ добива следния вид: „</w:t>
            </w:r>
            <w:r w:rsidR="00A30F0D" w:rsidRPr="00F30D37">
              <w:t>Право на</w:t>
            </w:r>
            <w:r>
              <w:t xml:space="preserve"> </w:t>
            </w:r>
            <w:r w:rsidR="00A30F0D" w:rsidRPr="00F30D37">
              <w:t>подпомагане по схемата за обвързано подпомагане за месодайни крави под селекционен контрол</w:t>
            </w:r>
            <w:r>
              <w:t xml:space="preserve"> </w:t>
            </w:r>
            <w:r w:rsidR="00A30F0D" w:rsidRPr="00F30D37">
              <w:t>имат земеделски стопани, които от</w:t>
            </w:r>
            <w:r w:rsidR="00A30F0D" w:rsidRPr="00F30D37">
              <w:t>г</w:t>
            </w:r>
            <w:r w:rsidR="00A30F0D" w:rsidRPr="00F30D37">
              <w:t>леждат в стопанството си 20 или повече месодайни крави от една</w:t>
            </w:r>
            <w:r>
              <w:t xml:space="preserve"> </w:t>
            </w:r>
            <w:r w:rsidR="00A30F0D" w:rsidRPr="00F30D37">
              <w:t xml:space="preserve">порода под селекционен контрол от посочените в </w:t>
            </w:r>
            <w:r w:rsidR="00A30F0D" w:rsidRPr="00CE1A25">
              <w:rPr>
                <w:b/>
              </w:rPr>
              <w:t>Сп</w:t>
            </w:r>
            <w:r w:rsidR="00A30F0D" w:rsidRPr="00CE1A25">
              <w:rPr>
                <w:b/>
              </w:rPr>
              <w:t>и</w:t>
            </w:r>
            <w:r w:rsidR="00A30F0D" w:rsidRPr="00CE1A25">
              <w:rPr>
                <w:b/>
              </w:rPr>
              <w:t>сък на месодайните породи говеда под</w:t>
            </w:r>
            <w:r w:rsidRPr="00CE1A25">
              <w:rPr>
                <w:b/>
              </w:rPr>
              <w:t xml:space="preserve"> </w:t>
            </w:r>
            <w:r w:rsidR="00A30F0D" w:rsidRPr="00CE1A25">
              <w:rPr>
                <w:b/>
              </w:rPr>
              <w:t>селекционен ко</w:t>
            </w:r>
            <w:r w:rsidR="00A30F0D" w:rsidRPr="00CE1A25">
              <w:rPr>
                <w:b/>
              </w:rPr>
              <w:t>н</w:t>
            </w:r>
            <w:r w:rsidR="00A30F0D" w:rsidRPr="00CE1A25">
              <w:rPr>
                <w:b/>
              </w:rPr>
              <w:t>трол</w:t>
            </w:r>
            <w:r w:rsidR="00A30F0D" w:rsidRPr="00F30D37">
              <w:t xml:space="preserve"> в Приложение 6 с предназна</w:t>
            </w:r>
            <w:r>
              <w:t xml:space="preserve">чение за производство на месо.“ </w:t>
            </w:r>
            <w:r w:rsidR="00A30F0D" w:rsidRPr="00F30D37">
              <w:t>Кравите трябва да</w:t>
            </w:r>
            <w:r>
              <w:t xml:space="preserve"> </w:t>
            </w:r>
            <w:r w:rsidR="00A30F0D" w:rsidRPr="00F30D37">
              <w:t>са вписани в Главния раздел на родословната книга на съответната действаща развъдна ас</w:t>
            </w:r>
            <w:r w:rsidR="00A30F0D" w:rsidRPr="00F30D37">
              <w:t>о</w:t>
            </w:r>
            <w:r w:rsidR="00A30F0D" w:rsidRPr="00F30D37">
              <w:t>циация за</w:t>
            </w:r>
            <w:r>
              <w:t xml:space="preserve"> </w:t>
            </w:r>
            <w:r w:rsidR="00A30F0D" w:rsidRPr="00F30D37">
              <w:t>контрол на месодайните породи говеда у нас в съответствие с изискванията на Регламента относно</w:t>
            </w:r>
            <w:r>
              <w:t xml:space="preserve"> </w:t>
            </w:r>
            <w:r w:rsidR="00A30F0D" w:rsidRPr="00F30D37">
              <w:t>раз</w:t>
            </w:r>
            <w:r w:rsidR="00A30F0D" w:rsidRPr="00F30D37">
              <w:t>п</w:t>
            </w:r>
            <w:r w:rsidR="00A30F0D" w:rsidRPr="00F30D37">
              <w:t>лодните животни.</w:t>
            </w:r>
          </w:p>
        </w:tc>
        <w:tc>
          <w:tcPr>
            <w:tcW w:w="1613" w:type="dxa"/>
            <w:shd w:val="clear" w:color="auto" w:fill="auto"/>
          </w:tcPr>
          <w:p w:rsidR="00A30F0D" w:rsidRPr="00A426CE" w:rsidRDefault="0076716E" w:rsidP="00CC7B28">
            <w:r w:rsidRPr="0076716E">
              <w:t>Не се приема</w:t>
            </w:r>
          </w:p>
        </w:tc>
        <w:tc>
          <w:tcPr>
            <w:tcW w:w="4538" w:type="dxa"/>
            <w:shd w:val="clear" w:color="auto" w:fill="auto"/>
          </w:tcPr>
          <w:p w:rsidR="00A30F0D" w:rsidRPr="00A426CE" w:rsidRDefault="00BD7C56" w:rsidP="00742F57">
            <w:pPr>
              <w:jc w:val="both"/>
            </w:pPr>
            <w:r w:rsidRPr="00BD7C56">
              <w:t>Проектът отразява промените в схемите за обвързан</w:t>
            </w:r>
            <w:r w:rsidR="004A35FD">
              <w:t>а подкрепа, дискутирани с предс</w:t>
            </w:r>
            <w:r w:rsidRPr="00BD7C56">
              <w:t>тавители на браншовите организ</w:t>
            </w:r>
            <w:r w:rsidRPr="00BD7C56">
              <w:t>а</w:t>
            </w:r>
            <w:r w:rsidRPr="00BD7C56">
              <w:t xml:space="preserve">ции в сектор </w:t>
            </w:r>
            <w:r w:rsidR="00335F05">
              <w:t>„</w:t>
            </w:r>
            <w:r w:rsidRPr="00BD7C56">
              <w:t>Животновъдство</w:t>
            </w:r>
            <w:r w:rsidR="00335F05">
              <w:t>“</w:t>
            </w:r>
            <w:r w:rsidRPr="00BD7C56">
              <w:t xml:space="preserve"> през юли 2019 г. Предложението на Сдружение „Асоциация за развъждане на месодайн</w:t>
            </w:r>
            <w:r w:rsidRPr="00BD7C56">
              <w:t>и</w:t>
            </w:r>
            <w:r w:rsidR="00A50A06">
              <w:t>те породи го</w:t>
            </w:r>
            <w:r w:rsidRPr="00BD7C56">
              <w:t>веда в България касае пр</w:t>
            </w:r>
            <w:r w:rsidRPr="00BD7C56">
              <w:t>о</w:t>
            </w:r>
            <w:r w:rsidRPr="00BD7C56">
              <w:t>мя</w:t>
            </w:r>
            <w:r w:rsidR="007F7DFC">
              <w:t xml:space="preserve">на в </w:t>
            </w:r>
            <w:proofErr w:type="spellStart"/>
            <w:r w:rsidR="007F7DFC">
              <w:t>нотифи</w:t>
            </w:r>
            <w:r w:rsidRPr="00BD7C56">
              <w:t>цираните</w:t>
            </w:r>
            <w:proofErr w:type="spellEnd"/>
            <w:r w:rsidRPr="00BD7C56">
              <w:t xml:space="preserve"> пред ЕК на 1 а</w:t>
            </w:r>
            <w:r w:rsidRPr="00BD7C56">
              <w:t>в</w:t>
            </w:r>
            <w:r w:rsidRPr="00BD7C56">
              <w:t>густ 201</w:t>
            </w:r>
            <w:r w:rsidR="007F6783">
              <w:t>9</w:t>
            </w:r>
            <w:r w:rsidR="00C24511">
              <w:t xml:space="preserve"> г. усло</w:t>
            </w:r>
            <w:r w:rsidRPr="00BD7C56">
              <w:t>вия за подпомагане по горепосочените схеми, което предполага широка обществена дискусия при сле</w:t>
            </w:r>
            <w:r w:rsidRPr="00BD7C56">
              <w:t>д</w:t>
            </w:r>
            <w:r w:rsidRPr="00BD7C56">
              <w:t>ващи дебати по евентуални промени в схемите за обвързано подпомагане.</w:t>
            </w:r>
          </w:p>
        </w:tc>
      </w:tr>
      <w:tr w:rsidR="00A30F0D" w:rsidRPr="00A426CE" w:rsidTr="00616625">
        <w:trPr>
          <w:trHeight w:val="596"/>
          <w:jc w:val="center"/>
        </w:trPr>
        <w:tc>
          <w:tcPr>
            <w:tcW w:w="622" w:type="dxa"/>
            <w:tcBorders>
              <w:top w:val="nil"/>
              <w:bottom w:val="nil"/>
            </w:tcBorders>
            <w:shd w:val="clear" w:color="auto" w:fill="auto"/>
          </w:tcPr>
          <w:p w:rsidR="00A30F0D" w:rsidRPr="00A426CE" w:rsidRDefault="00A30F0D" w:rsidP="00A30F0D">
            <w:pPr>
              <w:tabs>
                <w:tab w:val="left" w:pos="192"/>
              </w:tabs>
              <w:rPr>
                <w:b/>
              </w:rPr>
            </w:pPr>
          </w:p>
        </w:tc>
        <w:tc>
          <w:tcPr>
            <w:tcW w:w="2410" w:type="dxa"/>
            <w:tcBorders>
              <w:top w:val="nil"/>
              <w:bottom w:val="nil"/>
            </w:tcBorders>
            <w:shd w:val="clear" w:color="auto" w:fill="auto"/>
          </w:tcPr>
          <w:p w:rsidR="00A30F0D" w:rsidRDefault="00A30F0D" w:rsidP="00956BD2">
            <w:pPr>
              <w:rPr>
                <w:b/>
                <w:bCs/>
                <w:color w:val="000000"/>
                <w:sz w:val="20"/>
                <w:szCs w:val="20"/>
              </w:rPr>
            </w:pPr>
          </w:p>
        </w:tc>
        <w:tc>
          <w:tcPr>
            <w:tcW w:w="6467" w:type="dxa"/>
            <w:shd w:val="clear" w:color="auto" w:fill="auto"/>
          </w:tcPr>
          <w:p w:rsidR="00F30D37" w:rsidRPr="00F30D37" w:rsidRDefault="00F30D37" w:rsidP="00F30D37">
            <w:pPr>
              <w:jc w:val="both"/>
            </w:pPr>
            <w:r w:rsidRPr="00F30D37">
              <w:t xml:space="preserve">В Приложение 6 да се </w:t>
            </w:r>
            <w:r w:rsidRPr="00CE1A25">
              <w:rPr>
                <w:b/>
              </w:rPr>
              <w:t>добави Списък на месодайните п</w:t>
            </w:r>
            <w:r w:rsidRPr="00CE1A25">
              <w:rPr>
                <w:b/>
              </w:rPr>
              <w:t>о</w:t>
            </w:r>
            <w:r w:rsidRPr="00CE1A25">
              <w:rPr>
                <w:b/>
              </w:rPr>
              <w:t>роди говеда под селекционен контрол</w:t>
            </w:r>
            <w:r w:rsidRPr="00F30D37">
              <w:t xml:space="preserve"> със следните поз</w:t>
            </w:r>
            <w:r w:rsidRPr="00F30D37">
              <w:t>и</w:t>
            </w:r>
            <w:r w:rsidRPr="00F30D37">
              <w:t>ции:</w:t>
            </w:r>
          </w:p>
          <w:p w:rsidR="00F30D37" w:rsidRPr="00F30D37" w:rsidRDefault="00F30D37" w:rsidP="00F30D37">
            <w:pPr>
              <w:jc w:val="both"/>
            </w:pPr>
            <w:r w:rsidRPr="00F30D37">
              <w:t>1.</w:t>
            </w:r>
            <w:r>
              <w:t xml:space="preserve"> </w:t>
            </w:r>
            <w:proofErr w:type="spellStart"/>
            <w:r w:rsidRPr="00F30D37">
              <w:t>Абердин</w:t>
            </w:r>
            <w:proofErr w:type="spellEnd"/>
            <w:r w:rsidRPr="00F30D37">
              <w:t xml:space="preserve"> </w:t>
            </w:r>
            <w:proofErr w:type="spellStart"/>
            <w:r w:rsidRPr="00F30D37">
              <w:t>ангус</w:t>
            </w:r>
            <w:proofErr w:type="spellEnd"/>
            <w:r w:rsidRPr="00F30D37">
              <w:t>;</w:t>
            </w:r>
          </w:p>
          <w:p w:rsidR="00F30D37" w:rsidRPr="00F30D37" w:rsidRDefault="00F30D37" w:rsidP="00F30D37">
            <w:pPr>
              <w:jc w:val="both"/>
            </w:pPr>
            <w:r w:rsidRPr="00F30D37">
              <w:t xml:space="preserve">2. </w:t>
            </w:r>
            <w:proofErr w:type="spellStart"/>
            <w:r w:rsidRPr="00F30D37">
              <w:t>Херефорд</w:t>
            </w:r>
            <w:proofErr w:type="spellEnd"/>
            <w:r w:rsidRPr="00F30D37">
              <w:t>;</w:t>
            </w:r>
          </w:p>
          <w:p w:rsidR="00F30D37" w:rsidRPr="00F30D37" w:rsidRDefault="00F30D37" w:rsidP="00F30D37">
            <w:pPr>
              <w:jc w:val="both"/>
            </w:pPr>
            <w:r w:rsidRPr="00F30D37">
              <w:t xml:space="preserve">3. </w:t>
            </w:r>
            <w:proofErr w:type="spellStart"/>
            <w:r w:rsidRPr="00F30D37">
              <w:t>Лимузин</w:t>
            </w:r>
            <w:proofErr w:type="spellEnd"/>
            <w:r w:rsidRPr="00F30D37">
              <w:t>;</w:t>
            </w:r>
          </w:p>
          <w:p w:rsidR="00F30D37" w:rsidRPr="00F30D37" w:rsidRDefault="00F30D37" w:rsidP="00F30D37">
            <w:pPr>
              <w:jc w:val="both"/>
            </w:pPr>
            <w:r w:rsidRPr="00F30D37">
              <w:t xml:space="preserve">4. </w:t>
            </w:r>
            <w:proofErr w:type="spellStart"/>
            <w:r w:rsidRPr="00F30D37">
              <w:t>Гаскон</w:t>
            </w:r>
            <w:proofErr w:type="spellEnd"/>
            <w:r w:rsidRPr="00F30D37">
              <w:t>;</w:t>
            </w:r>
          </w:p>
          <w:p w:rsidR="00F30D37" w:rsidRPr="00F30D37" w:rsidRDefault="00F30D37" w:rsidP="00F30D37">
            <w:pPr>
              <w:jc w:val="both"/>
            </w:pPr>
            <w:r w:rsidRPr="00F30D37">
              <w:t>5. Галоуей;</w:t>
            </w:r>
          </w:p>
          <w:p w:rsidR="00F30D37" w:rsidRPr="00F30D37" w:rsidRDefault="00F30D37" w:rsidP="00F30D37">
            <w:pPr>
              <w:jc w:val="both"/>
            </w:pPr>
            <w:r w:rsidRPr="00F30D37">
              <w:t xml:space="preserve">6. Месодаен </w:t>
            </w:r>
            <w:proofErr w:type="spellStart"/>
            <w:r w:rsidRPr="00F30D37">
              <w:t>симентал</w:t>
            </w:r>
            <w:proofErr w:type="spellEnd"/>
            <w:r w:rsidRPr="00F30D37">
              <w:t>.</w:t>
            </w:r>
          </w:p>
          <w:p w:rsidR="00A30F0D" w:rsidRPr="00CC7B28" w:rsidRDefault="00F30D37" w:rsidP="00F30D37">
            <w:pPr>
              <w:jc w:val="both"/>
            </w:pPr>
            <w:r w:rsidRPr="00F30D37">
              <w:t>Уточнението се налага с оглед на разговорите, които сме водили между представители на АРМПГБ и МЗХГ за ясно разграничаване на месодайни породи говеда от всички др</w:t>
            </w:r>
            <w:r w:rsidRPr="00F30D37">
              <w:t>у</w:t>
            </w:r>
            <w:r w:rsidRPr="00F30D37">
              <w:t>ги породи и/или кръстоски крави и/или юници с предназн</w:t>
            </w:r>
            <w:r w:rsidRPr="00F30D37">
              <w:t>а</w:t>
            </w:r>
            <w:r w:rsidRPr="00F30D37">
              <w:t>чени за производство на месо.</w:t>
            </w:r>
          </w:p>
        </w:tc>
        <w:tc>
          <w:tcPr>
            <w:tcW w:w="1613" w:type="dxa"/>
            <w:shd w:val="clear" w:color="auto" w:fill="auto"/>
          </w:tcPr>
          <w:p w:rsidR="00A30F0D" w:rsidRPr="00A426CE" w:rsidRDefault="00C43296" w:rsidP="00CC7B28">
            <w:r w:rsidRPr="00C43296">
              <w:t>Не се приема</w:t>
            </w:r>
          </w:p>
        </w:tc>
        <w:tc>
          <w:tcPr>
            <w:tcW w:w="4538" w:type="dxa"/>
            <w:shd w:val="clear" w:color="auto" w:fill="auto"/>
          </w:tcPr>
          <w:p w:rsidR="00A30F0D" w:rsidRPr="00A426CE" w:rsidRDefault="00C43296" w:rsidP="00915B80">
            <w:pPr>
              <w:jc w:val="both"/>
            </w:pPr>
            <w:r w:rsidRPr="00C43296">
              <w:t>Проектът отразява промените в схемите за обвързан</w:t>
            </w:r>
            <w:r w:rsidR="00506310">
              <w:t>а подкрепа, дискутирани с предс</w:t>
            </w:r>
            <w:r w:rsidRPr="00C43296">
              <w:t>тавители на браншовите организ</w:t>
            </w:r>
            <w:r w:rsidRPr="00C43296">
              <w:t>а</w:t>
            </w:r>
            <w:r w:rsidRPr="00C43296">
              <w:t xml:space="preserve">ции в сектор </w:t>
            </w:r>
            <w:r w:rsidR="00506310">
              <w:t>„</w:t>
            </w:r>
            <w:r w:rsidRPr="00C43296">
              <w:t>Животновъдство</w:t>
            </w:r>
            <w:r w:rsidR="00506310">
              <w:t>“</w:t>
            </w:r>
            <w:r w:rsidRPr="00C43296">
              <w:t xml:space="preserve"> през юли 2019 г. Предложението на Сдружение „Асоциация за развъждане на месодайн</w:t>
            </w:r>
            <w:r w:rsidRPr="00C43296">
              <w:t>и</w:t>
            </w:r>
            <w:r w:rsidR="00454A8E">
              <w:t>те породи го</w:t>
            </w:r>
            <w:r w:rsidRPr="00C43296">
              <w:t>веда в България касае пр</w:t>
            </w:r>
            <w:r w:rsidRPr="00C43296">
              <w:t>о</w:t>
            </w:r>
            <w:r w:rsidR="00454A8E">
              <w:t xml:space="preserve">мяна в </w:t>
            </w:r>
            <w:proofErr w:type="spellStart"/>
            <w:r w:rsidR="00454A8E">
              <w:t>нотифи</w:t>
            </w:r>
            <w:r w:rsidRPr="00C43296">
              <w:t>цираните</w:t>
            </w:r>
            <w:proofErr w:type="spellEnd"/>
            <w:r w:rsidRPr="00C43296">
              <w:t xml:space="preserve"> пред ЕК на 1 а</w:t>
            </w:r>
            <w:r w:rsidRPr="00C43296">
              <w:t>в</w:t>
            </w:r>
            <w:r w:rsidR="00745851">
              <w:t>густ 2019 г. усло</w:t>
            </w:r>
            <w:r w:rsidRPr="00C43296">
              <w:t>вия за подпомагане по горепосочените схеми, с оглед което предполага широка обществена дискусия при следващи дебати по евентуални пр</w:t>
            </w:r>
            <w:r w:rsidRPr="00C43296">
              <w:t>о</w:t>
            </w:r>
            <w:r w:rsidRPr="00C43296">
              <w:t>мени в схемите за обвързано подпомаг</w:t>
            </w:r>
            <w:r w:rsidRPr="00C43296">
              <w:t>а</w:t>
            </w:r>
            <w:r w:rsidRPr="00C43296">
              <w:t>не.</w:t>
            </w:r>
          </w:p>
        </w:tc>
      </w:tr>
      <w:tr w:rsidR="00A30F0D" w:rsidRPr="00A426CE" w:rsidTr="00616625">
        <w:trPr>
          <w:trHeight w:val="596"/>
          <w:jc w:val="center"/>
        </w:trPr>
        <w:tc>
          <w:tcPr>
            <w:tcW w:w="622" w:type="dxa"/>
            <w:tcBorders>
              <w:top w:val="nil"/>
              <w:bottom w:val="nil"/>
            </w:tcBorders>
            <w:shd w:val="clear" w:color="auto" w:fill="auto"/>
          </w:tcPr>
          <w:p w:rsidR="00A30F0D" w:rsidRPr="00A426CE" w:rsidRDefault="00A30F0D" w:rsidP="00A30F0D">
            <w:pPr>
              <w:tabs>
                <w:tab w:val="left" w:pos="192"/>
              </w:tabs>
              <w:rPr>
                <w:b/>
              </w:rPr>
            </w:pPr>
          </w:p>
        </w:tc>
        <w:tc>
          <w:tcPr>
            <w:tcW w:w="2410" w:type="dxa"/>
            <w:tcBorders>
              <w:top w:val="nil"/>
              <w:bottom w:val="nil"/>
            </w:tcBorders>
            <w:shd w:val="clear" w:color="auto" w:fill="auto"/>
          </w:tcPr>
          <w:p w:rsidR="00A30F0D" w:rsidRDefault="00A30F0D" w:rsidP="00956BD2">
            <w:pPr>
              <w:rPr>
                <w:b/>
                <w:bCs/>
                <w:color w:val="000000"/>
                <w:sz w:val="20"/>
                <w:szCs w:val="20"/>
              </w:rPr>
            </w:pPr>
          </w:p>
        </w:tc>
        <w:tc>
          <w:tcPr>
            <w:tcW w:w="6467" w:type="dxa"/>
            <w:shd w:val="clear" w:color="auto" w:fill="auto"/>
          </w:tcPr>
          <w:p w:rsidR="00781635" w:rsidRPr="00781635" w:rsidRDefault="00781635" w:rsidP="00781635">
            <w:pPr>
              <w:jc w:val="both"/>
            </w:pPr>
            <w:r w:rsidRPr="00781635">
              <w:t>3. Други:</w:t>
            </w:r>
          </w:p>
          <w:p w:rsidR="00781635" w:rsidRDefault="00781635" w:rsidP="00781635">
            <w:pPr>
              <w:jc w:val="both"/>
            </w:pPr>
            <w:r w:rsidRPr="00781635">
              <w:t>- Да се осъществи контрол в ИСАК при заявяването на п</w:t>
            </w:r>
            <w:r w:rsidRPr="00781635">
              <w:t>а</w:t>
            </w:r>
            <w:r w:rsidRPr="00781635">
              <w:t>сища. Да имат право да заявяват пасища само стопани, ко</w:t>
            </w:r>
            <w:r w:rsidRPr="00781635">
              <w:t>и</w:t>
            </w:r>
            <w:r w:rsidRPr="00781635">
              <w:t>то за заявили за подпомагане по схемите за обвързана под</w:t>
            </w:r>
            <w:r w:rsidRPr="00781635">
              <w:t>к</w:t>
            </w:r>
            <w:r w:rsidRPr="00781635">
              <w:t>репа и необходимите за това животни.</w:t>
            </w:r>
          </w:p>
          <w:p w:rsidR="00A21BAC" w:rsidRPr="00781635" w:rsidRDefault="00A21BAC" w:rsidP="00781635">
            <w:pPr>
              <w:jc w:val="both"/>
            </w:pPr>
          </w:p>
          <w:p w:rsidR="00A30F0D" w:rsidRPr="00CC7B28" w:rsidRDefault="00781635" w:rsidP="00781635">
            <w:pPr>
              <w:jc w:val="both"/>
            </w:pPr>
            <w:r w:rsidRPr="00781635">
              <w:t>Мотиви: Както дискутирахме на провелата се в МЗХГ ср</w:t>
            </w:r>
            <w:r w:rsidRPr="00781635">
              <w:t>е</w:t>
            </w:r>
            <w:r w:rsidRPr="00781635">
              <w:t>ща, така се игнорира възможността за подпомагане на ст</w:t>
            </w:r>
            <w:r w:rsidRPr="00781635">
              <w:t>о</w:t>
            </w:r>
            <w:r w:rsidRPr="00781635">
              <w:t>пани с фиктивно регистрирани животни в системата на БАБХ и незаявяващи ги за подпомагане по схемите за о</w:t>
            </w:r>
            <w:r w:rsidRPr="00781635">
              <w:t>б</w:t>
            </w:r>
            <w:r w:rsidRPr="00781635">
              <w:t>вързана подкрепа от опасения от проверки, които могат да установят тези нарушения.</w:t>
            </w:r>
          </w:p>
        </w:tc>
        <w:tc>
          <w:tcPr>
            <w:tcW w:w="1613" w:type="dxa"/>
            <w:shd w:val="clear" w:color="auto" w:fill="auto"/>
          </w:tcPr>
          <w:p w:rsidR="00A30F0D" w:rsidRPr="00A426CE" w:rsidRDefault="00391A1C" w:rsidP="00CC7B28">
            <w:r w:rsidRPr="00391A1C">
              <w:t>Приема се по принцип</w:t>
            </w:r>
          </w:p>
        </w:tc>
        <w:tc>
          <w:tcPr>
            <w:tcW w:w="4538" w:type="dxa"/>
            <w:shd w:val="clear" w:color="auto" w:fill="auto"/>
          </w:tcPr>
          <w:p w:rsidR="00A30F0D" w:rsidRPr="00A426CE" w:rsidRDefault="00BD0327" w:rsidP="00915B80">
            <w:pPr>
              <w:jc w:val="both"/>
            </w:pPr>
            <w:r w:rsidRPr="00BD0327">
              <w:t>Няма корелация между условията за под-помагане по схемите за обвързана под</w:t>
            </w:r>
            <w:r w:rsidRPr="00BD0327">
              <w:t>к</w:t>
            </w:r>
            <w:r w:rsidRPr="00BD0327">
              <w:t>репа за животни и заявяването на пасища.</w:t>
            </w:r>
          </w:p>
        </w:tc>
      </w:tr>
      <w:tr w:rsidR="00A30F0D" w:rsidRPr="00A426CE" w:rsidTr="00616625">
        <w:trPr>
          <w:trHeight w:val="596"/>
          <w:jc w:val="center"/>
        </w:trPr>
        <w:tc>
          <w:tcPr>
            <w:tcW w:w="622" w:type="dxa"/>
            <w:tcBorders>
              <w:top w:val="nil"/>
            </w:tcBorders>
            <w:shd w:val="clear" w:color="auto" w:fill="auto"/>
          </w:tcPr>
          <w:p w:rsidR="00A30F0D" w:rsidRPr="00A426CE" w:rsidRDefault="00A30F0D" w:rsidP="00A30F0D">
            <w:pPr>
              <w:tabs>
                <w:tab w:val="left" w:pos="192"/>
              </w:tabs>
              <w:rPr>
                <w:b/>
              </w:rPr>
            </w:pPr>
          </w:p>
        </w:tc>
        <w:tc>
          <w:tcPr>
            <w:tcW w:w="2410" w:type="dxa"/>
            <w:tcBorders>
              <w:top w:val="nil"/>
            </w:tcBorders>
            <w:shd w:val="clear" w:color="auto" w:fill="auto"/>
          </w:tcPr>
          <w:p w:rsidR="00A30F0D" w:rsidRDefault="00A30F0D" w:rsidP="00956BD2">
            <w:pPr>
              <w:rPr>
                <w:b/>
                <w:bCs/>
                <w:color w:val="000000"/>
                <w:sz w:val="20"/>
                <w:szCs w:val="20"/>
              </w:rPr>
            </w:pPr>
          </w:p>
        </w:tc>
        <w:tc>
          <w:tcPr>
            <w:tcW w:w="6467" w:type="dxa"/>
            <w:shd w:val="clear" w:color="auto" w:fill="auto"/>
          </w:tcPr>
          <w:p w:rsidR="00781635" w:rsidRDefault="00781635" w:rsidP="00781635">
            <w:pPr>
              <w:jc w:val="both"/>
            </w:pPr>
            <w:r>
              <w:t xml:space="preserve">- Премахване на изискването   за   </w:t>
            </w:r>
            <w:proofErr w:type="spellStart"/>
            <w:r>
              <w:t>тревостой</w:t>
            </w:r>
            <w:proofErr w:type="spellEnd"/>
            <w:r>
              <w:t xml:space="preserve">   на   заявените   за   подпомагане   ПЗП, представляващи пасища, заявявани с код в ИСАК 314000.</w:t>
            </w:r>
          </w:p>
          <w:p w:rsidR="00A21BAC" w:rsidRDefault="00A21BAC" w:rsidP="00781635">
            <w:pPr>
              <w:jc w:val="both"/>
            </w:pPr>
          </w:p>
          <w:p w:rsidR="00A30F0D" w:rsidRPr="00A30F0D" w:rsidRDefault="00781635" w:rsidP="00781635">
            <w:pPr>
              <w:jc w:val="both"/>
              <w:rPr>
                <w:lang w:val="en-US"/>
              </w:rPr>
            </w:pPr>
            <w:r>
              <w:t>Мотиви: За разлика от площите представляващи ливади, при които с оглед добива на сено се налага поне еднократно косене, то при гореспоменатите пасища не е възможно ра</w:t>
            </w:r>
            <w:r>
              <w:t>н</w:t>
            </w:r>
            <w:r>
              <w:t xml:space="preserve">но изпасване на всички заявени площи. Технологията на управление на </w:t>
            </w:r>
            <w:proofErr w:type="spellStart"/>
            <w:r>
              <w:t>пашата</w:t>
            </w:r>
            <w:proofErr w:type="spellEnd"/>
            <w:r>
              <w:t xml:space="preserve"> изисква да се разпределят равноме</w:t>
            </w:r>
            <w:r>
              <w:t>р</w:t>
            </w:r>
            <w:r>
              <w:t>но във възможно най-дълъг интервал от време тези площи като част от тях се оставят неизпасени до края на ноември и началото на декември. Да се има предвид, че в ранна пролет (март - април) именно площите с неизпасената трева по</w:t>
            </w:r>
            <w:r>
              <w:t>д</w:t>
            </w:r>
            <w:r>
              <w:t>държа животните. С оглед физиологията на пасищните ж</w:t>
            </w:r>
            <w:r>
              <w:t>и</w:t>
            </w:r>
            <w:r>
              <w:t>вотни и техните потребности в едно пасище се изпасват о</w:t>
            </w:r>
            <w:r>
              <w:t>п</w:t>
            </w:r>
            <w:r>
              <w:t xml:space="preserve">ределени участъци с висококачествена и предпочитана от тях трева. За да се избегне </w:t>
            </w:r>
            <w:proofErr w:type="spellStart"/>
            <w:r>
              <w:t>преизпасването</w:t>
            </w:r>
            <w:proofErr w:type="spellEnd"/>
            <w:r>
              <w:t xml:space="preserve"> на такива уча</w:t>
            </w:r>
            <w:r>
              <w:t>с</w:t>
            </w:r>
            <w:r>
              <w:t xml:space="preserve">тъци, което води до икономически и екологични проблеми, </w:t>
            </w:r>
            <w:r>
              <w:lastRenderedPageBreak/>
              <w:t>се налага своевременно преместване на животните на ново пасище. Това е причина да останат неизпасени участъци.</w:t>
            </w:r>
          </w:p>
        </w:tc>
        <w:tc>
          <w:tcPr>
            <w:tcW w:w="1613" w:type="dxa"/>
            <w:shd w:val="clear" w:color="auto" w:fill="auto"/>
          </w:tcPr>
          <w:p w:rsidR="00A30F0D" w:rsidRPr="00A426CE" w:rsidRDefault="00944454" w:rsidP="00CC7B28">
            <w:r w:rsidRPr="00944454">
              <w:lastRenderedPageBreak/>
              <w:t>Не се приема</w:t>
            </w:r>
          </w:p>
        </w:tc>
        <w:tc>
          <w:tcPr>
            <w:tcW w:w="4538" w:type="dxa"/>
            <w:shd w:val="clear" w:color="auto" w:fill="auto"/>
          </w:tcPr>
          <w:p w:rsidR="00A30F0D" w:rsidRPr="00A426CE" w:rsidRDefault="00C10FB3" w:rsidP="00915B80">
            <w:pPr>
              <w:jc w:val="both"/>
            </w:pPr>
            <w:r w:rsidRPr="00C10FB3">
              <w:t xml:space="preserve">Предложението не е </w:t>
            </w:r>
            <w:proofErr w:type="spellStart"/>
            <w:r w:rsidRPr="00C10FB3">
              <w:t>относимо</w:t>
            </w:r>
            <w:proofErr w:type="spellEnd"/>
            <w:r w:rsidRPr="00C10FB3">
              <w:t xml:space="preserve"> към усл</w:t>
            </w:r>
            <w:r w:rsidRPr="00C10FB3">
              <w:t>о</w:t>
            </w:r>
            <w:r w:rsidR="00A20444">
              <w:t>ви</w:t>
            </w:r>
            <w:r w:rsidRPr="00C10FB3">
              <w:t>ята за подпомагане, уредени с Наредба № 3/2015 г.</w:t>
            </w:r>
          </w:p>
        </w:tc>
      </w:tr>
      <w:tr w:rsidR="00667B16" w:rsidRPr="00A426CE" w:rsidTr="00DD2C2B">
        <w:trPr>
          <w:trHeight w:val="596"/>
          <w:jc w:val="center"/>
        </w:trPr>
        <w:tc>
          <w:tcPr>
            <w:tcW w:w="622" w:type="dxa"/>
            <w:tcBorders>
              <w:bottom w:val="single" w:sz="12" w:space="0" w:color="2E74B5"/>
            </w:tcBorders>
            <w:shd w:val="clear" w:color="auto" w:fill="auto"/>
          </w:tcPr>
          <w:p w:rsidR="00667B16" w:rsidRPr="00A426CE" w:rsidRDefault="00667B16" w:rsidP="006C71C0">
            <w:pPr>
              <w:numPr>
                <w:ilvl w:val="0"/>
                <w:numId w:val="5"/>
              </w:numPr>
              <w:tabs>
                <w:tab w:val="left" w:pos="192"/>
              </w:tabs>
              <w:spacing w:before="100" w:after="100"/>
              <w:ind w:left="0" w:firstLine="0"/>
              <w:jc w:val="center"/>
              <w:rPr>
                <w:b/>
              </w:rPr>
            </w:pPr>
          </w:p>
        </w:tc>
        <w:tc>
          <w:tcPr>
            <w:tcW w:w="2410" w:type="dxa"/>
            <w:tcBorders>
              <w:bottom w:val="single" w:sz="12" w:space="0" w:color="2E74B5"/>
            </w:tcBorders>
            <w:shd w:val="clear" w:color="auto" w:fill="auto"/>
          </w:tcPr>
          <w:p w:rsidR="00EE6EA0" w:rsidRPr="00E7735D" w:rsidRDefault="00EE6EA0" w:rsidP="00033543">
            <w:pPr>
              <w:rPr>
                <w:rStyle w:val="Hyperlink"/>
                <w:b/>
                <w:bCs/>
                <w:color w:val="auto"/>
                <w:sz w:val="20"/>
                <w:szCs w:val="20"/>
                <w:u w:val="none"/>
              </w:rPr>
            </w:pPr>
            <w:r w:rsidRPr="00E7735D">
              <w:t>Българска Асоци</w:t>
            </w:r>
            <w:r w:rsidRPr="00E7735D">
              <w:t>а</w:t>
            </w:r>
            <w:r w:rsidRPr="00E7735D">
              <w:t>ция Биопродукти</w:t>
            </w:r>
            <w:r w:rsidRPr="00E7735D">
              <w:rPr>
                <w:rStyle w:val="Hyperlink"/>
                <w:b/>
                <w:bCs/>
                <w:color w:val="auto"/>
                <w:sz w:val="20"/>
                <w:szCs w:val="20"/>
                <w:u w:val="none"/>
              </w:rPr>
              <w:t xml:space="preserve"> </w:t>
            </w:r>
          </w:p>
          <w:p w:rsidR="00667B16" w:rsidRPr="00CC7B28" w:rsidRDefault="00667B16" w:rsidP="00033543">
            <w:pPr>
              <w:rPr>
                <w:rStyle w:val="Hyperlink"/>
                <w:b/>
                <w:bCs/>
                <w:color w:val="000000"/>
                <w:sz w:val="20"/>
                <w:szCs w:val="20"/>
                <w:u w:val="none"/>
              </w:rPr>
            </w:pPr>
            <w:proofErr w:type="spellStart"/>
            <w:r w:rsidRPr="00E7735D">
              <w:rPr>
                <w:rStyle w:val="Hyperlink"/>
                <w:b/>
                <w:bCs/>
                <w:color w:val="000000"/>
                <w:sz w:val="20"/>
                <w:szCs w:val="20"/>
                <w:u w:val="none"/>
              </w:rPr>
              <w:t>BAB-bgbio</w:t>
            </w:r>
            <w:proofErr w:type="spellEnd"/>
          </w:p>
          <w:p w:rsidR="00667B16" w:rsidRPr="00E7735D" w:rsidRDefault="00667B16" w:rsidP="00033543">
            <w:pPr>
              <w:rPr>
                <w:b/>
                <w:bCs/>
                <w:color w:val="000000"/>
                <w:sz w:val="20"/>
                <w:szCs w:val="20"/>
              </w:rPr>
            </w:pPr>
            <w:r w:rsidRPr="00E7735D">
              <w:rPr>
                <w:rStyle w:val="Hyperlink"/>
                <w:b/>
                <w:bCs/>
                <w:color w:val="000000"/>
                <w:sz w:val="20"/>
                <w:szCs w:val="20"/>
                <w:u w:val="none"/>
              </w:rPr>
              <w:t xml:space="preserve">от Портала за </w:t>
            </w:r>
            <w:proofErr w:type="spellStart"/>
            <w:r w:rsidRPr="00E7735D">
              <w:rPr>
                <w:rStyle w:val="Hyperlink"/>
                <w:b/>
                <w:bCs/>
                <w:color w:val="000000"/>
                <w:sz w:val="20"/>
                <w:szCs w:val="20"/>
                <w:u w:val="none"/>
              </w:rPr>
              <w:t>общест-вени</w:t>
            </w:r>
            <w:proofErr w:type="spellEnd"/>
            <w:r w:rsidRPr="00E7735D">
              <w:rPr>
                <w:rStyle w:val="Hyperlink"/>
                <w:b/>
                <w:bCs/>
                <w:color w:val="000000"/>
                <w:sz w:val="20"/>
                <w:szCs w:val="20"/>
                <w:u w:val="none"/>
              </w:rPr>
              <w:t xml:space="preserve"> консултации – получено на 17 </w:t>
            </w:r>
            <w:proofErr w:type="spellStart"/>
            <w:r w:rsidRPr="00E7735D">
              <w:rPr>
                <w:rStyle w:val="Hyperlink"/>
                <w:b/>
                <w:bCs/>
                <w:color w:val="000000"/>
                <w:sz w:val="20"/>
                <w:szCs w:val="20"/>
                <w:u w:val="none"/>
              </w:rPr>
              <w:t>февруа-ри</w:t>
            </w:r>
            <w:proofErr w:type="spellEnd"/>
            <w:r w:rsidRPr="00E7735D">
              <w:rPr>
                <w:rStyle w:val="Hyperlink"/>
                <w:b/>
                <w:bCs/>
                <w:color w:val="000000"/>
                <w:sz w:val="20"/>
                <w:szCs w:val="20"/>
                <w:u w:val="none"/>
              </w:rPr>
              <w:t xml:space="preserve"> 2020 г.  </w:t>
            </w:r>
          </w:p>
        </w:tc>
        <w:tc>
          <w:tcPr>
            <w:tcW w:w="6467" w:type="dxa"/>
            <w:shd w:val="clear" w:color="auto" w:fill="auto"/>
          </w:tcPr>
          <w:p w:rsidR="00667B16" w:rsidRPr="00E7735D" w:rsidRDefault="00667B16" w:rsidP="006C71C0">
            <w:pPr>
              <w:spacing w:before="100" w:after="100"/>
              <w:jc w:val="both"/>
            </w:pPr>
            <w:r w:rsidRPr="00E7735D">
              <w:t>По отношение представения Проект за изменение на Наре</w:t>
            </w:r>
            <w:r w:rsidRPr="00E7735D">
              <w:t>д</w:t>
            </w:r>
            <w:r w:rsidRPr="00E7735D">
              <w:t>ба 3 от 2015 г., считаме, че въвеждането на санкция, при която при неоткриване по време на проверка култури от съответната група култури по схемите за обвързано подп</w:t>
            </w:r>
            <w:r w:rsidRPr="00E7735D">
              <w:t>о</w:t>
            </w:r>
            <w:r w:rsidRPr="00E7735D">
              <w:t xml:space="preserve">магане, съответните парцели се считат за </w:t>
            </w:r>
            <w:proofErr w:type="spellStart"/>
            <w:r w:rsidRPr="00E7735D">
              <w:t>наддекларирани</w:t>
            </w:r>
            <w:proofErr w:type="spellEnd"/>
            <w:r w:rsidRPr="00E7735D">
              <w:t>, може да ощети и коректни земеделски производители, ко</w:t>
            </w:r>
            <w:r w:rsidRPr="00E7735D">
              <w:t>и</w:t>
            </w:r>
            <w:r w:rsidRPr="00E7735D">
              <w:t>то са засадили съответните плодове или зеленчуци, но те са пропаднали поради климатичните условия или други пр</w:t>
            </w:r>
            <w:r w:rsidRPr="00E7735D">
              <w:t>и</w:t>
            </w:r>
            <w:r w:rsidRPr="00E7735D">
              <w:t>родни катаклизми. Ако тази санкция остане, трябва да се въведе начин за уведомяване на ДФЗ от страна на земедел</w:t>
            </w:r>
            <w:r w:rsidRPr="00E7735D">
              <w:t>с</w:t>
            </w:r>
            <w:r w:rsidRPr="00E7735D">
              <w:t>ките производители за отказ от схемата, различен от този, който е предвиден в общия случай - при него е невъзможно оттеглянето на парцели или схеми в случай, че има застъ</w:t>
            </w:r>
            <w:r w:rsidRPr="00E7735D">
              <w:t>п</w:t>
            </w:r>
            <w:r w:rsidRPr="00E7735D">
              <w:t>ване на площи или кандидатът е попаднал в извадка за пр</w:t>
            </w:r>
            <w:r w:rsidRPr="00E7735D">
              <w:t>о</w:t>
            </w:r>
            <w:r w:rsidRPr="00E7735D">
              <w:t>верки. Такъв отказ също не може да бъде направен в пери</w:t>
            </w:r>
            <w:r w:rsidRPr="00E7735D">
              <w:t>о</w:t>
            </w:r>
            <w:r w:rsidRPr="00E7735D">
              <w:t>да на кръстосаните проверки, а именно тогава в повечето случаи става ясно, ако определена култура пропадне или не се развие.</w:t>
            </w:r>
          </w:p>
          <w:p w:rsidR="00667B16" w:rsidRPr="00E7735D" w:rsidRDefault="00667B16" w:rsidP="006C71C0">
            <w:pPr>
              <w:spacing w:before="100" w:after="100"/>
              <w:jc w:val="both"/>
            </w:pPr>
            <w:r w:rsidRPr="00E7735D">
              <w:t xml:space="preserve">Смятаме, че идеята за ограничаване на </w:t>
            </w:r>
            <w:r w:rsidR="00027FC7" w:rsidRPr="00E7735D">
              <w:t>некоректните</w:t>
            </w:r>
            <w:r w:rsidR="009E44C6" w:rsidRPr="00E7735D">
              <w:t xml:space="preserve"> </w:t>
            </w:r>
            <w:r w:rsidR="00CC7B28">
              <w:br/>
            </w:r>
            <w:r w:rsidR="009E44C6" w:rsidRPr="00E7735D">
              <w:t>„</w:t>
            </w:r>
            <w:proofErr w:type="spellStart"/>
            <w:r w:rsidRPr="00E7735D">
              <w:t>псев</w:t>
            </w:r>
            <w:r w:rsidR="00027FC7" w:rsidRPr="00E7735D">
              <w:t>до</w:t>
            </w:r>
            <w:proofErr w:type="spellEnd"/>
            <w:r w:rsidR="009E44C6" w:rsidRPr="00E7735D">
              <w:t>“</w:t>
            </w:r>
            <w:r w:rsidR="00027FC7" w:rsidRPr="00E7735D">
              <w:t xml:space="preserve"> производители на плодове и з</w:t>
            </w:r>
            <w:r w:rsidRPr="00E7735D">
              <w:t xml:space="preserve">еленчуци е добра, но същевременно трябва да се сведе до минимум риска за </w:t>
            </w:r>
            <w:r w:rsidR="00027FC7" w:rsidRPr="00E7735D">
              <w:t>к</w:t>
            </w:r>
            <w:r w:rsidR="00027FC7" w:rsidRPr="00E7735D">
              <w:t>о</w:t>
            </w:r>
            <w:r w:rsidR="00027FC7" w:rsidRPr="00E7735D">
              <w:t>ректните</w:t>
            </w:r>
            <w:r w:rsidRPr="00E7735D">
              <w:t xml:space="preserve"> фермери, които освен че няма да получат добив и подпомагане, ще бъдат и допълнително наказани, в случай на проваляне на реколтата.</w:t>
            </w:r>
          </w:p>
          <w:p w:rsidR="00667B16" w:rsidRPr="00E7735D" w:rsidRDefault="00667B16" w:rsidP="006C71C0">
            <w:pPr>
              <w:spacing w:before="100" w:after="100"/>
              <w:jc w:val="both"/>
            </w:pPr>
            <w:r w:rsidRPr="00E7735D">
              <w:t>17.02.2020</w:t>
            </w:r>
          </w:p>
          <w:p w:rsidR="00667B16" w:rsidRPr="00E7735D" w:rsidRDefault="00667B16" w:rsidP="006C71C0">
            <w:pPr>
              <w:spacing w:before="100" w:after="100"/>
              <w:jc w:val="both"/>
            </w:pPr>
            <w:r w:rsidRPr="00E7735D">
              <w:t>Българска Асоциация Биопродукти</w:t>
            </w:r>
          </w:p>
        </w:tc>
        <w:tc>
          <w:tcPr>
            <w:tcW w:w="1613" w:type="dxa"/>
            <w:shd w:val="clear" w:color="auto" w:fill="auto"/>
          </w:tcPr>
          <w:p w:rsidR="00667B16" w:rsidRPr="00A426CE" w:rsidRDefault="00DE73BB" w:rsidP="00CC7B28">
            <w:pPr>
              <w:spacing w:before="100" w:after="100"/>
            </w:pPr>
            <w:r w:rsidRPr="00DE73BB">
              <w:t>Не се приема</w:t>
            </w:r>
          </w:p>
        </w:tc>
        <w:tc>
          <w:tcPr>
            <w:tcW w:w="4538" w:type="dxa"/>
            <w:shd w:val="clear" w:color="auto" w:fill="auto"/>
          </w:tcPr>
          <w:p w:rsidR="00C44883" w:rsidRDefault="00C44883" w:rsidP="00915B80">
            <w:pPr>
              <w:spacing w:before="100" w:after="100"/>
              <w:jc w:val="both"/>
            </w:pPr>
            <w:r>
              <w:t xml:space="preserve">С цел засилване на контрола по схемите за обвързано подпомагане за плодове и зеленчуци с проекта на Наредба за </w:t>
            </w:r>
            <w:r w:rsidR="00A03BC9">
              <w:t>изм</w:t>
            </w:r>
            <w:r w:rsidR="00A03BC9">
              <w:t>е</w:t>
            </w:r>
            <w:r w:rsidR="00A03BC9">
              <w:t>нение</w:t>
            </w:r>
            <w:r>
              <w:t xml:space="preserve"> и допълнение на Наредба № 3 от 2015 г. за условията и реда за прилагане на схемите за директни плащания (</w:t>
            </w:r>
            <w:proofErr w:type="spellStart"/>
            <w:r>
              <w:t>На-редба</w:t>
            </w:r>
            <w:proofErr w:type="spellEnd"/>
            <w:r>
              <w:t xml:space="preserve"> № 3/2015 г.) се създава разпоредба, съгласно която площи, заявени за </w:t>
            </w:r>
            <w:r w:rsidR="00A03BC9">
              <w:t>подп</w:t>
            </w:r>
            <w:r w:rsidR="00A03BC9">
              <w:t>о</w:t>
            </w:r>
            <w:r w:rsidR="00A03BC9">
              <w:t>магане</w:t>
            </w:r>
            <w:r>
              <w:t xml:space="preserve">, на които се установи различна култура от заявената, се считат за над-декларирани. Проверката на Държавен фонд „Земеделие“ – Разплащателна </w:t>
            </w:r>
            <w:r w:rsidR="00A03BC9">
              <w:t>аге</w:t>
            </w:r>
            <w:r w:rsidR="00A03BC9">
              <w:t>н</w:t>
            </w:r>
            <w:r w:rsidR="00A03BC9">
              <w:t>ция</w:t>
            </w:r>
            <w:r>
              <w:t xml:space="preserve"> (ДФЗ-РА) за спазване на условията за подпомагане по смисъла на чл. 32, </w:t>
            </w:r>
            <w:r w:rsidR="00A03BC9">
              <w:t>пара</w:t>
            </w:r>
            <w:r w:rsidR="00A03BC9">
              <w:t>г</w:t>
            </w:r>
            <w:r w:rsidR="00A03BC9">
              <w:t>рафи</w:t>
            </w:r>
            <w:r>
              <w:t xml:space="preserve"> 2, 3 и 4 от Регламент (ЕС) № 1307/2013 на Европейския парламент и на Съвета от 17 декември 2013 година за установяване на правила за директни плащания за земеделски стопани по </w:t>
            </w:r>
            <w:r w:rsidR="00A03BC9">
              <w:t>сх</w:t>
            </w:r>
            <w:r w:rsidR="00A03BC9">
              <w:t>е</w:t>
            </w:r>
            <w:r w:rsidR="00A03BC9">
              <w:t>ми</w:t>
            </w:r>
            <w:r>
              <w:t xml:space="preserve"> за подпомагане в рамките на общата селскостопанска политика и за отмяна на Регламент (ЕО) № 637/2008 на Съвета и Регламент (ЕО) № 73/2009 на Съвета (Регламент (ЕС) № 1307/2013) относно съответните площи включва и съпоставка на съответствието на вида култура с н</w:t>
            </w:r>
            <w:r>
              <w:t>а</w:t>
            </w:r>
            <w:r>
              <w:t xml:space="preserve">чина на трайно ползване на физическия </w:t>
            </w:r>
            <w:r>
              <w:lastRenderedPageBreak/>
              <w:t xml:space="preserve">блок, в който попада културата. </w:t>
            </w:r>
          </w:p>
          <w:p w:rsidR="00667B16" w:rsidRPr="00A426CE" w:rsidRDefault="00C44883" w:rsidP="00915B80">
            <w:pPr>
              <w:spacing w:before="100" w:after="100"/>
              <w:jc w:val="both"/>
            </w:pPr>
            <w:r>
              <w:t xml:space="preserve">Обвързаното с производството </w:t>
            </w:r>
            <w:r w:rsidR="00A03BC9">
              <w:t>подпом</w:t>
            </w:r>
            <w:r w:rsidR="00A03BC9">
              <w:t>а</w:t>
            </w:r>
            <w:r w:rsidR="00A03BC9">
              <w:t>гане</w:t>
            </w:r>
            <w:r>
              <w:t xml:space="preserve"> се предоставя за допустими за под-помагане площи.</w:t>
            </w:r>
          </w:p>
        </w:tc>
      </w:tr>
      <w:tr w:rsidR="006E2D88" w:rsidRPr="00A426CE" w:rsidTr="00DD2C2B">
        <w:trPr>
          <w:trHeight w:val="596"/>
          <w:jc w:val="center"/>
        </w:trPr>
        <w:tc>
          <w:tcPr>
            <w:tcW w:w="622" w:type="dxa"/>
            <w:tcBorders>
              <w:bottom w:val="nil"/>
            </w:tcBorders>
            <w:shd w:val="clear" w:color="auto" w:fill="auto"/>
          </w:tcPr>
          <w:p w:rsidR="006E2D88" w:rsidRPr="00A426CE" w:rsidRDefault="006E2D88" w:rsidP="00B308F0">
            <w:pPr>
              <w:numPr>
                <w:ilvl w:val="0"/>
                <w:numId w:val="5"/>
              </w:numPr>
              <w:tabs>
                <w:tab w:val="left" w:pos="192"/>
              </w:tabs>
              <w:ind w:left="0" w:firstLine="0"/>
              <w:jc w:val="center"/>
              <w:rPr>
                <w:b/>
              </w:rPr>
            </w:pPr>
          </w:p>
        </w:tc>
        <w:tc>
          <w:tcPr>
            <w:tcW w:w="2410" w:type="dxa"/>
            <w:tcBorders>
              <w:bottom w:val="nil"/>
            </w:tcBorders>
            <w:shd w:val="clear" w:color="auto" w:fill="auto"/>
          </w:tcPr>
          <w:p w:rsidR="00EE6EA0" w:rsidRDefault="00EE6EA0" w:rsidP="00933F4C">
            <w:pPr>
              <w:rPr>
                <w:rStyle w:val="Hyperlink"/>
                <w:b/>
                <w:bCs/>
                <w:color w:val="000000"/>
                <w:sz w:val="20"/>
                <w:szCs w:val="20"/>
                <w:u w:val="none"/>
              </w:rPr>
            </w:pPr>
            <w:r w:rsidRPr="00EE6EA0">
              <w:rPr>
                <w:rStyle w:val="Hyperlink"/>
                <w:b/>
                <w:bCs/>
                <w:color w:val="000000"/>
                <w:sz w:val="20"/>
                <w:szCs w:val="20"/>
                <w:u w:val="none"/>
              </w:rPr>
              <w:t>проф. д-р Дойчо Димов - председател на Сдр</w:t>
            </w:r>
            <w:r w:rsidRPr="00EE6EA0">
              <w:rPr>
                <w:rStyle w:val="Hyperlink"/>
                <w:b/>
                <w:bCs/>
                <w:color w:val="000000"/>
                <w:sz w:val="20"/>
                <w:szCs w:val="20"/>
                <w:u w:val="none"/>
              </w:rPr>
              <w:t>у</w:t>
            </w:r>
            <w:r w:rsidRPr="00EE6EA0">
              <w:rPr>
                <w:rStyle w:val="Hyperlink"/>
                <w:b/>
                <w:bCs/>
                <w:color w:val="000000"/>
                <w:sz w:val="20"/>
                <w:szCs w:val="20"/>
                <w:u w:val="none"/>
              </w:rPr>
              <w:t>жението за отглеждане и развъждане на М</w:t>
            </w:r>
            <w:r w:rsidRPr="00EE6EA0">
              <w:rPr>
                <w:rStyle w:val="Hyperlink"/>
                <w:b/>
                <w:bCs/>
                <w:color w:val="000000"/>
                <w:sz w:val="20"/>
                <w:szCs w:val="20"/>
                <w:u w:val="none"/>
              </w:rPr>
              <w:t>а</w:t>
            </w:r>
            <w:r w:rsidRPr="00EE6EA0">
              <w:rPr>
                <w:rStyle w:val="Hyperlink"/>
                <w:b/>
                <w:bCs/>
                <w:color w:val="000000"/>
                <w:sz w:val="20"/>
                <w:szCs w:val="20"/>
                <w:u w:val="none"/>
              </w:rPr>
              <w:t xml:space="preserve">ришките овце </w:t>
            </w:r>
          </w:p>
          <w:p w:rsidR="006E2D88" w:rsidRPr="00667B16" w:rsidRDefault="00933F4C" w:rsidP="00EE6EA0">
            <w:pPr>
              <w:rPr>
                <w:rStyle w:val="Hyperlink"/>
                <w:b/>
                <w:bCs/>
                <w:color w:val="000000"/>
                <w:sz w:val="20"/>
                <w:szCs w:val="20"/>
                <w:u w:val="none"/>
              </w:rPr>
            </w:pPr>
            <w:r w:rsidRPr="00933F4C">
              <w:rPr>
                <w:rStyle w:val="Hyperlink"/>
                <w:b/>
                <w:bCs/>
                <w:color w:val="000000"/>
                <w:sz w:val="20"/>
                <w:szCs w:val="20"/>
                <w:u w:val="none"/>
              </w:rPr>
              <w:t xml:space="preserve"> </w:t>
            </w:r>
            <w:r w:rsidR="00EE6EA0">
              <w:rPr>
                <w:rStyle w:val="Hyperlink"/>
                <w:b/>
                <w:bCs/>
                <w:color w:val="000000"/>
                <w:sz w:val="20"/>
                <w:szCs w:val="20"/>
                <w:u w:val="none"/>
              </w:rPr>
              <w:t>Писмо вх. № в МЗХГ 62-157 от 14</w:t>
            </w:r>
            <w:r w:rsidR="00EE6EA0" w:rsidRPr="00933F4C">
              <w:rPr>
                <w:rStyle w:val="Hyperlink"/>
                <w:b/>
                <w:bCs/>
                <w:color w:val="000000"/>
                <w:sz w:val="20"/>
                <w:szCs w:val="20"/>
                <w:u w:val="none"/>
              </w:rPr>
              <w:t xml:space="preserve">.02.2020 г </w:t>
            </w:r>
            <w:r w:rsidR="00EE6EA0">
              <w:rPr>
                <w:rStyle w:val="Hyperlink"/>
                <w:b/>
                <w:bCs/>
                <w:color w:val="000000"/>
                <w:sz w:val="20"/>
                <w:szCs w:val="20"/>
                <w:u w:val="none"/>
              </w:rPr>
              <w:t xml:space="preserve"> </w:t>
            </w:r>
          </w:p>
        </w:tc>
        <w:tc>
          <w:tcPr>
            <w:tcW w:w="6467" w:type="dxa"/>
            <w:shd w:val="clear" w:color="auto" w:fill="auto"/>
          </w:tcPr>
          <w:p w:rsidR="009E44C6" w:rsidRDefault="009E44C6" w:rsidP="009E44C6">
            <w:pPr>
              <w:jc w:val="both"/>
            </w:pPr>
            <w:r>
              <w:t>Във връзка с Проекта за изменение и допълнение на Наре</w:t>
            </w:r>
            <w:r>
              <w:t>д</w:t>
            </w:r>
            <w:r>
              <w:t>ба № 3 от 17 февруари 2015 г. за условията и редът за пр</w:t>
            </w:r>
            <w:r>
              <w:t>и</w:t>
            </w:r>
            <w:r>
              <w:t>лагане на схемите за директни плащания публикуван на 16.01.2019 г., в сайта на Министерски съвет за обществено обсъждане, след внимателен анализ относно рисковете за земеделските производители .и развъдните организации занимаващи се с отглеждане и развъждане на местни породи овце:</w:t>
            </w:r>
          </w:p>
          <w:p w:rsidR="009E44C6" w:rsidRDefault="009E44C6" w:rsidP="009E44C6">
            <w:pPr>
              <w:jc w:val="both"/>
            </w:pPr>
            <w:r>
              <w:t>- Считаме, че така заложени някои текстовете на алинеи и точки на чл. 23 от Наредбата, отнасящи се до правото на подпомагане на овце-майки под селекционен контрол, имат дискриминационен характер по отношение на изискваният минимален брой овце-майки;</w:t>
            </w:r>
          </w:p>
          <w:p w:rsidR="009E44C6" w:rsidRDefault="009E44C6" w:rsidP="009E44C6">
            <w:pPr>
              <w:jc w:val="both"/>
            </w:pPr>
            <w:r>
              <w:t>- От експертна гледна точка заложеният минимален брой 50 овце-майки допустими за подпомагане по схемата за обвъ</w:t>
            </w:r>
            <w:r>
              <w:t>р</w:t>
            </w:r>
            <w:r>
              <w:t>зано подпомагане не е издържан  и  представлява  бариера  пред   целите   и  задачите  на развъдните организации за овце от български местни породи овце с рисков статус „за</w:t>
            </w:r>
            <w:r>
              <w:t>с</w:t>
            </w:r>
            <w:r>
              <w:t>трашени и уязвими“.</w:t>
            </w:r>
          </w:p>
          <w:p w:rsidR="006E2D88" w:rsidRDefault="009E44C6" w:rsidP="009E44C6">
            <w:pPr>
              <w:jc w:val="both"/>
            </w:pPr>
            <w:r>
              <w:t xml:space="preserve"> В тази връзка Ви предлагаме да вземете под внимание следните предложения за изменения и допълнения относно на Наредба 3 за условията и реда за прилагане на схемите за директни плащания.</w:t>
            </w:r>
          </w:p>
        </w:tc>
        <w:tc>
          <w:tcPr>
            <w:tcW w:w="1613" w:type="dxa"/>
            <w:shd w:val="clear" w:color="auto" w:fill="auto"/>
          </w:tcPr>
          <w:p w:rsidR="006E2D88" w:rsidRPr="00A426CE" w:rsidRDefault="0000215D" w:rsidP="00CC7B28">
            <w:r w:rsidRPr="0000215D">
              <w:t>Не се приема</w:t>
            </w:r>
          </w:p>
        </w:tc>
        <w:tc>
          <w:tcPr>
            <w:tcW w:w="4538" w:type="dxa"/>
            <w:shd w:val="clear" w:color="auto" w:fill="auto"/>
          </w:tcPr>
          <w:p w:rsidR="006E2D88" w:rsidRPr="00A426CE" w:rsidRDefault="00B71C25" w:rsidP="0056044E">
            <w:pPr>
              <w:jc w:val="both"/>
            </w:pPr>
            <w:r w:rsidRPr="00B71C25">
              <w:t>Проектът отразява промените в схемите за обвързан</w:t>
            </w:r>
            <w:r w:rsidR="00BA1B31">
              <w:t>а подкрепа, дискутирани с предс</w:t>
            </w:r>
            <w:r w:rsidRPr="00B71C25">
              <w:t>тавители на браншовите организ</w:t>
            </w:r>
            <w:r w:rsidRPr="00B71C25">
              <w:t>а</w:t>
            </w:r>
            <w:r w:rsidRPr="00B71C25">
              <w:t xml:space="preserve">ции в сектор </w:t>
            </w:r>
            <w:r w:rsidR="00E135B7">
              <w:t>„</w:t>
            </w:r>
            <w:r w:rsidRPr="00B71C25">
              <w:t>Животновъдство</w:t>
            </w:r>
            <w:r w:rsidR="00E135B7">
              <w:t>“</w:t>
            </w:r>
            <w:r w:rsidRPr="00B71C25">
              <w:t xml:space="preserve"> през юли 2019 г. Предложението касае промяна в </w:t>
            </w:r>
            <w:proofErr w:type="spellStart"/>
            <w:r w:rsidRPr="00B71C25">
              <w:t>нотифицираните</w:t>
            </w:r>
            <w:proofErr w:type="spellEnd"/>
            <w:r w:rsidRPr="00B71C25">
              <w:t xml:space="preserve"> пред ЕК на 1 август 2019 г. условия за подпомагане по гор</w:t>
            </w:r>
            <w:r w:rsidRPr="00B71C25">
              <w:t>е</w:t>
            </w:r>
            <w:r w:rsidRPr="00B71C25">
              <w:t>посочените схеми, с оглед което предп</w:t>
            </w:r>
            <w:r w:rsidRPr="00B71C25">
              <w:t>о</w:t>
            </w:r>
            <w:r w:rsidRPr="00B71C25">
              <w:t>лага широка обществена дискусия при следващи дебати по евентуални промени в схемите за обвързано подпомагане.</w:t>
            </w:r>
          </w:p>
        </w:tc>
      </w:tr>
      <w:tr w:rsidR="009E44C6" w:rsidRPr="00A426CE" w:rsidTr="00DD2C2B">
        <w:trPr>
          <w:trHeight w:val="596"/>
          <w:jc w:val="center"/>
        </w:trPr>
        <w:tc>
          <w:tcPr>
            <w:tcW w:w="622" w:type="dxa"/>
            <w:tcBorders>
              <w:top w:val="nil"/>
              <w:bottom w:val="nil"/>
            </w:tcBorders>
            <w:shd w:val="clear" w:color="auto" w:fill="auto"/>
          </w:tcPr>
          <w:p w:rsidR="009E44C6" w:rsidRPr="00A426CE" w:rsidRDefault="009E44C6" w:rsidP="009E44C6">
            <w:pPr>
              <w:tabs>
                <w:tab w:val="left" w:pos="192"/>
              </w:tabs>
              <w:rPr>
                <w:b/>
              </w:rPr>
            </w:pPr>
          </w:p>
        </w:tc>
        <w:tc>
          <w:tcPr>
            <w:tcW w:w="2410" w:type="dxa"/>
            <w:tcBorders>
              <w:top w:val="nil"/>
              <w:bottom w:val="nil"/>
            </w:tcBorders>
            <w:shd w:val="clear" w:color="auto" w:fill="auto"/>
          </w:tcPr>
          <w:p w:rsidR="009E44C6" w:rsidRPr="00667B16" w:rsidRDefault="009E44C6" w:rsidP="00B308F0">
            <w:pPr>
              <w:rPr>
                <w:rStyle w:val="Hyperlink"/>
                <w:b/>
                <w:bCs/>
                <w:color w:val="000000"/>
                <w:sz w:val="20"/>
                <w:szCs w:val="20"/>
                <w:u w:val="none"/>
              </w:rPr>
            </w:pPr>
          </w:p>
        </w:tc>
        <w:tc>
          <w:tcPr>
            <w:tcW w:w="6467" w:type="dxa"/>
            <w:shd w:val="clear" w:color="auto" w:fill="auto"/>
          </w:tcPr>
          <w:p w:rsidR="009E44C6" w:rsidRDefault="009E44C6" w:rsidP="009E44C6">
            <w:pPr>
              <w:jc w:val="both"/>
            </w:pPr>
            <w:r>
              <w:t>Предложение № 1.</w:t>
            </w:r>
          </w:p>
          <w:p w:rsidR="009E44C6" w:rsidRDefault="009E44C6" w:rsidP="008D022E">
            <w:pPr>
              <w:jc w:val="both"/>
            </w:pPr>
            <w:r>
              <w:t>Към чл. 23. ал</w:t>
            </w:r>
            <w:r w:rsidR="007F229C">
              <w:t>. 1</w:t>
            </w:r>
            <w:r w:rsidR="007F229C" w:rsidRPr="007F229C">
              <w:rPr>
                <w:vertAlign w:val="superscript"/>
              </w:rPr>
              <w:t>-ва</w:t>
            </w:r>
            <w:r w:rsidR="007F229C">
              <w:t>, да се създаде нова т. 3</w:t>
            </w:r>
            <w:r>
              <w:t>, в която за овце-</w:t>
            </w:r>
            <w:r>
              <w:lastRenderedPageBreak/>
              <w:t>майки от местни (автохтонни) породи с рисков статус „зас</w:t>
            </w:r>
            <w:r>
              <w:t>т</w:t>
            </w:r>
            <w:r>
              <w:t>раше</w:t>
            </w:r>
            <w:r w:rsidR="007F229C">
              <w:t>ни“</w:t>
            </w:r>
            <w:r>
              <w:t>, съгласно приложение №</w:t>
            </w:r>
            <w:r w:rsidR="007F229C">
              <w:t xml:space="preserve"> </w:t>
            </w:r>
            <w:r>
              <w:t>7 минималният брой овце от една порода в 1 стадо /земеделски производител/ допу</w:t>
            </w:r>
            <w:r>
              <w:t>с</w:t>
            </w:r>
            <w:r>
              <w:t>тими за подпомагане да е 20 овце-майки!</w:t>
            </w:r>
          </w:p>
        </w:tc>
        <w:tc>
          <w:tcPr>
            <w:tcW w:w="1613" w:type="dxa"/>
            <w:shd w:val="clear" w:color="auto" w:fill="auto"/>
          </w:tcPr>
          <w:p w:rsidR="009E44C6" w:rsidRPr="00A426CE" w:rsidRDefault="00E33AED" w:rsidP="00CC7B28">
            <w:r w:rsidRPr="00E33AED">
              <w:lastRenderedPageBreak/>
              <w:t>Не се приема</w:t>
            </w:r>
          </w:p>
        </w:tc>
        <w:tc>
          <w:tcPr>
            <w:tcW w:w="4538" w:type="dxa"/>
            <w:shd w:val="clear" w:color="auto" w:fill="auto"/>
          </w:tcPr>
          <w:p w:rsidR="009E44C6" w:rsidRPr="00A426CE" w:rsidRDefault="00924F20" w:rsidP="00915B80">
            <w:pPr>
              <w:jc w:val="both"/>
            </w:pPr>
            <w:r w:rsidRPr="00924F20">
              <w:t xml:space="preserve">Проектът отразява промените в схемите за обвързана подкрепа, дискутирани с </w:t>
            </w:r>
            <w:r w:rsidR="001D6790" w:rsidRPr="00924F20">
              <w:lastRenderedPageBreak/>
              <w:t>представители</w:t>
            </w:r>
            <w:r w:rsidRPr="00924F20">
              <w:t xml:space="preserve"> на браншовите организ</w:t>
            </w:r>
            <w:r w:rsidRPr="00924F20">
              <w:t>а</w:t>
            </w:r>
            <w:r w:rsidRPr="00924F20">
              <w:t xml:space="preserve">ции в сектор </w:t>
            </w:r>
            <w:r w:rsidR="001D6790">
              <w:t>„</w:t>
            </w:r>
            <w:r w:rsidRPr="00924F20">
              <w:t>Животновъдство</w:t>
            </w:r>
            <w:r w:rsidR="001D6790">
              <w:t>“</w:t>
            </w:r>
            <w:r w:rsidRPr="00924F20">
              <w:t xml:space="preserve"> през юли 2019 г.</w:t>
            </w:r>
          </w:p>
        </w:tc>
      </w:tr>
      <w:tr w:rsidR="009E44C6" w:rsidRPr="00A426CE" w:rsidTr="00DD2C2B">
        <w:trPr>
          <w:trHeight w:val="596"/>
          <w:jc w:val="center"/>
        </w:trPr>
        <w:tc>
          <w:tcPr>
            <w:tcW w:w="622" w:type="dxa"/>
            <w:tcBorders>
              <w:top w:val="nil"/>
            </w:tcBorders>
            <w:shd w:val="clear" w:color="auto" w:fill="auto"/>
          </w:tcPr>
          <w:p w:rsidR="009E44C6" w:rsidRPr="00A426CE" w:rsidRDefault="009E44C6" w:rsidP="009E44C6">
            <w:pPr>
              <w:tabs>
                <w:tab w:val="left" w:pos="192"/>
              </w:tabs>
              <w:rPr>
                <w:b/>
              </w:rPr>
            </w:pPr>
          </w:p>
        </w:tc>
        <w:tc>
          <w:tcPr>
            <w:tcW w:w="2410" w:type="dxa"/>
            <w:tcBorders>
              <w:top w:val="nil"/>
            </w:tcBorders>
            <w:shd w:val="clear" w:color="auto" w:fill="auto"/>
          </w:tcPr>
          <w:p w:rsidR="009E44C6" w:rsidRPr="00667B16" w:rsidRDefault="009E44C6" w:rsidP="00B308F0">
            <w:pPr>
              <w:rPr>
                <w:rStyle w:val="Hyperlink"/>
                <w:b/>
                <w:bCs/>
                <w:color w:val="000000"/>
                <w:sz w:val="20"/>
                <w:szCs w:val="20"/>
                <w:u w:val="none"/>
              </w:rPr>
            </w:pPr>
          </w:p>
        </w:tc>
        <w:tc>
          <w:tcPr>
            <w:tcW w:w="6467" w:type="dxa"/>
            <w:shd w:val="clear" w:color="auto" w:fill="auto"/>
          </w:tcPr>
          <w:p w:rsidR="008D022E" w:rsidRDefault="008D022E" w:rsidP="008D022E">
            <w:pPr>
              <w:jc w:val="both"/>
            </w:pPr>
            <w:r>
              <w:t>- След допълнението на предлаганата т.3, чл. 23 от Наредб</w:t>
            </w:r>
            <w:r>
              <w:t>а</w:t>
            </w:r>
            <w:r>
              <w:t>та , ал. 1, следва да придобие следният вид:</w:t>
            </w:r>
          </w:p>
          <w:p w:rsidR="008D022E" w:rsidRDefault="008D022E" w:rsidP="008D022E">
            <w:pPr>
              <w:jc w:val="both"/>
            </w:pPr>
            <w:r>
              <w:t>Чл. 23. (Изм. - ДВ, бр. 19 от 2017 г., в сила от 28.02.2017 г.) (1) Право на подпомагане по схемата за обвързано подпом</w:t>
            </w:r>
            <w:r>
              <w:t>а</w:t>
            </w:r>
            <w:r>
              <w:t>гане за овце-майки и/или кози-майки под селекционен кон</w:t>
            </w:r>
            <w:r>
              <w:t>т</w:t>
            </w:r>
            <w:r>
              <w:t>рол имат земеделски стопани, които отглеждат в стопанс</w:t>
            </w:r>
            <w:r>
              <w:t>т</w:t>
            </w:r>
            <w:r>
              <w:t>вото си:</w:t>
            </w:r>
          </w:p>
          <w:p w:rsidR="008D022E" w:rsidRPr="00CE1A25" w:rsidRDefault="008D022E" w:rsidP="008D022E">
            <w:pPr>
              <w:jc w:val="both"/>
              <w:rPr>
                <w:b/>
              </w:rPr>
            </w:pPr>
            <w:r w:rsidRPr="00CE1A25">
              <w:rPr>
                <w:b/>
              </w:rPr>
              <w:t>1. 50 и повече овце-майки под селекционен контрол от една порода;</w:t>
            </w:r>
          </w:p>
          <w:p w:rsidR="008D022E" w:rsidRPr="00CE1A25" w:rsidRDefault="008D022E" w:rsidP="008D022E">
            <w:pPr>
              <w:jc w:val="both"/>
              <w:rPr>
                <w:b/>
              </w:rPr>
            </w:pPr>
            <w:r w:rsidRPr="00CE1A25">
              <w:rPr>
                <w:b/>
              </w:rPr>
              <w:t>2. 20 и повече кози-майки под селекционен контрол от една порода;</w:t>
            </w:r>
          </w:p>
          <w:p w:rsidR="008D022E" w:rsidRPr="00CE1A25" w:rsidRDefault="008D022E" w:rsidP="008D022E">
            <w:pPr>
              <w:jc w:val="both"/>
              <w:rPr>
                <w:b/>
              </w:rPr>
            </w:pPr>
            <w:r w:rsidRPr="00CE1A25">
              <w:rPr>
                <w:b/>
              </w:rPr>
              <w:t>3. 20 н повече овце-майки под селекционен контрол от местни (автохтонни) породи.</w:t>
            </w:r>
          </w:p>
          <w:p w:rsidR="003D2A50" w:rsidRDefault="003D2A50" w:rsidP="008D022E">
            <w:pPr>
              <w:jc w:val="both"/>
            </w:pPr>
          </w:p>
          <w:p w:rsidR="008D022E" w:rsidRDefault="008D022E" w:rsidP="008D022E">
            <w:pPr>
              <w:jc w:val="both"/>
            </w:pPr>
            <w:r>
              <w:t>Мотиви:</w:t>
            </w:r>
          </w:p>
          <w:p w:rsidR="008D022E" w:rsidRDefault="008D022E" w:rsidP="008D022E">
            <w:pPr>
              <w:jc w:val="both"/>
            </w:pPr>
            <w:r>
              <w:t>1. Развъдните</w:t>
            </w:r>
            <w:r w:rsidR="00933F4C">
              <w:t xml:space="preserve"> програми на „застрашени“</w:t>
            </w:r>
            <w:r>
              <w:t xml:space="preserve"> местните породи овце и кози</w:t>
            </w:r>
            <w:r w:rsidR="00933F4C">
              <w:t xml:space="preserve"> включват развъдни практики за </w:t>
            </w:r>
            <w:r>
              <w:t>поддържа</w:t>
            </w:r>
            <w:r w:rsidR="00933F4C">
              <w:t xml:space="preserve">не    на </w:t>
            </w:r>
            <w:r>
              <w:t>генетичното</w:t>
            </w:r>
            <w:r w:rsidR="00933F4C">
              <w:t xml:space="preserve"> </w:t>
            </w:r>
            <w:r>
              <w:t>разнообразие, което изисква в стадата вкл</w:t>
            </w:r>
            <w:r>
              <w:t>ю</w:t>
            </w:r>
            <w:r>
              <w:t>чени в развъдните програми</w:t>
            </w:r>
            <w:r w:rsidR="00933F4C">
              <w:t xml:space="preserve"> да се използват за </w:t>
            </w:r>
            <w:r>
              <w:t>естес</w:t>
            </w:r>
            <w:r w:rsidR="00933F4C">
              <w:t xml:space="preserve">твено  </w:t>
            </w:r>
            <w:proofErr w:type="spellStart"/>
            <w:r w:rsidR="00933F4C">
              <w:t>заплождане</w:t>
            </w:r>
            <w:proofErr w:type="spellEnd"/>
            <w:r w:rsidR="00933F4C">
              <w:t xml:space="preserve"> по-голям брой </w:t>
            </w:r>
            <w:r>
              <w:t>кочове,</w:t>
            </w:r>
            <w:r w:rsidR="00933F4C">
              <w:t xml:space="preserve"> </w:t>
            </w:r>
            <w:r>
              <w:t>действащи в малки стада. От развъдна гледна точка малките стада</w:t>
            </w:r>
            <w:r w:rsidR="00933F4C">
              <w:t xml:space="preserve"> </w:t>
            </w:r>
            <w:r>
              <w:t>предоставят много и големи предимства за съхранение на застрашените</w:t>
            </w:r>
            <w:r w:rsidR="00933F4C">
              <w:t xml:space="preserve"> </w:t>
            </w:r>
            <w:r>
              <w:t>местни породи овце и улесняват изпълнението на одобрените им</w:t>
            </w:r>
            <w:r w:rsidR="00933F4C">
              <w:t xml:space="preserve"> </w:t>
            </w:r>
            <w:r>
              <w:t>развъдни програми.</w:t>
            </w:r>
          </w:p>
          <w:p w:rsidR="008D022E" w:rsidRDefault="00933F4C" w:rsidP="008D022E">
            <w:pPr>
              <w:jc w:val="both"/>
            </w:pPr>
            <w:r>
              <w:t xml:space="preserve">2. </w:t>
            </w:r>
            <w:r w:rsidR="008D022E">
              <w:t>Заложеният минимален брой 50 овце-майки, който засяга повечето от</w:t>
            </w:r>
            <w:r>
              <w:t xml:space="preserve"> </w:t>
            </w:r>
            <w:r w:rsidR="008D022E">
              <w:t>ме</w:t>
            </w:r>
            <w:r>
              <w:t>стните породи с рисков статус</w:t>
            </w:r>
            <w:r w:rsidR="008D022E">
              <w:t xml:space="preserve"> „застраше</w:t>
            </w:r>
            <w:r>
              <w:t xml:space="preserve">ни“  </w:t>
            </w:r>
            <w:r>
              <w:lastRenderedPageBreak/>
              <w:t>ще</w:t>
            </w:r>
            <w:r w:rsidR="008D022E">
              <w:t xml:space="preserve"> дискриминира</w:t>
            </w:r>
            <w:r>
              <w:t xml:space="preserve"> </w:t>
            </w:r>
            <w:r w:rsidR="008D022E">
              <w:t>регистрирани земеделски производител с малки стада от 20-40 овце,</w:t>
            </w:r>
            <w:r>
              <w:t xml:space="preserve"> </w:t>
            </w:r>
            <w:r w:rsidR="008D022E">
              <w:t>които понастоящем са членове на развъдни асоциации за местни породи</w:t>
            </w:r>
            <w:r>
              <w:t xml:space="preserve"> </w:t>
            </w:r>
            <w:r w:rsidR="008D022E">
              <w:t>овце и стриктно спа</w:t>
            </w:r>
            <w:r w:rsidR="008D022E">
              <w:t>з</w:t>
            </w:r>
            <w:r w:rsidR="008D022E">
              <w:t>ват развъдната програма, а така също и по-големи</w:t>
            </w:r>
            <w:r>
              <w:t xml:space="preserve"> </w:t>
            </w:r>
            <w:r w:rsidR="008D022E">
              <w:t xml:space="preserve">стада, с които се започва развъдна дейност и в които </w:t>
            </w:r>
            <w:proofErr w:type="spellStart"/>
            <w:r w:rsidR="008D022E">
              <w:t>чистопородн</w:t>
            </w:r>
            <w:r w:rsidR="008D022E">
              <w:t>и</w:t>
            </w:r>
            <w:r w:rsidR="008D022E">
              <w:t>те</w:t>
            </w:r>
            <w:proofErr w:type="spellEnd"/>
            <w:r>
              <w:t xml:space="preserve"> </w:t>
            </w:r>
            <w:r w:rsidR="008D022E">
              <w:t>животни са под 50. Развъдната стойност на овце и кочове зависи от</w:t>
            </w:r>
            <w:r>
              <w:t xml:space="preserve"> </w:t>
            </w:r>
            <w:r w:rsidR="008D022E">
              <w:t>определени качества на животните, а не от разм</w:t>
            </w:r>
            <w:r w:rsidR="008D022E">
              <w:t>е</w:t>
            </w:r>
            <w:r w:rsidR="008D022E">
              <w:t>ра на стадото, поради</w:t>
            </w:r>
            <w:r>
              <w:t xml:space="preserve"> </w:t>
            </w:r>
            <w:r w:rsidR="008D022E">
              <w:t>което считаме определеният миним</w:t>
            </w:r>
            <w:r w:rsidR="008D022E">
              <w:t>а</w:t>
            </w:r>
            <w:r w:rsidR="008D022E">
              <w:t xml:space="preserve">лен брой 50 овце-майки за </w:t>
            </w:r>
            <w:proofErr w:type="spellStart"/>
            <w:r w:rsidR="008D022E">
              <w:t>сериознапречка</w:t>
            </w:r>
            <w:proofErr w:type="spellEnd"/>
            <w:r w:rsidR="008D022E">
              <w:t xml:space="preserve"> за ефективна развъдна дейност с местни породи!</w:t>
            </w:r>
          </w:p>
          <w:p w:rsidR="008D022E" w:rsidRDefault="00933F4C" w:rsidP="008D022E">
            <w:pPr>
              <w:jc w:val="both"/>
            </w:pPr>
            <w:r>
              <w:t xml:space="preserve">3. </w:t>
            </w:r>
            <w:r w:rsidR="008D022E">
              <w:t>В някои стада овцете (с над 100 овце-майки) на млади или нови фермери</w:t>
            </w:r>
            <w:r>
              <w:t xml:space="preserve"> </w:t>
            </w:r>
            <w:r w:rsidR="008D022E">
              <w:t xml:space="preserve">има не голям брой животни (под 50), с ясна </w:t>
            </w:r>
            <w:proofErr w:type="spellStart"/>
            <w:r w:rsidR="008D022E">
              <w:t>породна</w:t>
            </w:r>
            <w:proofErr w:type="spellEnd"/>
            <w:r w:rsidR="008D022E">
              <w:t xml:space="preserve"> принадлежност към</w:t>
            </w:r>
            <w:r>
              <w:t xml:space="preserve"> </w:t>
            </w:r>
            <w:r w:rsidR="008D022E">
              <w:t>местна порода, но земеделск</w:t>
            </w:r>
            <w:r w:rsidR="008D022E">
              <w:t>и</w:t>
            </w:r>
            <w:r w:rsidR="008D022E">
              <w:t>те производители са подписали договори за развъдна де</w:t>
            </w:r>
            <w:r w:rsidR="008D022E">
              <w:t>й</w:t>
            </w:r>
            <w:r w:rsidR="008D022E">
              <w:t>ност по определена развъдна програма, по която стадото ще се развива в посока към избраната от тях порода.</w:t>
            </w:r>
          </w:p>
          <w:p w:rsidR="008D022E" w:rsidRDefault="00933F4C" w:rsidP="008D022E">
            <w:pPr>
              <w:jc w:val="both"/>
            </w:pPr>
            <w:r>
              <w:t xml:space="preserve">4. </w:t>
            </w:r>
            <w:r w:rsidR="008D022E">
              <w:t>Към настоящият момент ограничението от минимум 50 овце-майки ще</w:t>
            </w:r>
            <w:r>
              <w:t xml:space="preserve"> </w:t>
            </w:r>
            <w:r w:rsidR="008D022E">
              <w:t>демотивира новите членове в развъдните асоциации за местни породи</w:t>
            </w:r>
            <w:r>
              <w:t xml:space="preserve"> </w:t>
            </w:r>
            <w:r w:rsidR="008D022E">
              <w:t xml:space="preserve">овце и кози и ще ги </w:t>
            </w:r>
            <w:proofErr w:type="spellStart"/>
            <w:r w:rsidR="008D022E">
              <w:t>дезориен</w:t>
            </w:r>
            <w:proofErr w:type="spellEnd"/>
            <w:r>
              <w:t xml:space="preserve"> </w:t>
            </w:r>
            <w:r w:rsidR="008D022E">
              <w:t>тира при избора им на подходяща за тях</w:t>
            </w:r>
            <w:r>
              <w:t xml:space="preserve"> </w:t>
            </w:r>
            <w:r w:rsidR="008D022E">
              <w:t>порода, и ще ги насърчи към „не добри" развъдни практики.</w:t>
            </w:r>
          </w:p>
          <w:p w:rsidR="008D022E" w:rsidRDefault="00933F4C" w:rsidP="008D022E">
            <w:pPr>
              <w:jc w:val="both"/>
            </w:pPr>
            <w:r>
              <w:t xml:space="preserve">5. </w:t>
            </w:r>
            <w:r w:rsidR="008D022E">
              <w:t>Предлаганото допълнение на чл.</w:t>
            </w:r>
            <w:r>
              <w:t xml:space="preserve"> </w:t>
            </w:r>
            <w:r w:rsidR="008D022E">
              <w:t>23, няма да предизвика утежняващи</w:t>
            </w:r>
            <w:r>
              <w:t xml:space="preserve"> </w:t>
            </w:r>
            <w:r w:rsidR="008D022E">
              <w:t>икономически обстоятелства относно прилаг</w:t>
            </w:r>
            <w:r w:rsidR="008D022E">
              <w:t>а</w:t>
            </w:r>
            <w:r w:rsidR="008D022E">
              <w:t>нето на схемата за директни</w:t>
            </w:r>
            <w:r>
              <w:t xml:space="preserve"> плащания, тъй като засяга   сравнително малък брой </w:t>
            </w:r>
            <w:r w:rsidR="008D022E">
              <w:t>земеделски</w:t>
            </w:r>
            <w:r>
              <w:t xml:space="preserve"> </w:t>
            </w:r>
            <w:r w:rsidR="008D022E">
              <w:t>производители.</w:t>
            </w:r>
          </w:p>
          <w:p w:rsidR="009E44C6" w:rsidRDefault="009E44C6" w:rsidP="00667B16">
            <w:pPr>
              <w:jc w:val="both"/>
            </w:pPr>
          </w:p>
        </w:tc>
        <w:tc>
          <w:tcPr>
            <w:tcW w:w="1613" w:type="dxa"/>
            <w:shd w:val="clear" w:color="auto" w:fill="auto"/>
          </w:tcPr>
          <w:p w:rsidR="009E44C6" w:rsidRPr="00A426CE" w:rsidRDefault="00A11FC5" w:rsidP="00CC7B28">
            <w:r w:rsidRPr="00A11FC5">
              <w:lastRenderedPageBreak/>
              <w:t>Не се приема</w:t>
            </w:r>
          </w:p>
        </w:tc>
        <w:tc>
          <w:tcPr>
            <w:tcW w:w="4538" w:type="dxa"/>
            <w:shd w:val="clear" w:color="auto" w:fill="auto"/>
          </w:tcPr>
          <w:p w:rsidR="009E44C6" w:rsidRPr="00A426CE" w:rsidRDefault="00856F8A" w:rsidP="00915B80">
            <w:pPr>
              <w:jc w:val="both"/>
            </w:pPr>
            <w:r w:rsidRPr="00856F8A">
              <w:t xml:space="preserve">Проектът отразява промените в схемите за обвързана подкрепа, дискутирани с </w:t>
            </w:r>
            <w:r w:rsidR="001D6790" w:rsidRPr="00856F8A">
              <w:t>представители</w:t>
            </w:r>
            <w:r w:rsidRPr="00856F8A">
              <w:t xml:space="preserve"> на браншовите организ</w:t>
            </w:r>
            <w:r w:rsidRPr="00856F8A">
              <w:t>а</w:t>
            </w:r>
            <w:r w:rsidRPr="00856F8A">
              <w:t xml:space="preserve">ции в сектор </w:t>
            </w:r>
            <w:r w:rsidR="001D6790">
              <w:t>„</w:t>
            </w:r>
            <w:r w:rsidRPr="00856F8A">
              <w:t>Животновъдство</w:t>
            </w:r>
            <w:r w:rsidR="001D6790">
              <w:t>“</w:t>
            </w:r>
            <w:r w:rsidRPr="00856F8A">
              <w:t xml:space="preserve"> през юли 2019 г. Предложението касае промяна в </w:t>
            </w:r>
            <w:proofErr w:type="spellStart"/>
            <w:r w:rsidR="001D6790" w:rsidRPr="00856F8A">
              <w:t>нотифицираните</w:t>
            </w:r>
            <w:proofErr w:type="spellEnd"/>
            <w:r w:rsidRPr="00856F8A">
              <w:t xml:space="preserve"> пред ЕК на 1 август 2019 г. </w:t>
            </w:r>
            <w:r w:rsidR="001D6790" w:rsidRPr="00856F8A">
              <w:t>условия</w:t>
            </w:r>
            <w:r w:rsidRPr="00856F8A">
              <w:t xml:space="preserve"> за подпомагане по гор</w:t>
            </w:r>
            <w:r w:rsidRPr="00856F8A">
              <w:t>е</w:t>
            </w:r>
            <w:r w:rsidRPr="00856F8A">
              <w:t>посочените схеми, с оглед което предп</w:t>
            </w:r>
            <w:r w:rsidRPr="00856F8A">
              <w:t>о</w:t>
            </w:r>
            <w:r w:rsidRPr="00856F8A">
              <w:t>лага широка обществена дискусия при следващи дебати по евентуални промени в схемите за обвързано подпомагане.</w:t>
            </w:r>
          </w:p>
        </w:tc>
      </w:tr>
      <w:tr w:rsidR="00341EFC" w:rsidRPr="00A426CE" w:rsidTr="00A23041">
        <w:trPr>
          <w:trHeight w:val="596"/>
          <w:jc w:val="center"/>
        </w:trPr>
        <w:tc>
          <w:tcPr>
            <w:tcW w:w="622" w:type="dxa"/>
            <w:tcBorders>
              <w:bottom w:val="single" w:sz="12" w:space="0" w:color="2E74B5"/>
            </w:tcBorders>
            <w:shd w:val="clear" w:color="auto" w:fill="auto"/>
          </w:tcPr>
          <w:p w:rsidR="00341EFC" w:rsidRPr="00A426CE" w:rsidRDefault="00341EFC" w:rsidP="006C71C0">
            <w:pPr>
              <w:numPr>
                <w:ilvl w:val="0"/>
                <w:numId w:val="5"/>
              </w:numPr>
              <w:tabs>
                <w:tab w:val="left" w:pos="192"/>
              </w:tabs>
              <w:spacing w:before="140" w:after="140"/>
              <w:ind w:left="0" w:firstLine="0"/>
              <w:jc w:val="center"/>
              <w:rPr>
                <w:b/>
              </w:rPr>
            </w:pPr>
          </w:p>
        </w:tc>
        <w:tc>
          <w:tcPr>
            <w:tcW w:w="2410" w:type="dxa"/>
            <w:tcBorders>
              <w:bottom w:val="single" w:sz="12" w:space="0" w:color="2E74B5"/>
            </w:tcBorders>
            <w:shd w:val="clear" w:color="auto" w:fill="auto"/>
          </w:tcPr>
          <w:p w:rsidR="00341EFC" w:rsidRPr="000E1E07" w:rsidRDefault="00027FC7" w:rsidP="006C71C0">
            <w:pPr>
              <w:spacing w:before="140" w:after="140"/>
              <w:rPr>
                <w:rStyle w:val="Hyperlink"/>
                <w:b/>
                <w:bCs/>
                <w:color w:val="000000"/>
                <w:sz w:val="20"/>
                <w:szCs w:val="20"/>
                <w:u w:val="none"/>
              </w:rPr>
            </w:pPr>
            <w:r w:rsidRPr="000E1E07">
              <w:rPr>
                <w:rStyle w:val="Hyperlink"/>
                <w:b/>
                <w:bCs/>
                <w:color w:val="000000"/>
                <w:sz w:val="20"/>
                <w:szCs w:val="20"/>
                <w:u w:val="none"/>
              </w:rPr>
              <w:t>Организация за ра</w:t>
            </w:r>
            <w:r w:rsidRPr="000E1E07">
              <w:rPr>
                <w:rStyle w:val="Hyperlink"/>
                <w:b/>
                <w:bCs/>
                <w:color w:val="000000"/>
                <w:sz w:val="20"/>
                <w:szCs w:val="20"/>
                <w:u w:val="none"/>
              </w:rPr>
              <w:t>з</w:t>
            </w:r>
            <w:r w:rsidRPr="000E1E07">
              <w:rPr>
                <w:rStyle w:val="Hyperlink"/>
                <w:b/>
                <w:bCs/>
                <w:color w:val="000000"/>
                <w:sz w:val="20"/>
                <w:szCs w:val="20"/>
                <w:u w:val="none"/>
              </w:rPr>
              <w:t>въждане на Автохтонни породи овце в Бълг</w:t>
            </w:r>
            <w:r w:rsidRPr="000E1E07">
              <w:rPr>
                <w:rStyle w:val="Hyperlink"/>
                <w:b/>
                <w:bCs/>
                <w:color w:val="000000"/>
                <w:sz w:val="20"/>
                <w:szCs w:val="20"/>
                <w:u w:val="none"/>
              </w:rPr>
              <w:t>а</w:t>
            </w:r>
            <w:r w:rsidRPr="000E1E07">
              <w:rPr>
                <w:rStyle w:val="Hyperlink"/>
                <w:b/>
                <w:bCs/>
                <w:color w:val="000000"/>
                <w:sz w:val="20"/>
                <w:szCs w:val="20"/>
                <w:u w:val="none"/>
              </w:rPr>
              <w:t>рия-град Калофер</w:t>
            </w:r>
            <w:r w:rsidR="00341EFC" w:rsidRPr="000E1E07">
              <w:rPr>
                <w:rStyle w:val="Hyperlink"/>
                <w:b/>
                <w:bCs/>
                <w:color w:val="000000"/>
                <w:sz w:val="20"/>
                <w:szCs w:val="20"/>
                <w:u w:val="none"/>
              </w:rPr>
              <w:t xml:space="preserve"> -</w:t>
            </w:r>
            <w:r w:rsidRPr="000E1E07">
              <w:rPr>
                <w:rStyle w:val="Hyperlink"/>
                <w:b/>
                <w:bCs/>
                <w:color w:val="000000"/>
                <w:sz w:val="20"/>
                <w:szCs w:val="20"/>
                <w:u w:val="none"/>
              </w:rPr>
              <w:t xml:space="preserve"> постъпило в МЗХГ с </w:t>
            </w:r>
            <w:r w:rsidRPr="000E1E07">
              <w:rPr>
                <w:rStyle w:val="Hyperlink"/>
                <w:b/>
                <w:bCs/>
                <w:color w:val="000000"/>
                <w:sz w:val="20"/>
                <w:szCs w:val="20"/>
                <w:u w:val="none"/>
              </w:rPr>
              <w:lastRenderedPageBreak/>
              <w:t>регистрацио</w:t>
            </w:r>
            <w:r w:rsidR="00341EFC" w:rsidRPr="000E1E07">
              <w:rPr>
                <w:rStyle w:val="Hyperlink"/>
                <w:b/>
                <w:bCs/>
                <w:color w:val="000000"/>
                <w:sz w:val="20"/>
                <w:szCs w:val="20"/>
                <w:u w:val="none"/>
              </w:rPr>
              <w:t xml:space="preserve">нен индекс </w:t>
            </w:r>
            <w:r w:rsidRPr="00CC7B28">
              <w:rPr>
                <w:rStyle w:val="Hyperlink"/>
                <w:b/>
                <w:bCs/>
                <w:color w:val="000000"/>
                <w:sz w:val="20"/>
                <w:szCs w:val="20"/>
                <w:u w:val="none"/>
              </w:rPr>
              <w:t>62</w:t>
            </w:r>
            <w:r w:rsidRPr="000E1E07">
              <w:rPr>
                <w:rStyle w:val="Hyperlink"/>
                <w:b/>
                <w:bCs/>
                <w:color w:val="000000"/>
                <w:sz w:val="20"/>
                <w:szCs w:val="20"/>
                <w:u w:val="none"/>
              </w:rPr>
              <w:t>-</w:t>
            </w:r>
            <w:r w:rsidRPr="00CC7B28">
              <w:rPr>
                <w:rStyle w:val="Hyperlink"/>
                <w:b/>
                <w:bCs/>
                <w:color w:val="000000"/>
                <w:sz w:val="20"/>
                <w:szCs w:val="20"/>
                <w:u w:val="none"/>
              </w:rPr>
              <w:t>160</w:t>
            </w:r>
            <w:r w:rsidRPr="000E1E07">
              <w:rPr>
                <w:rStyle w:val="Hyperlink"/>
                <w:b/>
                <w:bCs/>
                <w:color w:val="000000"/>
                <w:sz w:val="20"/>
                <w:szCs w:val="20"/>
                <w:u w:val="none"/>
              </w:rPr>
              <w:t xml:space="preserve"> от </w:t>
            </w:r>
            <w:r w:rsidRPr="00CC7B28">
              <w:rPr>
                <w:rStyle w:val="Hyperlink"/>
                <w:b/>
                <w:bCs/>
                <w:color w:val="000000"/>
                <w:sz w:val="20"/>
                <w:szCs w:val="20"/>
                <w:u w:val="none"/>
              </w:rPr>
              <w:t>17</w:t>
            </w:r>
            <w:r w:rsidRPr="000E1E07">
              <w:rPr>
                <w:rStyle w:val="Hyperlink"/>
                <w:b/>
                <w:bCs/>
                <w:color w:val="000000"/>
                <w:sz w:val="20"/>
                <w:szCs w:val="20"/>
                <w:u w:val="none"/>
              </w:rPr>
              <w:t>.</w:t>
            </w:r>
            <w:r w:rsidRPr="00CC7B28">
              <w:rPr>
                <w:rStyle w:val="Hyperlink"/>
                <w:b/>
                <w:bCs/>
                <w:color w:val="000000"/>
                <w:sz w:val="20"/>
                <w:szCs w:val="20"/>
                <w:u w:val="none"/>
              </w:rPr>
              <w:t>02</w:t>
            </w:r>
            <w:r w:rsidRPr="000E1E07">
              <w:rPr>
                <w:rStyle w:val="Hyperlink"/>
                <w:b/>
                <w:bCs/>
                <w:color w:val="000000"/>
                <w:sz w:val="20"/>
                <w:szCs w:val="20"/>
                <w:u w:val="none"/>
              </w:rPr>
              <w:t>.20</w:t>
            </w:r>
            <w:r w:rsidRPr="00CC7B28">
              <w:rPr>
                <w:rStyle w:val="Hyperlink"/>
                <w:b/>
                <w:bCs/>
                <w:color w:val="000000"/>
                <w:sz w:val="20"/>
                <w:szCs w:val="20"/>
                <w:u w:val="none"/>
              </w:rPr>
              <w:t>20</w:t>
            </w:r>
            <w:r w:rsidR="00341EFC" w:rsidRPr="000E1E07">
              <w:rPr>
                <w:rStyle w:val="Hyperlink"/>
                <w:b/>
                <w:bCs/>
                <w:color w:val="000000"/>
                <w:sz w:val="20"/>
                <w:szCs w:val="20"/>
                <w:u w:val="none"/>
              </w:rPr>
              <w:t xml:space="preserve"> г.</w:t>
            </w:r>
          </w:p>
        </w:tc>
        <w:tc>
          <w:tcPr>
            <w:tcW w:w="6467" w:type="dxa"/>
            <w:shd w:val="clear" w:color="auto" w:fill="auto"/>
          </w:tcPr>
          <w:p w:rsidR="00341EFC" w:rsidRPr="000E1E07" w:rsidRDefault="00341EFC" w:rsidP="006C71C0">
            <w:pPr>
              <w:spacing w:before="140" w:after="140"/>
              <w:jc w:val="both"/>
            </w:pPr>
            <w:r w:rsidRPr="000E1E07">
              <w:lastRenderedPageBreak/>
              <w:t>Изцяло подкрепяме и поддържаме Становището на</w:t>
            </w:r>
            <w:r w:rsidRPr="00CC7B28">
              <w:t xml:space="preserve">  </w:t>
            </w:r>
            <w:r w:rsidRPr="000E1E07">
              <w:t xml:space="preserve"> проф. д-р Дойчо Димов</w:t>
            </w:r>
          </w:p>
          <w:p w:rsidR="00341EFC" w:rsidRPr="000E1E07" w:rsidRDefault="00341EFC" w:rsidP="006C71C0">
            <w:pPr>
              <w:spacing w:before="140" w:after="140"/>
              <w:jc w:val="both"/>
            </w:pPr>
            <w:r w:rsidRPr="000E1E07">
              <w:t>Във връзка с Проекта за изменение и допълнение на Наре</w:t>
            </w:r>
            <w:r w:rsidRPr="000E1E07">
              <w:t>д</w:t>
            </w:r>
            <w:r w:rsidRPr="000E1E07">
              <w:lastRenderedPageBreak/>
              <w:t>ба № 3 от 17 февруари 2015 г. за условията и редът за пр</w:t>
            </w:r>
            <w:r w:rsidRPr="000E1E07">
              <w:t>и</w:t>
            </w:r>
            <w:r w:rsidRPr="000E1E07">
              <w:t>лагане на схемите за директни плащания публикуван на 16.01.2019 г., в сайта на Министерски съвет за обществено обсъждане, след внимателен анализ относно рисковете за земеделски производители и развъдни организации заним</w:t>
            </w:r>
            <w:r w:rsidRPr="000E1E07">
              <w:t>а</w:t>
            </w:r>
            <w:r w:rsidRPr="000E1E07">
              <w:t>ващи се с отглеждане и развъждане на местни породи овце.</w:t>
            </w:r>
          </w:p>
        </w:tc>
        <w:tc>
          <w:tcPr>
            <w:tcW w:w="1613" w:type="dxa"/>
            <w:shd w:val="clear" w:color="auto" w:fill="auto"/>
          </w:tcPr>
          <w:p w:rsidR="00341EFC" w:rsidRPr="00A426CE" w:rsidRDefault="008457E2" w:rsidP="00CC7B28">
            <w:pPr>
              <w:spacing w:before="140" w:after="140"/>
            </w:pPr>
            <w:r w:rsidRPr="008457E2">
              <w:lastRenderedPageBreak/>
              <w:t>Не се приема</w:t>
            </w:r>
          </w:p>
        </w:tc>
        <w:tc>
          <w:tcPr>
            <w:tcW w:w="4538" w:type="dxa"/>
            <w:shd w:val="clear" w:color="auto" w:fill="auto"/>
          </w:tcPr>
          <w:p w:rsidR="00341EFC" w:rsidRPr="00A426CE" w:rsidRDefault="00ED14E1" w:rsidP="00915B80">
            <w:pPr>
              <w:spacing w:before="140" w:after="140"/>
              <w:jc w:val="both"/>
            </w:pPr>
            <w:r w:rsidRPr="00ED14E1">
              <w:t xml:space="preserve">Проектът отразява промените в схемите за обвързана подкрепа, дискутирани с </w:t>
            </w:r>
            <w:r w:rsidR="00436919" w:rsidRPr="00ED14E1">
              <w:t>представители</w:t>
            </w:r>
            <w:r w:rsidRPr="00ED14E1">
              <w:t xml:space="preserve"> на браншовите организ</w:t>
            </w:r>
            <w:r w:rsidRPr="00ED14E1">
              <w:t>а</w:t>
            </w:r>
            <w:r w:rsidRPr="00ED14E1">
              <w:t xml:space="preserve">ции в сектор </w:t>
            </w:r>
            <w:r w:rsidR="00436919">
              <w:t>„</w:t>
            </w:r>
            <w:r w:rsidRPr="00ED14E1">
              <w:t>Животновъдство</w:t>
            </w:r>
            <w:r w:rsidR="00436919">
              <w:t>“</w:t>
            </w:r>
            <w:r w:rsidRPr="00ED14E1">
              <w:t xml:space="preserve"> през юли </w:t>
            </w:r>
            <w:r w:rsidRPr="00ED14E1">
              <w:lastRenderedPageBreak/>
              <w:t xml:space="preserve">2019 г. Предложението касае промяна в </w:t>
            </w:r>
            <w:proofErr w:type="spellStart"/>
            <w:r w:rsidR="00436919" w:rsidRPr="00ED14E1">
              <w:t>нотифицираните</w:t>
            </w:r>
            <w:proofErr w:type="spellEnd"/>
            <w:r w:rsidRPr="00ED14E1">
              <w:t xml:space="preserve"> пред ЕК на 1 август 2019 г. </w:t>
            </w:r>
            <w:r w:rsidR="00436919" w:rsidRPr="00ED14E1">
              <w:t>условия</w:t>
            </w:r>
            <w:r w:rsidRPr="00ED14E1">
              <w:t xml:space="preserve"> за подпомагане по гор</w:t>
            </w:r>
            <w:r w:rsidRPr="00ED14E1">
              <w:t>е</w:t>
            </w:r>
            <w:r w:rsidRPr="00ED14E1">
              <w:t>посочените схеми, с оглед което предп</w:t>
            </w:r>
            <w:r w:rsidRPr="00ED14E1">
              <w:t>о</w:t>
            </w:r>
            <w:r w:rsidRPr="00ED14E1">
              <w:t>лага широка обществена дискусия при следващи дебати по евентуални промени в схемите за обвързано подпомагане.</w:t>
            </w:r>
          </w:p>
        </w:tc>
      </w:tr>
      <w:tr w:rsidR="006E2D88" w:rsidRPr="00A426CE" w:rsidTr="00A23041">
        <w:trPr>
          <w:trHeight w:val="596"/>
          <w:jc w:val="center"/>
        </w:trPr>
        <w:tc>
          <w:tcPr>
            <w:tcW w:w="622" w:type="dxa"/>
            <w:tcBorders>
              <w:bottom w:val="nil"/>
            </w:tcBorders>
            <w:shd w:val="clear" w:color="auto" w:fill="auto"/>
          </w:tcPr>
          <w:p w:rsidR="006E2D88" w:rsidRPr="00A426CE" w:rsidRDefault="006E2D88" w:rsidP="006C71C0">
            <w:pPr>
              <w:numPr>
                <w:ilvl w:val="0"/>
                <w:numId w:val="5"/>
              </w:numPr>
              <w:tabs>
                <w:tab w:val="left" w:pos="192"/>
              </w:tabs>
              <w:spacing w:before="120" w:after="120"/>
              <w:ind w:left="0" w:firstLine="0"/>
              <w:jc w:val="center"/>
              <w:rPr>
                <w:b/>
              </w:rPr>
            </w:pPr>
          </w:p>
        </w:tc>
        <w:tc>
          <w:tcPr>
            <w:tcW w:w="2410" w:type="dxa"/>
            <w:tcBorders>
              <w:bottom w:val="nil"/>
            </w:tcBorders>
            <w:shd w:val="clear" w:color="auto" w:fill="auto"/>
          </w:tcPr>
          <w:p w:rsidR="006C71C0" w:rsidRDefault="006C71C0" w:rsidP="00075FA3">
            <w:pPr>
              <w:spacing w:before="100"/>
              <w:rPr>
                <w:rStyle w:val="Hyperlink"/>
                <w:b/>
                <w:bCs/>
                <w:color w:val="auto"/>
                <w:sz w:val="20"/>
                <w:szCs w:val="20"/>
                <w:u w:val="none"/>
              </w:rPr>
            </w:pPr>
            <w:r w:rsidRPr="006C71C0">
              <w:rPr>
                <w:rStyle w:val="Hyperlink"/>
                <w:b/>
                <w:bCs/>
                <w:color w:val="auto"/>
                <w:sz w:val="20"/>
                <w:szCs w:val="20"/>
                <w:u w:val="none"/>
              </w:rPr>
              <w:t>Национален съюз на Говедовъдите в Бълг</w:t>
            </w:r>
            <w:r w:rsidRPr="006C71C0">
              <w:rPr>
                <w:rStyle w:val="Hyperlink"/>
                <w:b/>
                <w:bCs/>
                <w:color w:val="auto"/>
                <w:sz w:val="20"/>
                <w:szCs w:val="20"/>
                <w:u w:val="none"/>
              </w:rPr>
              <w:t>а</w:t>
            </w:r>
            <w:r w:rsidRPr="006C71C0">
              <w:rPr>
                <w:rStyle w:val="Hyperlink"/>
                <w:b/>
                <w:bCs/>
                <w:color w:val="auto"/>
                <w:sz w:val="20"/>
                <w:szCs w:val="20"/>
                <w:u w:val="none"/>
              </w:rPr>
              <w:t>рия</w:t>
            </w:r>
          </w:p>
          <w:p w:rsidR="006C71C0" w:rsidRDefault="00127F01" w:rsidP="006C71C0">
            <w:pPr>
              <w:rPr>
                <w:rStyle w:val="Hyperlink"/>
                <w:b/>
                <w:bCs/>
                <w:color w:val="000000"/>
                <w:sz w:val="20"/>
                <w:szCs w:val="20"/>
                <w:u w:val="none"/>
              </w:rPr>
            </w:pPr>
            <w:hyperlink r:id="rId10" w:history="1">
              <w:r w:rsidR="006C71C0" w:rsidRPr="0011189E">
                <w:rPr>
                  <w:rStyle w:val="Hyperlink"/>
                  <w:b/>
                  <w:bCs/>
                  <w:sz w:val="20"/>
                  <w:szCs w:val="20"/>
                </w:rPr>
                <w:t>nsg.bg@abv.bg</w:t>
              </w:r>
            </w:hyperlink>
          </w:p>
          <w:p w:rsidR="00B876ED" w:rsidRPr="006C71C0" w:rsidRDefault="00B876ED" w:rsidP="006C71C0">
            <w:pPr>
              <w:rPr>
                <w:rStyle w:val="Hyperlink"/>
                <w:b/>
                <w:bCs/>
                <w:color w:val="auto"/>
                <w:sz w:val="20"/>
                <w:szCs w:val="20"/>
                <w:u w:val="none"/>
              </w:rPr>
            </w:pPr>
            <w:r w:rsidRPr="00B876ED">
              <w:rPr>
                <w:rStyle w:val="Hyperlink"/>
                <w:b/>
                <w:bCs/>
                <w:color w:val="000000"/>
                <w:sz w:val="20"/>
                <w:szCs w:val="20"/>
                <w:u w:val="none"/>
              </w:rPr>
              <w:t>17.02.2020 г.</w:t>
            </w:r>
          </w:p>
          <w:p w:rsidR="006E2D88" w:rsidRPr="00027FC7" w:rsidRDefault="00B876ED" w:rsidP="006C71C0">
            <w:pPr>
              <w:rPr>
                <w:rStyle w:val="Hyperlink"/>
                <w:b/>
                <w:bCs/>
                <w:color w:val="000000"/>
                <w:sz w:val="20"/>
                <w:szCs w:val="20"/>
                <w:u w:val="none"/>
              </w:rPr>
            </w:pPr>
            <w:r w:rsidRPr="00B876ED">
              <w:rPr>
                <w:rStyle w:val="Hyperlink"/>
                <w:b/>
                <w:bCs/>
                <w:color w:val="000000"/>
                <w:sz w:val="20"/>
                <w:szCs w:val="20"/>
                <w:u w:val="none"/>
              </w:rPr>
              <w:t>(по електронен път)</w:t>
            </w:r>
          </w:p>
        </w:tc>
        <w:tc>
          <w:tcPr>
            <w:tcW w:w="6467" w:type="dxa"/>
            <w:shd w:val="clear" w:color="auto" w:fill="auto"/>
          </w:tcPr>
          <w:p w:rsidR="000F49D5" w:rsidRDefault="000F49D5" w:rsidP="006C71C0">
            <w:pPr>
              <w:spacing w:before="120" w:after="120"/>
              <w:jc w:val="both"/>
            </w:pPr>
            <w:r>
              <w:t xml:space="preserve">Становище на УС на съюза относно проекта за изменение и допълнение на Наредба №3 от 2015 </w:t>
            </w:r>
            <w:proofErr w:type="spellStart"/>
            <w:r>
              <w:t>год</w:t>
            </w:r>
            <w:proofErr w:type="spellEnd"/>
            <w:r>
              <w:t>, за условията и реда за прилагане на схемите за директни плащания.</w:t>
            </w:r>
          </w:p>
          <w:p w:rsidR="006E2D88" w:rsidRDefault="00B876ED" w:rsidP="006C71C0">
            <w:pPr>
              <w:spacing w:before="120" w:after="120"/>
              <w:jc w:val="both"/>
            </w:pPr>
            <w:r w:rsidRPr="00B876ED">
              <w:t>•</w:t>
            </w:r>
            <w:r>
              <w:t xml:space="preserve"> </w:t>
            </w:r>
            <w:r w:rsidRPr="00B876ED">
              <w:t>В Доклада за извършване на промени в Наредбата, никъде не е обосновано защо се налагат такива в сектор животн</w:t>
            </w:r>
            <w:r w:rsidRPr="00B876ED">
              <w:t>о</w:t>
            </w:r>
            <w:r w:rsidRPr="00B876ED">
              <w:t>въдство. В проведените работни срещи и обсъждане на Проекта, ние сме подкрепяли запазване на схемата за субс</w:t>
            </w:r>
            <w:r w:rsidRPr="00B876ED">
              <w:t>и</w:t>
            </w:r>
            <w:r w:rsidRPr="00B876ED">
              <w:t>диране приложена през 2019г., което предложение подкр</w:t>
            </w:r>
            <w:r w:rsidRPr="00B876ED">
              <w:t>е</w:t>
            </w:r>
            <w:r w:rsidRPr="00B876ED">
              <w:t>пиха и някои други организации.</w:t>
            </w:r>
          </w:p>
          <w:p w:rsidR="00B876ED" w:rsidRDefault="00B876ED" w:rsidP="006C71C0">
            <w:pPr>
              <w:spacing w:before="120" w:after="120"/>
              <w:jc w:val="both"/>
            </w:pPr>
            <w:r>
              <w:t>• Никъде не е формулирано ,кои стопанства са малки и кои големи. Например в Бавария, говедовъдна ферма в която се отглеждат над 30 крави се таксува за голяма.</w:t>
            </w:r>
          </w:p>
          <w:p w:rsidR="00B876ED" w:rsidRDefault="00B876ED" w:rsidP="006C71C0">
            <w:pPr>
              <w:spacing w:before="120" w:after="120"/>
              <w:jc w:val="both"/>
            </w:pPr>
            <w:r>
              <w:t>• Резултатите  от  SWOT АНАЛИЗ анализа показват,че г</w:t>
            </w:r>
            <w:r>
              <w:t>о</w:t>
            </w:r>
            <w:r>
              <w:t>лемите ферми са по уязвими в момента от малките.</w:t>
            </w:r>
          </w:p>
          <w:p w:rsidR="00B876ED" w:rsidRDefault="00B876ED" w:rsidP="006C71C0">
            <w:pPr>
              <w:spacing w:before="120" w:after="120"/>
              <w:jc w:val="both"/>
            </w:pPr>
            <w:r>
              <w:t>• През последните години се извършва на пръв поглед нев</w:t>
            </w:r>
            <w:r>
              <w:t>и</w:t>
            </w:r>
            <w:r>
              <w:t xml:space="preserve">димо </w:t>
            </w:r>
            <w:proofErr w:type="spellStart"/>
            <w:r>
              <w:t>преструктроиране</w:t>
            </w:r>
            <w:proofErr w:type="spellEnd"/>
            <w:r>
              <w:t xml:space="preserve"> на фермите по отношение на от</w:t>
            </w:r>
            <w:r>
              <w:t>г</w:t>
            </w:r>
            <w:r>
              <w:t xml:space="preserve">леждания брои животни. За 2019г броят на говедовъдните ферми в които се отглеждат над 100бр крави е нараснал с осем процента. В овцевъдството също расте броя на овцете в стадата- рентабилния модула вероятно  е вече над 300бр в </w:t>
            </w:r>
            <w:r>
              <w:lastRenderedPageBreak/>
              <w:t>стадо.</w:t>
            </w:r>
          </w:p>
          <w:p w:rsidR="00B876ED" w:rsidRDefault="00B876ED" w:rsidP="006C71C0">
            <w:pPr>
              <w:spacing w:before="120" w:after="120"/>
              <w:jc w:val="both"/>
            </w:pPr>
            <w:r>
              <w:t>• Т.н</w:t>
            </w:r>
            <w:r w:rsidR="00CC7B28">
              <w:t>.</w:t>
            </w:r>
            <w:r>
              <w:t xml:space="preserve"> големи ферми са основните производители на мляко и месо в страната. Поне така показват отчетните документи.</w:t>
            </w:r>
          </w:p>
          <w:p w:rsidR="00B876ED" w:rsidRDefault="00B876ED" w:rsidP="006C71C0">
            <w:pPr>
              <w:spacing w:before="120" w:after="120"/>
              <w:jc w:val="both"/>
            </w:pPr>
            <w:r>
              <w:t>•  Както националните, така и европейските политики тря</w:t>
            </w:r>
            <w:r>
              <w:t>б</w:t>
            </w:r>
            <w:r>
              <w:t>ва да се занимават с осигуряването на необходимата под</w:t>
            </w:r>
            <w:r>
              <w:t>к</w:t>
            </w:r>
            <w:r>
              <w:t>репа за развитието на всички стопанства, независимо от техния размер, тъй като всички те действат при специфични условия.</w:t>
            </w:r>
          </w:p>
          <w:p w:rsidR="00B876ED" w:rsidRDefault="00B876ED" w:rsidP="006C71C0">
            <w:pPr>
              <w:spacing w:before="120" w:after="120"/>
              <w:jc w:val="both"/>
            </w:pPr>
            <w:r>
              <w:t>• Намалението на субсидирането на основните производит</w:t>
            </w:r>
            <w:r>
              <w:t>е</w:t>
            </w:r>
            <w:r>
              <w:t>ли на суровина от животните, определено ще намали тяхн</w:t>
            </w:r>
            <w:r>
              <w:t>а</w:t>
            </w:r>
            <w:r>
              <w:t>та конкурентоспособност, което ще се отрази най вече в намаляване на производството.</w:t>
            </w:r>
          </w:p>
        </w:tc>
        <w:tc>
          <w:tcPr>
            <w:tcW w:w="1613" w:type="dxa"/>
            <w:shd w:val="clear" w:color="auto" w:fill="auto"/>
          </w:tcPr>
          <w:p w:rsidR="006E2D88" w:rsidRPr="00A426CE" w:rsidRDefault="00253C2D" w:rsidP="00CC7B28">
            <w:pPr>
              <w:spacing w:before="120" w:after="120"/>
            </w:pPr>
            <w:r w:rsidRPr="00253C2D">
              <w:lastRenderedPageBreak/>
              <w:t>Не се прие</w:t>
            </w:r>
            <w:r w:rsidR="00CC7B28">
              <w:t>м</w:t>
            </w:r>
            <w:r w:rsidRPr="00253C2D">
              <w:t>а</w:t>
            </w:r>
          </w:p>
        </w:tc>
        <w:tc>
          <w:tcPr>
            <w:tcW w:w="4538" w:type="dxa"/>
            <w:shd w:val="clear" w:color="auto" w:fill="auto"/>
          </w:tcPr>
          <w:p w:rsidR="001A4B57" w:rsidRDefault="001A4B57" w:rsidP="00915B80">
            <w:pPr>
              <w:spacing w:before="120" w:after="120"/>
              <w:jc w:val="both"/>
            </w:pPr>
            <w:r>
              <w:t>В търсене на възможности за по-балансирано подпомагане на земеделск</w:t>
            </w:r>
            <w:r>
              <w:t>и</w:t>
            </w:r>
            <w:r>
              <w:t xml:space="preserve">те стопанства и предвид структурните </w:t>
            </w:r>
            <w:r w:rsidR="00436919">
              <w:t>различия</w:t>
            </w:r>
            <w:r>
              <w:t xml:space="preserve"> в животновъдния сектор, от 2017 г. България прилага различен размер </w:t>
            </w:r>
            <w:r w:rsidR="00436919">
              <w:t>подкрепа</w:t>
            </w:r>
            <w:r>
              <w:t xml:space="preserve"> на земеделските стопанства, чрез </w:t>
            </w:r>
            <w:r w:rsidR="00436919">
              <w:t>въвеждане</w:t>
            </w:r>
            <w:r>
              <w:t xml:space="preserve"> на модулирана ставка. Границата на модулацията е определена на база на общата структура на земедел</w:t>
            </w:r>
            <w:r>
              <w:t>с</w:t>
            </w:r>
            <w:r>
              <w:t xml:space="preserve">ките </w:t>
            </w:r>
            <w:r w:rsidR="00436919">
              <w:t>стопанства</w:t>
            </w:r>
            <w:r>
              <w:t xml:space="preserve"> (брой стопанства с брой животни), като е съобразена с обхвата на схемите за обвързана подкрепа и мин</w:t>
            </w:r>
            <w:r>
              <w:t>и</w:t>
            </w:r>
            <w:r>
              <w:t>малния брой животни допустими за по</w:t>
            </w:r>
            <w:r>
              <w:t>д</w:t>
            </w:r>
            <w:r>
              <w:t>помагане по отделните схеми. Коефиц</w:t>
            </w:r>
            <w:r>
              <w:t>и</w:t>
            </w:r>
            <w:r>
              <w:t xml:space="preserve">ентът на </w:t>
            </w:r>
            <w:r w:rsidR="00436919">
              <w:t>завишение</w:t>
            </w:r>
            <w:r>
              <w:t xml:space="preserve"> на подпомагането при определяне на модулираната ставка  е базиран на </w:t>
            </w:r>
            <w:r w:rsidR="00436919">
              <w:t>факторите</w:t>
            </w:r>
            <w:r>
              <w:t xml:space="preserve"> за ефективност и рентабилност на земеделските стопанс</w:t>
            </w:r>
            <w:r>
              <w:t>т</w:t>
            </w:r>
            <w:r>
              <w:t>вата в отделните структурни диапазони, с цел гарантиране на необходимото ниво на допълване на доходите на земеделск</w:t>
            </w:r>
            <w:r>
              <w:t>и</w:t>
            </w:r>
            <w:r>
              <w:t xml:space="preserve">те стопани за </w:t>
            </w:r>
            <w:r w:rsidR="00436919">
              <w:t>осигуряване</w:t>
            </w:r>
            <w:r>
              <w:t xml:space="preserve"> на тяхната у</w:t>
            </w:r>
            <w:r>
              <w:t>с</w:t>
            </w:r>
            <w:r>
              <w:lastRenderedPageBreak/>
              <w:t xml:space="preserve">тойчивост. </w:t>
            </w:r>
          </w:p>
          <w:p w:rsidR="001A4B57" w:rsidRDefault="001A4B57" w:rsidP="00915B80">
            <w:pPr>
              <w:spacing w:before="120" w:after="120"/>
              <w:jc w:val="both"/>
            </w:pPr>
            <w:r>
              <w:t>С националните решения за промени в схемите за обвързано подпомагане от юли 2019 г. България преразгледа и пр</w:t>
            </w:r>
            <w:r>
              <w:t>а</w:t>
            </w:r>
            <w:r>
              <w:t>говете на модулация и размера на подп</w:t>
            </w:r>
            <w:r>
              <w:t>о</w:t>
            </w:r>
            <w:r>
              <w:t xml:space="preserve">магането. Новият модел на прилагане на модулация при схемите за обвързана подкрепа за </w:t>
            </w:r>
            <w:r w:rsidR="00436919">
              <w:t>животни</w:t>
            </w:r>
            <w:r>
              <w:t xml:space="preserve"> е изграден на база на необходимостта от насърчаване на малките и средни стопанства, чрез по-балансирано разпределение на подкреп</w:t>
            </w:r>
            <w:r>
              <w:t>а</w:t>
            </w:r>
            <w:r>
              <w:t xml:space="preserve">та към тях. </w:t>
            </w:r>
          </w:p>
          <w:p w:rsidR="006E2D88" w:rsidRPr="00A426CE" w:rsidRDefault="001A4B57" w:rsidP="00915B80">
            <w:pPr>
              <w:spacing w:before="120" w:after="120"/>
              <w:jc w:val="both"/>
            </w:pPr>
            <w:r>
              <w:t xml:space="preserve">Проектът отразява промените в схемите за обвързана подкрепа, дискутирани с </w:t>
            </w:r>
            <w:r w:rsidR="00436919">
              <w:t>представители</w:t>
            </w:r>
            <w:r>
              <w:t xml:space="preserve"> на браншовите организ</w:t>
            </w:r>
            <w:r>
              <w:t>а</w:t>
            </w:r>
            <w:r>
              <w:t xml:space="preserve">ции в сектор </w:t>
            </w:r>
            <w:r w:rsidR="00436919">
              <w:t>„</w:t>
            </w:r>
            <w:r>
              <w:t>Животновъдство</w:t>
            </w:r>
            <w:r w:rsidR="00436919">
              <w:t>“</w:t>
            </w:r>
            <w:r>
              <w:t xml:space="preserve"> през юли 2019 г. Предложението касае промяна в </w:t>
            </w:r>
            <w:proofErr w:type="spellStart"/>
            <w:r w:rsidR="00436919">
              <w:t>нотифицираните</w:t>
            </w:r>
            <w:proofErr w:type="spellEnd"/>
            <w:r>
              <w:t xml:space="preserve"> пред ЕК на 1 август 2019 г. </w:t>
            </w:r>
            <w:r w:rsidR="00436919">
              <w:t>условия</w:t>
            </w:r>
            <w:r>
              <w:t xml:space="preserve"> за подпомагане по гор</w:t>
            </w:r>
            <w:r>
              <w:t>е</w:t>
            </w:r>
            <w:r>
              <w:t>посочените схеми, с оглед което предп</w:t>
            </w:r>
            <w:r>
              <w:t>о</w:t>
            </w:r>
            <w:r>
              <w:t>лага широка обществена дискусия при следващи дебати по евентуални промени в схемите за обвързано подпомагане.</w:t>
            </w:r>
          </w:p>
        </w:tc>
      </w:tr>
      <w:tr w:rsidR="00B876ED" w:rsidRPr="00A426CE" w:rsidTr="00A23041">
        <w:trPr>
          <w:trHeight w:val="596"/>
          <w:jc w:val="center"/>
        </w:trPr>
        <w:tc>
          <w:tcPr>
            <w:tcW w:w="622" w:type="dxa"/>
            <w:tcBorders>
              <w:top w:val="nil"/>
            </w:tcBorders>
            <w:shd w:val="clear" w:color="auto" w:fill="auto"/>
          </w:tcPr>
          <w:p w:rsidR="00B876ED" w:rsidRPr="00A426CE" w:rsidRDefault="00B876ED" w:rsidP="00B876ED">
            <w:pPr>
              <w:tabs>
                <w:tab w:val="left" w:pos="192"/>
              </w:tabs>
              <w:rPr>
                <w:b/>
              </w:rPr>
            </w:pPr>
          </w:p>
        </w:tc>
        <w:tc>
          <w:tcPr>
            <w:tcW w:w="2410" w:type="dxa"/>
            <w:tcBorders>
              <w:top w:val="nil"/>
            </w:tcBorders>
            <w:shd w:val="clear" w:color="auto" w:fill="auto"/>
          </w:tcPr>
          <w:p w:rsidR="00B876ED" w:rsidRPr="00027FC7" w:rsidRDefault="00B876ED" w:rsidP="00341EFC">
            <w:pPr>
              <w:rPr>
                <w:rStyle w:val="Hyperlink"/>
                <w:b/>
                <w:bCs/>
                <w:color w:val="000000"/>
                <w:sz w:val="20"/>
                <w:szCs w:val="20"/>
                <w:u w:val="none"/>
              </w:rPr>
            </w:pPr>
          </w:p>
        </w:tc>
        <w:tc>
          <w:tcPr>
            <w:tcW w:w="6467" w:type="dxa"/>
            <w:shd w:val="clear" w:color="auto" w:fill="auto"/>
          </w:tcPr>
          <w:p w:rsidR="00B876ED" w:rsidRDefault="00B876ED" w:rsidP="00B876ED">
            <w:pPr>
              <w:jc w:val="both"/>
            </w:pPr>
            <w:r>
              <w:t>Конкретно по проекта за Наредба 3</w:t>
            </w:r>
          </w:p>
          <w:p w:rsidR="00B876ED" w:rsidRDefault="00B876ED" w:rsidP="00B876ED">
            <w:pPr>
              <w:jc w:val="both"/>
            </w:pPr>
            <w:r>
              <w:t>В т. 15 се създава изречение</w:t>
            </w:r>
            <w:r w:rsidR="009B0239">
              <w:t xml:space="preserve"> </w:t>
            </w:r>
            <w:r>
              <w:t>второ: „При реализация в стр</w:t>
            </w:r>
            <w:r>
              <w:t>а</w:t>
            </w:r>
            <w:r>
              <w:t xml:space="preserve">ната животните трябва да са пристигнали в животновъдния обект на приемащата страна по ВМС и това да е отбелязано в системата за идентификация и регистрация на животните на БАБХ.Тази точка обаче не дава яснота, как ще се докаже </w:t>
            </w:r>
            <w:r>
              <w:lastRenderedPageBreak/>
              <w:t>реализацията на животни продадени на търговец, пътния лист е до кланица, където животните се колят  на ишлеме  и след това търговеца си реализира месото. В резултат на тази напълно законна сделка, наши говедовъди и овцевъди са санкционирани защото животните не са насочени към Ж</w:t>
            </w:r>
            <w:r>
              <w:t>и</w:t>
            </w:r>
            <w:r>
              <w:t>вотновъден обект или не са заклани по тяхна поръчка в кл</w:t>
            </w:r>
            <w:r>
              <w:t>а</w:t>
            </w:r>
            <w:r>
              <w:t xml:space="preserve">ницата. В същото време „упражненията” на други фермери за покупко-продажба помежду им и то на минимални цени се приемат за </w:t>
            </w:r>
            <w:proofErr w:type="spellStart"/>
            <w:r>
              <w:t>миродавни</w:t>
            </w:r>
            <w:proofErr w:type="spellEnd"/>
            <w:r>
              <w:t>. С други думи едни осигуряват суровина за изхранване на населението,плащат ДДС и д</w:t>
            </w:r>
            <w:r>
              <w:t>а</w:t>
            </w:r>
            <w:r>
              <w:t>нъци, а други изцяло в сивата икономика се ползват от н</w:t>
            </w:r>
            <w:r>
              <w:t>е</w:t>
            </w:r>
            <w:r>
              <w:t>съвършенството на документа. Настояваме този въпрос да бъде решен, чрез Наредбата.</w:t>
            </w:r>
          </w:p>
          <w:p w:rsidR="00B876ED" w:rsidRPr="00B876ED" w:rsidRDefault="00B876ED" w:rsidP="00B876ED">
            <w:pPr>
              <w:jc w:val="both"/>
            </w:pPr>
            <w:r>
              <w:t>Уважаема Госпожо Министър, НСГБ продължава да подъ</w:t>
            </w:r>
            <w:r>
              <w:t>р</w:t>
            </w:r>
            <w:r>
              <w:t>жа своето становище за прилагане на Наредба 3 в миналог</w:t>
            </w:r>
            <w:r>
              <w:t>о</w:t>
            </w:r>
            <w:r>
              <w:t>дишния и вид.</w:t>
            </w:r>
          </w:p>
        </w:tc>
        <w:tc>
          <w:tcPr>
            <w:tcW w:w="1613" w:type="dxa"/>
            <w:shd w:val="clear" w:color="auto" w:fill="auto"/>
          </w:tcPr>
          <w:p w:rsidR="00B876ED" w:rsidRPr="00A426CE" w:rsidRDefault="0046011A" w:rsidP="00CC7B28">
            <w:r w:rsidRPr="0046011A">
              <w:lastRenderedPageBreak/>
              <w:t>Приема се</w:t>
            </w:r>
          </w:p>
        </w:tc>
        <w:tc>
          <w:tcPr>
            <w:tcW w:w="4538" w:type="dxa"/>
            <w:shd w:val="clear" w:color="auto" w:fill="auto"/>
          </w:tcPr>
          <w:p w:rsidR="00B876ED" w:rsidRPr="00A426CE" w:rsidRDefault="00191666" w:rsidP="00915B80">
            <w:pPr>
              <w:jc w:val="both"/>
            </w:pPr>
            <w:r w:rsidRPr="00191666">
              <w:t xml:space="preserve">Предложението </w:t>
            </w:r>
            <w:r w:rsidR="00CC7B28">
              <w:t xml:space="preserve">на </w:t>
            </w:r>
            <w:r w:rsidRPr="00191666">
              <w:t xml:space="preserve">Национален съюз на </w:t>
            </w:r>
            <w:r w:rsidR="00436919" w:rsidRPr="00191666">
              <w:t>Говедовъдите</w:t>
            </w:r>
            <w:r w:rsidRPr="00191666">
              <w:t xml:space="preserve"> в България е отразено в </w:t>
            </w:r>
            <w:r w:rsidR="00436919" w:rsidRPr="00191666">
              <w:t>проекта</w:t>
            </w:r>
            <w:r w:rsidRPr="00191666">
              <w:t>.</w:t>
            </w:r>
          </w:p>
        </w:tc>
      </w:tr>
      <w:tr w:rsidR="004A1339" w:rsidRPr="004A1339" w:rsidTr="00BD7017">
        <w:trPr>
          <w:trHeight w:val="596"/>
          <w:jc w:val="center"/>
        </w:trPr>
        <w:tc>
          <w:tcPr>
            <w:tcW w:w="622" w:type="dxa"/>
            <w:tcBorders>
              <w:bottom w:val="single" w:sz="12" w:space="0" w:color="2E74B5"/>
            </w:tcBorders>
            <w:shd w:val="clear" w:color="auto" w:fill="auto"/>
          </w:tcPr>
          <w:p w:rsidR="004A1339" w:rsidRPr="00075A97" w:rsidRDefault="004A1339" w:rsidP="00BD7017">
            <w:pPr>
              <w:numPr>
                <w:ilvl w:val="0"/>
                <w:numId w:val="5"/>
              </w:numPr>
              <w:tabs>
                <w:tab w:val="left" w:pos="192"/>
              </w:tabs>
              <w:spacing w:before="140" w:after="140"/>
              <w:ind w:left="0" w:firstLine="0"/>
              <w:jc w:val="center"/>
              <w:rPr>
                <w:b/>
              </w:rPr>
            </w:pPr>
          </w:p>
        </w:tc>
        <w:tc>
          <w:tcPr>
            <w:tcW w:w="2410" w:type="dxa"/>
            <w:tcBorders>
              <w:bottom w:val="single" w:sz="12" w:space="0" w:color="2E74B5"/>
            </w:tcBorders>
            <w:shd w:val="clear" w:color="auto" w:fill="auto"/>
          </w:tcPr>
          <w:p w:rsidR="004A1339" w:rsidRPr="00075A97" w:rsidRDefault="004A1339" w:rsidP="00BD7017">
            <w:pPr>
              <w:spacing w:before="140" w:after="140"/>
              <w:rPr>
                <w:rStyle w:val="Hyperlink"/>
                <w:b/>
                <w:bCs/>
                <w:color w:val="auto"/>
                <w:sz w:val="20"/>
                <w:szCs w:val="20"/>
                <w:u w:val="none"/>
              </w:rPr>
            </w:pPr>
            <w:r w:rsidRPr="00075A97">
              <w:rPr>
                <w:rStyle w:val="Hyperlink"/>
                <w:b/>
                <w:bCs/>
                <w:color w:val="auto"/>
                <w:sz w:val="20"/>
                <w:szCs w:val="20"/>
                <w:u w:val="none"/>
              </w:rPr>
              <w:t>Организация за ра</w:t>
            </w:r>
            <w:r w:rsidRPr="00075A97">
              <w:rPr>
                <w:rStyle w:val="Hyperlink"/>
                <w:b/>
                <w:bCs/>
                <w:color w:val="auto"/>
                <w:sz w:val="20"/>
                <w:szCs w:val="20"/>
                <w:u w:val="none"/>
              </w:rPr>
              <w:t>з</w:t>
            </w:r>
            <w:r w:rsidRPr="00075A97">
              <w:rPr>
                <w:rStyle w:val="Hyperlink"/>
                <w:b/>
                <w:bCs/>
                <w:color w:val="auto"/>
                <w:sz w:val="20"/>
                <w:szCs w:val="20"/>
                <w:u w:val="none"/>
              </w:rPr>
              <w:t>въждане на Автохтонни породи овце в Бълг</w:t>
            </w:r>
            <w:r w:rsidRPr="00075A97">
              <w:rPr>
                <w:rStyle w:val="Hyperlink"/>
                <w:b/>
                <w:bCs/>
                <w:color w:val="auto"/>
                <w:sz w:val="20"/>
                <w:szCs w:val="20"/>
                <w:u w:val="none"/>
              </w:rPr>
              <w:t>а</w:t>
            </w:r>
            <w:r w:rsidRPr="00075A97">
              <w:rPr>
                <w:rStyle w:val="Hyperlink"/>
                <w:b/>
                <w:bCs/>
                <w:color w:val="auto"/>
                <w:sz w:val="20"/>
                <w:szCs w:val="20"/>
                <w:u w:val="none"/>
              </w:rPr>
              <w:t xml:space="preserve">рия-град Калофер - постъпило в МЗХГ с регистрационен индекс 62-160 от </w:t>
            </w:r>
            <w:r w:rsidRPr="008D2B13">
              <w:rPr>
                <w:rStyle w:val="Hyperlink"/>
                <w:b/>
                <w:bCs/>
                <w:color w:val="auto"/>
                <w:sz w:val="20"/>
                <w:szCs w:val="20"/>
                <w:u w:val="none"/>
              </w:rPr>
              <w:t>1</w:t>
            </w:r>
            <w:r w:rsidRPr="008D2B13">
              <w:rPr>
                <w:rStyle w:val="Hyperlink"/>
                <w:b/>
                <w:bCs/>
                <w:color w:val="auto"/>
                <w:sz w:val="20"/>
                <w:szCs w:val="20"/>
                <w:u w:val="none"/>
                <w:lang w:val="en-US"/>
              </w:rPr>
              <w:t>8</w:t>
            </w:r>
            <w:r w:rsidRPr="008D2B13">
              <w:rPr>
                <w:rStyle w:val="Hyperlink"/>
                <w:b/>
                <w:bCs/>
                <w:color w:val="auto"/>
                <w:sz w:val="20"/>
                <w:szCs w:val="20"/>
                <w:u w:val="none"/>
              </w:rPr>
              <w:t>.02.2020 г.</w:t>
            </w:r>
          </w:p>
        </w:tc>
        <w:tc>
          <w:tcPr>
            <w:tcW w:w="6467" w:type="dxa"/>
            <w:shd w:val="clear" w:color="auto" w:fill="auto"/>
          </w:tcPr>
          <w:p w:rsidR="004A1339" w:rsidRPr="00075A97" w:rsidRDefault="004A1339" w:rsidP="004A1339">
            <w:pPr>
              <w:spacing w:before="140" w:after="140"/>
              <w:jc w:val="both"/>
              <w:rPr>
                <w:lang w:val="en-US"/>
              </w:rPr>
            </w:pPr>
            <w:r w:rsidRPr="00075A97">
              <w:t>Във връзка с представените мотиви на проф.д-р Дойчо Д</w:t>
            </w:r>
            <w:r w:rsidRPr="00075A97">
              <w:t>и</w:t>
            </w:r>
            <w:r w:rsidRPr="00075A97">
              <w:t>мов, относно Проекта за изменение и допълнение на Наре</w:t>
            </w:r>
            <w:r w:rsidRPr="00075A97">
              <w:t>д</w:t>
            </w:r>
            <w:r w:rsidRPr="00075A97">
              <w:t>ба №</w:t>
            </w:r>
            <w:r w:rsidRPr="00075A97">
              <w:rPr>
                <w:lang w:val="en-US"/>
              </w:rPr>
              <w:t xml:space="preserve"> </w:t>
            </w:r>
            <w:r w:rsidRPr="00075A97">
              <w:t>3 /17.02.2015 г. за условията и реда за прилагане на схемите за директни плащания ,публикуван на 16.01.2019г.в сайта на Министерски съвет за обществено обсъждане,</w:t>
            </w:r>
            <w:r w:rsidRPr="00075A97">
              <w:rPr>
                <w:lang w:val="en-US"/>
              </w:rPr>
              <w:t xml:space="preserve"> </w:t>
            </w:r>
            <w:proofErr w:type="spellStart"/>
            <w:r w:rsidRPr="00075A97">
              <w:t>зо</w:t>
            </w:r>
            <w:r w:rsidRPr="00075A97">
              <w:t>о</w:t>
            </w:r>
            <w:r w:rsidRPr="00075A97">
              <w:t>инженерите-селекционери</w:t>
            </w:r>
            <w:proofErr w:type="spellEnd"/>
            <w:r w:rsidRPr="00075A97">
              <w:t xml:space="preserve"> от ОРАПОБ-Калофер извършв</w:t>
            </w:r>
            <w:r w:rsidRPr="00075A97">
              <w:t>а</w:t>
            </w:r>
            <w:r w:rsidRPr="00075A97">
              <w:t>щи селекция в стадата на фермери,членове на Развъдната организация отглеждащи местни породи овце , на заседание на Управителния съвет взеха решение да подкрепят Стан</w:t>
            </w:r>
            <w:r w:rsidRPr="00075A97">
              <w:t>о</w:t>
            </w:r>
            <w:r w:rsidRPr="00075A97">
              <w:t>вището на проф.д-р Дойчо Димов.</w:t>
            </w:r>
          </w:p>
          <w:p w:rsidR="004A1339" w:rsidRPr="00075A97" w:rsidRDefault="004A1339" w:rsidP="004A1339">
            <w:pPr>
              <w:spacing w:before="140" w:after="140"/>
              <w:jc w:val="both"/>
            </w:pPr>
            <w:r w:rsidRPr="00075A97">
              <w:t>Това ще бъде от полза за селекцията ,в предвид на все по задълбочаващите се проблеми със запазване на автенти</w:t>
            </w:r>
            <w:r w:rsidRPr="00075A97">
              <w:t>ч</w:t>
            </w:r>
            <w:r w:rsidRPr="00075A97">
              <w:t>ността на местните породи.</w:t>
            </w:r>
          </w:p>
          <w:p w:rsidR="004A1339" w:rsidRPr="00075A97" w:rsidRDefault="004A1339" w:rsidP="004A1339">
            <w:pPr>
              <w:spacing w:before="140" w:after="140"/>
              <w:jc w:val="both"/>
              <w:rPr>
                <w:lang w:val="en-US"/>
              </w:rPr>
            </w:pPr>
            <w:r w:rsidRPr="00075A97">
              <w:lastRenderedPageBreak/>
              <w:t>Предполагаме,че</w:t>
            </w:r>
            <w:r w:rsidRPr="00075A97">
              <w:rPr>
                <w:lang w:val="en-US"/>
              </w:rPr>
              <w:t xml:space="preserve"> </w:t>
            </w:r>
            <w:r w:rsidRPr="00075A97">
              <w:t>колеги от други Развъдни организ</w:t>
            </w:r>
            <w:r w:rsidRPr="00075A97">
              <w:t>а</w:t>
            </w:r>
            <w:r w:rsidRPr="00075A97">
              <w:t>ции,работещи с местни породи ще подкрепят мотивите на проф.д-р Дойчо Димов/тъй като проблема е всеобщ.</w:t>
            </w:r>
          </w:p>
          <w:p w:rsidR="004A1339" w:rsidRPr="00075A97" w:rsidRDefault="004A1339" w:rsidP="004A1339">
            <w:pPr>
              <w:spacing w:before="140" w:after="140"/>
              <w:jc w:val="both"/>
            </w:pPr>
            <w:r w:rsidRPr="00075A97">
              <w:t>Надяваме се тази промяна да допринесе за по-голямо ген</w:t>
            </w:r>
            <w:r w:rsidRPr="00075A97">
              <w:t>е</w:t>
            </w:r>
            <w:r w:rsidRPr="00075A97">
              <w:t xml:space="preserve">тично разнообразие при отделните породи и ще се избегне риска от увеличаване на </w:t>
            </w:r>
            <w:proofErr w:type="spellStart"/>
            <w:r w:rsidRPr="00075A97">
              <w:t>инбридинга</w:t>
            </w:r>
            <w:proofErr w:type="spellEnd"/>
            <w:r w:rsidRPr="00075A97">
              <w:t xml:space="preserve"> в стадата/тъй като има възможност за ротация на по-голям брой мъжки разплодн</w:t>
            </w:r>
            <w:r w:rsidRPr="00075A97">
              <w:t>и</w:t>
            </w:r>
            <w:r w:rsidRPr="00075A97">
              <w:t>ци.</w:t>
            </w:r>
          </w:p>
        </w:tc>
        <w:tc>
          <w:tcPr>
            <w:tcW w:w="1613" w:type="dxa"/>
            <w:shd w:val="clear" w:color="auto" w:fill="auto"/>
          </w:tcPr>
          <w:p w:rsidR="004A1339" w:rsidRPr="008D2B13" w:rsidRDefault="00ED4074" w:rsidP="00BD7017">
            <w:pPr>
              <w:spacing w:before="140" w:after="140"/>
            </w:pPr>
            <w:r w:rsidRPr="008D2B13">
              <w:lastRenderedPageBreak/>
              <w:t>Не се при</w:t>
            </w:r>
            <w:r w:rsidRPr="008D2B13">
              <w:t>е</w:t>
            </w:r>
            <w:r w:rsidRPr="008D2B13">
              <w:t>ма.</w:t>
            </w:r>
          </w:p>
        </w:tc>
        <w:tc>
          <w:tcPr>
            <w:tcW w:w="4538" w:type="dxa"/>
            <w:shd w:val="clear" w:color="auto" w:fill="auto"/>
          </w:tcPr>
          <w:p w:rsidR="004A1339" w:rsidRPr="008D2B13" w:rsidRDefault="00ED4074" w:rsidP="00BD7017">
            <w:pPr>
              <w:spacing w:before="140" w:after="140"/>
              <w:jc w:val="both"/>
            </w:pPr>
            <w:r w:rsidRPr="008D2B13">
              <w:t xml:space="preserve">Проектът отразява промените в схемите за обвързана подкрепа, дискутирани с представители на браншовите </w:t>
            </w:r>
            <w:proofErr w:type="spellStart"/>
            <w:r w:rsidRPr="008D2B13">
              <w:t>организа-ции</w:t>
            </w:r>
            <w:proofErr w:type="spellEnd"/>
            <w:r w:rsidRPr="008D2B13">
              <w:t xml:space="preserve"> в сектор „Животновъдство“ през юли 2019 г. Предложението касае промяна в </w:t>
            </w:r>
            <w:proofErr w:type="spellStart"/>
            <w:r w:rsidRPr="008D2B13">
              <w:t>нотифицираните</w:t>
            </w:r>
            <w:proofErr w:type="spellEnd"/>
            <w:r w:rsidRPr="008D2B13">
              <w:t xml:space="preserve"> пред ЕК на 1 август 2019 г. условия за подпомагане по гор</w:t>
            </w:r>
            <w:r w:rsidRPr="008D2B13">
              <w:t>е</w:t>
            </w:r>
            <w:r w:rsidRPr="008D2B13">
              <w:t>посочените схеми, с оглед което предп</w:t>
            </w:r>
            <w:r w:rsidRPr="008D2B13">
              <w:t>о</w:t>
            </w:r>
            <w:r w:rsidRPr="008D2B13">
              <w:t>лага широка обществена дискусия при следващи дебати по евентуални промени в схемите за обвързано подпомагане.</w:t>
            </w:r>
          </w:p>
        </w:tc>
      </w:tr>
    </w:tbl>
    <w:p w:rsidR="00C72BBA" w:rsidRDefault="00C72BBA" w:rsidP="00AF12B7">
      <w:pPr>
        <w:rPr>
          <w:b/>
          <w:bCs/>
          <w:caps/>
          <w:sz w:val="20"/>
          <w:szCs w:val="20"/>
        </w:rPr>
      </w:pPr>
    </w:p>
    <w:p w:rsidR="00781635" w:rsidRPr="00CC7B28" w:rsidRDefault="00781635" w:rsidP="00AF12B7">
      <w:pPr>
        <w:rPr>
          <w:b/>
          <w:bCs/>
          <w:caps/>
          <w:sz w:val="20"/>
          <w:szCs w:val="20"/>
        </w:rPr>
      </w:pPr>
    </w:p>
    <w:p w:rsidR="00781635" w:rsidRDefault="00781635" w:rsidP="00AF12B7">
      <w:pPr>
        <w:rPr>
          <w:b/>
          <w:bCs/>
          <w:caps/>
          <w:sz w:val="20"/>
          <w:szCs w:val="20"/>
          <w:lang w:val="en-US"/>
        </w:rPr>
      </w:pPr>
    </w:p>
    <w:p w:rsidR="004A1339" w:rsidRDefault="004A1339" w:rsidP="00AF12B7">
      <w:pPr>
        <w:rPr>
          <w:b/>
          <w:bCs/>
          <w:caps/>
          <w:sz w:val="20"/>
          <w:szCs w:val="20"/>
          <w:lang w:val="en-US"/>
        </w:rPr>
      </w:pPr>
    </w:p>
    <w:p w:rsidR="004A1339" w:rsidRDefault="004A1339" w:rsidP="00AF12B7">
      <w:pPr>
        <w:rPr>
          <w:b/>
          <w:bCs/>
          <w:caps/>
          <w:sz w:val="20"/>
          <w:szCs w:val="20"/>
          <w:lang w:val="en-US"/>
        </w:rPr>
      </w:pPr>
    </w:p>
    <w:p w:rsidR="003845F9" w:rsidRPr="00664491" w:rsidRDefault="003845F9" w:rsidP="003845F9">
      <w:pPr>
        <w:rPr>
          <w:rFonts w:ascii="Verdana" w:hAnsi="Verdana" w:cs="Verdana"/>
          <w:smallCaps/>
          <w:sz w:val="18"/>
          <w:szCs w:val="18"/>
        </w:rPr>
      </w:pPr>
      <w:bookmarkStart w:id="0" w:name="_GoBack"/>
      <w:bookmarkEnd w:id="0"/>
      <w:r w:rsidRPr="00664491">
        <w:rPr>
          <w:rFonts w:ascii="Verdana" w:hAnsi="Verdana" w:cs="Verdana"/>
          <w:smallCaps/>
          <w:sz w:val="18"/>
          <w:szCs w:val="18"/>
        </w:rPr>
        <w:t xml:space="preserve"> </w:t>
      </w:r>
    </w:p>
    <w:sectPr w:rsidR="003845F9" w:rsidRPr="00664491" w:rsidSect="00CC7B28">
      <w:footerReference w:type="even" r:id="rId11"/>
      <w:footerReference w:type="default" r:id="rId12"/>
      <w:pgSz w:w="16838" w:h="11906" w:orient="landscape" w:code="9"/>
      <w:pgMar w:top="1418" w:right="1021" w:bottom="45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01" w:rsidRDefault="00127F01">
      <w:r>
        <w:separator/>
      </w:r>
    </w:p>
  </w:endnote>
  <w:endnote w:type="continuationSeparator" w:id="0">
    <w:p w:rsidR="00127F01" w:rsidRDefault="0012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E" w:rsidRDefault="007106F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6FE" w:rsidRDefault="007106F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7106FE" w:rsidRPr="00AF12B7" w:rsidRDefault="007106FE"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8A1296">
          <w:rPr>
            <w:noProof/>
            <w:sz w:val="18"/>
            <w:szCs w:val="18"/>
          </w:rPr>
          <w:t>15</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01" w:rsidRDefault="00127F01">
      <w:r>
        <w:separator/>
      </w:r>
    </w:p>
  </w:footnote>
  <w:footnote w:type="continuationSeparator" w:id="0">
    <w:p w:rsidR="00127F01" w:rsidRDefault="00127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4"/>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15D"/>
    <w:rsid w:val="00002A98"/>
    <w:rsid w:val="000042F6"/>
    <w:rsid w:val="0000470F"/>
    <w:rsid w:val="00004862"/>
    <w:rsid w:val="00005688"/>
    <w:rsid w:val="000101A6"/>
    <w:rsid w:val="000115D5"/>
    <w:rsid w:val="00012CAB"/>
    <w:rsid w:val="00016086"/>
    <w:rsid w:val="0001666D"/>
    <w:rsid w:val="000200AF"/>
    <w:rsid w:val="00022060"/>
    <w:rsid w:val="00024421"/>
    <w:rsid w:val="0002513E"/>
    <w:rsid w:val="000252C0"/>
    <w:rsid w:val="0002544E"/>
    <w:rsid w:val="000257AA"/>
    <w:rsid w:val="00025A23"/>
    <w:rsid w:val="00025DD3"/>
    <w:rsid w:val="000279C9"/>
    <w:rsid w:val="00027FC7"/>
    <w:rsid w:val="00033183"/>
    <w:rsid w:val="00033543"/>
    <w:rsid w:val="00033713"/>
    <w:rsid w:val="000357B4"/>
    <w:rsid w:val="00036515"/>
    <w:rsid w:val="00040AE0"/>
    <w:rsid w:val="000414B6"/>
    <w:rsid w:val="00043D50"/>
    <w:rsid w:val="00044E65"/>
    <w:rsid w:val="0004610E"/>
    <w:rsid w:val="00046AB8"/>
    <w:rsid w:val="00046C3E"/>
    <w:rsid w:val="00051CC2"/>
    <w:rsid w:val="00052350"/>
    <w:rsid w:val="0005435E"/>
    <w:rsid w:val="0005470C"/>
    <w:rsid w:val="00055D5F"/>
    <w:rsid w:val="000572CA"/>
    <w:rsid w:val="00057519"/>
    <w:rsid w:val="0006038C"/>
    <w:rsid w:val="0006091E"/>
    <w:rsid w:val="00062907"/>
    <w:rsid w:val="00062ADE"/>
    <w:rsid w:val="00062F02"/>
    <w:rsid w:val="000632EC"/>
    <w:rsid w:val="00063709"/>
    <w:rsid w:val="00063E4B"/>
    <w:rsid w:val="000673CE"/>
    <w:rsid w:val="00067C92"/>
    <w:rsid w:val="00070496"/>
    <w:rsid w:val="000718C7"/>
    <w:rsid w:val="00075594"/>
    <w:rsid w:val="000757FC"/>
    <w:rsid w:val="00075A97"/>
    <w:rsid w:val="00075FA3"/>
    <w:rsid w:val="000769B1"/>
    <w:rsid w:val="0008079F"/>
    <w:rsid w:val="00081D6F"/>
    <w:rsid w:val="00082171"/>
    <w:rsid w:val="00084700"/>
    <w:rsid w:val="000860A9"/>
    <w:rsid w:val="00086434"/>
    <w:rsid w:val="000902D1"/>
    <w:rsid w:val="00090401"/>
    <w:rsid w:val="000937D4"/>
    <w:rsid w:val="00094AB2"/>
    <w:rsid w:val="000953A8"/>
    <w:rsid w:val="00097783"/>
    <w:rsid w:val="000A1017"/>
    <w:rsid w:val="000A228F"/>
    <w:rsid w:val="000A3E16"/>
    <w:rsid w:val="000B279A"/>
    <w:rsid w:val="000B298E"/>
    <w:rsid w:val="000B2EB1"/>
    <w:rsid w:val="000B3D5F"/>
    <w:rsid w:val="000B6D57"/>
    <w:rsid w:val="000C036A"/>
    <w:rsid w:val="000C1697"/>
    <w:rsid w:val="000C46A7"/>
    <w:rsid w:val="000C5E61"/>
    <w:rsid w:val="000D0414"/>
    <w:rsid w:val="000D1E2E"/>
    <w:rsid w:val="000D3F6C"/>
    <w:rsid w:val="000D4198"/>
    <w:rsid w:val="000E1E07"/>
    <w:rsid w:val="000E3570"/>
    <w:rsid w:val="000E38E0"/>
    <w:rsid w:val="000F02C5"/>
    <w:rsid w:val="000F31C8"/>
    <w:rsid w:val="000F3490"/>
    <w:rsid w:val="000F49D5"/>
    <w:rsid w:val="000F4E61"/>
    <w:rsid w:val="000F73D3"/>
    <w:rsid w:val="001012EC"/>
    <w:rsid w:val="0010687D"/>
    <w:rsid w:val="00110FB3"/>
    <w:rsid w:val="001143E4"/>
    <w:rsid w:val="001146B4"/>
    <w:rsid w:val="0011484F"/>
    <w:rsid w:val="00115EDD"/>
    <w:rsid w:val="00116FC6"/>
    <w:rsid w:val="001171CC"/>
    <w:rsid w:val="00120ABA"/>
    <w:rsid w:val="00127F01"/>
    <w:rsid w:val="001311AD"/>
    <w:rsid w:val="00133A14"/>
    <w:rsid w:val="00134E1D"/>
    <w:rsid w:val="0013629D"/>
    <w:rsid w:val="00140C69"/>
    <w:rsid w:val="00141BFB"/>
    <w:rsid w:val="00144034"/>
    <w:rsid w:val="001440FE"/>
    <w:rsid w:val="0014437A"/>
    <w:rsid w:val="00152D3A"/>
    <w:rsid w:val="001551C4"/>
    <w:rsid w:val="00155CAF"/>
    <w:rsid w:val="0016097E"/>
    <w:rsid w:val="001668E1"/>
    <w:rsid w:val="00167F77"/>
    <w:rsid w:val="00170505"/>
    <w:rsid w:val="00172CCB"/>
    <w:rsid w:val="00175004"/>
    <w:rsid w:val="00177AA6"/>
    <w:rsid w:val="00177CAC"/>
    <w:rsid w:val="00177D2B"/>
    <w:rsid w:val="001808B4"/>
    <w:rsid w:val="001835C5"/>
    <w:rsid w:val="0018509E"/>
    <w:rsid w:val="00191666"/>
    <w:rsid w:val="00192D6A"/>
    <w:rsid w:val="001948B0"/>
    <w:rsid w:val="00195AD0"/>
    <w:rsid w:val="001A02C9"/>
    <w:rsid w:val="001A0680"/>
    <w:rsid w:val="001A1330"/>
    <w:rsid w:val="001A308F"/>
    <w:rsid w:val="001A3975"/>
    <w:rsid w:val="001A3D29"/>
    <w:rsid w:val="001A4B57"/>
    <w:rsid w:val="001A6707"/>
    <w:rsid w:val="001B4CD8"/>
    <w:rsid w:val="001C20E2"/>
    <w:rsid w:val="001C46A7"/>
    <w:rsid w:val="001C6E95"/>
    <w:rsid w:val="001D2756"/>
    <w:rsid w:val="001D362A"/>
    <w:rsid w:val="001D6790"/>
    <w:rsid w:val="001E13F5"/>
    <w:rsid w:val="001E174B"/>
    <w:rsid w:val="001E4FE9"/>
    <w:rsid w:val="001E64F2"/>
    <w:rsid w:val="001F0567"/>
    <w:rsid w:val="001F1F60"/>
    <w:rsid w:val="001F314D"/>
    <w:rsid w:val="001F6BC2"/>
    <w:rsid w:val="001F718C"/>
    <w:rsid w:val="00200292"/>
    <w:rsid w:val="0020103A"/>
    <w:rsid w:val="00201455"/>
    <w:rsid w:val="0020153E"/>
    <w:rsid w:val="00206678"/>
    <w:rsid w:val="00210233"/>
    <w:rsid w:val="0021035B"/>
    <w:rsid w:val="00212D43"/>
    <w:rsid w:val="00214B75"/>
    <w:rsid w:val="00215178"/>
    <w:rsid w:val="00221143"/>
    <w:rsid w:val="002217C0"/>
    <w:rsid w:val="00221B68"/>
    <w:rsid w:val="00223331"/>
    <w:rsid w:val="0023062F"/>
    <w:rsid w:val="00230E0E"/>
    <w:rsid w:val="00231D0F"/>
    <w:rsid w:val="00231DF3"/>
    <w:rsid w:val="00233C04"/>
    <w:rsid w:val="002348DC"/>
    <w:rsid w:val="002369C8"/>
    <w:rsid w:val="002375B3"/>
    <w:rsid w:val="00237A17"/>
    <w:rsid w:val="00241F4C"/>
    <w:rsid w:val="00243442"/>
    <w:rsid w:val="002440AF"/>
    <w:rsid w:val="0024444A"/>
    <w:rsid w:val="00245FCD"/>
    <w:rsid w:val="002472CF"/>
    <w:rsid w:val="002536A8"/>
    <w:rsid w:val="00253C2D"/>
    <w:rsid w:val="00257983"/>
    <w:rsid w:val="00260F55"/>
    <w:rsid w:val="002632C1"/>
    <w:rsid w:val="00263E76"/>
    <w:rsid w:val="002640E1"/>
    <w:rsid w:val="0027210E"/>
    <w:rsid w:val="00272EE3"/>
    <w:rsid w:val="00273219"/>
    <w:rsid w:val="00273678"/>
    <w:rsid w:val="00273CAC"/>
    <w:rsid w:val="002804CF"/>
    <w:rsid w:val="002820C6"/>
    <w:rsid w:val="00282A08"/>
    <w:rsid w:val="002854C9"/>
    <w:rsid w:val="002900C5"/>
    <w:rsid w:val="00291E9B"/>
    <w:rsid w:val="002939DA"/>
    <w:rsid w:val="00293CA6"/>
    <w:rsid w:val="0029482B"/>
    <w:rsid w:val="00295B2B"/>
    <w:rsid w:val="002961A2"/>
    <w:rsid w:val="002964C1"/>
    <w:rsid w:val="00297DB0"/>
    <w:rsid w:val="002A0706"/>
    <w:rsid w:val="002A0A9B"/>
    <w:rsid w:val="002A0C5D"/>
    <w:rsid w:val="002A3B76"/>
    <w:rsid w:val="002A4737"/>
    <w:rsid w:val="002A59D9"/>
    <w:rsid w:val="002A5A11"/>
    <w:rsid w:val="002A67D5"/>
    <w:rsid w:val="002C03AF"/>
    <w:rsid w:val="002C2EEA"/>
    <w:rsid w:val="002C5843"/>
    <w:rsid w:val="002C7F10"/>
    <w:rsid w:val="002D083C"/>
    <w:rsid w:val="002D2176"/>
    <w:rsid w:val="002E537C"/>
    <w:rsid w:val="002E57D4"/>
    <w:rsid w:val="002E594D"/>
    <w:rsid w:val="002E5E3F"/>
    <w:rsid w:val="002E6ADF"/>
    <w:rsid w:val="002E73FF"/>
    <w:rsid w:val="002F0752"/>
    <w:rsid w:val="002F7B2A"/>
    <w:rsid w:val="00300B99"/>
    <w:rsid w:val="00300D63"/>
    <w:rsid w:val="003039A5"/>
    <w:rsid w:val="00306298"/>
    <w:rsid w:val="00312FB3"/>
    <w:rsid w:val="00314B98"/>
    <w:rsid w:val="00314F63"/>
    <w:rsid w:val="003154C2"/>
    <w:rsid w:val="00316618"/>
    <w:rsid w:val="00321BD0"/>
    <w:rsid w:val="0032394D"/>
    <w:rsid w:val="00326B58"/>
    <w:rsid w:val="003302BD"/>
    <w:rsid w:val="003303CC"/>
    <w:rsid w:val="0033087A"/>
    <w:rsid w:val="003336CE"/>
    <w:rsid w:val="00333BD7"/>
    <w:rsid w:val="00335F05"/>
    <w:rsid w:val="00340212"/>
    <w:rsid w:val="00341EFC"/>
    <w:rsid w:val="00344138"/>
    <w:rsid w:val="00345B9F"/>
    <w:rsid w:val="00346856"/>
    <w:rsid w:val="00351063"/>
    <w:rsid w:val="00356131"/>
    <w:rsid w:val="003628A2"/>
    <w:rsid w:val="003640F0"/>
    <w:rsid w:val="00364798"/>
    <w:rsid w:val="00367DA5"/>
    <w:rsid w:val="0037191E"/>
    <w:rsid w:val="00371937"/>
    <w:rsid w:val="00372DCB"/>
    <w:rsid w:val="003737F2"/>
    <w:rsid w:val="00377A96"/>
    <w:rsid w:val="00377FE2"/>
    <w:rsid w:val="003845F9"/>
    <w:rsid w:val="00384B8B"/>
    <w:rsid w:val="00387130"/>
    <w:rsid w:val="00387162"/>
    <w:rsid w:val="003903E2"/>
    <w:rsid w:val="00390D8E"/>
    <w:rsid w:val="00391A1C"/>
    <w:rsid w:val="00395655"/>
    <w:rsid w:val="003A060F"/>
    <w:rsid w:val="003A0FF4"/>
    <w:rsid w:val="003A48EE"/>
    <w:rsid w:val="003B4449"/>
    <w:rsid w:val="003C1F1E"/>
    <w:rsid w:val="003C557F"/>
    <w:rsid w:val="003C563D"/>
    <w:rsid w:val="003C5C7B"/>
    <w:rsid w:val="003D2A50"/>
    <w:rsid w:val="003D49CF"/>
    <w:rsid w:val="003D6231"/>
    <w:rsid w:val="003E066A"/>
    <w:rsid w:val="003E361D"/>
    <w:rsid w:val="003F2026"/>
    <w:rsid w:val="003F29BC"/>
    <w:rsid w:val="003F3728"/>
    <w:rsid w:val="003F7612"/>
    <w:rsid w:val="003F7CD4"/>
    <w:rsid w:val="004027A6"/>
    <w:rsid w:val="0040510D"/>
    <w:rsid w:val="00407815"/>
    <w:rsid w:val="00414F26"/>
    <w:rsid w:val="00415D7B"/>
    <w:rsid w:val="00417315"/>
    <w:rsid w:val="00420A7D"/>
    <w:rsid w:val="00420F8B"/>
    <w:rsid w:val="0042418B"/>
    <w:rsid w:val="0042440B"/>
    <w:rsid w:val="00427DC5"/>
    <w:rsid w:val="00427EF4"/>
    <w:rsid w:val="00430245"/>
    <w:rsid w:val="00430323"/>
    <w:rsid w:val="004361F2"/>
    <w:rsid w:val="00436919"/>
    <w:rsid w:val="004376C2"/>
    <w:rsid w:val="004427B2"/>
    <w:rsid w:val="00442824"/>
    <w:rsid w:val="004444E8"/>
    <w:rsid w:val="004444F4"/>
    <w:rsid w:val="00446EC1"/>
    <w:rsid w:val="00450BCC"/>
    <w:rsid w:val="0045180F"/>
    <w:rsid w:val="00452217"/>
    <w:rsid w:val="00453C28"/>
    <w:rsid w:val="00453E7F"/>
    <w:rsid w:val="00453E85"/>
    <w:rsid w:val="00454A8E"/>
    <w:rsid w:val="00455D0B"/>
    <w:rsid w:val="0046011A"/>
    <w:rsid w:val="0046759A"/>
    <w:rsid w:val="00467C52"/>
    <w:rsid w:val="004705AC"/>
    <w:rsid w:val="0047261C"/>
    <w:rsid w:val="004739BA"/>
    <w:rsid w:val="00483378"/>
    <w:rsid w:val="00487E51"/>
    <w:rsid w:val="004942CA"/>
    <w:rsid w:val="00496618"/>
    <w:rsid w:val="004A0A82"/>
    <w:rsid w:val="004A1339"/>
    <w:rsid w:val="004A207E"/>
    <w:rsid w:val="004A20AD"/>
    <w:rsid w:val="004A27CC"/>
    <w:rsid w:val="004A285F"/>
    <w:rsid w:val="004A35FD"/>
    <w:rsid w:val="004A55AC"/>
    <w:rsid w:val="004A5E2A"/>
    <w:rsid w:val="004A6AE4"/>
    <w:rsid w:val="004A70C4"/>
    <w:rsid w:val="004B290C"/>
    <w:rsid w:val="004B2E13"/>
    <w:rsid w:val="004B4FC8"/>
    <w:rsid w:val="004B5B51"/>
    <w:rsid w:val="004B735F"/>
    <w:rsid w:val="004C0606"/>
    <w:rsid w:val="004C0F07"/>
    <w:rsid w:val="004C1080"/>
    <w:rsid w:val="004C2F1C"/>
    <w:rsid w:val="004C420B"/>
    <w:rsid w:val="004C6279"/>
    <w:rsid w:val="004D24E9"/>
    <w:rsid w:val="004D3191"/>
    <w:rsid w:val="004D5FF9"/>
    <w:rsid w:val="004E0260"/>
    <w:rsid w:val="004E16EE"/>
    <w:rsid w:val="004E4897"/>
    <w:rsid w:val="004E6D10"/>
    <w:rsid w:val="004F17EA"/>
    <w:rsid w:val="004F2B1B"/>
    <w:rsid w:val="004F4B94"/>
    <w:rsid w:val="004F70FF"/>
    <w:rsid w:val="004F7953"/>
    <w:rsid w:val="0050084D"/>
    <w:rsid w:val="00501E0F"/>
    <w:rsid w:val="00501E65"/>
    <w:rsid w:val="00506006"/>
    <w:rsid w:val="00506310"/>
    <w:rsid w:val="0050754B"/>
    <w:rsid w:val="00507B53"/>
    <w:rsid w:val="005121ED"/>
    <w:rsid w:val="005128EA"/>
    <w:rsid w:val="005130D6"/>
    <w:rsid w:val="00514AC6"/>
    <w:rsid w:val="0051624B"/>
    <w:rsid w:val="00517A62"/>
    <w:rsid w:val="00520109"/>
    <w:rsid w:val="00520792"/>
    <w:rsid w:val="00520903"/>
    <w:rsid w:val="005214BD"/>
    <w:rsid w:val="00521850"/>
    <w:rsid w:val="00522818"/>
    <w:rsid w:val="00522F73"/>
    <w:rsid w:val="00524038"/>
    <w:rsid w:val="0052467D"/>
    <w:rsid w:val="00524AA8"/>
    <w:rsid w:val="005260B9"/>
    <w:rsid w:val="00527393"/>
    <w:rsid w:val="0053103C"/>
    <w:rsid w:val="00532E4B"/>
    <w:rsid w:val="00534E66"/>
    <w:rsid w:val="00540693"/>
    <w:rsid w:val="00540C53"/>
    <w:rsid w:val="00540EEE"/>
    <w:rsid w:val="00541692"/>
    <w:rsid w:val="005424B9"/>
    <w:rsid w:val="00543E05"/>
    <w:rsid w:val="005462B1"/>
    <w:rsid w:val="00547EEF"/>
    <w:rsid w:val="005525EA"/>
    <w:rsid w:val="005531AA"/>
    <w:rsid w:val="00554B28"/>
    <w:rsid w:val="00554CC1"/>
    <w:rsid w:val="0056044E"/>
    <w:rsid w:val="00563FA3"/>
    <w:rsid w:val="005644C8"/>
    <w:rsid w:val="00564E98"/>
    <w:rsid w:val="00573E06"/>
    <w:rsid w:val="005778C6"/>
    <w:rsid w:val="00577F15"/>
    <w:rsid w:val="00583A7E"/>
    <w:rsid w:val="00586CF4"/>
    <w:rsid w:val="005913D0"/>
    <w:rsid w:val="005953A7"/>
    <w:rsid w:val="00597BAA"/>
    <w:rsid w:val="00597D5D"/>
    <w:rsid w:val="005A1896"/>
    <w:rsid w:val="005A338B"/>
    <w:rsid w:val="005A407D"/>
    <w:rsid w:val="005A4A9A"/>
    <w:rsid w:val="005A5DAE"/>
    <w:rsid w:val="005A6C42"/>
    <w:rsid w:val="005C2DFD"/>
    <w:rsid w:val="005C43C6"/>
    <w:rsid w:val="005C75B3"/>
    <w:rsid w:val="005C7A87"/>
    <w:rsid w:val="005D001E"/>
    <w:rsid w:val="005D0610"/>
    <w:rsid w:val="005D06F0"/>
    <w:rsid w:val="005D094A"/>
    <w:rsid w:val="005D276C"/>
    <w:rsid w:val="005D3B47"/>
    <w:rsid w:val="005D5B4B"/>
    <w:rsid w:val="005D72C5"/>
    <w:rsid w:val="005D733F"/>
    <w:rsid w:val="005E08BD"/>
    <w:rsid w:val="005E0F94"/>
    <w:rsid w:val="005E36D5"/>
    <w:rsid w:val="005E4874"/>
    <w:rsid w:val="005E4CF0"/>
    <w:rsid w:val="005E507D"/>
    <w:rsid w:val="005F0C39"/>
    <w:rsid w:val="005F421E"/>
    <w:rsid w:val="005F53D2"/>
    <w:rsid w:val="005F630F"/>
    <w:rsid w:val="005F79AF"/>
    <w:rsid w:val="0060094C"/>
    <w:rsid w:val="00600B63"/>
    <w:rsid w:val="00601137"/>
    <w:rsid w:val="006040E1"/>
    <w:rsid w:val="006047CE"/>
    <w:rsid w:val="00604A61"/>
    <w:rsid w:val="00610231"/>
    <w:rsid w:val="00616625"/>
    <w:rsid w:val="00617D55"/>
    <w:rsid w:val="00617F06"/>
    <w:rsid w:val="006240D8"/>
    <w:rsid w:val="00626132"/>
    <w:rsid w:val="0063318F"/>
    <w:rsid w:val="00633D08"/>
    <w:rsid w:val="00634DDD"/>
    <w:rsid w:val="006361E3"/>
    <w:rsid w:val="0063730A"/>
    <w:rsid w:val="00641EF4"/>
    <w:rsid w:val="00642470"/>
    <w:rsid w:val="00642D90"/>
    <w:rsid w:val="00645DFC"/>
    <w:rsid w:val="0065019C"/>
    <w:rsid w:val="00656642"/>
    <w:rsid w:val="00662BFF"/>
    <w:rsid w:val="00667B16"/>
    <w:rsid w:val="006712A6"/>
    <w:rsid w:val="00671E4E"/>
    <w:rsid w:val="0067456E"/>
    <w:rsid w:val="00675133"/>
    <w:rsid w:val="00677AB0"/>
    <w:rsid w:val="006802C1"/>
    <w:rsid w:val="00685E6E"/>
    <w:rsid w:val="00686496"/>
    <w:rsid w:val="00690FE6"/>
    <w:rsid w:val="00691BD4"/>
    <w:rsid w:val="006940E9"/>
    <w:rsid w:val="00694141"/>
    <w:rsid w:val="006941C8"/>
    <w:rsid w:val="00697863"/>
    <w:rsid w:val="006A0D8A"/>
    <w:rsid w:val="006A36D7"/>
    <w:rsid w:val="006A512F"/>
    <w:rsid w:val="006A70E2"/>
    <w:rsid w:val="006B4070"/>
    <w:rsid w:val="006B5E2B"/>
    <w:rsid w:val="006C1FAA"/>
    <w:rsid w:val="006C605F"/>
    <w:rsid w:val="006C71C0"/>
    <w:rsid w:val="006D1F20"/>
    <w:rsid w:val="006D2BDD"/>
    <w:rsid w:val="006D4254"/>
    <w:rsid w:val="006D5F6F"/>
    <w:rsid w:val="006D6C3E"/>
    <w:rsid w:val="006D745F"/>
    <w:rsid w:val="006D7881"/>
    <w:rsid w:val="006D7E56"/>
    <w:rsid w:val="006E23DE"/>
    <w:rsid w:val="006E2D88"/>
    <w:rsid w:val="006E32E7"/>
    <w:rsid w:val="006E3D3C"/>
    <w:rsid w:val="006E46A3"/>
    <w:rsid w:val="006E58C1"/>
    <w:rsid w:val="006E7B3B"/>
    <w:rsid w:val="006F282A"/>
    <w:rsid w:val="006F33DD"/>
    <w:rsid w:val="006F35F8"/>
    <w:rsid w:val="006F4781"/>
    <w:rsid w:val="006F6420"/>
    <w:rsid w:val="007030A8"/>
    <w:rsid w:val="00704988"/>
    <w:rsid w:val="00707A8E"/>
    <w:rsid w:val="007106FE"/>
    <w:rsid w:val="0071354E"/>
    <w:rsid w:val="00715FC7"/>
    <w:rsid w:val="007160B3"/>
    <w:rsid w:val="00716B72"/>
    <w:rsid w:val="00717394"/>
    <w:rsid w:val="007201DC"/>
    <w:rsid w:val="00720625"/>
    <w:rsid w:val="0072098B"/>
    <w:rsid w:val="00723D89"/>
    <w:rsid w:val="007261CF"/>
    <w:rsid w:val="00731B88"/>
    <w:rsid w:val="00732DEB"/>
    <w:rsid w:val="007362EB"/>
    <w:rsid w:val="00736B76"/>
    <w:rsid w:val="00736C03"/>
    <w:rsid w:val="007377F2"/>
    <w:rsid w:val="00737BC4"/>
    <w:rsid w:val="00737D3E"/>
    <w:rsid w:val="007423F8"/>
    <w:rsid w:val="00742F57"/>
    <w:rsid w:val="007431DE"/>
    <w:rsid w:val="00743EFE"/>
    <w:rsid w:val="00745349"/>
    <w:rsid w:val="0074534D"/>
    <w:rsid w:val="00745851"/>
    <w:rsid w:val="007511D5"/>
    <w:rsid w:val="007516D1"/>
    <w:rsid w:val="0075213E"/>
    <w:rsid w:val="00753049"/>
    <w:rsid w:val="00756242"/>
    <w:rsid w:val="00756290"/>
    <w:rsid w:val="00756A19"/>
    <w:rsid w:val="0076108C"/>
    <w:rsid w:val="00761B5E"/>
    <w:rsid w:val="0076408A"/>
    <w:rsid w:val="0076716E"/>
    <w:rsid w:val="00773DD9"/>
    <w:rsid w:val="00774BE7"/>
    <w:rsid w:val="00777754"/>
    <w:rsid w:val="00781306"/>
    <w:rsid w:val="00781635"/>
    <w:rsid w:val="007836C8"/>
    <w:rsid w:val="007863C8"/>
    <w:rsid w:val="007934F1"/>
    <w:rsid w:val="00794229"/>
    <w:rsid w:val="00795A1B"/>
    <w:rsid w:val="007970F0"/>
    <w:rsid w:val="007971F3"/>
    <w:rsid w:val="007A4157"/>
    <w:rsid w:val="007B1141"/>
    <w:rsid w:val="007B24F7"/>
    <w:rsid w:val="007B3D33"/>
    <w:rsid w:val="007C393A"/>
    <w:rsid w:val="007C5DF2"/>
    <w:rsid w:val="007C6C8E"/>
    <w:rsid w:val="007D09DC"/>
    <w:rsid w:val="007D6B06"/>
    <w:rsid w:val="007D76D7"/>
    <w:rsid w:val="007E249E"/>
    <w:rsid w:val="007E5ED7"/>
    <w:rsid w:val="007E6242"/>
    <w:rsid w:val="007E633B"/>
    <w:rsid w:val="007E6AD6"/>
    <w:rsid w:val="007F135A"/>
    <w:rsid w:val="007F229C"/>
    <w:rsid w:val="007F5275"/>
    <w:rsid w:val="007F6783"/>
    <w:rsid w:val="007F7DFC"/>
    <w:rsid w:val="008004AE"/>
    <w:rsid w:val="0080232E"/>
    <w:rsid w:val="00803CA0"/>
    <w:rsid w:val="0080529C"/>
    <w:rsid w:val="00812789"/>
    <w:rsid w:val="00813EBF"/>
    <w:rsid w:val="00817D17"/>
    <w:rsid w:val="00824BA3"/>
    <w:rsid w:val="00826F86"/>
    <w:rsid w:val="00831124"/>
    <w:rsid w:val="00831D3C"/>
    <w:rsid w:val="00831E9A"/>
    <w:rsid w:val="00833124"/>
    <w:rsid w:val="00841854"/>
    <w:rsid w:val="00842C8D"/>
    <w:rsid w:val="00844CC3"/>
    <w:rsid w:val="008457E2"/>
    <w:rsid w:val="00845BC3"/>
    <w:rsid w:val="008476BF"/>
    <w:rsid w:val="00847CFC"/>
    <w:rsid w:val="008508D5"/>
    <w:rsid w:val="0085319B"/>
    <w:rsid w:val="00853C0E"/>
    <w:rsid w:val="00854E7C"/>
    <w:rsid w:val="00855317"/>
    <w:rsid w:val="00855962"/>
    <w:rsid w:val="00856F8A"/>
    <w:rsid w:val="00857187"/>
    <w:rsid w:val="00860FE7"/>
    <w:rsid w:val="00861CE5"/>
    <w:rsid w:val="0086226E"/>
    <w:rsid w:val="00864193"/>
    <w:rsid w:val="0086505F"/>
    <w:rsid w:val="00865EE3"/>
    <w:rsid w:val="0086600C"/>
    <w:rsid w:val="00872A86"/>
    <w:rsid w:val="00874481"/>
    <w:rsid w:val="00875D88"/>
    <w:rsid w:val="00881967"/>
    <w:rsid w:val="0088605D"/>
    <w:rsid w:val="00887913"/>
    <w:rsid w:val="00890675"/>
    <w:rsid w:val="0089123B"/>
    <w:rsid w:val="00891BE7"/>
    <w:rsid w:val="00894526"/>
    <w:rsid w:val="00894946"/>
    <w:rsid w:val="0089506D"/>
    <w:rsid w:val="00895506"/>
    <w:rsid w:val="008A00BC"/>
    <w:rsid w:val="008A0B79"/>
    <w:rsid w:val="008A1296"/>
    <w:rsid w:val="008A1687"/>
    <w:rsid w:val="008A2346"/>
    <w:rsid w:val="008A2DF5"/>
    <w:rsid w:val="008A3A73"/>
    <w:rsid w:val="008A52D8"/>
    <w:rsid w:val="008A5E27"/>
    <w:rsid w:val="008A721D"/>
    <w:rsid w:val="008B48E6"/>
    <w:rsid w:val="008B4BDA"/>
    <w:rsid w:val="008C01F4"/>
    <w:rsid w:val="008C0503"/>
    <w:rsid w:val="008C4A55"/>
    <w:rsid w:val="008C5E5E"/>
    <w:rsid w:val="008D022E"/>
    <w:rsid w:val="008D08F5"/>
    <w:rsid w:val="008D0DDB"/>
    <w:rsid w:val="008D2350"/>
    <w:rsid w:val="008D2B13"/>
    <w:rsid w:val="008D56D6"/>
    <w:rsid w:val="008D579B"/>
    <w:rsid w:val="008D583E"/>
    <w:rsid w:val="008D7657"/>
    <w:rsid w:val="008E1CC8"/>
    <w:rsid w:val="008E24D8"/>
    <w:rsid w:val="008E3970"/>
    <w:rsid w:val="008E3AC0"/>
    <w:rsid w:val="008E6946"/>
    <w:rsid w:val="008E6E39"/>
    <w:rsid w:val="008E7705"/>
    <w:rsid w:val="008E77F4"/>
    <w:rsid w:val="008E7AF3"/>
    <w:rsid w:val="008E7E4D"/>
    <w:rsid w:val="008F2191"/>
    <w:rsid w:val="008F35DB"/>
    <w:rsid w:val="008F39D3"/>
    <w:rsid w:val="008F4969"/>
    <w:rsid w:val="008F5129"/>
    <w:rsid w:val="008F6393"/>
    <w:rsid w:val="00902FF9"/>
    <w:rsid w:val="00905EB8"/>
    <w:rsid w:val="00905F3A"/>
    <w:rsid w:val="0090679B"/>
    <w:rsid w:val="0090782D"/>
    <w:rsid w:val="00912765"/>
    <w:rsid w:val="0091523F"/>
    <w:rsid w:val="0091558A"/>
    <w:rsid w:val="00915B80"/>
    <w:rsid w:val="00917058"/>
    <w:rsid w:val="00923C45"/>
    <w:rsid w:val="00924F20"/>
    <w:rsid w:val="00924F7D"/>
    <w:rsid w:val="00931024"/>
    <w:rsid w:val="009312BE"/>
    <w:rsid w:val="00932D4A"/>
    <w:rsid w:val="00933F4C"/>
    <w:rsid w:val="00934865"/>
    <w:rsid w:val="00935587"/>
    <w:rsid w:val="00936B7F"/>
    <w:rsid w:val="00940D15"/>
    <w:rsid w:val="009415CD"/>
    <w:rsid w:val="0094334A"/>
    <w:rsid w:val="00943E2F"/>
    <w:rsid w:val="00944454"/>
    <w:rsid w:val="00952D0A"/>
    <w:rsid w:val="00953FD7"/>
    <w:rsid w:val="00954732"/>
    <w:rsid w:val="009551F9"/>
    <w:rsid w:val="00956BD2"/>
    <w:rsid w:val="0096092A"/>
    <w:rsid w:val="00963058"/>
    <w:rsid w:val="00963AE2"/>
    <w:rsid w:val="00963E96"/>
    <w:rsid w:val="00972F4C"/>
    <w:rsid w:val="009754E9"/>
    <w:rsid w:val="00975F5E"/>
    <w:rsid w:val="00977612"/>
    <w:rsid w:val="009827FE"/>
    <w:rsid w:val="00983B09"/>
    <w:rsid w:val="00990860"/>
    <w:rsid w:val="00990FC4"/>
    <w:rsid w:val="00992009"/>
    <w:rsid w:val="0099513B"/>
    <w:rsid w:val="00996B48"/>
    <w:rsid w:val="009A19C4"/>
    <w:rsid w:val="009A453C"/>
    <w:rsid w:val="009A7C4E"/>
    <w:rsid w:val="009B0239"/>
    <w:rsid w:val="009B1744"/>
    <w:rsid w:val="009B1EE9"/>
    <w:rsid w:val="009B2B15"/>
    <w:rsid w:val="009B3DAC"/>
    <w:rsid w:val="009B568A"/>
    <w:rsid w:val="009C08B5"/>
    <w:rsid w:val="009C4545"/>
    <w:rsid w:val="009C4DFC"/>
    <w:rsid w:val="009D0944"/>
    <w:rsid w:val="009D5384"/>
    <w:rsid w:val="009D580E"/>
    <w:rsid w:val="009D6D2E"/>
    <w:rsid w:val="009D753B"/>
    <w:rsid w:val="009E0CEB"/>
    <w:rsid w:val="009E44C6"/>
    <w:rsid w:val="009E6C5E"/>
    <w:rsid w:val="009E7717"/>
    <w:rsid w:val="009E7FF1"/>
    <w:rsid w:val="009F0800"/>
    <w:rsid w:val="009F23CB"/>
    <w:rsid w:val="009F5722"/>
    <w:rsid w:val="009F7176"/>
    <w:rsid w:val="00A02072"/>
    <w:rsid w:val="00A0334B"/>
    <w:rsid w:val="00A03BC9"/>
    <w:rsid w:val="00A04A98"/>
    <w:rsid w:val="00A0510A"/>
    <w:rsid w:val="00A11521"/>
    <w:rsid w:val="00A11D46"/>
    <w:rsid w:val="00A11FC5"/>
    <w:rsid w:val="00A163D9"/>
    <w:rsid w:val="00A20444"/>
    <w:rsid w:val="00A21BAC"/>
    <w:rsid w:val="00A23041"/>
    <w:rsid w:val="00A23452"/>
    <w:rsid w:val="00A26499"/>
    <w:rsid w:val="00A27017"/>
    <w:rsid w:val="00A27F81"/>
    <w:rsid w:val="00A30636"/>
    <w:rsid w:val="00A30F0D"/>
    <w:rsid w:val="00A31338"/>
    <w:rsid w:val="00A32258"/>
    <w:rsid w:val="00A3356F"/>
    <w:rsid w:val="00A342A5"/>
    <w:rsid w:val="00A3568B"/>
    <w:rsid w:val="00A377AE"/>
    <w:rsid w:val="00A426CE"/>
    <w:rsid w:val="00A428B2"/>
    <w:rsid w:val="00A4509D"/>
    <w:rsid w:val="00A46227"/>
    <w:rsid w:val="00A46303"/>
    <w:rsid w:val="00A50A06"/>
    <w:rsid w:val="00A50CD4"/>
    <w:rsid w:val="00A52FAE"/>
    <w:rsid w:val="00A53909"/>
    <w:rsid w:val="00A55704"/>
    <w:rsid w:val="00A5623C"/>
    <w:rsid w:val="00A57A10"/>
    <w:rsid w:val="00A57F06"/>
    <w:rsid w:val="00A600FC"/>
    <w:rsid w:val="00A606F7"/>
    <w:rsid w:val="00A60884"/>
    <w:rsid w:val="00A610CB"/>
    <w:rsid w:val="00A643D6"/>
    <w:rsid w:val="00A64DC1"/>
    <w:rsid w:val="00A6623B"/>
    <w:rsid w:val="00A7058C"/>
    <w:rsid w:val="00A70B39"/>
    <w:rsid w:val="00A72224"/>
    <w:rsid w:val="00A85016"/>
    <w:rsid w:val="00A85598"/>
    <w:rsid w:val="00A856B0"/>
    <w:rsid w:val="00A8607A"/>
    <w:rsid w:val="00A86D8D"/>
    <w:rsid w:val="00A90530"/>
    <w:rsid w:val="00A917A9"/>
    <w:rsid w:val="00A919EA"/>
    <w:rsid w:val="00A91A2A"/>
    <w:rsid w:val="00A94B87"/>
    <w:rsid w:val="00A9750F"/>
    <w:rsid w:val="00AA599A"/>
    <w:rsid w:val="00AA5E2F"/>
    <w:rsid w:val="00AB5812"/>
    <w:rsid w:val="00AB5BFC"/>
    <w:rsid w:val="00AB7845"/>
    <w:rsid w:val="00AC135D"/>
    <w:rsid w:val="00AC2072"/>
    <w:rsid w:val="00AC40DC"/>
    <w:rsid w:val="00AC4ECB"/>
    <w:rsid w:val="00AD21C9"/>
    <w:rsid w:val="00AD3F9D"/>
    <w:rsid w:val="00AD4746"/>
    <w:rsid w:val="00AD5010"/>
    <w:rsid w:val="00AE20C4"/>
    <w:rsid w:val="00AE2731"/>
    <w:rsid w:val="00AE3244"/>
    <w:rsid w:val="00AE4C05"/>
    <w:rsid w:val="00AE564E"/>
    <w:rsid w:val="00AE6725"/>
    <w:rsid w:val="00AE6BE8"/>
    <w:rsid w:val="00AE6FA9"/>
    <w:rsid w:val="00AE7DF6"/>
    <w:rsid w:val="00AF12B7"/>
    <w:rsid w:val="00AF2498"/>
    <w:rsid w:val="00AF4D26"/>
    <w:rsid w:val="00AF7291"/>
    <w:rsid w:val="00AF73A4"/>
    <w:rsid w:val="00B00BAD"/>
    <w:rsid w:val="00B00DA4"/>
    <w:rsid w:val="00B03860"/>
    <w:rsid w:val="00B05A10"/>
    <w:rsid w:val="00B0691A"/>
    <w:rsid w:val="00B11252"/>
    <w:rsid w:val="00B1358E"/>
    <w:rsid w:val="00B145B3"/>
    <w:rsid w:val="00B152AE"/>
    <w:rsid w:val="00B17C41"/>
    <w:rsid w:val="00B17FDB"/>
    <w:rsid w:val="00B24B51"/>
    <w:rsid w:val="00B31B92"/>
    <w:rsid w:val="00B320D9"/>
    <w:rsid w:val="00B321D4"/>
    <w:rsid w:val="00B330B9"/>
    <w:rsid w:val="00B3495F"/>
    <w:rsid w:val="00B34AF6"/>
    <w:rsid w:val="00B34CBF"/>
    <w:rsid w:val="00B37C7C"/>
    <w:rsid w:val="00B40DAD"/>
    <w:rsid w:val="00B42361"/>
    <w:rsid w:val="00B42491"/>
    <w:rsid w:val="00B429D4"/>
    <w:rsid w:val="00B433E4"/>
    <w:rsid w:val="00B458D2"/>
    <w:rsid w:val="00B4660F"/>
    <w:rsid w:val="00B5191C"/>
    <w:rsid w:val="00B5758A"/>
    <w:rsid w:val="00B6355E"/>
    <w:rsid w:val="00B64471"/>
    <w:rsid w:val="00B65B84"/>
    <w:rsid w:val="00B71C25"/>
    <w:rsid w:val="00B7272A"/>
    <w:rsid w:val="00B73133"/>
    <w:rsid w:val="00B74629"/>
    <w:rsid w:val="00B75F90"/>
    <w:rsid w:val="00B8036D"/>
    <w:rsid w:val="00B82C78"/>
    <w:rsid w:val="00B84A5C"/>
    <w:rsid w:val="00B87124"/>
    <w:rsid w:val="00B876ED"/>
    <w:rsid w:val="00B93313"/>
    <w:rsid w:val="00B93841"/>
    <w:rsid w:val="00B948D2"/>
    <w:rsid w:val="00B95598"/>
    <w:rsid w:val="00BA1B31"/>
    <w:rsid w:val="00BA478A"/>
    <w:rsid w:val="00BA66F5"/>
    <w:rsid w:val="00BA726F"/>
    <w:rsid w:val="00BD0327"/>
    <w:rsid w:val="00BD0FA0"/>
    <w:rsid w:val="00BD0FD6"/>
    <w:rsid w:val="00BD2B98"/>
    <w:rsid w:val="00BD7382"/>
    <w:rsid w:val="00BD7BD3"/>
    <w:rsid w:val="00BD7C56"/>
    <w:rsid w:val="00BE0D0E"/>
    <w:rsid w:val="00BE1037"/>
    <w:rsid w:val="00BE395D"/>
    <w:rsid w:val="00BE482D"/>
    <w:rsid w:val="00BE5DB7"/>
    <w:rsid w:val="00BE6BFB"/>
    <w:rsid w:val="00BF0159"/>
    <w:rsid w:val="00BF3060"/>
    <w:rsid w:val="00BF5B8B"/>
    <w:rsid w:val="00C03495"/>
    <w:rsid w:val="00C10FB3"/>
    <w:rsid w:val="00C11946"/>
    <w:rsid w:val="00C129C4"/>
    <w:rsid w:val="00C1385A"/>
    <w:rsid w:val="00C15115"/>
    <w:rsid w:val="00C20178"/>
    <w:rsid w:val="00C20CDA"/>
    <w:rsid w:val="00C20DC3"/>
    <w:rsid w:val="00C216FA"/>
    <w:rsid w:val="00C2421A"/>
    <w:rsid w:val="00C24511"/>
    <w:rsid w:val="00C266A4"/>
    <w:rsid w:val="00C27D33"/>
    <w:rsid w:val="00C31286"/>
    <w:rsid w:val="00C31A5B"/>
    <w:rsid w:val="00C32478"/>
    <w:rsid w:val="00C34C0E"/>
    <w:rsid w:val="00C35EF2"/>
    <w:rsid w:val="00C403B4"/>
    <w:rsid w:val="00C406DE"/>
    <w:rsid w:val="00C411FE"/>
    <w:rsid w:val="00C41B61"/>
    <w:rsid w:val="00C43296"/>
    <w:rsid w:val="00C434F9"/>
    <w:rsid w:val="00C44883"/>
    <w:rsid w:val="00C45CC3"/>
    <w:rsid w:val="00C45CCE"/>
    <w:rsid w:val="00C46170"/>
    <w:rsid w:val="00C467CA"/>
    <w:rsid w:val="00C467D4"/>
    <w:rsid w:val="00C46941"/>
    <w:rsid w:val="00C47381"/>
    <w:rsid w:val="00C5278E"/>
    <w:rsid w:val="00C528AD"/>
    <w:rsid w:val="00C538D8"/>
    <w:rsid w:val="00C550EA"/>
    <w:rsid w:val="00C63AA7"/>
    <w:rsid w:val="00C666AF"/>
    <w:rsid w:val="00C718DA"/>
    <w:rsid w:val="00C71D8C"/>
    <w:rsid w:val="00C7273A"/>
    <w:rsid w:val="00C72BBA"/>
    <w:rsid w:val="00C73873"/>
    <w:rsid w:val="00C75FCC"/>
    <w:rsid w:val="00C86431"/>
    <w:rsid w:val="00C91224"/>
    <w:rsid w:val="00C9316D"/>
    <w:rsid w:val="00C9387E"/>
    <w:rsid w:val="00C948FD"/>
    <w:rsid w:val="00C975B4"/>
    <w:rsid w:val="00C97FB9"/>
    <w:rsid w:val="00CA155E"/>
    <w:rsid w:val="00CA2E10"/>
    <w:rsid w:val="00CA3D9D"/>
    <w:rsid w:val="00CA6A60"/>
    <w:rsid w:val="00CA7999"/>
    <w:rsid w:val="00CB4E0C"/>
    <w:rsid w:val="00CB6814"/>
    <w:rsid w:val="00CC0DD8"/>
    <w:rsid w:val="00CC7B28"/>
    <w:rsid w:val="00CD056E"/>
    <w:rsid w:val="00CD1405"/>
    <w:rsid w:val="00CD518F"/>
    <w:rsid w:val="00CD6F72"/>
    <w:rsid w:val="00CD7C04"/>
    <w:rsid w:val="00CE1A25"/>
    <w:rsid w:val="00CE2A7F"/>
    <w:rsid w:val="00CE3610"/>
    <w:rsid w:val="00CF00CF"/>
    <w:rsid w:val="00CF24CD"/>
    <w:rsid w:val="00CF5221"/>
    <w:rsid w:val="00CF5822"/>
    <w:rsid w:val="00CF5A9B"/>
    <w:rsid w:val="00CF61A2"/>
    <w:rsid w:val="00CF6672"/>
    <w:rsid w:val="00D03A5F"/>
    <w:rsid w:val="00D07E6A"/>
    <w:rsid w:val="00D11E74"/>
    <w:rsid w:val="00D11FEB"/>
    <w:rsid w:val="00D144A4"/>
    <w:rsid w:val="00D1601D"/>
    <w:rsid w:val="00D22435"/>
    <w:rsid w:val="00D23711"/>
    <w:rsid w:val="00D25823"/>
    <w:rsid w:val="00D2649F"/>
    <w:rsid w:val="00D2742F"/>
    <w:rsid w:val="00D34D79"/>
    <w:rsid w:val="00D36CA4"/>
    <w:rsid w:val="00D37896"/>
    <w:rsid w:val="00D41A30"/>
    <w:rsid w:val="00D469E3"/>
    <w:rsid w:val="00D5313C"/>
    <w:rsid w:val="00D532DC"/>
    <w:rsid w:val="00D53C62"/>
    <w:rsid w:val="00D62F5A"/>
    <w:rsid w:val="00D63557"/>
    <w:rsid w:val="00D63E9B"/>
    <w:rsid w:val="00D71C75"/>
    <w:rsid w:val="00D76AAD"/>
    <w:rsid w:val="00D76DCC"/>
    <w:rsid w:val="00D824B2"/>
    <w:rsid w:val="00D82A70"/>
    <w:rsid w:val="00D82B55"/>
    <w:rsid w:val="00D83702"/>
    <w:rsid w:val="00D838C4"/>
    <w:rsid w:val="00D96DF5"/>
    <w:rsid w:val="00DA0F8B"/>
    <w:rsid w:val="00DA4C8E"/>
    <w:rsid w:val="00DB5EFB"/>
    <w:rsid w:val="00DB75E1"/>
    <w:rsid w:val="00DC60E2"/>
    <w:rsid w:val="00DC61A2"/>
    <w:rsid w:val="00DC69CD"/>
    <w:rsid w:val="00DD139E"/>
    <w:rsid w:val="00DD2C2B"/>
    <w:rsid w:val="00DD4DA6"/>
    <w:rsid w:val="00DD502C"/>
    <w:rsid w:val="00DD7AA4"/>
    <w:rsid w:val="00DE1C7B"/>
    <w:rsid w:val="00DE33B8"/>
    <w:rsid w:val="00DE370C"/>
    <w:rsid w:val="00DE48BE"/>
    <w:rsid w:val="00DE5489"/>
    <w:rsid w:val="00DE73BB"/>
    <w:rsid w:val="00DF25A4"/>
    <w:rsid w:val="00DF4AC7"/>
    <w:rsid w:val="00DF568A"/>
    <w:rsid w:val="00DF5EF4"/>
    <w:rsid w:val="00E00230"/>
    <w:rsid w:val="00E00442"/>
    <w:rsid w:val="00E015B8"/>
    <w:rsid w:val="00E02445"/>
    <w:rsid w:val="00E043C4"/>
    <w:rsid w:val="00E047E9"/>
    <w:rsid w:val="00E0521D"/>
    <w:rsid w:val="00E074E3"/>
    <w:rsid w:val="00E123B0"/>
    <w:rsid w:val="00E135B7"/>
    <w:rsid w:val="00E13B7B"/>
    <w:rsid w:val="00E142EC"/>
    <w:rsid w:val="00E158DF"/>
    <w:rsid w:val="00E2203D"/>
    <w:rsid w:val="00E220AD"/>
    <w:rsid w:val="00E222BB"/>
    <w:rsid w:val="00E26258"/>
    <w:rsid w:val="00E27FFC"/>
    <w:rsid w:val="00E3274A"/>
    <w:rsid w:val="00E33457"/>
    <w:rsid w:val="00E33AED"/>
    <w:rsid w:val="00E3454D"/>
    <w:rsid w:val="00E352D8"/>
    <w:rsid w:val="00E36D56"/>
    <w:rsid w:val="00E377AA"/>
    <w:rsid w:val="00E41613"/>
    <w:rsid w:val="00E4166F"/>
    <w:rsid w:val="00E41BB3"/>
    <w:rsid w:val="00E42966"/>
    <w:rsid w:val="00E44A1B"/>
    <w:rsid w:val="00E47E16"/>
    <w:rsid w:val="00E52B88"/>
    <w:rsid w:val="00E53B43"/>
    <w:rsid w:val="00E54558"/>
    <w:rsid w:val="00E55296"/>
    <w:rsid w:val="00E56265"/>
    <w:rsid w:val="00E61C1E"/>
    <w:rsid w:val="00E61E3D"/>
    <w:rsid w:val="00E61F16"/>
    <w:rsid w:val="00E65C58"/>
    <w:rsid w:val="00E67755"/>
    <w:rsid w:val="00E67830"/>
    <w:rsid w:val="00E72CDA"/>
    <w:rsid w:val="00E76BD1"/>
    <w:rsid w:val="00E77098"/>
    <w:rsid w:val="00E7735D"/>
    <w:rsid w:val="00E7793E"/>
    <w:rsid w:val="00E7794B"/>
    <w:rsid w:val="00E804F0"/>
    <w:rsid w:val="00E8474D"/>
    <w:rsid w:val="00E87046"/>
    <w:rsid w:val="00E87AAD"/>
    <w:rsid w:val="00E9076C"/>
    <w:rsid w:val="00E932E8"/>
    <w:rsid w:val="00E9569E"/>
    <w:rsid w:val="00E959BD"/>
    <w:rsid w:val="00E96851"/>
    <w:rsid w:val="00EA0351"/>
    <w:rsid w:val="00EA151B"/>
    <w:rsid w:val="00EA28DD"/>
    <w:rsid w:val="00EA2ADC"/>
    <w:rsid w:val="00EA3777"/>
    <w:rsid w:val="00EA6B4F"/>
    <w:rsid w:val="00EA759A"/>
    <w:rsid w:val="00EA7FE4"/>
    <w:rsid w:val="00EB06DD"/>
    <w:rsid w:val="00EB11E2"/>
    <w:rsid w:val="00EB59D0"/>
    <w:rsid w:val="00EB648A"/>
    <w:rsid w:val="00EB6C95"/>
    <w:rsid w:val="00EB6E90"/>
    <w:rsid w:val="00EB71B3"/>
    <w:rsid w:val="00EC103F"/>
    <w:rsid w:val="00EC18A9"/>
    <w:rsid w:val="00EC2608"/>
    <w:rsid w:val="00EC2DD4"/>
    <w:rsid w:val="00EC388A"/>
    <w:rsid w:val="00EC5DBC"/>
    <w:rsid w:val="00ED14E1"/>
    <w:rsid w:val="00ED343A"/>
    <w:rsid w:val="00ED364A"/>
    <w:rsid w:val="00ED4074"/>
    <w:rsid w:val="00ED7690"/>
    <w:rsid w:val="00EE137A"/>
    <w:rsid w:val="00EE22E1"/>
    <w:rsid w:val="00EE3199"/>
    <w:rsid w:val="00EE34D1"/>
    <w:rsid w:val="00EE6EA0"/>
    <w:rsid w:val="00EF17B5"/>
    <w:rsid w:val="00EF21BC"/>
    <w:rsid w:val="00EF22DA"/>
    <w:rsid w:val="00EF3B04"/>
    <w:rsid w:val="00EF431B"/>
    <w:rsid w:val="00EF4920"/>
    <w:rsid w:val="00EF72B0"/>
    <w:rsid w:val="00F00C40"/>
    <w:rsid w:val="00F00CD5"/>
    <w:rsid w:val="00F01245"/>
    <w:rsid w:val="00F03EE5"/>
    <w:rsid w:val="00F04A79"/>
    <w:rsid w:val="00F06310"/>
    <w:rsid w:val="00F12F9E"/>
    <w:rsid w:val="00F15297"/>
    <w:rsid w:val="00F15BAF"/>
    <w:rsid w:val="00F23427"/>
    <w:rsid w:val="00F30D37"/>
    <w:rsid w:val="00F37E2C"/>
    <w:rsid w:val="00F426EE"/>
    <w:rsid w:val="00F43176"/>
    <w:rsid w:val="00F4439D"/>
    <w:rsid w:val="00F44CFD"/>
    <w:rsid w:val="00F456C2"/>
    <w:rsid w:val="00F4570D"/>
    <w:rsid w:val="00F5180C"/>
    <w:rsid w:val="00F51B36"/>
    <w:rsid w:val="00F521F4"/>
    <w:rsid w:val="00F54121"/>
    <w:rsid w:val="00F54AC6"/>
    <w:rsid w:val="00F5675C"/>
    <w:rsid w:val="00F61E91"/>
    <w:rsid w:val="00F73987"/>
    <w:rsid w:val="00F7694A"/>
    <w:rsid w:val="00F80CD3"/>
    <w:rsid w:val="00F80FDF"/>
    <w:rsid w:val="00F8787B"/>
    <w:rsid w:val="00F87E94"/>
    <w:rsid w:val="00F92145"/>
    <w:rsid w:val="00F93CB3"/>
    <w:rsid w:val="00F94C2A"/>
    <w:rsid w:val="00F94E39"/>
    <w:rsid w:val="00F95194"/>
    <w:rsid w:val="00F95CFC"/>
    <w:rsid w:val="00F96E87"/>
    <w:rsid w:val="00F97925"/>
    <w:rsid w:val="00F97DD0"/>
    <w:rsid w:val="00FA029D"/>
    <w:rsid w:val="00FA26A0"/>
    <w:rsid w:val="00FA2D8D"/>
    <w:rsid w:val="00FA3B4C"/>
    <w:rsid w:val="00FA54B3"/>
    <w:rsid w:val="00FA59CF"/>
    <w:rsid w:val="00FA6E4F"/>
    <w:rsid w:val="00FA70A7"/>
    <w:rsid w:val="00FB0D80"/>
    <w:rsid w:val="00FB1992"/>
    <w:rsid w:val="00FB4BB4"/>
    <w:rsid w:val="00FB55BD"/>
    <w:rsid w:val="00FB72EC"/>
    <w:rsid w:val="00FC3975"/>
    <w:rsid w:val="00FC53F3"/>
    <w:rsid w:val="00FC66C2"/>
    <w:rsid w:val="00FC6F59"/>
    <w:rsid w:val="00FD0C75"/>
    <w:rsid w:val="00FD0C89"/>
    <w:rsid w:val="00FD125F"/>
    <w:rsid w:val="00FD2E83"/>
    <w:rsid w:val="00FD49E9"/>
    <w:rsid w:val="00FD6185"/>
    <w:rsid w:val="00FE05A8"/>
    <w:rsid w:val="00FE2379"/>
    <w:rsid w:val="00FE49AA"/>
    <w:rsid w:val="00FF26F3"/>
    <w:rsid w:val="00FF2D34"/>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022060"/>
    <w:pPr>
      <w:ind w:left="720"/>
      <w:contextualSpacing/>
    </w:pPr>
  </w:style>
  <w:style w:type="paragraph" w:customStyle="1" w:styleId="Default">
    <w:name w:val="Default"/>
    <w:rsid w:val="00EA6B4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AF7291"/>
    <w:rPr>
      <w:sz w:val="16"/>
      <w:szCs w:val="16"/>
    </w:rPr>
  </w:style>
  <w:style w:type="paragraph" w:styleId="CommentText">
    <w:name w:val="annotation text"/>
    <w:basedOn w:val="Normal"/>
    <w:link w:val="CommentTextChar"/>
    <w:rsid w:val="00AF7291"/>
    <w:rPr>
      <w:sz w:val="20"/>
      <w:szCs w:val="20"/>
    </w:rPr>
  </w:style>
  <w:style w:type="character" w:customStyle="1" w:styleId="CommentTextChar">
    <w:name w:val="Comment Text Char"/>
    <w:basedOn w:val="DefaultParagraphFont"/>
    <w:link w:val="CommentText"/>
    <w:rsid w:val="00AF7291"/>
    <w:rPr>
      <w:lang w:eastAsia="bg-BG"/>
    </w:rPr>
  </w:style>
  <w:style w:type="paragraph" w:styleId="CommentSubject">
    <w:name w:val="annotation subject"/>
    <w:basedOn w:val="CommentText"/>
    <w:next w:val="CommentText"/>
    <w:link w:val="CommentSubjectChar"/>
    <w:rsid w:val="00AF7291"/>
    <w:rPr>
      <w:b/>
      <w:bCs/>
    </w:rPr>
  </w:style>
  <w:style w:type="character" w:customStyle="1" w:styleId="CommentSubjectChar">
    <w:name w:val="Comment Subject Char"/>
    <w:basedOn w:val="CommentTextChar"/>
    <w:link w:val="CommentSubject"/>
    <w:rsid w:val="00AF7291"/>
    <w:rPr>
      <w:b/>
      <w:bCs/>
      <w:lang w:eastAsia="bg-BG"/>
    </w:rPr>
  </w:style>
  <w:style w:type="paragraph" w:styleId="Revision">
    <w:name w:val="Revision"/>
    <w:hidden/>
    <w:uiPriority w:val="99"/>
    <w:semiHidden/>
    <w:rsid w:val="00AF7291"/>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022060"/>
    <w:pPr>
      <w:ind w:left="720"/>
      <w:contextualSpacing/>
    </w:pPr>
  </w:style>
  <w:style w:type="paragraph" w:customStyle="1" w:styleId="Default">
    <w:name w:val="Default"/>
    <w:rsid w:val="00EA6B4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AF7291"/>
    <w:rPr>
      <w:sz w:val="16"/>
      <w:szCs w:val="16"/>
    </w:rPr>
  </w:style>
  <w:style w:type="paragraph" w:styleId="CommentText">
    <w:name w:val="annotation text"/>
    <w:basedOn w:val="Normal"/>
    <w:link w:val="CommentTextChar"/>
    <w:rsid w:val="00AF7291"/>
    <w:rPr>
      <w:sz w:val="20"/>
      <w:szCs w:val="20"/>
    </w:rPr>
  </w:style>
  <w:style w:type="character" w:customStyle="1" w:styleId="CommentTextChar">
    <w:name w:val="Comment Text Char"/>
    <w:basedOn w:val="DefaultParagraphFont"/>
    <w:link w:val="CommentText"/>
    <w:rsid w:val="00AF7291"/>
    <w:rPr>
      <w:lang w:eastAsia="bg-BG"/>
    </w:rPr>
  </w:style>
  <w:style w:type="paragraph" w:styleId="CommentSubject">
    <w:name w:val="annotation subject"/>
    <w:basedOn w:val="CommentText"/>
    <w:next w:val="CommentText"/>
    <w:link w:val="CommentSubjectChar"/>
    <w:rsid w:val="00AF7291"/>
    <w:rPr>
      <w:b/>
      <w:bCs/>
    </w:rPr>
  </w:style>
  <w:style w:type="character" w:customStyle="1" w:styleId="CommentSubjectChar">
    <w:name w:val="Comment Subject Char"/>
    <w:basedOn w:val="CommentTextChar"/>
    <w:link w:val="CommentSubject"/>
    <w:rsid w:val="00AF7291"/>
    <w:rPr>
      <w:b/>
      <w:bCs/>
      <w:lang w:eastAsia="bg-BG"/>
    </w:rPr>
  </w:style>
  <w:style w:type="paragraph" w:styleId="Revision">
    <w:name w:val="Revision"/>
    <w:hidden/>
    <w:uiPriority w:val="99"/>
    <w:semiHidden/>
    <w:rsid w:val="00AF7291"/>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7317750">
      <w:bodyDiv w:val="1"/>
      <w:marLeft w:val="0"/>
      <w:marRight w:val="0"/>
      <w:marTop w:val="0"/>
      <w:marBottom w:val="0"/>
      <w:divBdr>
        <w:top w:val="none" w:sz="0" w:space="0" w:color="auto"/>
        <w:left w:val="none" w:sz="0" w:space="0" w:color="auto"/>
        <w:bottom w:val="none" w:sz="0" w:space="0" w:color="auto"/>
        <w:right w:val="none" w:sz="0" w:space="0" w:color="auto"/>
      </w:divBdr>
    </w:div>
    <w:div w:id="1022242083">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sg.bg@abv.bg" TargetMode="External"/><Relationship Id="rId4" Type="http://schemas.microsoft.com/office/2007/relationships/stylesWithEffects" Target="stylesWithEffects.xml"/><Relationship Id="rId9" Type="http://schemas.openxmlformats.org/officeDocument/2006/relationships/hyperlink" Target="mailto:ilin_666@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CC34-FC52-4ED6-9B59-E3744824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28020</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2020-02-21T09:28:00Z</dcterms:created>
  <dcterms:modified xsi:type="dcterms:W3CDTF">2020-02-21T14:29:00Z</dcterms:modified>
</cp:coreProperties>
</file>