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30" w:rsidRPr="007F6357" w:rsidRDefault="001B1430" w:rsidP="001B1430">
      <w:pPr>
        <w:jc w:val="both"/>
        <w:rPr>
          <w:rFonts w:ascii="Arial" w:eastAsia="SimSun" w:hAnsi="Arial" w:cs="Arial"/>
          <w:b/>
          <w:bCs/>
          <w:color w:val="000000"/>
          <w:sz w:val="20"/>
          <w:lang w:val="en-US" w:eastAsia="bg-BG"/>
        </w:rPr>
      </w:pPr>
    </w:p>
    <w:p w:rsidR="001B1430" w:rsidRPr="006E7A46" w:rsidRDefault="001B1430" w:rsidP="001B1430">
      <w:pPr>
        <w:jc w:val="both"/>
        <w:rPr>
          <w:rFonts w:ascii="Arial" w:eastAsia="SimSun" w:hAnsi="Arial" w:cs="Arial"/>
          <w:b/>
          <w:bCs/>
          <w:color w:val="000000"/>
          <w:sz w:val="20"/>
          <w:lang w:val="en-US" w:eastAsia="bg-BG"/>
        </w:rPr>
      </w:pPr>
      <w:r w:rsidRPr="006E7A46">
        <w:rPr>
          <w:rFonts w:ascii="Arial" w:eastAsia="SimSun" w:hAnsi="Arial" w:cs="Arial"/>
          <w:b/>
          <w:bCs/>
          <w:color w:val="000000"/>
          <w:sz w:val="20"/>
          <w:lang w:val="en-US" w:eastAsia="bg-BG"/>
        </w:rPr>
        <w:t xml:space="preserve"> </w:t>
      </w:r>
    </w:p>
    <w:tbl>
      <w:tblPr>
        <w:tblW w:w="10156" w:type="dxa"/>
        <w:tblInd w:w="108" w:type="dxa"/>
        <w:tblLook w:val="01E0" w:firstRow="1" w:lastRow="1" w:firstColumn="1" w:lastColumn="1" w:noHBand="0" w:noVBand="0"/>
      </w:tblPr>
      <w:tblGrid>
        <w:gridCol w:w="9900"/>
        <w:gridCol w:w="256"/>
      </w:tblGrid>
      <w:tr w:rsidR="001B1430" w:rsidRPr="006E7A46" w:rsidTr="00F73636">
        <w:tc>
          <w:tcPr>
            <w:tcW w:w="9900" w:type="dxa"/>
            <w:shd w:val="clear" w:color="auto" w:fill="C0C0C0"/>
            <w:hideMark/>
          </w:tcPr>
          <w:p w:rsidR="001B1430" w:rsidRPr="006E7A46" w:rsidRDefault="001B1430" w:rsidP="00F73636">
            <w:pPr>
              <w:tabs>
                <w:tab w:val="left" w:pos="1020"/>
              </w:tabs>
              <w:autoSpaceDE w:val="0"/>
              <w:autoSpaceDN w:val="0"/>
              <w:adjustRightInd w:val="0"/>
              <w:jc w:val="both"/>
              <w:rPr>
                <w:rFonts w:ascii="Arial" w:hAnsi="Arial" w:cs="Arial"/>
                <w:b/>
                <w:i/>
                <w:iCs/>
                <w:sz w:val="20"/>
              </w:rPr>
            </w:pPr>
            <w:r w:rsidRPr="006E7A46">
              <w:rPr>
                <w:rFonts w:ascii="Arial" w:hAnsi="Arial" w:cs="Arial"/>
                <w:b/>
                <w:i/>
                <w:sz w:val="20"/>
              </w:rPr>
              <w:t>Визия за ОСП след 2020 г.</w:t>
            </w:r>
          </w:p>
        </w:tc>
        <w:tc>
          <w:tcPr>
            <w:tcW w:w="256" w:type="dxa"/>
          </w:tcPr>
          <w:p w:rsidR="001B1430" w:rsidRPr="006E7A46" w:rsidRDefault="001B1430" w:rsidP="00F73636">
            <w:pPr>
              <w:jc w:val="both"/>
              <w:rPr>
                <w:rFonts w:ascii="Arial" w:hAnsi="Arial" w:cs="Arial"/>
                <w:b/>
                <w:sz w:val="20"/>
              </w:rPr>
            </w:pPr>
          </w:p>
        </w:tc>
      </w:tr>
    </w:tbl>
    <w:p w:rsidR="001B1430" w:rsidRPr="006E7A46" w:rsidRDefault="001B1430" w:rsidP="001B1430">
      <w:pPr>
        <w:jc w:val="both"/>
        <w:rPr>
          <w:rFonts w:ascii="Arial" w:hAnsi="Arial" w:cs="Arial"/>
          <w:b/>
          <w:sz w:val="20"/>
          <w:lang w:val="en-US"/>
        </w:rPr>
      </w:pPr>
    </w:p>
    <w:p w:rsidR="001B1430" w:rsidRDefault="00E51A6D" w:rsidP="001B14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rPr>
      </w:pPr>
      <w:r>
        <w:rPr>
          <w:rFonts w:ascii="Arial" w:hAnsi="Arial" w:cs="Arial"/>
          <w:b/>
          <w:color w:val="222222"/>
          <w:sz w:val="20"/>
          <w:lang w:eastAsia="bg-BG"/>
        </w:rPr>
        <w:t>5</w:t>
      </w:r>
      <w:r w:rsidR="001B1430" w:rsidRPr="006E7A46">
        <w:rPr>
          <w:rFonts w:ascii="Arial" w:hAnsi="Arial" w:cs="Arial"/>
          <w:b/>
          <w:color w:val="222222"/>
          <w:sz w:val="20"/>
          <w:lang w:val="en-US" w:eastAsia="bg-BG"/>
        </w:rPr>
        <w:t>.</w:t>
      </w:r>
      <w:r w:rsidR="008803A4" w:rsidRPr="008803A4">
        <w:rPr>
          <w:rFonts w:hint="eastAsia"/>
        </w:rPr>
        <w:t xml:space="preserve"> </w:t>
      </w:r>
      <w:r w:rsidR="008803A4" w:rsidRPr="0005714A">
        <w:rPr>
          <w:rFonts w:ascii="Arial" w:hAnsi="Arial" w:cs="Arial"/>
          <w:b/>
          <w:sz w:val="20"/>
        </w:rPr>
        <w:t>По инициатива на ЕК на 12 февруари 2020 г. в Брюксел се проведе семинар за обмяна на опит и дискусия на процеса на разработването на SWOT анализите и идентифицирането на потребностите от ДЧ за целите на подготовката на Стратегическите планове 2021-2027</w:t>
      </w:r>
      <w:r w:rsidR="008803A4" w:rsidRPr="009063C7">
        <w:rPr>
          <w:rFonts w:ascii="Arial" w:hAnsi="Arial" w:cs="Arial"/>
          <w:b/>
          <w:noProof/>
          <w:color w:val="222222"/>
          <w:sz w:val="20"/>
          <w:lang w:eastAsia="bg-BG"/>
        </w:rPr>
        <w:t xml:space="preserve">. </w:t>
      </w:r>
      <w:r w:rsidR="008803A4" w:rsidRPr="00B81125">
        <w:rPr>
          <w:rFonts w:ascii="Arial" w:hAnsi="Arial" w:cs="Arial"/>
          <w:bCs/>
          <w:sz w:val="20"/>
        </w:rPr>
        <w:t xml:space="preserve">В началото на семинара ЕК информира, че службите на Комисията работят по помагала (разяснения), които да подпомогнат ДЧ при разработването на отделните елементи на Стратегическите планове (СП). ДЧ активно използват </w:t>
      </w:r>
      <w:r w:rsidR="008803A4" w:rsidRPr="00B81125">
        <w:rPr>
          <w:rFonts w:ascii="Arial" w:hAnsi="Arial" w:cs="Arial"/>
          <w:bCs/>
          <w:noProof/>
          <w:sz w:val="20"/>
        </w:rPr>
        <w:t>националните хъбове за контакти с ЕК във връзка с работата по СП, което Комисията счита за много полезно и за двете страни. Преглеждането на плановете ще се извършва от специално формирани екипи от експерти в различните направления. SWOT анализът е основата на плана. ЕК счита, че пълният вариант на анализа трябва да бъде поместен в анекса към СП, а обобщението във формата на таблица, съдържаща силните, слабите страни, възможностите и заплахите трябва да бъде в основната част на плана. Всички потребности, произтичащи от анализа, трябва да се идентифицират по цели. Следва процес на приоритизиране и ранкиране на потребностите, което трябва да бъде направено по ясна методология и критерии, в резултат на което да се формира единен, агрегиран списък от потребности, които ще бъдат адресирани с интервенциите в рамките на СП.  Агрерираният списък е преходът от работата по цели съм създаването на единен общ план. На въпрос на ДЧ, ЕК</w:t>
      </w:r>
      <w:r w:rsidR="008803A4" w:rsidRPr="00B81125">
        <w:rPr>
          <w:rFonts w:ascii="Arial" w:hAnsi="Arial" w:cs="Arial"/>
          <w:bCs/>
          <w:sz w:val="20"/>
        </w:rPr>
        <w:t xml:space="preserve"> поясни, че с новата стратегия „От фермата до трапезата“ не се очаква да се добавят нови индикатори в СП. По време на срещата ДЧ направиха презентации относно SWOT анализите, изготвени по цел 1 относно доходите, цели 4, 5 и 6 относно климат и околна среда, цел 7 за насърчаване на младите фермери и цел 9 за по-безопасни и качествени храни.</w:t>
      </w:r>
    </w:p>
    <w:p w:rsidR="002D0216" w:rsidRDefault="002D0216" w:rsidP="001B14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lang w:val="en-US"/>
        </w:rPr>
      </w:pPr>
    </w:p>
    <w:p w:rsidR="009E6BDB" w:rsidRPr="009E6BDB" w:rsidRDefault="009E6BDB" w:rsidP="009E6BDB">
      <w:pPr>
        <w:spacing w:before="120"/>
        <w:jc w:val="both"/>
        <w:rPr>
          <w:rFonts w:ascii="Arial" w:hAnsi="Arial" w:cs="Arial"/>
          <w:color w:val="222222"/>
          <w:sz w:val="20"/>
          <w:lang w:eastAsia="bg-BG"/>
        </w:rPr>
      </w:pPr>
      <w:r>
        <w:rPr>
          <w:rFonts w:ascii="Arial" w:hAnsi="Arial" w:cs="Arial"/>
          <w:b/>
          <w:color w:val="222222"/>
          <w:sz w:val="20"/>
          <w:lang w:val="en-US" w:eastAsia="bg-BG"/>
        </w:rPr>
        <w:t>6</w:t>
      </w:r>
      <w:r w:rsidRPr="009E6BDB">
        <w:rPr>
          <w:rFonts w:ascii="Arial" w:hAnsi="Arial" w:cs="Arial"/>
          <w:b/>
          <w:color w:val="222222"/>
          <w:sz w:val="20"/>
          <w:lang w:eastAsia="bg-BG"/>
        </w:rPr>
        <w:t>. На 10 февруари 2020 г. се проведе заседание на Специалния комитет по селско стопанство (СКСС), на което имаше дискусия за съдържанието на текста на стандарта за Добро земеделско и екологично състояние (ДЗЕС)</w:t>
      </w:r>
      <w:r w:rsidR="00303C35">
        <w:rPr>
          <w:rFonts w:ascii="Arial" w:hAnsi="Arial" w:cs="Arial"/>
          <w:b/>
          <w:color w:val="222222"/>
          <w:sz w:val="20"/>
          <w:lang w:eastAsia="bg-BG"/>
        </w:rPr>
        <w:t xml:space="preserve"> </w:t>
      </w:r>
      <w:r w:rsidRPr="009E6BDB">
        <w:rPr>
          <w:rFonts w:ascii="Arial" w:hAnsi="Arial" w:cs="Arial"/>
          <w:b/>
          <w:color w:val="222222"/>
          <w:sz w:val="20"/>
          <w:lang w:eastAsia="bg-BG"/>
        </w:rPr>
        <w:t xml:space="preserve">9. </w:t>
      </w:r>
      <w:r w:rsidRPr="009E6BDB">
        <w:rPr>
          <w:rFonts w:ascii="Arial" w:hAnsi="Arial" w:cs="Arial"/>
          <w:color w:val="222222"/>
          <w:sz w:val="20"/>
          <w:lang w:eastAsia="bg-BG"/>
        </w:rPr>
        <w:t xml:space="preserve">Основната цел на ДЗЕС 9 е да подобри състоянието на биоразнообразието във фермите. ЕК предлага посредством този стандарт да се определи минимален размер от земеделските площи, който да бъде използван за не-производствени характеристики. Финландското председателство предложи минималният дял на непроизводствените площи да се изчислява спрямо обработваемата земя и трайните насаждения и да може да включва и междинни култури и площи, заети с </w:t>
      </w:r>
      <w:r w:rsidRPr="009E6BDB">
        <w:rPr>
          <w:rFonts w:ascii="Arial" w:hAnsi="Arial" w:cs="Arial"/>
          <w:noProof/>
          <w:color w:val="222222"/>
          <w:sz w:val="20"/>
          <w:lang w:eastAsia="bg-BG"/>
        </w:rPr>
        <w:t>азотфиксиращи култури. Държавите членки (ДЧ) имат различни позиции по съдържанието на този стандарт. Основният дискусионен елемент е за вида на земята, която да се отделя за не-производствени характеристики, междинни култури и азотфиксиращи култури. Някои ДЧ считат, че цялата земеделска площ трябва да бъде покрита от това задължение</w:t>
      </w:r>
      <w:r w:rsidRPr="009E6BDB">
        <w:rPr>
          <w:rFonts w:ascii="Arial" w:hAnsi="Arial" w:cs="Arial"/>
          <w:color w:val="222222"/>
          <w:sz w:val="20"/>
          <w:lang w:eastAsia="bg-BG"/>
        </w:rPr>
        <w:t xml:space="preserve"> за опазва</w:t>
      </w:r>
      <w:r w:rsidR="0006687D">
        <w:rPr>
          <w:rFonts w:ascii="Arial" w:hAnsi="Arial" w:cs="Arial"/>
          <w:color w:val="222222"/>
          <w:sz w:val="20"/>
          <w:lang w:eastAsia="bg-BG"/>
        </w:rPr>
        <w:t>не на</w:t>
      </w:r>
      <w:r w:rsidRPr="009E6BDB">
        <w:rPr>
          <w:rFonts w:ascii="Arial" w:hAnsi="Arial" w:cs="Arial"/>
          <w:color w:val="222222"/>
          <w:sz w:val="20"/>
          <w:lang w:eastAsia="bg-BG"/>
        </w:rPr>
        <w:t xml:space="preserve"> биоразнообразието във всички ферми. Други ДЧ предпочитат да прилагат задължението само за обработваемите земи в съответствие с настоящите правила. Някои ДЧ предлагат минималният</w:t>
      </w:r>
      <w:r w:rsidR="00A74737">
        <w:rPr>
          <w:rFonts w:ascii="Arial" w:hAnsi="Arial" w:cs="Arial"/>
          <w:color w:val="222222"/>
          <w:sz w:val="20"/>
          <w:lang w:eastAsia="bg-BG"/>
        </w:rPr>
        <w:t xml:space="preserve"> процент на земята, използвана з</w:t>
      </w:r>
      <w:r w:rsidRPr="009E6BDB">
        <w:rPr>
          <w:rFonts w:ascii="Arial" w:hAnsi="Arial" w:cs="Arial"/>
          <w:color w:val="222222"/>
          <w:sz w:val="20"/>
          <w:lang w:eastAsia="bg-BG"/>
        </w:rPr>
        <w:t>а не-производствени характеристики да бъде включен в Регламента за Стратегическия план, а не да се разреши всяка страна да определя различен дял. Според тях, по този начин ще се осигурява равна о</w:t>
      </w:r>
      <w:r w:rsidR="00A74737">
        <w:rPr>
          <w:rFonts w:ascii="Arial" w:hAnsi="Arial" w:cs="Arial"/>
          <w:color w:val="222222"/>
          <w:sz w:val="20"/>
          <w:lang w:eastAsia="bg-BG"/>
        </w:rPr>
        <w:t xml:space="preserve">снова за прилагане в целия ЕС, </w:t>
      </w:r>
      <w:r w:rsidRPr="009E6BDB">
        <w:rPr>
          <w:rFonts w:ascii="Arial" w:hAnsi="Arial" w:cs="Arial"/>
          <w:color w:val="222222"/>
          <w:sz w:val="20"/>
          <w:lang w:eastAsia="bg-BG"/>
        </w:rPr>
        <w:t xml:space="preserve">ще се избегне вариация в процента между различните ДЧ и ще </w:t>
      </w:r>
      <w:r w:rsidR="00B6207E">
        <w:rPr>
          <w:rFonts w:ascii="Arial" w:hAnsi="Arial" w:cs="Arial"/>
          <w:color w:val="222222"/>
          <w:sz w:val="20"/>
          <w:lang w:eastAsia="bg-BG"/>
        </w:rPr>
        <w:t xml:space="preserve">се </w:t>
      </w:r>
      <w:r w:rsidRPr="009E6BDB">
        <w:rPr>
          <w:rFonts w:ascii="Arial" w:hAnsi="Arial" w:cs="Arial"/>
          <w:color w:val="222222"/>
          <w:sz w:val="20"/>
          <w:lang w:eastAsia="bg-BG"/>
        </w:rPr>
        <w:t xml:space="preserve">предотврати риска фермерите да бъдат третирани различно според страната, в която се намират. В настоящия период, не-производствените характеристики са част от зелените задължения. Практиката не е задължителна за всички фермери, а само тези с обработваема земя над 15 ха трябва да осигурят, че 5% от тяхната земя е покрита от екологично насочени площи. Хърватското председателство уточнява в своя дискусионен доклад, че не-производствените характеристики ще станат част от условността и ще бъдат задължителни за фермерите, независимо от размера на площите. В рамките на заседанието стана ясно, че болшинството от ДЧ са на мнение, че стандартът ДЗЕС 9, </w:t>
      </w:r>
      <w:r w:rsidRPr="009E6BDB">
        <w:rPr>
          <w:rFonts w:ascii="Arial" w:hAnsi="Arial" w:cs="Arial"/>
          <w:noProof/>
          <w:color w:val="222222"/>
          <w:sz w:val="20"/>
          <w:lang w:eastAsia="bg-BG"/>
        </w:rPr>
        <w:t xml:space="preserve">касаещ </w:t>
      </w:r>
      <w:r w:rsidRPr="009E6BDB">
        <w:rPr>
          <w:rFonts w:ascii="Arial" w:hAnsi="Arial" w:cs="Arial"/>
          <w:color w:val="222222"/>
          <w:sz w:val="20"/>
          <w:lang w:eastAsia="bg-BG"/>
        </w:rPr>
        <w:t>вида на земята, предназначена за не-производствени площи и обекти, трябва да се отнася до обработваемата земя, като бяха изказани различни мнения относно определянето на този процент. Голяма част от ДЧ, считат, че делът трябва да бъде в рамките на 5%. България и редица ДЧ, изразиха искане да се даде възможност на ДЧ да продължат да прилагат съществуващите в момента облекчения за малките стопани до определен праг на площта. Председателството ще обмисли и предложи вариант.</w:t>
      </w:r>
    </w:p>
    <w:p w:rsidR="009E6BDB" w:rsidRPr="009E6BDB" w:rsidRDefault="009E6BDB" w:rsidP="009E6B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22222"/>
          <w:sz w:val="20"/>
          <w:lang w:eastAsia="bg-BG"/>
        </w:rPr>
      </w:pPr>
    </w:p>
    <w:p w:rsidR="0029075B" w:rsidRPr="00A528ED" w:rsidRDefault="009E6BDB" w:rsidP="00290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22222"/>
          <w:sz w:val="20"/>
          <w:lang w:eastAsia="bg-BG"/>
        </w:rPr>
      </w:pPr>
      <w:r>
        <w:rPr>
          <w:rFonts w:ascii="Arial" w:hAnsi="Arial" w:cs="Arial"/>
          <w:b/>
          <w:color w:val="222222"/>
          <w:sz w:val="20"/>
          <w:lang w:val="en-US" w:eastAsia="bg-BG"/>
        </w:rPr>
        <w:t>7</w:t>
      </w:r>
      <w:r w:rsidRPr="009E6BDB">
        <w:rPr>
          <w:rFonts w:ascii="Arial" w:hAnsi="Arial" w:cs="Arial"/>
          <w:b/>
          <w:color w:val="222222"/>
          <w:sz w:val="20"/>
          <w:lang w:eastAsia="bg-BG"/>
        </w:rPr>
        <w:t xml:space="preserve">. Датското правителство представи първоначални коментари по целите и политиките за амбициозен Зелен пакт на ЕС. </w:t>
      </w:r>
      <w:r w:rsidRPr="009E6BDB">
        <w:rPr>
          <w:rFonts w:ascii="Arial" w:hAnsi="Arial" w:cs="Arial"/>
          <w:color w:val="222222"/>
          <w:sz w:val="20"/>
          <w:lang w:eastAsia="bg-BG"/>
        </w:rPr>
        <w:t xml:space="preserve">Според Дания, европейският земеделски сектор трябва да функционира и произвежда в съответствие с амбициозните цели за водите, околната среда, биоразнообразието и </w:t>
      </w:r>
      <w:r w:rsidRPr="009E6BDB">
        <w:rPr>
          <w:rFonts w:ascii="Arial" w:hAnsi="Arial" w:cs="Arial"/>
          <w:color w:val="222222"/>
          <w:sz w:val="20"/>
          <w:lang w:eastAsia="bg-BG"/>
        </w:rPr>
        <w:lastRenderedPageBreak/>
        <w:t xml:space="preserve">климата. ОСП следва да бъде активен инструмент за подкрепа на тези цели посредством определен размер зелено финансиране по двата стълба, създаването на </w:t>
      </w:r>
      <w:r w:rsidRPr="009E6BDB">
        <w:rPr>
          <w:rFonts w:ascii="Arial" w:hAnsi="Arial" w:cs="Arial"/>
          <w:noProof/>
          <w:color w:val="222222"/>
          <w:sz w:val="20"/>
          <w:lang w:eastAsia="bg-BG"/>
        </w:rPr>
        <w:t>еколгосъобразна</w:t>
      </w:r>
      <w:r w:rsidRPr="009E6BDB">
        <w:rPr>
          <w:rFonts w:ascii="Arial" w:hAnsi="Arial" w:cs="Arial"/>
          <w:color w:val="222222"/>
          <w:sz w:val="20"/>
          <w:lang w:eastAsia="bg-BG"/>
        </w:rPr>
        <w:t xml:space="preserve"> дефиниция за допустим хектар и възможност за осигуряване на компенсация на фермерите за амбициозните задължителни национални или европейски изисквания, допринасящи за целите, свързани с климата, природата и/или околната среда. Според Дания е важно да се създаде европейска регулация, която подкрепя развитието на земеделие, което е благоприятно за климата във всички държави</w:t>
      </w:r>
      <w:r w:rsidR="00C44608">
        <w:rPr>
          <w:rFonts w:ascii="Arial" w:hAnsi="Arial" w:cs="Arial"/>
          <w:color w:val="222222"/>
          <w:sz w:val="20"/>
          <w:lang w:eastAsia="bg-BG"/>
        </w:rPr>
        <w:t>-</w:t>
      </w:r>
      <w:r w:rsidRPr="009E6BDB">
        <w:rPr>
          <w:rFonts w:ascii="Arial" w:hAnsi="Arial" w:cs="Arial"/>
          <w:color w:val="222222"/>
          <w:sz w:val="20"/>
          <w:lang w:eastAsia="bg-BG"/>
        </w:rPr>
        <w:t xml:space="preserve"> членки като в същото време се създаде </w:t>
      </w:r>
      <w:r w:rsidRPr="009E6BDB">
        <w:rPr>
          <w:rFonts w:ascii="Arial" w:hAnsi="Arial" w:cs="Arial"/>
          <w:noProof/>
          <w:color w:val="222222"/>
          <w:sz w:val="20"/>
          <w:lang w:eastAsia="bg-BG"/>
        </w:rPr>
        <w:t xml:space="preserve">равнопоставеност </w:t>
      </w:r>
      <w:r w:rsidR="0029075B">
        <w:rPr>
          <w:rFonts w:ascii="Arial" w:hAnsi="Arial" w:cs="Arial"/>
          <w:color w:val="222222"/>
          <w:sz w:val="20"/>
          <w:lang w:eastAsia="bg-BG"/>
        </w:rPr>
        <w:t>между страните. Дания приветства предложението на ЕК за създаване на европейски Закон за климата.</w:t>
      </w:r>
    </w:p>
    <w:p w:rsidR="001B1430" w:rsidRPr="006E7A46" w:rsidRDefault="001B1430" w:rsidP="00290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0"/>
        </w:rPr>
      </w:pPr>
    </w:p>
    <w:p w:rsidR="003D5B7F" w:rsidRPr="003D5B7F" w:rsidRDefault="003D5B7F" w:rsidP="003D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bookmarkStart w:id="0" w:name="_GoBack"/>
      <w:bookmarkEnd w:id="0"/>
    </w:p>
    <w:p w:rsidR="003D5B7F" w:rsidRPr="003D5B7F" w:rsidRDefault="003D5B7F" w:rsidP="003D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rsidR="003D5B7F" w:rsidRPr="003D5B7F" w:rsidRDefault="003D5B7F" w:rsidP="00117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sz w:val="20"/>
          <w:lang w:val="en-US"/>
        </w:rPr>
      </w:pPr>
    </w:p>
    <w:p w:rsidR="001173C3" w:rsidRPr="001D1416" w:rsidRDefault="001173C3" w:rsidP="00117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rPr>
      </w:pPr>
    </w:p>
    <w:p w:rsidR="001173C3" w:rsidRPr="001173C3" w:rsidRDefault="001173C3" w:rsidP="00120AD2">
      <w:pPr>
        <w:jc w:val="both"/>
        <w:rPr>
          <w:rStyle w:val="longtext"/>
          <w:rFonts w:ascii="Arial" w:hAnsi="Arial" w:cs="Arial"/>
          <w:noProof/>
          <w:sz w:val="20"/>
          <w:lang w:val="en-US"/>
        </w:rPr>
      </w:pPr>
    </w:p>
    <w:p w:rsidR="00275471" w:rsidRDefault="00275471" w:rsidP="00120AD2">
      <w:pPr>
        <w:jc w:val="both"/>
        <w:rPr>
          <w:rStyle w:val="longtext"/>
          <w:rFonts w:ascii="Arial" w:hAnsi="Arial" w:cs="Arial"/>
          <w:noProof/>
          <w:sz w:val="20"/>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Pr="001173C3" w:rsidRDefault="001173C3" w:rsidP="00275471">
      <w:pPr>
        <w:jc w:val="center"/>
        <w:rPr>
          <w:rStyle w:val="longtext"/>
          <w:rFonts w:ascii="Arial" w:hAnsi="Arial" w:cs="Arial"/>
          <w:b/>
          <w:i/>
          <w:noProof/>
          <w:sz w:val="20"/>
        </w:rPr>
      </w:pP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i/>
          <w:noProof/>
          <w:sz w:val="20"/>
        </w:rPr>
        <w:t>Приложение 1</w:t>
      </w:r>
    </w:p>
    <w:p w:rsidR="001173C3" w:rsidRDefault="001173C3" w:rsidP="00275471">
      <w:pPr>
        <w:jc w:val="center"/>
        <w:rPr>
          <w:rStyle w:val="longtext"/>
          <w:rFonts w:ascii="Arial" w:hAnsi="Arial" w:cs="Arial"/>
          <w:b/>
          <w:noProof/>
          <w:sz w:val="20"/>
          <w:lang w:val="en-US"/>
        </w:rPr>
      </w:pPr>
    </w:p>
    <w:p w:rsidR="00E5449B" w:rsidRDefault="00275471" w:rsidP="00275471">
      <w:pPr>
        <w:jc w:val="center"/>
        <w:rPr>
          <w:rStyle w:val="longtext"/>
          <w:rFonts w:ascii="Arial" w:hAnsi="Arial" w:cs="Arial"/>
          <w:b/>
          <w:noProof/>
          <w:sz w:val="20"/>
        </w:rPr>
      </w:pPr>
      <w:r>
        <w:rPr>
          <w:rStyle w:val="longtext"/>
          <w:rFonts w:ascii="Arial" w:hAnsi="Arial" w:cs="Arial"/>
          <w:b/>
          <w:noProof/>
          <w:sz w:val="20"/>
        </w:rPr>
        <w:t>С</w:t>
      </w:r>
      <w:r w:rsidRPr="009203FA">
        <w:rPr>
          <w:rStyle w:val="longtext"/>
          <w:rFonts w:ascii="Arial" w:hAnsi="Arial" w:cs="Arial"/>
          <w:b/>
          <w:noProof/>
          <w:sz w:val="20"/>
        </w:rPr>
        <w:t>тратегия „От фермата до трапезата“</w:t>
      </w:r>
      <w:r>
        <w:rPr>
          <w:rStyle w:val="longtext"/>
          <w:rFonts w:ascii="Arial" w:hAnsi="Arial" w:cs="Arial"/>
          <w:b/>
          <w:noProof/>
          <w:sz w:val="20"/>
        </w:rPr>
        <w:t>- обсъждания в Европейск</w:t>
      </w:r>
      <w:r w:rsidR="00AB140A">
        <w:rPr>
          <w:rStyle w:val="longtext"/>
          <w:rFonts w:ascii="Arial" w:hAnsi="Arial" w:cs="Arial"/>
          <w:b/>
          <w:noProof/>
          <w:sz w:val="20"/>
        </w:rPr>
        <w:t>и</w:t>
      </w:r>
    </w:p>
    <w:p w:rsidR="00275471" w:rsidRDefault="00275471" w:rsidP="00275471">
      <w:pPr>
        <w:jc w:val="center"/>
        <w:rPr>
          <w:rStyle w:val="longtext"/>
          <w:rFonts w:ascii="Arial" w:hAnsi="Arial" w:cs="Arial"/>
          <w:noProof/>
          <w:sz w:val="20"/>
        </w:rPr>
      </w:pPr>
      <w:r>
        <w:rPr>
          <w:rStyle w:val="longtext"/>
          <w:rFonts w:ascii="Arial" w:hAnsi="Arial" w:cs="Arial"/>
          <w:b/>
          <w:noProof/>
          <w:sz w:val="20"/>
        </w:rPr>
        <w:t>я парламент</w:t>
      </w:r>
    </w:p>
    <w:p w:rsidR="00275471" w:rsidRDefault="00275471" w:rsidP="00120AD2">
      <w:pPr>
        <w:jc w:val="both"/>
        <w:rPr>
          <w:rStyle w:val="longtext"/>
          <w:rFonts w:ascii="Arial" w:hAnsi="Arial" w:cs="Arial"/>
          <w:noProof/>
          <w:sz w:val="20"/>
        </w:rPr>
      </w:pPr>
    </w:p>
    <w:p w:rsidR="00120AD2" w:rsidRPr="009203FA" w:rsidRDefault="00E51A6D" w:rsidP="00120AD2">
      <w:pPr>
        <w:jc w:val="both"/>
        <w:rPr>
          <w:rStyle w:val="longtext"/>
          <w:rFonts w:ascii="Arial" w:hAnsi="Arial" w:cs="Arial"/>
          <w:noProof/>
          <w:sz w:val="20"/>
        </w:rPr>
      </w:pPr>
      <w:r>
        <w:rPr>
          <w:rStyle w:val="longtext"/>
          <w:rFonts w:ascii="Arial" w:hAnsi="Arial" w:cs="Arial"/>
          <w:noProof/>
          <w:sz w:val="20"/>
        </w:rPr>
        <w:t xml:space="preserve"> </w:t>
      </w:r>
      <w:r w:rsidR="00120AD2" w:rsidRPr="009203FA">
        <w:rPr>
          <w:rStyle w:val="longtext"/>
          <w:rFonts w:ascii="Arial" w:hAnsi="Arial" w:cs="Arial"/>
          <w:noProof/>
          <w:sz w:val="20"/>
        </w:rPr>
        <w:t xml:space="preserve">„Не трябва да </w:t>
      </w:r>
      <w:r w:rsidR="00596313">
        <w:rPr>
          <w:rStyle w:val="longtext"/>
          <w:rFonts w:ascii="Arial" w:hAnsi="Arial" w:cs="Arial"/>
          <w:noProof/>
          <w:sz w:val="20"/>
        </w:rPr>
        <w:t>обвиняваме</w:t>
      </w:r>
      <w:r w:rsidR="00120AD2" w:rsidRPr="009203FA">
        <w:rPr>
          <w:rStyle w:val="longtext"/>
          <w:rFonts w:ascii="Arial" w:hAnsi="Arial" w:cs="Arial"/>
          <w:noProof/>
          <w:sz w:val="20"/>
        </w:rPr>
        <w:t xml:space="preserve"> земеделския стопанин като замърсител или отровител“, заяви Норберт Линс (ЕНП, Германия), който инициира този пленарен дебат за ролята на фермерите в бъдещата стратегия „От фермата до трапезата“. Той добави, че не е необходимо да се създават „томове забрани“, а по-скоро да се създават стимули за земеделските производители за по-добра защита на околната среда. „Вече имаме най-високите екологични стандарти в света“, отбеляза Линс. Потребителите също трябва да променят нагласите си, тъй като не искат да плащат повече за добри продукти. Европейският комисар по земеделието Януш Войчеховски посочи, че</w:t>
      </w:r>
      <w:r w:rsidR="00A02393">
        <w:rPr>
          <w:rStyle w:val="longtext"/>
          <w:rFonts w:ascii="Arial" w:hAnsi="Arial" w:cs="Arial"/>
          <w:noProof/>
          <w:sz w:val="20"/>
        </w:rPr>
        <w:t xml:space="preserve"> </w:t>
      </w:r>
      <w:r w:rsidR="00120AD2" w:rsidRPr="009203FA">
        <w:rPr>
          <w:rStyle w:val="longtext"/>
          <w:rFonts w:ascii="Arial" w:hAnsi="Arial" w:cs="Arial"/>
          <w:noProof/>
          <w:sz w:val="20"/>
        </w:rPr>
        <w:t xml:space="preserve">всички подробности за тази стратегия </w:t>
      </w:r>
      <w:r w:rsidR="00A02393">
        <w:rPr>
          <w:rStyle w:val="longtext"/>
          <w:rFonts w:ascii="Arial" w:hAnsi="Arial" w:cs="Arial"/>
          <w:noProof/>
          <w:sz w:val="20"/>
        </w:rPr>
        <w:t xml:space="preserve">ще има </w:t>
      </w:r>
      <w:r w:rsidR="00120AD2" w:rsidRPr="009203FA">
        <w:rPr>
          <w:rStyle w:val="longtext"/>
          <w:rFonts w:ascii="Arial" w:hAnsi="Arial" w:cs="Arial"/>
          <w:noProof/>
          <w:sz w:val="20"/>
        </w:rPr>
        <w:t xml:space="preserve">в </w:t>
      </w:r>
      <w:r w:rsidR="00120AD2" w:rsidRPr="009203FA">
        <w:rPr>
          <w:rStyle w:val="longtext"/>
          <w:rFonts w:ascii="Arial" w:hAnsi="Arial" w:cs="Arial"/>
          <w:noProof/>
          <w:sz w:val="20"/>
        </w:rPr>
        <w:lastRenderedPageBreak/>
        <w:t>края на март. Според него земеделските производители разбират амбицията на Европейския Зелен пакт, който се очаква да доведе до „ограничена“ употреба на антибиотици и химически торове, развитие на биологичното земеделие и „по-добро качество на въздуха и почвата“. „Европейските фермери ще трябва да произвеждат устойчиво и да допринасят за насърчаване на по-доброто здраве на хората и борбата с изменението на климата“, подчерта комисарят</w:t>
      </w:r>
      <w:r w:rsidR="004B46D9">
        <w:rPr>
          <w:rStyle w:val="longtext"/>
          <w:rFonts w:ascii="Arial" w:hAnsi="Arial" w:cs="Arial"/>
          <w:noProof/>
          <w:sz w:val="20"/>
        </w:rPr>
        <w:t xml:space="preserve"> и</w:t>
      </w:r>
      <w:r w:rsidR="00120AD2" w:rsidRPr="009203FA">
        <w:rPr>
          <w:rStyle w:val="longtext"/>
          <w:rFonts w:ascii="Arial" w:hAnsi="Arial" w:cs="Arial"/>
          <w:noProof/>
          <w:sz w:val="20"/>
        </w:rPr>
        <w:t xml:space="preserve"> добави, че „трябва да помогнем на земеделските производители“ да постигнат това. В контекста на преговорите за многогодишната финансова рамка за периода 2021–2027 г. г-н Войчеховски защити „добър бюджет за амбициозна обща селскостопанска политика“. Херберт Дорфман (ЕНП, Италия) предупреди, че тази стратегия не трябва да противоречи на желанията на земеделските производители. „Ако фермерите не участват активно в дебата, тази стратегия ще бъде доведена до катастофа“, прогнозира той. Според него земеделските производители са обвинявани за всички </w:t>
      </w:r>
      <w:r w:rsidR="00A15D87">
        <w:rPr>
          <w:rStyle w:val="longtext"/>
          <w:rFonts w:ascii="Arial" w:hAnsi="Arial" w:cs="Arial"/>
          <w:noProof/>
          <w:sz w:val="20"/>
        </w:rPr>
        <w:t>проблеми</w:t>
      </w:r>
      <w:r w:rsidR="00120AD2" w:rsidRPr="009203FA">
        <w:rPr>
          <w:rStyle w:val="longtext"/>
          <w:rFonts w:ascii="Arial" w:hAnsi="Arial" w:cs="Arial"/>
          <w:noProof/>
          <w:sz w:val="20"/>
        </w:rPr>
        <w:t xml:space="preserve"> (загуба на биоразнообразие, изменение на климата, използване на химикали и др.), но на място „реалността е различна“. Г-н Дорфман посочи, че можем да мислим за използването на по-малко пестициди и торове, но трябва да видим напредък</w:t>
      </w:r>
      <w:r w:rsidR="00A15D87">
        <w:rPr>
          <w:rStyle w:val="longtext"/>
          <w:rFonts w:ascii="Arial" w:hAnsi="Arial" w:cs="Arial"/>
          <w:noProof/>
          <w:sz w:val="20"/>
        </w:rPr>
        <w:t>ът</w:t>
      </w:r>
      <w:r w:rsidR="00120AD2" w:rsidRPr="009203FA">
        <w:rPr>
          <w:rStyle w:val="longtext"/>
          <w:rFonts w:ascii="Arial" w:hAnsi="Arial" w:cs="Arial"/>
          <w:noProof/>
          <w:sz w:val="20"/>
        </w:rPr>
        <w:t xml:space="preserve">, който може да бъде постигнат чрез иновации. </w:t>
      </w:r>
      <w:r w:rsidR="00117A81">
        <w:rPr>
          <w:rStyle w:val="longtext"/>
          <w:rFonts w:ascii="Arial" w:hAnsi="Arial" w:cs="Arial"/>
          <w:noProof/>
          <w:sz w:val="20"/>
        </w:rPr>
        <w:t>Според</w:t>
      </w:r>
      <w:r w:rsidR="00120AD2" w:rsidRPr="009203FA">
        <w:rPr>
          <w:rStyle w:val="longtext"/>
          <w:rFonts w:ascii="Arial" w:hAnsi="Arial" w:cs="Arial"/>
          <w:noProof/>
          <w:sz w:val="20"/>
        </w:rPr>
        <w:t xml:space="preserve"> Паоло де Кастро (СД, Италия) е необходимо да има не само добре финансирана ОСП, но и „иновативни инициативи“ (замяна на химикали). Дачиан Чолош („Обнови Европа“, Румъния) заяви, че селското стопанство трябва да се счита за икономическа и социална цел. Той заяви, че Зеленият пакт ще бъде провал без участието на фермерите. Оттук и необходимостта да се гарантират повече доходи за фермерите. Той се застъпи за истински „инвестиционен план“ и смята, че стратегията „От фермата до трапезата“ няма да успее, ако фокусът е насочен само към пестицидите и химикалите. „Трябва да направим ОСП по-устойчива и по-екологична“, аргументира се Сара Винер (Зелени/ЕСА, Германия). Според нея тази стратегия представлява „последният шанс за реформа на ОСП“. От партията на европейските консерватори и реформисти считат планираното съкращаване на финансирането на ОСП след 2020 г. за „неприемливо“ и призовават за повече финансиране за участващите в стратегията. От холандското представителство на Конфедерална група на Европейската обединена левица/Северна зелена левица се застъпиха за премахване на селскостопанските субсидии.</w:t>
      </w:r>
    </w:p>
    <w:p w:rsidR="001B1430" w:rsidRPr="009203FA" w:rsidRDefault="001B1430" w:rsidP="00120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noProof/>
          <w:sz w:val="20"/>
        </w:rPr>
      </w:pPr>
    </w:p>
    <w:p w:rsidR="0001496E" w:rsidRPr="009203FA" w:rsidRDefault="0001496E" w:rsidP="00120AD2">
      <w:pPr>
        <w:jc w:val="both"/>
        <w:rPr>
          <w:rStyle w:val="longtext"/>
          <w:noProof/>
        </w:rPr>
      </w:pPr>
    </w:p>
    <w:sectPr w:rsidR="0001496E" w:rsidRPr="009203FA" w:rsidSect="00852688">
      <w:headerReference w:type="default" r:id="rId9"/>
      <w:footerReference w:type="even" r:id="rId10"/>
      <w:footerReference w:type="default" r:id="rId11"/>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D2" w:rsidRDefault="000F3ED2">
      <w:r>
        <w:separator/>
      </w:r>
    </w:p>
  </w:endnote>
  <w:endnote w:type="continuationSeparator" w:id="0">
    <w:p w:rsidR="000F3ED2" w:rsidRDefault="000F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0F3E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0F3ED2" w:rsidP="004B3CB3">
    <w:pPr>
      <w:pStyle w:val="Footer"/>
      <w:pBdr>
        <w:bottom w:val="single" w:sz="4" w:space="1" w:color="7030A0"/>
      </w:pBdr>
      <w:ind w:right="-23"/>
      <w:rPr>
        <w:rFonts w:ascii="Arial" w:hAnsi="Arial"/>
        <w:i/>
        <w:iCs/>
        <w:color w:val="800080"/>
        <w:sz w:val="18"/>
        <w:szCs w:val="18"/>
        <w:lang w:val="en-US"/>
      </w:rPr>
    </w:pPr>
  </w:p>
  <w:p w:rsidR="00AB2303" w:rsidRPr="004B3CB3" w:rsidRDefault="00403CB9" w:rsidP="00AB230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p>
  <w:p w:rsidR="004B3CB3" w:rsidRPr="004B3CB3" w:rsidRDefault="00403CB9" w:rsidP="004B3CB3">
    <w:pPr>
      <w:pStyle w:val="Footer"/>
      <w:ind w:right="-23"/>
      <w:rPr>
        <w:rFonts w:ascii="Arial" w:hAnsi="Arial"/>
        <w:i/>
        <w:iCs/>
        <w:color w:val="800080"/>
        <w:sz w:val="18"/>
        <w:szCs w:val="18"/>
        <w:lang w:val="ru-RU"/>
      </w:rPr>
    </w:pPr>
    <w:r w:rsidRPr="004B3CB3">
      <w:rPr>
        <w:rFonts w:ascii="Arial" w:hAnsi="Arial"/>
        <w:i/>
        <w:iCs/>
        <w:color w:val="800080"/>
        <w:sz w:val="18"/>
        <w:szCs w:val="18"/>
        <w:lang w:val="ru-RU"/>
      </w:rPr>
      <w:t xml:space="preserve">     </w:t>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7F6357">
      <w:rPr>
        <w:rFonts w:ascii="Arial" w:hAnsi="Arial"/>
        <w:i/>
        <w:iCs/>
        <w:noProof/>
        <w:color w:val="800080"/>
        <w:sz w:val="18"/>
        <w:szCs w:val="18"/>
      </w:rPr>
      <w:t>1</w:t>
    </w:r>
    <w:r w:rsidRPr="004B3CB3">
      <w:rPr>
        <w:rFonts w:ascii="Arial" w:hAnsi="Arial"/>
        <w:i/>
        <w:iCs/>
        <w:color w:val="800080"/>
        <w:sz w:val="18"/>
        <w:szCs w:val="18"/>
      </w:rPr>
      <w:fldChar w:fldCharType="end"/>
    </w:r>
  </w:p>
  <w:p w:rsidR="005618E1" w:rsidRPr="004B3CB3" w:rsidRDefault="000F3ED2">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D2" w:rsidRDefault="000F3ED2">
      <w:r>
        <w:separator/>
      </w:r>
    </w:p>
  </w:footnote>
  <w:footnote w:type="continuationSeparator" w:id="0">
    <w:p w:rsidR="000F3ED2" w:rsidRDefault="000F3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
            <w:rPr>
              <w:rFonts w:ascii="Palatino Linotype" w:hAnsi="Palatino Linotype" w:cs="Palatino Linotype"/>
              <w:i/>
              <w:iCs/>
              <w:noProof/>
              <w:sz w:val="52"/>
              <w:szCs w:val="52"/>
              <w:lang w:eastAsia="bg-BG"/>
            </w:rPr>
            <w:drawing>
              <wp:inline distT="0" distB="0" distL="0" distR="0" wp14:anchorId="72410E92" wp14:editId="44D8FB36">
                <wp:extent cx="233680" cy="21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0F3ED2"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pPr>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p>
      </w:tc>
      <w:tc>
        <w:tcPr>
          <w:tcW w:w="2535" w:type="dxa"/>
          <w:vMerge/>
          <w:tcBorders>
            <w:top w:val="single" w:sz="4" w:space="0" w:color="auto"/>
            <w:bottom w:val="single" w:sz="24" w:space="0" w:color="0000FF"/>
          </w:tcBorders>
        </w:tcPr>
        <w:p w:rsidR="005618E1" w:rsidRDefault="000F3ED2">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40</w:t>
    </w:r>
    <w:r w:rsidR="001B1430">
      <w:rPr>
        <w:rFonts w:ascii="Arial" w:hAnsi="Arial"/>
        <w:b/>
        <w:bCs/>
        <w:color w:val="800080"/>
        <w:sz w:val="20"/>
      </w:rPr>
      <w:t>7</w:t>
    </w:r>
    <w:r>
      <w:rPr>
        <w:rFonts w:ascii="Arial" w:hAnsi="Arial"/>
        <w:b/>
        <w:bCs/>
        <w:color w:val="800080"/>
        <w:sz w:val="20"/>
      </w:rPr>
      <w:t>/</w:t>
    </w:r>
    <w:r w:rsidR="000B7B54">
      <w:rPr>
        <w:rFonts w:ascii="Arial" w:hAnsi="Arial"/>
        <w:b/>
        <w:bCs/>
        <w:color w:val="800080"/>
        <w:sz w:val="20"/>
        <w:lang w:val="en-US"/>
      </w:rPr>
      <w:t>1</w:t>
    </w:r>
    <w:r w:rsidR="001B1430">
      <w:rPr>
        <w:rFonts w:ascii="Arial" w:hAnsi="Arial"/>
        <w:b/>
        <w:bCs/>
        <w:color w:val="800080"/>
        <w:sz w:val="20"/>
      </w:rPr>
      <w:t>7</w:t>
    </w:r>
    <w:r w:rsidR="006E7A46">
      <w:rPr>
        <w:rFonts w:ascii="Arial" w:hAnsi="Arial"/>
        <w:b/>
        <w:bCs/>
        <w:color w:val="800080"/>
        <w:sz w:val="20"/>
        <w:lang w:val="en-US"/>
      </w:rPr>
      <w:t>.</w:t>
    </w:r>
    <w:r w:rsidR="002C512F">
      <w:rPr>
        <w:rFonts w:ascii="Arial" w:hAnsi="Arial"/>
        <w:b/>
        <w:bCs/>
        <w:color w:val="800080"/>
        <w:sz w:val="20"/>
        <w:lang w:val="en-US"/>
      </w:rPr>
      <w:t>02</w:t>
    </w:r>
    <w:r>
      <w:rPr>
        <w:rFonts w:ascii="Arial" w:hAnsi="Arial"/>
        <w:b/>
        <w:bCs/>
        <w:color w:val="800080"/>
        <w:sz w:val="20"/>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2"/>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1496E"/>
    <w:rsid w:val="0002497A"/>
    <w:rsid w:val="00024DB1"/>
    <w:rsid w:val="00032EDB"/>
    <w:rsid w:val="00046BB0"/>
    <w:rsid w:val="00046D50"/>
    <w:rsid w:val="00050832"/>
    <w:rsid w:val="0005714A"/>
    <w:rsid w:val="0006687D"/>
    <w:rsid w:val="000678FD"/>
    <w:rsid w:val="0007208A"/>
    <w:rsid w:val="00081DAE"/>
    <w:rsid w:val="00091CD4"/>
    <w:rsid w:val="000A31F0"/>
    <w:rsid w:val="000B2026"/>
    <w:rsid w:val="000B7B54"/>
    <w:rsid w:val="000F3ED2"/>
    <w:rsid w:val="001164FC"/>
    <w:rsid w:val="001173C3"/>
    <w:rsid w:val="00117A81"/>
    <w:rsid w:val="00120AD2"/>
    <w:rsid w:val="00131A6D"/>
    <w:rsid w:val="00134872"/>
    <w:rsid w:val="0013606E"/>
    <w:rsid w:val="0014608C"/>
    <w:rsid w:val="001639CC"/>
    <w:rsid w:val="00173E25"/>
    <w:rsid w:val="00180441"/>
    <w:rsid w:val="00186654"/>
    <w:rsid w:val="00193EEE"/>
    <w:rsid w:val="001A6A7A"/>
    <w:rsid w:val="001B1430"/>
    <w:rsid w:val="001B5399"/>
    <w:rsid w:val="001C3F62"/>
    <w:rsid w:val="001E1EAA"/>
    <w:rsid w:val="001E1F98"/>
    <w:rsid w:val="001E4050"/>
    <w:rsid w:val="001E4C01"/>
    <w:rsid w:val="001F2EC7"/>
    <w:rsid w:val="001F396B"/>
    <w:rsid w:val="00210721"/>
    <w:rsid w:val="002118F6"/>
    <w:rsid w:val="002163C0"/>
    <w:rsid w:val="00221CDF"/>
    <w:rsid w:val="0024546F"/>
    <w:rsid w:val="002521C1"/>
    <w:rsid w:val="002610A9"/>
    <w:rsid w:val="002653C2"/>
    <w:rsid w:val="00274F4E"/>
    <w:rsid w:val="00275471"/>
    <w:rsid w:val="00285183"/>
    <w:rsid w:val="0029075B"/>
    <w:rsid w:val="002918DE"/>
    <w:rsid w:val="0029220D"/>
    <w:rsid w:val="002A2C5F"/>
    <w:rsid w:val="002A5150"/>
    <w:rsid w:val="002A6A4C"/>
    <w:rsid w:val="002B379D"/>
    <w:rsid w:val="002B44DA"/>
    <w:rsid w:val="002C21A3"/>
    <w:rsid w:val="002C512F"/>
    <w:rsid w:val="002C6EFE"/>
    <w:rsid w:val="002D0216"/>
    <w:rsid w:val="002D1A87"/>
    <w:rsid w:val="002D25F9"/>
    <w:rsid w:val="002D4BE9"/>
    <w:rsid w:val="002F1104"/>
    <w:rsid w:val="002F6211"/>
    <w:rsid w:val="002F7E40"/>
    <w:rsid w:val="00300FA3"/>
    <w:rsid w:val="00303C35"/>
    <w:rsid w:val="00304D05"/>
    <w:rsid w:val="00312DA6"/>
    <w:rsid w:val="00313FBA"/>
    <w:rsid w:val="00320AF0"/>
    <w:rsid w:val="0033369E"/>
    <w:rsid w:val="00353ACF"/>
    <w:rsid w:val="003877CA"/>
    <w:rsid w:val="003952CE"/>
    <w:rsid w:val="00396C28"/>
    <w:rsid w:val="003A56BA"/>
    <w:rsid w:val="003B7AAB"/>
    <w:rsid w:val="003C0E47"/>
    <w:rsid w:val="003C1BFF"/>
    <w:rsid w:val="003C3DEB"/>
    <w:rsid w:val="003D0C6C"/>
    <w:rsid w:val="003D4968"/>
    <w:rsid w:val="003D5B7F"/>
    <w:rsid w:val="003D6634"/>
    <w:rsid w:val="003E0404"/>
    <w:rsid w:val="003E118D"/>
    <w:rsid w:val="003E5CB2"/>
    <w:rsid w:val="00403CB9"/>
    <w:rsid w:val="00411829"/>
    <w:rsid w:val="004133A8"/>
    <w:rsid w:val="00422311"/>
    <w:rsid w:val="0044148C"/>
    <w:rsid w:val="00446398"/>
    <w:rsid w:val="0046415A"/>
    <w:rsid w:val="004923C1"/>
    <w:rsid w:val="00496775"/>
    <w:rsid w:val="004A0254"/>
    <w:rsid w:val="004A4C92"/>
    <w:rsid w:val="004B46D9"/>
    <w:rsid w:val="004F4705"/>
    <w:rsid w:val="004F5E4F"/>
    <w:rsid w:val="00502A0A"/>
    <w:rsid w:val="005179AD"/>
    <w:rsid w:val="005247A5"/>
    <w:rsid w:val="0052706F"/>
    <w:rsid w:val="00530C09"/>
    <w:rsid w:val="00537A32"/>
    <w:rsid w:val="00542DE9"/>
    <w:rsid w:val="00562C02"/>
    <w:rsid w:val="00563064"/>
    <w:rsid w:val="00594324"/>
    <w:rsid w:val="00596313"/>
    <w:rsid w:val="005A0184"/>
    <w:rsid w:val="005B1884"/>
    <w:rsid w:val="005B4574"/>
    <w:rsid w:val="005C1BB7"/>
    <w:rsid w:val="00623765"/>
    <w:rsid w:val="00626A3F"/>
    <w:rsid w:val="00627881"/>
    <w:rsid w:val="006367A9"/>
    <w:rsid w:val="00642BB6"/>
    <w:rsid w:val="0066444F"/>
    <w:rsid w:val="00682667"/>
    <w:rsid w:val="006961F0"/>
    <w:rsid w:val="006A094F"/>
    <w:rsid w:val="006A7391"/>
    <w:rsid w:val="006A739D"/>
    <w:rsid w:val="006C196D"/>
    <w:rsid w:val="006E7A46"/>
    <w:rsid w:val="006F38F7"/>
    <w:rsid w:val="0070200F"/>
    <w:rsid w:val="00705B40"/>
    <w:rsid w:val="00713942"/>
    <w:rsid w:val="00714838"/>
    <w:rsid w:val="00726AB6"/>
    <w:rsid w:val="00734448"/>
    <w:rsid w:val="00750FB4"/>
    <w:rsid w:val="007712FE"/>
    <w:rsid w:val="00782D3D"/>
    <w:rsid w:val="007846E5"/>
    <w:rsid w:val="007A388B"/>
    <w:rsid w:val="007A70E6"/>
    <w:rsid w:val="007B03F2"/>
    <w:rsid w:val="007B0CB0"/>
    <w:rsid w:val="007D7438"/>
    <w:rsid w:val="007E475C"/>
    <w:rsid w:val="007F4E89"/>
    <w:rsid w:val="007F6357"/>
    <w:rsid w:val="008030C3"/>
    <w:rsid w:val="00811B89"/>
    <w:rsid w:val="00816686"/>
    <w:rsid w:val="0082007C"/>
    <w:rsid w:val="008206C1"/>
    <w:rsid w:val="0083184F"/>
    <w:rsid w:val="0083232B"/>
    <w:rsid w:val="00845489"/>
    <w:rsid w:val="00852DE4"/>
    <w:rsid w:val="00861450"/>
    <w:rsid w:val="00865E24"/>
    <w:rsid w:val="0087702E"/>
    <w:rsid w:val="0087763E"/>
    <w:rsid w:val="008803A4"/>
    <w:rsid w:val="008836F2"/>
    <w:rsid w:val="008933AB"/>
    <w:rsid w:val="008A1360"/>
    <w:rsid w:val="008B2118"/>
    <w:rsid w:val="008D0E78"/>
    <w:rsid w:val="008D2FF4"/>
    <w:rsid w:val="008E0F81"/>
    <w:rsid w:val="008F7ECC"/>
    <w:rsid w:val="009063C7"/>
    <w:rsid w:val="00910462"/>
    <w:rsid w:val="009203FA"/>
    <w:rsid w:val="00934FA6"/>
    <w:rsid w:val="009355BA"/>
    <w:rsid w:val="00956512"/>
    <w:rsid w:val="009704A2"/>
    <w:rsid w:val="00977CA7"/>
    <w:rsid w:val="0099695D"/>
    <w:rsid w:val="009A2752"/>
    <w:rsid w:val="009A5D09"/>
    <w:rsid w:val="009B1FAD"/>
    <w:rsid w:val="009D0924"/>
    <w:rsid w:val="009D6F1E"/>
    <w:rsid w:val="009E45D3"/>
    <w:rsid w:val="009E6BDB"/>
    <w:rsid w:val="009F4E95"/>
    <w:rsid w:val="009F7022"/>
    <w:rsid w:val="00A02393"/>
    <w:rsid w:val="00A1170C"/>
    <w:rsid w:val="00A15D87"/>
    <w:rsid w:val="00A227FC"/>
    <w:rsid w:val="00A447C0"/>
    <w:rsid w:val="00A56825"/>
    <w:rsid w:val="00A673EB"/>
    <w:rsid w:val="00A74737"/>
    <w:rsid w:val="00A77EC5"/>
    <w:rsid w:val="00AB140A"/>
    <w:rsid w:val="00AB1841"/>
    <w:rsid w:val="00AB2303"/>
    <w:rsid w:val="00AC73DE"/>
    <w:rsid w:val="00AD504F"/>
    <w:rsid w:val="00AE0D25"/>
    <w:rsid w:val="00AE14FF"/>
    <w:rsid w:val="00AE2FF4"/>
    <w:rsid w:val="00B03285"/>
    <w:rsid w:val="00B16835"/>
    <w:rsid w:val="00B200ED"/>
    <w:rsid w:val="00B34793"/>
    <w:rsid w:val="00B36E39"/>
    <w:rsid w:val="00B539A9"/>
    <w:rsid w:val="00B6207E"/>
    <w:rsid w:val="00B64F87"/>
    <w:rsid w:val="00B73DA3"/>
    <w:rsid w:val="00B81125"/>
    <w:rsid w:val="00B8112B"/>
    <w:rsid w:val="00B853D4"/>
    <w:rsid w:val="00B90317"/>
    <w:rsid w:val="00B93F21"/>
    <w:rsid w:val="00BC35B8"/>
    <w:rsid w:val="00BC70E2"/>
    <w:rsid w:val="00BE55CA"/>
    <w:rsid w:val="00BF118B"/>
    <w:rsid w:val="00BF28EC"/>
    <w:rsid w:val="00C00F88"/>
    <w:rsid w:val="00C05E95"/>
    <w:rsid w:val="00C20809"/>
    <w:rsid w:val="00C3643A"/>
    <w:rsid w:val="00C37B23"/>
    <w:rsid w:val="00C44608"/>
    <w:rsid w:val="00C574EE"/>
    <w:rsid w:val="00C60D17"/>
    <w:rsid w:val="00C6312D"/>
    <w:rsid w:val="00C718EB"/>
    <w:rsid w:val="00C7577F"/>
    <w:rsid w:val="00CA35A8"/>
    <w:rsid w:val="00CA7960"/>
    <w:rsid w:val="00CB196D"/>
    <w:rsid w:val="00CB2886"/>
    <w:rsid w:val="00CC7CF0"/>
    <w:rsid w:val="00CE5E69"/>
    <w:rsid w:val="00CF0DEA"/>
    <w:rsid w:val="00D000AE"/>
    <w:rsid w:val="00D100BD"/>
    <w:rsid w:val="00D1195A"/>
    <w:rsid w:val="00D167B1"/>
    <w:rsid w:val="00D25C9A"/>
    <w:rsid w:val="00D3159B"/>
    <w:rsid w:val="00D32B06"/>
    <w:rsid w:val="00D43BBD"/>
    <w:rsid w:val="00D61B59"/>
    <w:rsid w:val="00D6359C"/>
    <w:rsid w:val="00D758EF"/>
    <w:rsid w:val="00D80D84"/>
    <w:rsid w:val="00D8519B"/>
    <w:rsid w:val="00D86732"/>
    <w:rsid w:val="00DA44A9"/>
    <w:rsid w:val="00DA4860"/>
    <w:rsid w:val="00DC5A8E"/>
    <w:rsid w:val="00DE752F"/>
    <w:rsid w:val="00DF7E91"/>
    <w:rsid w:val="00E02B6A"/>
    <w:rsid w:val="00E17E07"/>
    <w:rsid w:val="00E2125A"/>
    <w:rsid w:val="00E23670"/>
    <w:rsid w:val="00E24FA2"/>
    <w:rsid w:val="00E256E7"/>
    <w:rsid w:val="00E35D6F"/>
    <w:rsid w:val="00E4290A"/>
    <w:rsid w:val="00E44DF1"/>
    <w:rsid w:val="00E47639"/>
    <w:rsid w:val="00E51A6D"/>
    <w:rsid w:val="00E5449B"/>
    <w:rsid w:val="00E6099A"/>
    <w:rsid w:val="00E60B1D"/>
    <w:rsid w:val="00E67885"/>
    <w:rsid w:val="00EA4B29"/>
    <w:rsid w:val="00EA4B99"/>
    <w:rsid w:val="00EA5878"/>
    <w:rsid w:val="00EB0F17"/>
    <w:rsid w:val="00EB289B"/>
    <w:rsid w:val="00EB783C"/>
    <w:rsid w:val="00EC0DDC"/>
    <w:rsid w:val="00EC4213"/>
    <w:rsid w:val="00EC6BA3"/>
    <w:rsid w:val="00EE1065"/>
    <w:rsid w:val="00EE38E7"/>
    <w:rsid w:val="00EE7B1B"/>
    <w:rsid w:val="00F0360F"/>
    <w:rsid w:val="00F12C83"/>
    <w:rsid w:val="00F23EFD"/>
    <w:rsid w:val="00F30D26"/>
    <w:rsid w:val="00F40970"/>
    <w:rsid w:val="00F4416D"/>
    <w:rsid w:val="00F531AD"/>
    <w:rsid w:val="00F6008B"/>
    <w:rsid w:val="00F67B7A"/>
    <w:rsid w:val="00F70B6C"/>
    <w:rsid w:val="00F72B07"/>
    <w:rsid w:val="00F73C4B"/>
    <w:rsid w:val="00F74337"/>
    <w:rsid w:val="00FD4196"/>
    <w:rsid w:val="00FE14C1"/>
    <w:rsid w:val="00FE657F"/>
    <w:rsid w:val="00FF041A"/>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2A18-04D7-45A9-B9AE-87CD556E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Desislava g. Georgieva</cp:lastModifiedBy>
  <cp:revision>4</cp:revision>
  <dcterms:created xsi:type="dcterms:W3CDTF">2020-02-17T15:43:00Z</dcterms:created>
  <dcterms:modified xsi:type="dcterms:W3CDTF">2020-02-18T07:42:00Z</dcterms:modified>
</cp:coreProperties>
</file>