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58" w:rsidRPr="00BB642C" w:rsidRDefault="001A7A58" w:rsidP="00E04838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УВАЖАЕМИ ВНОСИТЕЛИ,</w:t>
      </w:r>
    </w:p>
    <w:p w:rsidR="00C30593" w:rsidRDefault="00C30593" w:rsidP="00E04838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bg-BG"/>
        </w:rPr>
      </w:pPr>
    </w:p>
    <w:p w:rsidR="001A7A58" w:rsidRPr="00BB642C" w:rsidRDefault="001A7A58" w:rsidP="00BB642C">
      <w:pPr>
        <w:pStyle w:val="Defaul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След оттеглянето на Обединеното кралство от Европейския съюз, количествата, </w:t>
      </w:r>
      <w:r w:rsidR="00BB642C"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за които можете да кандидатстват</w:t>
      </w: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е за разпределение по тарифните</w:t>
      </w:r>
      <w:r w:rsidR="00BB642C"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квоти за внос в рамките на СТО, които се разпределят по метода на едновременната проверк</w:t>
      </w:r>
      <w:r w:rsidR="00A745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а</w:t>
      </w:r>
      <w:r w:rsidR="00BB642C"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и</w:t>
      </w: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за които ще се издават  лицензиите за внос, са редуцирани съгласно Приложение I</w:t>
      </w:r>
      <w:r w:rsidR="00BB642C"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на Регламент за изпълнение (ЕС) 2019/386 на Комисията от 11 март 2019 година за определяне на правила</w:t>
      </w:r>
      <w:r w:rsidR="00BB642C" w:rsidRPr="00BB642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отношение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пропорционалното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разпределяне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тарифните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квоти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някои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земеделски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продукти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включени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списъка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Съюза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рамките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СТО,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оттеглянето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Обединеното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кралство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Съюза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и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отношение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издадените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лицензии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внос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получените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внос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тези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тарифни</w:t>
      </w:r>
      <w:proofErr w:type="spellEnd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642C" w:rsidRPr="00BB6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квоти</w:t>
      </w:r>
      <w:proofErr w:type="spellEnd"/>
      <w:r w:rsidR="00C30593"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>.</w:t>
      </w: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 </w:t>
      </w:r>
    </w:p>
    <w:p w:rsidR="001A7A58" w:rsidRPr="00BB642C" w:rsidRDefault="001A7A58" w:rsidP="00BB642C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</w:pPr>
    </w:p>
    <w:p w:rsidR="001A7A58" w:rsidRPr="00BB642C" w:rsidRDefault="001A7A58" w:rsidP="001A7A58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val="bg-BG"/>
        </w:rPr>
      </w:pP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val="bg-BG"/>
        </w:rPr>
        <w:t>Специфични особености</w:t>
      </w:r>
    </w:p>
    <w:p w:rsidR="001A7A58" w:rsidRPr="00BB642C" w:rsidRDefault="001A7A58" w:rsidP="0095584D">
      <w:pPr>
        <w:pStyle w:val="ListParagraph"/>
        <w:numPr>
          <w:ilvl w:val="0"/>
          <w:numId w:val="3"/>
        </w:num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</w:pP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Тарифните квоти, за които периодът на квотата започва преди деня, от който влиза в сила оттеглянето на Обединеното кралство от Съюза и приключва след този ден, разпределението на съответната квота се извършва с прилагане на процент за ЕС </w:t>
      </w:r>
      <w:r w:rsidR="0095584D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–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27</w:t>
      </w:r>
      <w:r w:rsidR="0095584D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към количествата по тази квота, налично след последното разпределен</w:t>
      </w:r>
      <w:r w:rsidR="00F54720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ие. </w:t>
      </w:r>
      <w:r w:rsidR="0095584D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Количествата, разпределени за операторите в държавите членки</w:t>
      </w:r>
      <w:r w:rsidR="00F54720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(ЕС – 27)</w:t>
      </w:r>
      <w:r w:rsidR="0095584D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, различни от Обединеното кралство, </w:t>
      </w:r>
      <w:r w:rsidR="00F54720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няма да</w:t>
      </w:r>
      <w:r w:rsidR="0095584D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надхвърлят количествата посочени в колона 3 на Приложение </w:t>
      </w:r>
      <w:r w:rsidR="0095584D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I</w:t>
      </w:r>
      <w:r w:rsidR="0095584D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.</w:t>
      </w:r>
    </w:p>
    <w:p w:rsidR="00F54720" w:rsidRPr="00BB642C" w:rsidRDefault="00F54720" w:rsidP="0095584D">
      <w:pPr>
        <w:pStyle w:val="ListParagraph"/>
        <w:numPr>
          <w:ilvl w:val="0"/>
          <w:numId w:val="3"/>
        </w:num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</w:pP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В рамките на два работни дни след оттеглянето на Обединеното кралство от Съюза Комисията ще публикува информация за наличните количества за </w:t>
      </w:r>
      <w:r w:rsidR="00A745D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всяка тарифна квота, управлявана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по м</w:t>
      </w:r>
      <w:r w:rsidR="00A745D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етода на едновременната проверка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и на принципа „пръв пристигнал, пръв обслужен“.</w:t>
      </w:r>
    </w:p>
    <w:p w:rsidR="00EF2976" w:rsidRPr="00BB642C" w:rsidRDefault="00F54720" w:rsidP="0095584D">
      <w:pPr>
        <w:pStyle w:val="ListParagraph"/>
        <w:numPr>
          <w:ilvl w:val="0"/>
          <w:numId w:val="3"/>
        </w:num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</w:pP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Правата и задълженията, произтичащи от издадени лицензии за внос и правата на внос издадени от компетентн</w:t>
      </w:r>
      <w:r w:rsidR="00EF2976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ия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орган на Обединеното кралство по тарифни квоти, посочени в Приложение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I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, изтичат в рамките на Съюза след датата на оттегляне на Обединеното кралство от ЕС.</w:t>
      </w:r>
    </w:p>
    <w:p w:rsidR="00F54720" w:rsidRPr="00BB642C" w:rsidRDefault="00EF2976" w:rsidP="0095584D">
      <w:pPr>
        <w:pStyle w:val="ListParagraph"/>
        <w:numPr>
          <w:ilvl w:val="0"/>
          <w:numId w:val="3"/>
        </w:num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</w:pP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Правата и задълженията, произтичащи от издадени лицензии за внос и правата на внос, издадени от компетентните органи на</w:t>
      </w:r>
      <w:r w:rsidR="00F54720"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държавите членки, различни от Обединеното кралство, по тарифни квоти посочени в Приложение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I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, остават приложими в рамките на Съюза.</w:t>
      </w:r>
    </w:p>
    <w:p w:rsidR="00EF2976" w:rsidRPr="00BB642C" w:rsidRDefault="00EF2976" w:rsidP="0095584D">
      <w:pPr>
        <w:pStyle w:val="ListParagraph"/>
        <w:numPr>
          <w:ilvl w:val="0"/>
          <w:numId w:val="3"/>
        </w:num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</w:pP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Когато са б</w:t>
      </w:r>
      <w:r w:rsidR="00A745D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или прехвърлени права за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внос по изд</w:t>
      </w:r>
      <w:r w:rsidR="00A745D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адени лицензии за внос и права з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>а внос на</w:t>
      </w:r>
      <w:bookmarkStart w:id="0" w:name="_GoBack"/>
      <w:bookmarkEnd w:id="0"/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t xml:space="preserve"> оператори от Обединеното кралство, след оттеглянето на </w:t>
      </w:r>
      <w:r w:rsidRPr="00BB642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val="bg-BG"/>
        </w:rPr>
        <w:lastRenderedPageBreak/>
        <w:t xml:space="preserve">Обединеното кралство от Съюза тези права и задължения изтичат и не се прилагат в рамките на ЕС. </w:t>
      </w:r>
    </w:p>
    <w:p w:rsidR="00EF2976" w:rsidRPr="00BB642C" w:rsidRDefault="00EF2976" w:rsidP="00BB642C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</w:pPr>
    </w:p>
    <w:p w:rsidR="00BB642C" w:rsidRDefault="00E04838" w:rsidP="00E04838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</w:pP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  <w:t>ПРИЛОЖЕНИЕ I</w:t>
      </w:r>
      <w:r w:rsidR="00BB642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  <w:t xml:space="preserve"> </w:t>
      </w:r>
    </w:p>
    <w:p w:rsidR="00E04838" w:rsidRPr="00BB642C" w:rsidRDefault="00BB642C" w:rsidP="00E04838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  <w:t>на</w:t>
      </w: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g-BG"/>
        </w:rPr>
        <w:t xml:space="preserve"> Регламент за изпълнение (ЕС) 2019/386 на Комисията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  <w:t xml:space="preserve"> </w:t>
      </w:r>
    </w:p>
    <w:p w:rsidR="00E04838" w:rsidRPr="00BB642C" w:rsidRDefault="00E04838" w:rsidP="009120F4">
      <w:pPr>
        <w:shd w:val="clear" w:color="auto" w:fill="FFFFFF"/>
        <w:spacing w:before="24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</w:pPr>
      <w:r w:rsidRPr="00BB642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bg-BG"/>
        </w:rPr>
        <w:t>Тарифни квоти, управлявани по метода на едновременната проверка въз основа на лицензии</w:t>
      </w:r>
    </w:p>
    <w:tbl>
      <w:tblPr>
        <w:tblW w:w="49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835"/>
        <w:gridCol w:w="1558"/>
        <w:gridCol w:w="1320"/>
        <w:gridCol w:w="1936"/>
      </w:tblGrid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  <w:t>Пореден номер на тарифната квота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  <w:t>Правно основание/Регламент за откриването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  <w:t>Ново количество ЕС-27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  <w:t>Дял на ЕС-27 в квотата</w:t>
            </w:r>
            <w:hyperlink r:id="rId6" w:anchor="ntr1-L_2019070BG.01000701-E0001" w:history="1"/>
            <w:r w:rsidR="00395541" w:rsidRPr="00BB642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D30CFD" w:rsidP="00E04838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bg-BG"/>
              </w:rPr>
              <w:t>Сектор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09.4451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Регламент за изпълнение (ЕС) № 593/2013 на Комисията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2 481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34,7 %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9748EA" w:rsidP="00BB642C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="00E60B1B"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0B1B"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09.4450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16 936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99,6 %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EA" w:rsidRPr="00BB642C" w:rsidRDefault="00E60B1B" w:rsidP="00BB64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48EA" w:rsidRPr="00BB642C" w:rsidRDefault="009748EA" w:rsidP="00E04838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12 453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EA" w:rsidRPr="00BB642C" w:rsidRDefault="00E60B1B" w:rsidP="00BB64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09.4452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2 022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8EA" w:rsidRPr="00BB642C" w:rsidRDefault="009748EA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87,9 %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8EA" w:rsidRPr="00BB642C" w:rsidRDefault="00E60B1B" w:rsidP="00BB64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0B1B" w:rsidRPr="00BB642C" w:rsidRDefault="00E60B1B" w:rsidP="00E04838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3 584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87,9 %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09.4002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11 481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99,8 %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09.4455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711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71,1 %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09.4454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846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65,1 %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09.4453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8 951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89,5 %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09.4003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431/2008 на Комисията</w:t>
            </w:r>
            <w:r w:rsidR="00395541" w:rsidRPr="00BB642C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43 732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79,7 %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09.4001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1 405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62,4 %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lastRenderedPageBreak/>
              <w:t>09.4004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593/2013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09.4057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412/2008 на Комисията</w:t>
            </w:r>
            <w:hyperlink r:id="rId7" w:anchor="ntr4-L_2019070BG.01000701-E0004" w:history="1">
              <w:r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</w:hyperlink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30CFD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15 443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DF6282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30,9 %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09.4058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412/2008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4 233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30,9 %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09.4020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748/2008 на Комисията</w:t>
            </w:r>
            <w:hyperlink r:id="rId8" w:anchor="ntr5-L_2019070BG.01000701-E0005" w:history="1"/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09.4460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748/2008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700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BB642C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Говеждо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09.4038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442/2009 на Комисията</w:t>
            </w:r>
            <w:hyperlink r:id="rId9" w:anchor="ntr6-L_2019070BG.01000701-E0006" w:history="1"/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12 680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36 %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6E2EAC" w:rsidP="00BB642C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Свинско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09.4170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442/2009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1 770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36 %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BB64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Свинско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09.4282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2017/1585 на Комисията</w:t>
            </w:r>
            <w:hyperlink r:id="rId10" w:anchor="ntr7-L_2019070BG.01000701-E0007" w:history="1"/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2020 година: 55 548  тона</w:t>
            </w:r>
          </w:p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2021 година: 68 048  тона</w:t>
            </w:r>
          </w:p>
          <w:p w:rsidR="006E2EAC" w:rsidRPr="00BB642C" w:rsidRDefault="006E2EAC" w:rsidP="00395541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От 2022 г.: 80 548  тона</w:t>
            </w:r>
            <w:hyperlink r:id="rId11" w:anchor="ntr8-L_2019070BG.01000701-E0008" w:history="1">
              <w:r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  <w:r w:rsidR="00395541"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 xml:space="preserve"> </w:t>
              </w:r>
            </w:hyperlink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BB64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Свинско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09.4067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533/2007 на Комисията</w:t>
            </w:r>
            <w:r w:rsidR="00395541" w:rsidRPr="00BB642C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4 054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64,9 %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6E2EAC" w:rsidP="006E2EAC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09.4068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533/2007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8 253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96,3 %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09.4069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533/2007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2 427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89,7 %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09.4410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1385/2007 на Комисията</w:t>
            </w:r>
            <w:r w:rsidR="00395541" w:rsidRPr="00BB642C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14 479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86,7 %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09.4411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1385/2007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4 432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86,9 %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09.4412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1385/2007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2 868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86,9 %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09.4070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533/2007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1 781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09.4420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1385/2007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4 227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86,1 %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09.4421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1385/2007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597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85,3 %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09.4422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1385/2007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2 121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85,3 %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09.4169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536/2007 на Комисията</w:t>
            </w:r>
            <w:hyperlink r:id="rId12" w:anchor="ntr11-L_2019070BG.01000701-E0011" w:history="1">
              <w:r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  <w:r w:rsidR="00395541"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 xml:space="preserve"> </w:t>
              </w:r>
            </w:hyperlink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21 345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lastRenderedPageBreak/>
              <w:t>09.4211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 на Комисията</w:t>
            </w:r>
            <w:hyperlink r:id="rId13" w:anchor="ntr12-L_2019070BG.01000701-E0012" w:history="1">
              <w:r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</w:hyperlink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129 930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76,1 %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09.4212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68 385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73,8 %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09.4213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824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EAC" w:rsidRPr="00BB642C" w:rsidRDefault="006E2EAC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99,5 %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AC" w:rsidRPr="00BB642C" w:rsidRDefault="006E2EAC" w:rsidP="006E2EA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09.4217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89 950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97,5 %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E60B1B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 -</w:t>
            </w:r>
            <w:proofErr w:type="spellStart"/>
            <w:r w:rsidR="00927C9F"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Пуешко</w:t>
            </w:r>
            <w:proofErr w:type="spellEnd"/>
            <w:r w:rsidR="006E2EAC"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 xml:space="preserve">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09.4218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11 301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97,5 %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E60B1B" w:rsidP="00E60B1B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 -</w:t>
            </w:r>
            <w:proofErr w:type="spellStart"/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Пуешко</w:t>
            </w:r>
            <w:proofErr w:type="spellEnd"/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 xml:space="preserve"> месо 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09.4214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52 665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66,3 %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09.4215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109 441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68,4 %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09.4216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8 471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74 %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10 969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69,4 %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09.4261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236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69,4 %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59 699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94,9 %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8 019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57,3 %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09.4260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1 669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59,6 %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163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55,3 %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1 162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55,3 %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09.4262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260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55,3 %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09.4256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8 572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63,5 %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09.4263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159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72,1 %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300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09.4264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09.4259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278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6790" w:rsidRPr="00BB642C" w:rsidRDefault="0077679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46,4 %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790" w:rsidRPr="00BB642C" w:rsidRDefault="00776790" w:rsidP="00776790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09.4265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616/2007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46,4 %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B92239" w:rsidP="00776790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Птиче месо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09.4015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539/2007 на Комисията</w:t>
            </w:r>
            <w:hyperlink r:id="rId14" w:anchor="ntr13-L_2019070BG.01000701-E0013" w:history="1"/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114 669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84,9 %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B92239" w:rsidP="00776790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Яйца</w:t>
            </w:r>
            <w:r w:rsidR="00E60B1B"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 xml:space="preserve"> и яйчен албумин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lastRenderedPageBreak/>
              <w:t>09.4401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539/2007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7 000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Яйца и яйчен албумин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09.4402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539/2007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15 500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Яйца и яйчен албумин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 на Комисията</w:t>
            </w:r>
            <w:hyperlink r:id="rId15" w:anchor="ntr14-L_2019070BG.01000701-E0014" w:history="1"/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68 536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99,998 %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E60B1B" w:rsidP="00776790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040" w:rsidRPr="00BB642C" w:rsidRDefault="00C7004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040" w:rsidRPr="00BB642C" w:rsidRDefault="00C70040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040" w:rsidRPr="00BB642C" w:rsidRDefault="00C70040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11 360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040" w:rsidRPr="00BB642C" w:rsidRDefault="00C70040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040" w:rsidRPr="00BB642C" w:rsidRDefault="00C70040" w:rsidP="00C70040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</w:t>
            </w:r>
            <w:r w:rsidR="00E60B1B"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 xml:space="preserve">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09.4182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21 230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63,2 %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09.4195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25 947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927C9F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63,2 %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proofErr w:type="spellStart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Регламент</w:t>
            </w:r>
            <w:proofErr w:type="spellEnd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5 360 </w:t>
            </w:r>
            <w:proofErr w:type="spellStart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тона</w:t>
            </w:r>
            <w:proofErr w:type="spellEnd"/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18 438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5 413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11 741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58,7 %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09.4515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1 670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41,7 %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09.4522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14 941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99,6 %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09.4514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4 361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62,3 %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09.4521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3 711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09.4596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2535/2001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19 525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B1B" w:rsidRPr="00BB642C" w:rsidRDefault="00E60B1B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0B1B" w:rsidRPr="00BB642C" w:rsidRDefault="00E60B1B" w:rsidP="00E60B1B">
            <w:pPr>
              <w:jc w:val="center"/>
              <w:rPr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Мляко и млечни продукти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09.4104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Регламент (ЕО) № 341/2007 на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lastRenderedPageBreak/>
              <w:t>Комисията</w:t>
            </w:r>
            <w:hyperlink r:id="rId16" w:anchor="ntr15-L_2019070BG.01000701-E0015" w:history="1">
              <w:r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</w:hyperlink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lastRenderedPageBreak/>
              <w:t>13 403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Чесън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lastRenderedPageBreak/>
              <w:t>09.4099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341/2007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5 744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Чесън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09.4105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341/2007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28 389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84,1 %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Чесън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09.4100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341/2007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12 167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84,1 %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Чесън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09.4106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341/2007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2 598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61,6 %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Чесън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09.4102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341/2007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1 113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61,6 %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Чесън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09.4157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1979/2006 на Комисията</w:t>
            </w:r>
            <w:hyperlink r:id="rId17" w:anchor="ntr16-L_2019070BG.01000701-E0016" w:history="1">
              <w:r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</w:hyperlink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28 880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Консервирани гъби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09.4193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1979/2006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1 520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Консервирани гъби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09.4194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1979/2006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252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Консервирани гъби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09.4158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1979/2006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4 779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09" w:rsidRPr="00BB642C" w:rsidRDefault="00204109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109" w:rsidRPr="00BB642C" w:rsidRDefault="00204109" w:rsidP="00204109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Консервирани гъби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09.4123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1067/2008 на Комисията</w:t>
            </w:r>
            <w:hyperlink r:id="rId18" w:anchor="ntr17-L_2019070BG.01000701-E0017" w:history="1">
              <w:r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</w:hyperlink>
            <w:r w:rsidR="00395541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571 943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99,</w:t>
            </w:r>
            <w:proofErr w:type="spellStart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99</w:t>
            </w:r>
            <w:proofErr w:type="spellEnd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6B48A4" w:rsidP="00361C5A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Пшеница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09.4125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1067/2008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2 285 665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96,4 %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8946F1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Пшеница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09.4133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1067/2008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129 577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8946F1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Пшеница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09.4126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60B1B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2305/2003 на Комисията</w:t>
            </w:r>
            <w:hyperlink r:id="rId19" w:anchor="ntr18-L_2019070BG.01000701-E0018" w:history="1"/>
            <w:r w:rsidR="00E60B1B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306 812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99,9 %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8946F1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Ечемик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09.4131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60B1B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969/2006 на Комисията</w:t>
            </w:r>
            <w:hyperlink r:id="rId20" w:anchor="ntr19-L_2019070BG.01000701-E0019" w:history="1"/>
            <w:r w:rsidR="00E60B1B"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361C5A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269 214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96,8 %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8946F1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Царевица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09.4148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60B1B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 на Комисията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ind w:right="195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1 416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86,6 %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09.4127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ind w:right="195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15 888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41 %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09.4128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ind w:right="195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18 798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87,6 %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09.4129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240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23,5 %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09.4130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ind w:right="195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1 805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09.4138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395541">
            <w:pPr>
              <w:pStyle w:val="ListParagraph"/>
              <w:numPr>
                <w:ilvl w:val="0"/>
                <w:numId w:val="1"/>
              </w:num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395541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—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lastRenderedPageBreak/>
              <w:t>09.4112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4 682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84,9 %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09.4116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60B1B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990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41,5 %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09.4117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1 458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D2C" w:rsidRPr="00BB642C" w:rsidRDefault="00B96D2C" w:rsidP="00F93E73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D2C" w:rsidRPr="00BB642C" w:rsidRDefault="00B96D2C" w:rsidP="00B96D2C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09.4118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1 370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85,9 %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09.4119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3 041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88,5 %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09.4166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22 442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88 %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09.4168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26 581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83,6 %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09.4149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48 729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93,7 %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09.4150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14 993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93,7 %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09.4152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10 308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93,7 %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09.4153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8 434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93,7 %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09.4154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1273/2011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11 245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93,7 %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09.4317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395541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 на Комисията</w:t>
            </w:r>
            <w:r w:rsidR="00395541" w:rsidRPr="00BB642C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4 961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09.4318 (</w:t>
            </w:r>
            <w:proofErr w:type="spellStart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2023/2024 г.)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308 518 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09.4318 (</w:t>
            </w:r>
            <w:proofErr w:type="spellStart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2024/2025 г.)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380 555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09.4319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68 969 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09.4320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260 390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89,8 %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09.4321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5 841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58,4 %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lastRenderedPageBreak/>
              <w:t>09.4329 (</w:t>
            </w:r>
            <w:proofErr w:type="spellStart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2021/2022 г.)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72 037 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09.4329 (2022/2023)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54 028 </w:t>
            </w:r>
            <w:hyperlink r:id="rId21" w:anchor="ntr32-L_2019070BG.01000701-E0032" w:history="1">
              <w:r w:rsidR="00E60B1B"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</w:hyperlink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09.4330 (2022/2023)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18 009 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726" w:rsidRPr="00BB642C" w:rsidRDefault="00826726" w:rsidP="002C2314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6726" w:rsidRPr="00BB642C" w:rsidRDefault="00826726" w:rsidP="00826726">
            <w:pPr>
              <w:jc w:val="center"/>
              <w:rPr>
                <w:b/>
                <w:color w:val="000000" w:themeColor="text1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09.4330 (2023/2024)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(ЕО) № 891/2009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60B1B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54 028 </w:t>
            </w:r>
            <w:hyperlink r:id="rId22" w:anchor="ntr34-L_2019070BG.01000701-E0034" w:history="1"/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826726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92,4 %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826726" w:rsidP="00826726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Захар</w:t>
            </w:r>
          </w:p>
        </w:tc>
      </w:tr>
      <w:tr w:rsidR="00BB642C" w:rsidRPr="00BB642C" w:rsidTr="00BB642C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04838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09.4079</w:t>
            </w:r>
          </w:p>
        </w:tc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E60B1B">
            <w:pPr>
              <w:spacing w:before="60" w:after="60" w:line="312" w:lineRule="atLeas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Регламент за изпълнение (ЕС) № 480/2012 на Комисията</w:t>
            </w:r>
            <w:hyperlink r:id="rId23" w:anchor="ntr35-L_2019070BG.01000701-E0035" w:history="1">
              <w:r w:rsidR="00E60B1B" w:rsidRPr="00BB642C">
                <w:rPr>
                  <w:rFonts w:ascii="Segoe UI" w:eastAsia="Times New Roman" w:hAnsi="Segoe UI" w:cs="Segoe UI"/>
                  <w:color w:val="000000" w:themeColor="text1"/>
                  <w:sz w:val="18"/>
                  <w:szCs w:val="18"/>
                  <w:lang w:val="bg-BG"/>
                </w:rPr>
                <w:t> </w:t>
              </w:r>
            </w:hyperlink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826726">
            <w:pPr>
              <w:spacing w:before="60" w:after="60" w:line="312" w:lineRule="atLeast"/>
              <w:ind w:right="195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1 000 тона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4838" w:rsidRPr="00BB642C" w:rsidRDefault="00E04838" w:rsidP="00826726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bg-BG"/>
              </w:rPr>
              <w:t>100 %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4838" w:rsidRPr="00BB642C" w:rsidRDefault="00131E1E" w:rsidP="00826726">
            <w:pPr>
              <w:spacing w:before="60" w:after="60" w:line="312" w:lineRule="atLeast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</w:pPr>
            <w:r w:rsidRPr="00BB642C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val="bg-BG"/>
              </w:rPr>
              <w:t>Ориз</w:t>
            </w:r>
          </w:p>
        </w:tc>
      </w:tr>
    </w:tbl>
    <w:p w:rsidR="00993B72" w:rsidRPr="00BB642C" w:rsidRDefault="00993B72">
      <w:pPr>
        <w:rPr>
          <w:color w:val="000000" w:themeColor="text1"/>
        </w:rPr>
      </w:pPr>
    </w:p>
    <w:sectPr w:rsidR="00993B72" w:rsidRPr="00BB6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556"/>
    <w:multiLevelType w:val="hybridMultilevel"/>
    <w:tmpl w:val="D196EE48"/>
    <w:lvl w:ilvl="0" w:tplc="914EFE2E">
      <w:start w:val="9"/>
      <w:numFmt w:val="bullet"/>
      <w:lvlText w:val="—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C51"/>
    <w:multiLevelType w:val="hybridMultilevel"/>
    <w:tmpl w:val="00E6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2045"/>
    <w:multiLevelType w:val="hybridMultilevel"/>
    <w:tmpl w:val="1B48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38"/>
    <w:rsid w:val="00131E1E"/>
    <w:rsid w:val="001A7A58"/>
    <w:rsid w:val="00204109"/>
    <w:rsid w:val="00265C63"/>
    <w:rsid w:val="002C2314"/>
    <w:rsid w:val="00361C5A"/>
    <w:rsid w:val="00395541"/>
    <w:rsid w:val="00632375"/>
    <w:rsid w:val="006B48A4"/>
    <w:rsid w:val="006E2EAC"/>
    <w:rsid w:val="00776790"/>
    <w:rsid w:val="007A54EC"/>
    <w:rsid w:val="00826726"/>
    <w:rsid w:val="008946F1"/>
    <w:rsid w:val="009120F4"/>
    <w:rsid w:val="00927C9F"/>
    <w:rsid w:val="0095584D"/>
    <w:rsid w:val="009748EA"/>
    <w:rsid w:val="00993B72"/>
    <w:rsid w:val="00A745DC"/>
    <w:rsid w:val="00B92239"/>
    <w:rsid w:val="00B96D2C"/>
    <w:rsid w:val="00BB642C"/>
    <w:rsid w:val="00C30593"/>
    <w:rsid w:val="00C70040"/>
    <w:rsid w:val="00CE06BB"/>
    <w:rsid w:val="00D30CFD"/>
    <w:rsid w:val="00DF6282"/>
    <w:rsid w:val="00E04838"/>
    <w:rsid w:val="00E60B1B"/>
    <w:rsid w:val="00ED02C5"/>
    <w:rsid w:val="00EF2976"/>
    <w:rsid w:val="00F54720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41"/>
    <w:pPr>
      <w:ind w:left="720"/>
      <w:contextualSpacing/>
    </w:pPr>
  </w:style>
  <w:style w:type="paragraph" w:customStyle="1" w:styleId="Default">
    <w:name w:val="Default"/>
    <w:rsid w:val="00BB642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41"/>
    <w:pPr>
      <w:ind w:left="720"/>
      <w:contextualSpacing/>
    </w:pPr>
  </w:style>
  <w:style w:type="paragraph" w:customStyle="1" w:styleId="Default">
    <w:name w:val="Default"/>
    <w:rsid w:val="00BB642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5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19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9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3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8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66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:32019R0386" TargetMode="External"/><Relationship Id="rId13" Type="http://schemas.openxmlformats.org/officeDocument/2006/relationships/hyperlink" Target="https://eur-lex.europa.eu/legal-content/BG/TXT/?uri=CELEX:32019R0386" TargetMode="External"/><Relationship Id="rId18" Type="http://schemas.openxmlformats.org/officeDocument/2006/relationships/hyperlink" Target="https://eur-lex.europa.eu/legal-content/BG/TXT/?uri=CELEX:32019R03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ur-lex.europa.eu/legal-content/BG/TXT/?uri=CELEX:32019R0386" TargetMode="External"/><Relationship Id="rId7" Type="http://schemas.openxmlformats.org/officeDocument/2006/relationships/hyperlink" Target="https://eur-lex.europa.eu/legal-content/BG/TXT/?uri=CELEX:32019R0386" TargetMode="External"/><Relationship Id="rId12" Type="http://schemas.openxmlformats.org/officeDocument/2006/relationships/hyperlink" Target="https://eur-lex.europa.eu/legal-content/BG/TXT/?uri=CELEX:32019R0386" TargetMode="External"/><Relationship Id="rId17" Type="http://schemas.openxmlformats.org/officeDocument/2006/relationships/hyperlink" Target="https://eur-lex.europa.eu/legal-content/BG/TXT/?uri=CELEX:32019R03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BG/TXT/?uri=CELEX:32019R0386" TargetMode="External"/><Relationship Id="rId20" Type="http://schemas.openxmlformats.org/officeDocument/2006/relationships/hyperlink" Target="https://eur-lex.europa.eu/legal-content/BG/TXT/?uri=CELEX:32019R03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BG/TXT/?uri=CELEX:32019R0386" TargetMode="External"/><Relationship Id="rId11" Type="http://schemas.openxmlformats.org/officeDocument/2006/relationships/hyperlink" Target="https://eur-lex.europa.eu/legal-content/BG/TXT/?uri=CELEX:32019R03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BG/TXT/?uri=CELEX:32019R0386" TargetMode="External"/><Relationship Id="rId23" Type="http://schemas.openxmlformats.org/officeDocument/2006/relationships/hyperlink" Target="https://eur-lex.europa.eu/legal-content/BG/TXT/?uri=CELEX:32019R0386" TargetMode="External"/><Relationship Id="rId10" Type="http://schemas.openxmlformats.org/officeDocument/2006/relationships/hyperlink" Target="https://eur-lex.europa.eu/legal-content/BG/TXT/?uri=CELEX:32019R0386" TargetMode="External"/><Relationship Id="rId19" Type="http://schemas.openxmlformats.org/officeDocument/2006/relationships/hyperlink" Target="https://eur-lex.europa.eu/legal-content/BG/TXT/?uri=CELEX:32019R0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BG/TXT/?uri=CELEX:32019R0386" TargetMode="External"/><Relationship Id="rId14" Type="http://schemas.openxmlformats.org/officeDocument/2006/relationships/hyperlink" Target="https://eur-lex.europa.eu/legal-content/BG/TXT/?uri=CELEX:32019R0386" TargetMode="External"/><Relationship Id="rId22" Type="http://schemas.openxmlformats.org/officeDocument/2006/relationships/hyperlink" Target="https://eur-lex.europa.eu/legal-content/BG/TXT/?uri=CELEX:32019R0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Radostka Savova</dc:creator>
  <cp:lastModifiedBy>Boris Stoykov</cp:lastModifiedBy>
  <cp:revision>8</cp:revision>
  <dcterms:created xsi:type="dcterms:W3CDTF">2020-01-20T13:49:00Z</dcterms:created>
  <dcterms:modified xsi:type="dcterms:W3CDTF">2020-01-27T12:41:00Z</dcterms:modified>
</cp:coreProperties>
</file>