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EB" w:rsidRPr="00E85898" w:rsidRDefault="008778EB" w:rsidP="004052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265" w:type="pct"/>
        <w:jc w:val="center"/>
        <w:tblLayout w:type="fixed"/>
        <w:tblLook w:val="04A0" w:firstRow="1" w:lastRow="0" w:firstColumn="1" w:lastColumn="0" w:noHBand="0" w:noVBand="1"/>
      </w:tblPr>
      <w:tblGrid>
        <w:gridCol w:w="1503"/>
        <w:gridCol w:w="6559"/>
        <w:gridCol w:w="6912"/>
      </w:tblGrid>
      <w:tr w:rsidR="00E85898" w:rsidRPr="00405237" w:rsidTr="00855088">
        <w:trPr>
          <w:jc w:val="center"/>
        </w:trPr>
        <w:tc>
          <w:tcPr>
            <w:tcW w:w="502" w:type="pct"/>
            <w:shd w:val="clear" w:color="auto" w:fill="DBE5F1" w:themeFill="accent1" w:themeFillTint="33"/>
            <w:vAlign w:val="center"/>
          </w:tcPr>
          <w:p w:rsidR="00E85898" w:rsidRPr="00405237" w:rsidRDefault="00E85898" w:rsidP="0040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№, дата на получаване</w:t>
            </w:r>
          </w:p>
        </w:tc>
        <w:tc>
          <w:tcPr>
            <w:tcW w:w="2190" w:type="pct"/>
            <w:shd w:val="clear" w:color="auto" w:fill="DBE5F1" w:themeFill="accent1" w:themeFillTint="33"/>
            <w:vAlign w:val="center"/>
          </w:tcPr>
          <w:p w:rsidR="00E85898" w:rsidRPr="00405237" w:rsidRDefault="00E85898" w:rsidP="0040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Данни на подателя (име и/или ел. поща), въпрос</w:t>
            </w:r>
          </w:p>
        </w:tc>
        <w:tc>
          <w:tcPr>
            <w:tcW w:w="2308" w:type="pct"/>
            <w:shd w:val="clear" w:color="auto" w:fill="DBE5F1" w:themeFill="accent1" w:themeFillTint="33"/>
            <w:vAlign w:val="center"/>
          </w:tcPr>
          <w:p w:rsidR="00E85898" w:rsidRPr="00405237" w:rsidRDefault="00E85898" w:rsidP="0040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Разяснение от УО</w:t>
            </w:r>
          </w:p>
        </w:tc>
      </w:tr>
      <w:tr w:rsidR="00414955" w:rsidRPr="00405237" w:rsidTr="00414955">
        <w:trPr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414955" w:rsidRPr="00405237" w:rsidRDefault="00414955" w:rsidP="00405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 публикуване </w:t>
            </w:r>
            <w:r w:rsidRPr="00405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405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.2019 г.</w:t>
            </w:r>
          </w:p>
        </w:tc>
      </w:tr>
      <w:tr w:rsidR="00896E96" w:rsidRPr="00405237" w:rsidTr="00855088">
        <w:trPr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896E96" w:rsidRPr="00405237" w:rsidRDefault="00896E96" w:rsidP="0040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Запитване № 1</w:t>
            </w:r>
          </w:p>
          <w:p w:rsidR="00896E96" w:rsidRPr="00405237" w:rsidRDefault="00CF6346" w:rsidP="0040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0A24" w:rsidRPr="0040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896E96" w:rsidRPr="004052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F0A24" w:rsidRPr="0040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6E96" w:rsidRPr="00405237">
              <w:rPr>
                <w:rFonts w:ascii="Times New Roman" w:hAnsi="Times New Roman" w:cs="Times New Roman"/>
                <w:sz w:val="24"/>
                <w:szCs w:val="24"/>
              </w:rPr>
              <w:t>.2019)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896E96" w:rsidRPr="00405237" w:rsidRDefault="00896E96" w:rsidP="00405237">
            <w:pPr>
              <w:pStyle w:val="ydp8af6b4demsonormal"/>
              <w:contextualSpacing/>
              <w:jc w:val="both"/>
              <w:rPr>
                <w:rFonts w:eastAsia="Times New Roman"/>
                <w:b/>
                <w:i/>
                <w:iCs/>
              </w:rPr>
            </w:pPr>
          </w:p>
          <w:p w:rsidR="00896E96" w:rsidRPr="00405237" w:rsidRDefault="006F0A24" w:rsidP="00405237">
            <w:pPr>
              <w:pStyle w:val="ydp8af6b4demsonormal"/>
              <w:contextualSpacing/>
              <w:rPr>
                <w:b/>
                <w:iCs/>
              </w:rPr>
            </w:pPr>
            <w:proofErr w:type="spellStart"/>
            <w:r w:rsidRPr="00405237">
              <w:rPr>
                <w:rStyle w:val="Strong"/>
              </w:rPr>
              <w:t>Ангелин</w:t>
            </w:r>
            <w:proofErr w:type="spellEnd"/>
            <w:r w:rsidRPr="00405237">
              <w:rPr>
                <w:rStyle w:val="Strong"/>
              </w:rPr>
              <w:t xml:space="preserve"> Бахчеванов</w:t>
            </w:r>
            <w:r w:rsidRPr="00405237">
              <w:br/>
            </w:r>
            <w:proofErr w:type="spellStart"/>
            <w:r w:rsidRPr="00405237">
              <w:t>e-mail</w:t>
            </w:r>
            <w:proofErr w:type="spellEnd"/>
            <w:r w:rsidRPr="00405237">
              <w:t xml:space="preserve">: </w:t>
            </w:r>
            <w:hyperlink r:id="rId9" w:history="1">
              <w:r w:rsidRPr="00405237">
                <w:rPr>
                  <w:rStyle w:val="Hyperlink"/>
                  <w:color w:val="auto"/>
                </w:rPr>
                <w:t>gs-mbox@gelesoft.com</w:t>
              </w:r>
            </w:hyperlink>
          </w:p>
          <w:p w:rsidR="00CE1F1F" w:rsidRPr="00405237" w:rsidRDefault="00CE1F1F" w:rsidP="00405237">
            <w:pPr>
              <w:pStyle w:val="ydp8af6b4demsonormal"/>
              <w:contextualSpacing/>
              <w:jc w:val="both"/>
              <w:rPr>
                <w:b/>
                <w:i/>
              </w:rPr>
            </w:pPr>
          </w:p>
          <w:p w:rsidR="006F0A24" w:rsidRPr="00405237" w:rsidRDefault="006F0A24" w:rsidP="00405237">
            <w:pPr>
              <w:pStyle w:val="NormalWeb"/>
              <w:rPr>
                <w:i/>
              </w:rPr>
            </w:pPr>
            <w:r w:rsidRPr="00405237">
              <w:rPr>
                <w:i/>
              </w:rPr>
              <w:t>Повечето лектори в ЦПО преподават на граждански договори - възможно ли е доказването на преподавателски опит да става със служебна бележка/удостоверение от съответното ЦПО за брой курсове, часове и теми преподавани от съответния лектор?</w:t>
            </w:r>
          </w:p>
          <w:p w:rsidR="00896E96" w:rsidRPr="00405237" w:rsidRDefault="00896E96" w:rsidP="00405237">
            <w:pPr>
              <w:pStyle w:val="ydp8af6b4demsonormal"/>
              <w:jc w:val="both"/>
              <w:rPr>
                <w:b/>
              </w:rPr>
            </w:pPr>
          </w:p>
        </w:tc>
        <w:tc>
          <w:tcPr>
            <w:tcW w:w="2308" w:type="pct"/>
            <w:shd w:val="clear" w:color="auto" w:fill="auto"/>
          </w:tcPr>
          <w:p w:rsidR="00896E96" w:rsidRPr="00405237" w:rsidRDefault="00896E96" w:rsidP="004052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52DC" w:rsidRPr="00405237" w:rsidRDefault="00977FF5" w:rsidP="00405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Във връзка с Вашия въпрос следва да имате предвид</w:t>
            </w:r>
            <w:r w:rsidR="00F052DC"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52DC" w:rsidRPr="00405237">
              <w:rPr>
                <w:rFonts w:ascii="Times New Roman" w:hAnsi="Times New Roman" w:cs="Times New Roman"/>
                <w:sz w:val="24"/>
                <w:szCs w:val="24"/>
              </w:rPr>
              <w:t>Раздел 22.2 „Методика за оценка на проектните предложения“, т. 5 от Условията за кандидатстване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съгласно която</w:t>
            </w:r>
            <w:r w:rsidR="00F052DC" w:rsidRPr="00405237">
              <w:rPr>
                <w:rFonts w:ascii="Times New Roman" w:hAnsi="Times New Roman" w:cs="Times New Roman"/>
                <w:sz w:val="24"/>
                <w:szCs w:val="24"/>
              </w:rPr>
              <w:t xml:space="preserve"> при оценка на проектните предложения по критерии 2.1, 2.2, </w:t>
            </w:r>
            <w:proofErr w:type="spellStart"/>
            <w:r w:rsidR="00F052DC" w:rsidRPr="00405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="00F052DC" w:rsidRPr="00405237">
              <w:rPr>
                <w:rFonts w:ascii="Times New Roman" w:hAnsi="Times New Roman" w:cs="Times New Roman"/>
                <w:sz w:val="24"/>
                <w:szCs w:val="24"/>
              </w:rPr>
              <w:t>.3 и 2.4 ще бъде оценяван специфичния професионален опит на лекторите, които провеждат курса/семинара. Обстоятелствата по критериите се доказват със следните документи: диплома за висше образование; документи, доказващи опит (трудова книжка, служебна книжка, удостоверение за преподавателски стаж по специалността и/или служебна бележка за учебна натовареност и/или друг документ от работодател за придобития опит и/или стаж).</w:t>
            </w:r>
          </w:p>
          <w:p w:rsidR="00896E96" w:rsidRPr="00405237" w:rsidRDefault="00B7701A" w:rsidP="004052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Следва да имате предвид, че оценителната комисия ще извърши оценка по отношение на съответствието на дейностите, включени в проектното предложение с критериите за административно съответствие и допустимост, въз основа на представеното проектно предложение, в т.ч. всички приложени изискуеми документи.</w:t>
            </w:r>
          </w:p>
        </w:tc>
      </w:tr>
      <w:tr w:rsidR="00170121" w:rsidRPr="00405237" w:rsidTr="00855088">
        <w:trPr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170121" w:rsidRPr="00405237" w:rsidRDefault="00170121" w:rsidP="0040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Запитване № </w:t>
            </w:r>
            <w:r w:rsidR="006055AE"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70121" w:rsidRPr="00405237" w:rsidRDefault="00170121" w:rsidP="0040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074A" w:rsidRPr="0040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C0074A" w:rsidRPr="004052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0074A" w:rsidRPr="0040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0074A" w:rsidRPr="004052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C0074A" w:rsidRPr="00405237" w:rsidRDefault="00C0074A" w:rsidP="00405237">
            <w:pPr>
              <w:pStyle w:val="ydp8af6b4demsonormal"/>
              <w:contextualSpacing/>
              <w:rPr>
                <w:b/>
                <w:iCs/>
              </w:rPr>
            </w:pPr>
            <w:proofErr w:type="spellStart"/>
            <w:r w:rsidRPr="00405237">
              <w:rPr>
                <w:rStyle w:val="Strong"/>
              </w:rPr>
              <w:t>Ангелин</w:t>
            </w:r>
            <w:proofErr w:type="spellEnd"/>
            <w:r w:rsidRPr="00405237">
              <w:rPr>
                <w:rStyle w:val="Strong"/>
              </w:rPr>
              <w:t xml:space="preserve"> Бахчеванов</w:t>
            </w:r>
            <w:r w:rsidRPr="00405237">
              <w:br/>
            </w:r>
            <w:proofErr w:type="spellStart"/>
            <w:r w:rsidRPr="00405237">
              <w:t>e-mail</w:t>
            </w:r>
            <w:proofErr w:type="spellEnd"/>
            <w:r w:rsidRPr="00405237">
              <w:t xml:space="preserve">: </w:t>
            </w:r>
            <w:hyperlink r:id="rId10" w:history="1">
              <w:r w:rsidRPr="00405237">
                <w:rPr>
                  <w:rStyle w:val="Hyperlink"/>
                  <w:color w:val="auto"/>
                </w:rPr>
                <w:t>gs-mbox@gelesoft.com</w:t>
              </w:r>
            </w:hyperlink>
          </w:p>
          <w:p w:rsidR="00C0074A" w:rsidRPr="00405237" w:rsidRDefault="00C0074A" w:rsidP="00405237">
            <w:pPr>
              <w:pStyle w:val="NormalWeb"/>
              <w:rPr>
                <w:i/>
              </w:rPr>
            </w:pPr>
            <w:proofErr w:type="spellStart"/>
            <w:r w:rsidRPr="00405237">
              <w:rPr>
                <w:i/>
              </w:rPr>
              <w:t>Здравейте</w:t>
            </w:r>
            <w:proofErr w:type="spellEnd"/>
            <w:r w:rsidRPr="00405237">
              <w:rPr>
                <w:i/>
              </w:rPr>
              <w:t>!</w:t>
            </w:r>
          </w:p>
          <w:p w:rsidR="00C0074A" w:rsidRPr="00405237" w:rsidRDefault="00C0074A" w:rsidP="00405237">
            <w:pPr>
              <w:pStyle w:val="NormalWeb"/>
              <w:rPr>
                <w:i/>
              </w:rPr>
            </w:pPr>
            <w:r w:rsidRPr="00405237">
              <w:rPr>
                <w:i/>
              </w:rPr>
              <w:lastRenderedPageBreak/>
              <w:t>Имам още един въпрос по процедура № BG 06RDNP001-1.001, подмярка 1.1:</w:t>
            </w:r>
          </w:p>
          <w:p w:rsidR="00C0074A" w:rsidRPr="00405237" w:rsidRDefault="00C0074A" w:rsidP="00405237">
            <w:pPr>
              <w:pStyle w:val="NormalWeb"/>
              <w:rPr>
                <w:i/>
              </w:rPr>
            </w:pPr>
            <w:r w:rsidRPr="00405237">
              <w:rPr>
                <w:i/>
              </w:rPr>
              <w:t xml:space="preserve">2. В </w:t>
            </w:r>
            <w:proofErr w:type="spellStart"/>
            <w:r w:rsidRPr="00405237">
              <w:rPr>
                <w:i/>
              </w:rPr>
              <w:t>Прил</w:t>
            </w:r>
            <w:proofErr w:type="spellEnd"/>
            <w:r w:rsidRPr="00405237">
              <w:rPr>
                <w:i/>
              </w:rPr>
              <w:t xml:space="preserve">. 13 (Списък с документи) от Приложения за изпълнение, както и в </w:t>
            </w:r>
            <w:proofErr w:type="spellStart"/>
            <w:r w:rsidRPr="00405237">
              <w:rPr>
                <w:i/>
              </w:rPr>
              <w:t>Прил</w:t>
            </w:r>
            <w:proofErr w:type="spellEnd"/>
            <w:r w:rsidRPr="00405237">
              <w:rPr>
                <w:i/>
              </w:rPr>
              <w:t>. 9 (Списък задължителни елементи) от Приложения за кандидатстване е записано, че "Размерът на финансовата помощ се намалява в случай, че се установи, че бенефициентът не е изпълнил всички елементи на разходите от таблицата..".</w:t>
            </w:r>
          </w:p>
          <w:p w:rsidR="00170121" w:rsidRPr="00405237" w:rsidRDefault="00C0074A" w:rsidP="00405237">
            <w:pPr>
              <w:pStyle w:val="ydp8af6b4demsonormal"/>
              <w:contextualSpacing/>
              <w:jc w:val="both"/>
              <w:rPr>
                <w:rFonts w:eastAsia="Times New Roman"/>
                <w:b/>
                <w:i/>
                <w:iCs/>
              </w:rPr>
            </w:pPr>
            <w:r w:rsidRPr="00405237">
              <w:rPr>
                <w:i/>
              </w:rPr>
              <w:t>    Въпросът е ако лекторите и/или курсистите са от същото населено място или същата или близка община, задължителни ли ще са за всички елементи като пътни разходи, нощувка и вечеря или ще са само за тези лектори и/или курсисти, които са от друго по-далечно нас.място или община</w:t>
            </w:r>
          </w:p>
        </w:tc>
        <w:tc>
          <w:tcPr>
            <w:tcW w:w="2308" w:type="pct"/>
            <w:shd w:val="clear" w:color="auto" w:fill="auto"/>
          </w:tcPr>
          <w:p w:rsidR="00F54E8D" w:rsidRPr="00405237" w:rsidRDefault="00071398" w:rsidP="0040523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37">
              <w:rPr>
                <w:rFonts w:ascii="Times New Roman" w:hAnsi="Times New Roman"/>
                <w:sz w:val="24"/>
                <w:szCs w:val="24"/>
              </w:rPr>
              <w:lastRenderedPageBreak/>
              <w:t>Съгласно</w:t>
            </w:r>
            <w:r w:rsidR="000E652F" w:rsidRPr="00405237">
              <w:rPr>
                <w:rFonts w:ascii="Times New Roman" w:hAnsi="Times New Roman"/>
                <w:sz w:val="24"/>
                <w:szCs w:val="24"/>
              </w:rPr>
              <w:t xml:space="preserve"> глава Б „Изменение и прекратяване на административния договор, финансово изпълнение на проектите и мерки за информиране и публичност“, 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 xml:space="preserve">2.16.1. </w:t>
            </w:r>
            <w:r w:rsidR="000E652F" w:rsidRPr="00405237">
              <w:rPr>
                <w:rFonts w:ascii="Times New Roman" w:hAnsi="Times New Roman"/>
                <w:sz w:val="24"/>
                <w:szCs w:val="24"/>
              </w:rPr>
              <w:t>от Условията за изпълнение, з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 xml:space="preserve">а да бъде получена цялата стойност за съответния стандартен разход за един обучаем, трябва да са 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изпълнени всички елементи от дейностите от Приложение 8 „Списък на разходите по елементи“. </w:t>
            </w:r>
          </w:p>
          <w:p w:rsidR="00F54E8D" w:rsidRPr="00405237" w:rsidRDefault="00D33BF5" w:rsidP="0040523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37">
              <w:rPr>
                <w:rFonts w:ascii="Times New Roman" w:hAnsi="Times New Roman"/>
                <w:sz w:val="24"/>
                <w:szCs w:val="24"/>
              </w:rPr>
              <w:t xml:space="preserve">Съгласно т. 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 xml:space="preserve">2.16.2 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от същата глава з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 xml:space="preserve">а доказване извършването на всеки 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елемент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>, формиращ стойността за един обучаем, бенефициент</w:t>
            </w:r>
            <w:r w:rsidR="008A6550" w:rsidRPr="00405237">
              <w:rPr>
                <w:rFonts w:ascii="Times New Roman" w:hAnsi="Times New Roman"/>
                <w:sz w:val="24"/>
                <w:szCs w:val="24"/>
              </w:rPr>
              <w:t>ът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 xml:space="preserve"> следва да представ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и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 xml:space="preserve"> попълнено Приложение №9 „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 xml:space="preserve">-протокол за полученото обучение/участие в семинар“, подписано от обучаемия и от ръководителя на обучаващата организация. Цитираното приложение следва да доказва изпълнението на 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елементите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>, ко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и</w:t>
            </w:r>
            <w:r w:rsidR="00F54E8D" w:rsidRPr="00405237">
              <w:rPr>
                <w:rFonts w:ascii="Times New Roman" w:hAnsi="Times New Roman"/>
                <w:sz w:val="24"/>
                <w:szCs w:val="24"/>
              </w:rPr>
              <w:t>то формират общата стройност на стандартния разход. При условие, че за съответното лице не са изпълнени всички елементи от Приложение 8 „Списък на разходите по елементи“, формиращи общата сума за един обучаем, ДФ „Земеделие“ РА ще изплати помощта до размера на извършените разходи за реално изпълнените и доказани дейности.</w:t>
            </w:r>
          </w:p>
          <w:p w:rsidR="00ED696B" w:rsidRPr="00405237" w:rsidRDefault="00ED696B" w:rsidP="00405237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237">
              <w:rPr>
                <w:rFonts w:ascii="Times New Roman" w:hAnsi="Times New Roman"/>
                <w:sz w:val="24"/>
                <w:szCs w:val="24"/>
              </w:rPr>
              <w:t>В допълнение</w:t>
            </w:r>
            <w:r w:rsidR="00577DA8" w:rsidRPr="0040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E73" w:rsidRPr="00405237">
              <w:rPr>
                <w:rFonts w:ascii="Times New Roman" w:hAnsi="Times New Roman"/>
                <w:sz w:val="24"/>
                <w:szCs w:val="24"/>
              </w:rPr>
              <w:t>във връзка с Вашия въпрос</w:t>
            </w:r>
            <w:r w:rsidR="00D206E9" w:rsidRPr="00405237">
              <w:rPr>
                <w:rFonts w:ascii="Times New Roman" w:hAnsi="Times New Roman"/>
                <w:sz w:val="24"/>
                <w:szCs w:val="24"/>
              </w:rPr>
              <w:t>,</w:t>
            </w:r>
            <w:r w:rsidR="00657E73" w:rsidRPr="0040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DA8" w:rsidRPr="00405237">
              <w:rPr>
                <w:rFonts w:ascii="Times New Roman" w:hAnsi="Times New Roman"/>
                <w:sz w:val="24"/>
                <w:szCs w:val="24"/>
              </w:rPr>
              <w:t xml:space="preserve">при изпълнение на дейностите, включени в проектното предложение 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следва да се спазва</w:t>
            </w:r>
            <w:r w:rsidR="00577DA8" w:rsidRPr="0040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приложимото национално</w:t>
            </w:r>
            <w:r w:rsidR="00657E73" w:rsidRPr="00405237">
              <w:rPr>
                <w:rFonts w:ascii="Times New Roman" w:hAnsi="Times New Roman"/>
                <w:sz w:val="24"/>
                <w:szCs w:val="24"/>
              </w:rPr>
              <w:t>то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 xml:space="preserve"> законодателство</w:t>
            </w:r>
            <w:r w:rsidR="00657E73" w:rsidRPr="00405237">
              <w:rPr>
                <w:rFonts w:ascii="Times New Roman" w:hAnsi="Times New Roman"/>
                <w:sz w:val="24"/>
                <w:szCs w:val="24"/>
              </w:rPr>
              <w:t xml:space="preserve"> в съответната област</w:t>
            </w:r>
            <w:r w:rsidR="00577DA8" w:rsidRPr="00405237">
              <w:rPr>
                <w:rFonts w:ascii="Times New Roman" w:hAnsi="Times New Roman"/>
                <w:sz w:val="24"/>
                <w:szCs w:val="24"/>
              </w:rPr>
              <w:t>,</w:t>
            </w:r>
            <w:r w:rsidR="00657E73" w:rsidRPr="00405237">
              <w:rPr>
                <w:rFonts w:ascii="Times New Roman" w:hAnsi="Times New Roman"/>
                <w:sz w:val="24"/>
                <w:szCs w:val="24"/>
              </w:rPr>
              <w:t xml:space="preserve"> включително Наредбата за командировките </w:t>
            </w:r>
            <w:r w:rsidR="00577DA8" w:rsidRPr="00405237">
              <w:rPr>
                <w:rFonts w:ascii="Times New Roman" w:hAnsi="Times New Roman"/>
                <w:sz w:val="24"/>
                <w:szCs w:val="24"/>
              </w:rPr>
              <w:t>в страната</w:t>
            </w:r>
            <w:r w:rsidRPr="004052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74DD" w:rsidRPr="00405237" w:rsidRDefault="001774DD" w:rsidP="00405237">
            <w:pPr>
              <w:spacing w:after="100" w:afterAutospacing="1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14955" w:rsidRPr="00405237" w:rsidTr="00414955">
        <w:trPr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414955" w:rsidRPr="00405237" w:rsidRDefault="00414955" w:rsidP="00405237">
            <w:pPr>
              <w:rPr>
                <w:rFonts w:ascii="Times New Roman" w:hAnsi="Times New Roman"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на публикуване </w:t>
            </w:r>
            <w:r w:rsidR="00524269"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>.01.2020 г.</w:t>
            </w:r>
          </w:p>
        </w:tc>
      </w:tr>
      <w:tr w:rsidR="00F73225" w:rsidTr="00855088">
        <w:trPr>
          <w:jc w:val="center"/>
        </w:trPr>
        <w:tc>
          <w:tcPr>
            <w:tcW w:w="502" w:type="pct"/>
            <w:shd w:val="clear" w:color="auto" w:fill="auto"/>
            <w:vAlign w:val="center"/>
          </w:tcPr>
          <w:p w:rsidR="00F73225" w:rsidRPr="00405237" w:rsidRDefault="00F73225" w:rsidP="0040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5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Запитване № </w:t>
            </w:r>
            <w:r w:rsidRPr="00405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F73225" w:rsidRPr="00405237" w:rsidRDefault="00F73225" w:rsidP="0040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40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5237">
              <w:rPr>
                <w:rFonts w:ascii="Times New Roman" w:hAnsi="Times New Roman" w:cs="Times New Roman"/>
                <w:sz w:val="24"/>
                <w:szCs w:val="24"/>
              </w:rPr>
              <w:t>.2019)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F464FE" w:rsidRPr="00405237" w:rsidRDefault="00F464FE" w:rsidP="00405237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40523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e-mail: </w:t>
            </w:r>
            <w:hyperlink r:id="rId11" w:history="1">
              <w:r w:rsidRPr="004052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eu_consult@abv.bg</w:t>
              </w:r>
            </w:hyperlink>
          </w:p>
          <w:p w:rsidR="00F464FE" w:rsidRPr="00405237" w:rsidRDefault="00F464FE" w:rsidP="00405237">
            <w:pPr>
              <w:rPr>
                <w:rFonts w:ascii="Times New Roman" w:hAnsi="Times New Roman" w:cs="Times New Roman"/>
                <w:i/>
                <w:sz w:val="24"/>
                <w:szCs w:val="24"/>
                <w:lang w:val="fr-BE"/>
              </w:rPr>
            </w:pPr>
            <w:r w:rsidRPr="00405237">
              <w:rPr>
                <w:rFonts w:ascii="Times New Roman" w:hAnsi="Times New Roman" w:cs="Times New Roman"/>
                <w:i/>
                <w:sz w:val="24"/>
                <w:szCs w:val="24"/>
              </w:rPr>
              <w:t>Във връзка с процедура BG06RDNP001-1.001 по подмярка 1.1 Професионално обучение и придобиване на умения, Моля за Вашите разяснения по поставените въпроси:</w:t>
            </w:r>
          </w:p>
          <w:p w:rsidR="00F464FE" w:rsidRPr="00405237" w:rsidRDefault="00F464FE" w:rsidP="00405237">
            <w:pPr>
              <w:pStyle w:val="ListParagraph"/>
              <w:numPr>
                <w:ilvl w:val="0"/>
                <w:numId w:val="14"/>
              </w:numPr>
              <w:tabs>
                <w:tab w:val="left" w:pos="377"/>
              </w:tabs>
              <w:spacing w:before="0" w:beforeAutospacing="0" w:after="0" w:afterAutospacing="0"/>
              <w:ind w:left="43" w:firstLine="0"/>
              <w:jc w:val="both"/>
              <w:rPr>
                <w:i/>
              </w:rPr>
            </w:pPr>
            <w:r w:rsidRPr="00405237">
              <w:rPr>
                <w:i/>
              </w:rPr>
              <w:lastRenderedPageBreak/>
              <w:t>Включват ли се часовете за полагане на изпит в курсовете от 30ч., 100ч. и 150ч.</w:t>
            </w:r>
          </w:p>
          <w:p w:rsidR="00F464FE" w:rsidRPr="00405237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  <w:lang w:val="fr-BE"/>
              </w:rPr>
            </w:pPr>
          </w:p>
          <w:p w:rsidR="00F464FE" w:rsidRPr="00405237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  <w:lang w:val="fr-BE"/>
              </w:rPr>
            </w:pPr>
          </w:p>
          <w:p w:rsidR="00F464FE" w:rsidRPr="00405237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  <w:lang w:val="fr-BE"/>
              </w:rPr>
            </w:pPr>
          </w:p>
          <w:p w:rsidR="00F464FE" w:rsidRPr="00405237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  <w:lang w:val="fr-BE"/>
              </w:rPr>
            </w:pPr>
          </w:p>
          <w:p w:rsidR="00F464FE" w:rsidRPr="00405237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  <w:lang w:val="fr-BE"/>
              </w:rPr>
            </w:pPr>
          </w:p>
          <w:p w:rsidR="00F464FE" w:rsidRPr="00405237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  <w:lang w:val="fr-BE"/>
              </w:rPr>
            </w:pPr>
          </w:p>
          <w:p w:rsidR="00F464FE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</w:p>
          <w:p w:rsidR="00197D78" w:rsidRPr="00197D78" w:rsidRDefault="00197D78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</w:p>
          <w:p w:rsidR="00F464FE" w:rsidRDefault="00F464FE" w:rsidP="00405237">
            <w:pPr>
              <w:pStyle w:val="ListParagraph"/>
              <w:numPr>
                <w:ilvl w:val="0"/>
                <w:numId w:val="14"/>
              </w:numPr>
              <w:tabs>
                <w:tab w:val="left" w:pos="377"/>
              </w:tabs>
              <w:spacing w:before="0" w:beforeAutospacing="0" w:after="0" w:afterAutospacing="0"/>
              <w:ind w:left="43" w:firstLine="0"/>
              <w:jc w:val="both"/>
              <w:rPr>
                <w:i/>
              </w:rPr>
            </w:pPr>
            <w:r w:rsidRPr="00405237">
              <w:rPr>
                <w:i/>
              </w:rPr>
              <w:t>Има ли ограничение в броя на часовете предвидени за полагане на изпит, както и ограничения по отношение на броя часове по практика и теория за изпитите?</w:t>
            </w:r>
          </w:p>
          <w:p w:rsidR="0094601B" w:rsidRDefault="0094601B" w:rsidP="0094601B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</w:p>
          <w:p w:rsidR="0094601B" w:rsidRPr="00405237" w:rsidRDefault="0094601B" w:rsidP="0094601B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numPr>
                <w:ilvl w:val="0"/>
                <w:numId w:val="14"/>
              </w:numPr>
              <w:tabs>
                <w:tab w:val="left" w:pos="377"/>
              </w:tabs>
              <w:spacing w:before="0" w:beforeAutospacing="0" w:after="0" w:afterAutospacing="0"/>
              <w:ind w:left="43" w:firstLine="0"/>
              <w:jc w:val="both"/>
              <w:rPr>
                <w:i/>
              </w:rPr>
            </w:pPr>
            <w:r w:rsidRPr="00405237">
              <w:rPr>
                <w:i/>
              </w:rPr>
              <w:t>По критерий 1.1 /Оценка на учебната програма/ към приложение 5 за курса от 150ч. е записано, че в учебната програма е необходимо да бъдат включени модули с учебни часове насочени към Фокус област 2А), Фокус област 2Б) и Фокус област 5Д) за получаване на максимален брой точки-36.</w:t>
            </w:r>
          </w:p>
          <w:p w:rsidR="00F464FE" w:rsidRPr="00405237" w:rsidRDefault="00F464FE" w:rsidP="00405237">
            <w:pPr>
              <w:pStyle w:val="ListParagraph"/>
              <w:tabs>
                <w:tab w:val="left" w:pos="377"/>
              </w:tabs>
              <w:spacing w:before="0" w:beforeAutospacing="0" w:after="0" w:afterAutospacing="0"/>
              <w:ind w:left="43"/>
              <w:jc w:val="both"/>
              <w:rPr>
                <w:i/>
              </w:rPr>
            </w:pPr>
            <w:r w:rsidRPr="00405237">
              <w:rPr>
                <w:i/>
              </w:rPr>
              <w:t>Същевременно в т. 22.1.3. от условията за кандидатстване за получаване на максимален брой точки кандидатите е необходимо да включат в курса от 150ч. модули с учебни часове насочени към Фокус област 2А), Фокус област 2Б) и Фокус област 5А).</w:t>
            </w:r>
          </w:p>
          <w:p w:rsidR="00F464FE" w:rsidRPr="00405237" w:rsidRDefault="00F464FE" w:rsidP="00405237">
            <w:pPr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i/>
                <w:sz w:val="24"/>
                <w:szCs w:val="24"/>
              </w:rPr>
              <w:t>Моля за вашите указания кои от фокус областите е необходимо да бъдат включени в курса от 150ч. за получаване на максимален брой точки по критерий 1.</w:t>
            </w:r>
            <w:proofErr w:type="spellStart"/>
            <w:r w:rsidRPr="0040523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spellEnd"/>
            <w:r w:rsidRPr="004052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464FE" w:rsidRPr="00405237" w:rsidRDefault="00F464FE" w:rsidP="00405237">
            <w:pPr>
              <w:pStyle w:val="ListParagraph"/>
              <w:numPr>
                <w:ilvl w:val="0"/>
                <w:numId w:val="14"/>
              </w:numPr>
              <w:tabs>
                <w:tab w:val="left" w:pos="314"/>
              </w:tabs>
              <w:spacing w:before="0" w:beforeAutospacing="0" w:after="0" w:afterAutospacing="0"/>
              <w:ind w:left="0" w:firstLine="44"/>
              <w:jc w:val="both"/>
              <w:rPr>
                <w:i/>
              </w:rPr>
            </w:pPr>
            <w:r w:rsidRPr="00405237">
              <w:rPr>
                <w:i/>
              </w:rPr>
              <w:lastRenderedPageBreak/>
              <w:t>При условие че обучаващата организация не разполага със собствена база за провеждане на практическата и теоретична част от курса, а ползва помещения под наем, необходимо ли е договорите за наем на базите за практическо и теоретично обучение да бъдат нотариално заверени и какъв е техния минимален срок на действие?</w:t>
            </w:r>
          </w:p>
          <w:p w:rsidR="00F464FE" w:rsidRPr="00405237" w:rsidRDefault="00F464FE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45510D" w:rsidRPr="00405237" w:rsidRDefault="0045510D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45510D" w:rsidRPr="00405237" w:rsidRDefault="0045510D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45510D" w:rsidRPr="00405237" w:rsidRDefault="0045510D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45510D" w:rsidRPr="00405237" w:rsidRDefault="0045510D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45510D" w:rsidRPr="00405237" w:rsidRDefault="0045510D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45510D" w:rsidRPr="00405237" w:rsidRDefault="0045510D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45510D" w:rsidRPr="00405237" w:rsidRDefault="0045510D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Pr="0040523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225B47" w:rsidRDefault="00225B47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197D78" w:rsidRPr="00405237" w:rsidRDefault="00197D78" w:rsidP="00405237">
            <w:pPr>
              <w:tabs>
                <w:tab w:val="left" w:pos="314"/>
              </w:tabs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numPr>
                <w:ilvl w:val="0"/>
                <w:numId w:val="14"/>
              </w:numPr>
              <w:tabs>
                <w:tab w:val="left" w:pos="301"/>
              </w:tabs>
              <w:spacing w:before="0" w:beforeAutospacing="0" w:after="0" w:afterAutospacing="0"/>
              <w:ind w:left="44" w:firstLine="0"/>
              <w:jc w:val="both"/>
              <w:rPr>
                <w:i/>
              </w:rPr>
            </w:pPr>
            <w:r w:rsidRPr="00405237">
              <w:rPr>
                <w:i/>
              </w:rPr>
              <w:t xml:space="preserve">При условие че, в курсовете от 150ч. индикативно е заложена включването на над 20% от обучаемите да бъдат млади земеделски стопани или одобрени за подпомагане по подмярка 6.1 от ПРСР 2014-2020; за получаване на съответния приоритет по 1.3 от т. 22.1.3. </w:t>
            </w:r>
            <w:r w:rsidRPr="00405237">
              <w:rPr>
                <w:i/>
              </w:rPr>
              <w:lastRenderedPageBreak/>
              <w:t>към условията за кандидатстване.</w:t>
            </w:r>
          </w:p>
          <w:p w:rsidR="00F464FE" w:rsidRPr="00405237" w:rsidRDefault="00F464FE" w:rsidP="00405237">
            <w:pPr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набиране на обучаеми лица за провеждане на курса е възможно да бъдат включени и малки стопанства, одобрени за подпомагане по мерки от Тематичната подпрограма за малки стопанства по ПРСР 2014-2020; </w:t>
            </w:r>
          </w:p>
          <w:p w:rsidR="00F464FE" w:rsidRPr="00405237" w:rsidRDefault="00F464FE" w:rsidP="00405237">
            <w:pPr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464FE" w:rsidRPr="00405237" w:rsidRDefault="00F464FE" w:rsidP="00405237">
            <w:pPr>
              <w:ind w:left="4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237">
              <w:rPr>
                <w:rFonts w:ascii="Times New Roman" w:hAnsi="Times New Roman" w:cs="Times New Roman"/>
                <w:i/>
                <w:sz w:val="24"/>
                <w:szCs w:val="24"/>
              </w:rPr>
              <w:t>В тази връзка ще бъдат ли отнети точки по критерий 1.3 от т. 22.1.3. към условията за кандидатстване при положение, че сбора от обучаемите мл.фермери и фермери одобрени по Тематичната подпрограма за малки стопанства са над 20% от обучаемите лица за съответния курс?</w:t>
            </w:r>
          </w:p>
          <w:p w:rsidR="00F464FE" w:rsidRPr="00405237" w:rsidRDefault="00F464FE" w:rsidP="00405237">
            <w:pPr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44" w:firstLine="0"/>
              <w:jc w:val="both"/>
              <w:rPr>
                <w:i/>
              </w:rPr>
            </w:pPr>
            <w:r w:rsidRPr="00405237">
              <w:rPr>
                <w:i/>
              </w:rPr>
              <w:t>Необходимо ли е да се уведомява МЗХ и ДФЗ за съответната промяна във вида на обучаемите лица след подписване на административния договор?</w:t>
            </w:r>
          </w:p>
          <w:p w:rsidR="00F464FE" w:rsidRPr="00405237" w:rsidRDefault="00F464FE" w:rsidP="00405237">
            <w:pPr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524269" w:rsidRPr="00405237" w:rsidRDefault="00524269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numPr>
                <w:ilvl w:val="0"/>
                <w:numId w:val="14"/>
              </w:numPr>
              <w:tabs>
                <w:tab w:val="left" w:pos="377"/>
              </w:tabs>
              <w:spacing w:before="0" w:beforeAutospacing="0" w:after="0" w:afterAutospacing="0"/>
              <w:ind w:left="44" w:firstLine="0"/>
              <w:jc w:val="both"/>
              <w:rPr>
                <w:i/>
              </w:rPr>
            </w:pPr>
            <w:r w:rsidRPr="00405237">
              <w:rPr>
                <w:i/>
              </w:rPr>
              <w:lastRenderedPageBreak/>
              <w:t xml:space="preserve">При условие, че в проекта се предвижда провеждането на 6 бр. курса от 150ч. по една и съща тема, професия и специалност възникват следните въпроси: </w:t>
            </w: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  <w:r w:rsidRPr="00405237">
              <w:rPr>
                <w:i/>
              </w:rPr>
              <w:t>Допустимо ли е провеждане на повече от един бр. идентични курсове по една и съща тема, професия и специалност от 150 часовите курсове?</w:t>
            </w:r>
          </w:p>
          <w:p w:rsidR="00F464FE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</w:p>
          <w:p w:rsidR="00DE5E67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i/>
              </w:rPr>
            </w:pPr>
            <w:r w:rsidRPr="00405237">
              <w:rPr>
                <w:i/>
              </w:rPr>
              <w:t>Необходимо ли е да се изготвят учебни планове съгласно приложение 1 за всеки един курс поотделно, като се има предвид,че курсовете са идентични.</w:t>
            </w:r>
            <w:r w:rsidR="00DE5E67" w:rsidRPr="00405237">
              <w:rPr>
                <w:i/>
              </w:rPr>
              <w:t xml:space="preserve"> </w:t>
            </w:r>
          </w:p>
          <w:p w:rsidR="00F73225" w:rsidRPr="00405237" w:rsidRDefault="00F464FE" w:rsidP="00405237">
            <w:pPr>
              <w:pStyle w:val="ListParagraph"/>
              <w:spacing w:before="0" w:beforeAutospacing="0" w:after="0" w:afterAutospacing="0"/>
              <w:ind w:left="44"/>
              <w:jc w:val="both"/>
              <w:rPr>
                <w:rStyle w:val="Strong"/>
              </w:rPr>
            </w:pPr>
            <w:r w:rsidRPr="00405237">
              <w:rPr>
                <w:i/>
              </w:rPr>
              <w:t>Благодаря за отговорите.</w:t>
            </w:r>
          </w:p>
        </w:tc>
        <w:tc>
          <w:tcPr>
            <w:tcW w:w="2308" w:type="pct"/>
            <w:shd w:val="clear" w:color="auto" w:fill="auto"/>
          </w:tcPr>
          <w:p w:rsidR="00F464FE" w:rsidRPr="00405237" w:rsidRDefault="00F464FE" w:rsidP="00405237">
            <w:pPr>
              <w:pStyle w:val="ListParagraph"/>
              <w:spacing w:after="0"/>
              <w:ind w:left="360"/>
            </w:pPr>
          </w:p>
          <w:p w:rsidR="00F464FE" w:rsidRPr="00405237" w:rsidRDefault="00F464FE" w:rsidP="00405237">
            <w:pPr>
              <w:pStyle w:val="ListParagraph"/>
              <w:spacing w:after="0"/>
              <w:ind w:left="360"/>
            </w:pPr>
          </w:p>
          <w:p w:rsidR="00801C62" w:rsidRPr="00405237" w:rsidRDefault="00801C62" w:rsidP="00405237">
            <w:pPr>
              <w:pStyle w:val="ListParagraph"/>
              <w:numPr>
                <w:ilvl w:val="0"/>
                <w:numId w:val="12"/>
              </w:numPr>
              <w:tabs>
                <w:tab w:val="left" w:pos="429"/>
              </w:tabs>
              <w:spacing w:before="0" w:beforeAutospacing="0" w:after="0" w:afterAutospacing="0"/>
              <w:ind w:left="58" w:firstLine="0"/>
              <w:jc w:val="both"/>
            </w:pPr>
            <w:r w:rsidRPr="00405237">
              <w:lastRenderedPageBreak/>
              <w:t xml:space="preserve">Съгласно </w:t>
            </w:r>
            <w:r w:rsidR="00B711F5" w:rsidRPr="00405237">
              <w:t xml:space="preserve">т. 13.1 </w:t>
            </w:r>
            <w:r w:rsidRPr="00405237">
              <w:t xml:space="preserve">от </w:t>
            </w:r>
            <w:r w:rsidR="00885D4C" w:rsidRPr="00405237">
              <w:t>Условия</w:t>
            </w:r>
            <w:r w:rsidR="00167E41" w:rsidRPr="00405237">
              <w:t xml:space="preserve"> за кандидатстване,</w:t>
            </w:r>
            <w:r w:rsidRPr="00405237">
              <w:t xml:space="preserve"> за да бъдат допустими за финансиране</w:t>
            </w:r>
            <w:r w:rsidR="00167E41" w:rsidRPr="00405237">
              <w:t xml:space="preserve"> </w:t>
            </w:r>
            <w:r w:rsidRPr="00405237">
              <w:t>курсовете за обучение трябва да бъдат с мин</w:t>
            </w:r>
            <w:r w:rsidR="00167E41" w:rsidRPr="00405237">
              <w:t>имална</w:t>
            </w:r>
            <w:r w:rsidRPr="00405237">
              <w:t xml:space="preserve"> продължителност </w:t>
            </w:r>
            <w:r w:rsidR="00167E41" w:rsidRPr="00405237">
              <w:t xml:space="preserve">30 учебни часа, </w:t>
            </w:r>
            <w:r w:rsidR="00F464FE" w:rsidRPr="00405237">
              <w:t>150  учебни часа или 100 учебни</w:t>
            </w:r>
            <w:r w:rsidR="00167E41" w:rsidRPr="00405237">
              <w:t xml:space="preserve"> часа. </w:t>
            </w:r>
            <w:r w:rsidR="00D92507" w:rsidRPr="00405237">
              <w:t xml:space="preserve">В посочената минимална продължителност на </w:t>
            </w:r>
            <w:r w:rsidR="00885D4C" w:rsidRPr="00405237">
              <w:t xml:space="preserve">обучителните </w:t>
            </w:r>
            <w:r w:rsidR="00D92507" w:rsidRPr="00405237">
              <w:t>курсовете</w:t>
            </w:r>
            <w:r w:rsidR="00167E41" w:rsidRPr="00405237">
              <w:t xml:space="preserve"> не</w:t>
            </w:r>
            <w:r w:rsidRPr="00405237">
              <w:t xml:space="preserve"> влизат часовете  за провеждане на </w:t>
            </w:r>
            <w:r w:rsidR="00885D4C" w:rsidRPr="00405237">
              <w:t xml:space="preserve">задължителните </w:t>
            </w:r>
            <w:r w:rsidRPr="00405237">
              <w:t>изпит</w:t>
            </w:r>
            <w:r w:rsidR="00B711F5" w:rsidRPr="00405237">
              <w:t xml:space="preserve">и </w:t>
            </w:r>
            <w:r w:rsidRPr="00405237">
              <w:t xml:space="preserve">за </w:t>
            </w:r>
            <w:r w:rsidR="000D53FD" w:rsidRPr="00405237">
              <w:t>завършване на съответния вид курс съгласно приложимото национално законодателство в съответната област.</w:t>
            </w:r>
          </w:p>
          <w:p w:rsidR="00F464FE" w:rsidRPr="00405237" w:rsidRDefault="00F464FE" w:rsidP="00405237">
            <w:pPr>
              <w:tabs>
                <w:tab w:val="left" w:pos="429"/>
              </w:tabs>
              <w:jc w:val="both"/>
            </w:pPr>
          </w:p>
          <w:p w:rsidR="00F464FE" w:rsidRPr="00405237" w:rsidRDefault="000D53FD" w:rsidP="00405237">
            <w:pPr>
              <w:pStyle w:val="ListParagraph"/>
              <w:numPr>
                <w:ilvl w:val="0"/>
                <w:numId w:val="12"/>
              </w:numPr>
              <w:tabs>
                <w:tab w:val="left" w:pos="429"/>
              </w:tabs>
              <w:spacing w:before="0" w:beforeAutospacing="0" w:after="0" w:afterAutospacing="0"/>
              <w:ind w:left="58" w:firstLine="0"/>
              <w:jc w:val="both"/>
              <w:rPr>
                <w:rFonts w:eastAsia="Times New Roman"/>
                <w:szCs w:val="31"/>
              </w:rPr>
            </w:pPr>
            <w:r w:rsidRPr="00405237">
              <w:t>Провеждането на и</w:t>
            </w:r>
            <w:r w:rsidR="00D92507" w:rsidRPr="00405237">
              <w:t xml:space="preserve">зпитите </w:t>
            </w:r>
            <w:r w:rsidRPr="00405237">
              <w:t xml:space="preserve">за завършване на съответния вид курс </w:t>
            </w:r>
            <w:r w:rsidR="00D92507" w:rsidRPr="00405237">
              <w:t xml:space="preserve">се </w:t>
            </w:r>
            <w:r w:rsidRPr="00405237">
              <w:t>осъществява</w:t>
            </w:r>
            <w:r w:rsidR="00D92507" w:rsidRPr="00405237">
              <w:t xml:space="preserve"> съгласно</w:t>
            </w:r>
            <w:r w:rsidR="0065209D" w:rsidRPr="00405237">
              <w:t xml:space="preserve"> националното законодателство в съответната област</w:t>
            </w:r>
            <w:r w:rsidRPr="00405237">
              <w:t xml:space="preserve">, </w:t>
            </w:r>
            <w:r w:rsidR="0093616E" w:rsidRPr="00405237">
              <w:t xml:space="preserve">включително </w:t>
            </w:r>
            <w:r w:rsidRPr="00405237">
              <w:t>посочено</w:t>
            </w:r>
            <w:r w:rsidR="0093616E" w:rsidRPr="00405237">
              <w:t>то</w:t>
            </w:r>
            <w:r w:rsidRPr="00405237">
              <w:t xml:space="preserve"> в Условията за кандидатстване за </w:t>
            </w:r>
            <w:r w:rsidR="0093616E" w:rsidRPr="00405237">
              <w:t>конкретния</w:t>
            </w:r>
            <w:r w:rsidRPr="00405237">
              <w:t xml:space="preserve"> вид дейност.</w:t>
            </w:r>
          </w:p>
          <w:p w:rsidR="00F464FE" w:rsidRPr="00405237" w:rsidRDefault="00F464FE" w:rsidP="00405237">
            <w:pPr>
              <w:tabs>
                <w:tab w:val="left" w:pos="429"/>
              </w:tabs>
              <w:jc w:val="both"/>
              <w:rPr>
                <w:rFonts w:eastAsia="Times New Roman"/>
                <w:szCs w:val="31"/>
              </w:rPr>
            </w:pPr>
          </w:p>
          <w:p w:rsidR="00335D3B" w:rsidRPr="00405237" w:rsidRDefault="003B7B2A" w:rsidP="00405237">
            <w:pPr>
              <w:pStyle w:val="ListParagraph"/>
              <w:numPr>
                <w:ilvl w:val="0"/>
                <w:numId w:val="12"/>
              </w:numPr>
              <w:tabs>
                <w:tab w:val="left" w:pos="391"/>
                <w:tab w:val="left" w:pos="429"/>
              </w:tabs>
              <w:spacing w:before="0" w:beforeAutospacing="0" w:after="0" w:afterAutospacing="0"/>
              <w:ind w:left="58" w:firstLine="0"/>
              <w:jc w:val="both"/>
            </w:pPr>
            <w:r w:rsidRPr="00405237">
              <w:t xml:space="preserve">Съгласно т. 3 от раздел 21.2 „Техническа и финансова оценка“ от Условията за кандидатстване техническа и финансова оценка на проектните предложения по процедурата се извършва по критерии и методика, посочени в раздел 22 „Критерии и методика за оценка на проектните предложения“. В </w:t>
            </w:r>
            <w:r w:rsidR="00335D3B" w:rsidRPr="00405237">
              <w:t>т. 22.1.3</w:t>
            </w:r>
            <w:r w:rsidR="00F36FB5" w:rsidRPr="00405237">
              <w:t xml:space="preserve"> от У</w:t>
            </w:r>
            <w:r w:rsidR="00335D3B" w:rsidRPr="00405237">
              <w:t xml:space="preserve">словия за кандидатстване </w:t>
            </w:r>
            <w:r w:rsidRPr="00405237">
              <w:t xml:space="preserve">е определено, че </w:t>
            </w:r>
            <w:r w:rsidR="00335D3B" w:rsidRPr="00405237">
              <w:t xml:space="preserve">за получаване на максимален брой точки </w:t>
            </w:r>
            <w:r w:rsidR="00B711F5" w:rsidRPr="00405237">
              <w:t>по критерий 1.1</w:t>
            </w:r>
            <w:r w:rsidR="00695A36" w:rsidRPr="00405237">
              <w:t xml:space="preserve"> в учебната програма на дългосрочен курс с минимална продължителност </w:t>
            </w:r>
            <w:r w:rsidR="00B711F5" w:rsidRPr="00405237">
              <w:t>150</w:t>
            </w:r>
            <w:r w:rsidR="00335D3B" w:rsidRPr="00405237">
              <w:t xml:space="preserve"> </w:t>
            </w:r>
            <w:r w:rsidR="00695A36" w:rsidRPr="00405237">
              <w:t xml:space="preserve">учебни часа трябва </w:t>
            </w:r>
            <w:r w:rsidR="00335D3B" w:rsidRPr="00405237">
              <w:t>да бъдат включени</w:t>
            </w:r>
            <w:r w:rsidR="000D53FD" w:rsidRPr="00405237">
              <w:t xml:space="preserve"> модул</w:t>
            </w:r>
            <w:r w:rsidR="00695A36" w:rsidRPr="00405237">
              <w:t>/модули с учебни часове по теми</w:t>
            </w:r>
            <w:r w:rsidR="00335D3B" w:rsidRPr="00405237">
              <w:t>, насочени към Фокус област 2А, Фокус област 2Б и Фокус област 5А.</w:t>
            </w:r>
          </w:p>
          <w:p w:rsidR="00F464FE" w:rsidRPr="00405237" w:rsidRDefault="00F464FE" w:rsidP="00405237">
            <w:pPr>
              <w:tabs>
                <w:tab w:val="left" w:pos="391"/>
                <w:tab w:val="left" w:pos="429"/>
              </w:tabs>
              <w:jc w:val="both"/>
            </w:pPr>
          </w:p>
          <w:p w:rsidR="00F464FE" w:rsidRPr="00405237" w:rsidRDefault="00F464FE" w:rsidP="00405237">
            <w:pPr>
              <w:tabs>
                <w:tab w:val="left" w:pos="391"/>
                <w:tab w:val="left" w:pos="429"/>
              </w:tabs>
              <w:jc w:val="both"/>
            </w:pPr>
          </w:p>
          <w:p w:rsidR="00F464FE" w:rsidRDefault="00F464FE" w:rsidP="00405237">
            <w:pPr>
              <w:tabs>
                <w:tab w:val="left" w:pos="391"/>
                <w:tab w:val="left" w:pos="429"/>
              </w:tabs>
              <w:jc w:val="both"/>
            </w:pPr>
          </w:p>
          <w:p w:rsidR="00197D78" w:rsidRPr="00405237" w:rsidRDefault="00197D78" w:rsidP="00405237">
            <w:pPr>
              <w:tabs>
                <w:tab w:val="left" w:pos="391"/>
                <w:tab w:val="left" w:pos="429"/>
              </w:tabs>
              <w:jc w:val="both"/>
            </w:pPr>
          </w:p>
          <w:p w:rsidR="009A20A6" w:rsidRPr="00405237" w:rsidRDefault="00AB6838" w:rsidP="00405237">
            <w:pPr>
              <w:pStyle w:val="ListParagraph"/>
              <w:numPr>
                <w:ilvl w:val="0"/>
                <w:numId w:val="12"/>
              </w:numPr>
              <w:tabs>
                <w:tab w:val="left" w:pos="391"/>
              </w:tabs>
              <w:spacing w:before="0" w:beforeAutospacing="0" w:after="0" w:afterAutospacing="0"/>
              <w:ind w:left="0" w:firstLine="0"/>
              <w:jc w:val="both"/>
              <w:rPr>
                <w:rFonts w:eastAsia="Times New Roman"/>
                <w:szCs w:val="31"/>
              </w:rPr>
            </w:pPr>
            <w:r w:rsidRPr="00405237">
              <w:rPr>
                <w:rFonts w:eastAsia="Times New Roman"/>
                <w:szCs w:val="31"/>
              </w:rPr>
              <w:lastRenderedPageBreak/>
              <w:t xml:space="preserve">Съгласно т. 24.15 </w:t>
            </w:r>
            <w:r w:rsidR="009A20A6" w:rsidRPr="00405237">
              <w:rPr>
                <w:rFonts w:eastAsia="Times New Roman"/>
                <w:szCs w:val="31"/>
              </w:rPr>
              <w:t>от</w:t>
            </w:r>
            <w:r w:rsidR="00225B47" w:rsidRPr="00405237">
              <w:rPr>
                <w:rFonts w:eastAsia="Times New Roman"/>
                <w:szCs w:val="31"/>
              </w:rPr>
              <w:t xml:space="preserve"> Раздел 24. </w:t>
            </w:r>
            <w:r w:rsidR="009A20A6" w:rsidRPr="00405237">
              <w:rPr>
                <w:rFonts w:eastAsia="Times New Roman"/>
                <w:szCs w:val="31"/>
              </w:rPr>
              <w:t>„</w:t>
            </w:r>
            <w:r w:rsidRPr="00405237">
              <w:rPr>
                <w:rFonts w:eastAsia="Times New Roman"/>
                <w:szCs w:val="31"/>
              </w:rPr>
              <w:t>Списък на документите, които се подават на етап кандидатстване</w:t>
            </w:r>
            <w:r w:rsidR="009A20A6" w:rsidRPr="00405237">
              <w:rPr>
                <w:rFonts w:eastAsia="Times New Roman"/>
                <w:szCs w:val="31"/>
              </w:rPr>
              <w:t>“</w:t>
            </w:r>
            <w:r w:rsidRPr="00405237">
              <w:rPr>
                <w:rFonts w:eastAsia="Times New Roman"/>
                <w:szCs w:val="31"/>
              </w:rPr>
              <w:t xml:space="preserve"> от Условията</w:t>
            </w:r>
            <w:r w:rsidR="00225B47" w:rsidRPr="00405237">
              <w:rPr>
                <w:rFonts w:eastAsia="Times New Roman"/>
                <w:szCs w:val="31"/>
              </w:rPr>
              <w:t xml:space="preserve"> за кандидатстване</w:t>
            </w:r>
            <w:r w:rsidRPr="00405237">
              <w:rPr>
                <w:rFonts w:eastAsia="Times New Roman"/>
                <w:szCs w:val="31"/>
              </w:rPr>
              <w:t xml:space="preserve"> </w:t>
            </w:r>
            <w:r w:rsidR="00225B47" w:rsidRPr="00405237">
              <w:rPr>
                <w:rFonts w:eastAsia="Times New Roman"/>
                <w:szCs w:val="31"/>
              </w:rPr>
              <w:t>документи</w:t>
            </w:r>
            <w:r w:rsidR="009A20A6" w:rsidRPr="00405237">
              <w:rPr>
                <w:rFonts w:eastAsia="Times New Roman"/>
                <w:szCs w:val="31"/>
              </w:rPr>
              <w:t>те, които се подават на етап кандидатстване са: документи</w:t>
            </w:r>
            <w:r w:rsidR="00225B47" w:rsidRPr="00405237">
              <w:rPr>
                <w:rFonts w:eastAsia="Times New Roman"/>
                <w:szCs w:val="31"/>
              </w:rPr>
              <w:t xml:space="preserve"> за собств</w:t>
            </w:r>
            <w:r w:rsidR="009A20A6" w:rsidRPr="00405237">
              <w:rPr>
                <w:rFonts w:eastAsia="Times New Roman"/>
                <w:szCs w:val="31"/>
              </w:rPr>
              <w:t xml:space="preserve">еност, наем или други документи, които </w:t>
            </w:r>
            <w:r w:rsidR="00225B47" w:rsidRPr="00405237">
              <w:rPr>
                <w:rFonts w:eastAsia="Times New Roman"/>
                <w:szCs w:val="31"/>
              </w:rPr>
              <w:t xml:space="preserve">да доказват правото на ползване на материално-техническа база, в която ще се проведе теоретичното и/или практическото обучение за периода на провеждането на курса/семинара. </w:t>
            </w:r>
            <w:r w:rsidR="009A20A6" w:rsidRPr="00405237">
              <w:rPr>
                <w:rFonts w:eastAsia="Times New Roman"/>
                <w:szCs w:val="31"/>
              </w:rPr>
              <w:t>От друга страна, и</w:t>
            </w:r>
            <w:r w:rsidR="003B7B2A" w:rsidRPr="00405237">
              <w:rPr>
                <w:rFonts w:eastAsia="Times New Roman"/>
                <w:szCs w:val="31"/>
              </w:rPr>
              <w:t xml:space="preserve">зпълнението на дейностите по проекта следва да е в съответствие </w:t>
            </w:r>
            <w:r w:rsidR="009A20A6" w:rsidRPr="00405237">
              <w:rPr>
                <w:rFonts w:eastAsia="Times New Roman"/>
                <w:szCs w:val="31"/>
              </w:rPr>
              <w:t xml:space="preserve">и </w:t>
            </w:r>
            <w:r w:rsidR="003B7B2A" w:rsidRPr="00405237">
              <w:rPr>
                <w:rFonts w:eastAsia="Times New Roman"/>
                <w:szCs w:val="31"/>
              </w:rPr>
              <w:t>с националното законодателство</w:t>
            </w:r>
            <w:r w:rsidR="00225B47" w:rsidRPr="00405237">
              <w:rPr>
                <w:rFonts w:eastAsia="Times New Roman"/>
                <w:szCs w:val="31"/>
              </w:rPr>
              <w:t xml:space="preserve"> в съответната област</w:t>
            </w:r>
            <w:r w:rsidR="003B7B2A" w:rsidRPr="00405237">
              <w:rPr>
                <w:rFonts w:eastAsia="Times New Roman"/>
                <w:szCs w:val="31"/>
              </w:rPr>
              <w:t xml:space="preserve">. </w:t>
            </w:r>
          </w:p>
          <w:p w:rsidR="00225B47" w:rsidRPr="00405237" w:rsidRDefault="003B7B2A" w:rsidP="00405237">
            <w:pPr>
              <w:pStyle w:val="ListParagraph"/>
              <w:tabs>
                <w:tab w:val="left" w:pos="391"/>
              </w:tabs>
              <w:spacing w:before="0" w:beforeAutospacing="0" w:after="0" w:afterAutospacing="0"/>
              <w:jc w:val="both"/>
              <w:rPr>
                <w:rFonts w:eastAsia="Times New Roman"/>
                <w:szCs w:val="31"/>
              </w:rPr>
            </w:pPr>
            <w:r w:rsidRPr="00405237">
              <w:rPr>
                <w:rFonts w:eastAsia="Times New Roman"/>
                <w:szCs w:val="31"/>
              </w:rPr>
              <w:t>Закон</w:t>
            </w:r>
            <w:r w:rsidR="00986DEE" w:rsidRPr="00405237">
              <w:rPr>
                <w:rFonts w:eastAsia="Times New Roman"/>
                <w:szCs w:val="31"/>
              </w:rPr>
              <w:t>ът</w:t>
            </w:r>
            <w:r w:rsidRPr="00405237">
              <w:rPr>
                <w:rFonts w:eastAsia="Times New Roman"/>
                <w:szCs w:val="31"/>
              </w:rPr>
              <w:t xml:space="preserve"> за задълженията и договорите не изисква нотариална заверка на подписите</w:t>
            </w:r>
            <w:r w:rsidR="00986DEE" w:rsidRPr="00405237">
              <w:rPr>
                <w:rFonts w:eastAsia="Times New Roman"/>
                <w:szCs w:val="31"/>
              </w:rPr>
              <w:t>, но</w:t>
            </w:r>
            <w:r w:rsidRPr="00405237">
              <w:rPr>
                <w:rFonts w:eastAsia="Times New Roman"/>
                <w:szCs w:val="31"/>
              </w:rPr>
              <w:t xml:space="preserve"> Ви </w:t>
            </w:r>
            <w:r w:rsidR="00986DEE" w:rsidRPr="00405237">
              <w:rPr>
                <w:rFonts w:eastAsia="Times New Roman"/>
                <w:szCs w:val="31"/>
              </w:rPr>
              <w:t xml:space="preserve">обръщаме </w:t>
            </w:r>
            <w:r w:rsidRPr="00405237">
              <w:rPr>
                <w:rFonts w:eastAsia="Times New Roman"/>
                <w:szCs w:val="31"/>
              </w:rPr>
              <w:t xml:space="preserve">внимание, че съгласно чл. 112 от Закона за собствеността и чл. 4, буква „е“ от Правилника за вписванията договорите за наем на недвижим имот за срок по-дълъг от една година се вписват в Агенция по вписванията. Също така, в чл. </w:t>
            </w:r>
            <w:r w:rsidR="00225B47" w:rsidRPr="00405237">
              <w:rPr>
                <w:rFonts w:eastAsia="Times New Roman"/>
                <w:szCs w:val="31"/>
              </w:rPr>
              <w:t xml:space="preserve">3 от Правилника за вписванията </w:t>
            </w:r>
            <w:r w:rsidRPr="00405237">
              <w:rPr>
                <w:rFonts w:eastAsia="Times New Roman"/>
                <w:szCs w:val="31"/>
              </w:rPr>
              <w:t>е определено, че подлежат на вписване само актове, които са извършени по нотариален ред или са с нотариално заверен подпис, като това не се отнася за вписването на актове, издадени от надлежните държавни органи.</w:t>
            </w:r>
            <w:r w:rsidR="00225B47" w:rsidRPr="00405237">
              <w:rPr>
                <w:rFonts w:eastAsia="Times New Roman"/>
                <w:szCs w:val="31"/>
              </w:rPr>
              <w:t xml:space="preserve"> Разясненията по реда на чл. 26, ал. 8 от ЗУСЕСИФ се дават само по отношение на условията за кандидатстване по настоящата процедура.</w:t>
            </w:r>
          </w:p>
          <w:p w:rsidR="00225B47" w:rsidRPr="00405237" w:rsidRDefault="00225B47" w:rsidP="00405237">
            <w:pPr>
              <w:pStyle w:val="ListParagraph"/>
              <w:tabs>
                <w:tab w:val="left" w:pos="391"/>
              </w:tabs>
              <w:spacing w:before="0" w:beforeAutospacing="0" w:after="0" w:afterAutospacing="0"/>
              <w:jc w:val="both"/>
              <w:rPr>
                <w:rFonts w:eastAsia="Times New Roman"/>
                <w:szCs w:val="31"/>
              </w:rPr>
            </w:pPr>
          </w:p>
          <w:p w:rsidR="00AC3334" w:rsidRPr="00405237" w:rsidRDefault="00AD7928" w:rsidP="00405237">
            <w:pPr>
              <w:pStyle w:val="ListParagraph"/>
              <w:numPr>
                <w:ilvl w:val="0"/>
                <w:numId w:val="12"/>
              </w:numPr>
              <w:tabs>
                <w:tab w:val="left" w:pos="429"/>
              </w:tabs>
              <w:spacing w:before="0" w:beforeAutospacing="0" w:after="0" w:afterAutospacing="0"/>
              <w:ind w:left="58" w:firstLine="0"/>
              <w:jc w:val="both"/>
              <w:rPr>
                <w:rFonts w:eastAsia="Times New Roman"/>
                <w:szCs w:val="31"/>
              </w:rPr>
            </w:pPr>
            <w:r w:rsidRPr="00405237">
              <w:t xml:space="preserve">Съгласно т. 22.1.3 от </w:t>
            </w:r>
            <w:r w:rsidR="009A20A6" w:rsidRPr="00405237">
              <w:t>У</w:t>
            </w:r>
            <w:r w:rsidRPr="00405237">
              <w:t>словията за кандидатстване</w:t>
            </w:r>
            <w:r w:rsidRPr="00405237">
              <w:rPr>
                <w:rFonts w:eastAsia="Times New Roman"/>
              </w:rPr>
              <w:t xml:space="preserve"> за получаване на </w:t>
            </w:r>
            <w:r w:rsidR="00F32305" w:rsidRPr="00405237">
              <w:rPr>
                <w:rFonts w:eastAsia="Times New Roman"/>
              </w:rPr>
              <w:t xml:space="preserve">максимален брой </w:t>
            </w:r>
            <w:r w:rsidRPr="00405237">
              <w:rPr>
                <w:rFonts w:eastAsia="Times New Roman"/>
              </w:rPr>
              <w:t xml:space="preserve">точки </w:t>
            </w:r>
            <w:r w:rsidRPr="00405237">
              <w:t>по критерий 1.3</w:t>
            </w:r>
            <w:r w:rsidR="005E66D0" w:rsidRPr="00405237">
              <w:t xml:space="preserve"> за </w:t>
            </w:r>
            <w:r w:rsidR="00B36715" w:rsidRPr="00405237">
              <w:t xml:space="preserve">курс с минимална продължителност от </w:t>
            </w:r>
            <w:r w:rsidR="005E66D0" w:rsidRPr="00405237">
              <w:t xml:space="preserve">150 </w:t>
            </w:r>
            <w:r w:rsidR="00C165F5" w:rsidRPr="00405237">
              <w:t xml:space="preserve">учебни </w:t>
            </w:r>
            <w:r w:rsidR="005E66D0" w:rsidRPr="00405237">
              <w:t>час</w:t>
            </w:r>
            <w:r w:rsidR="00F36FB5" w:rsidRPr="00405237">
              <w:t>а</w:t>
            </w:r>
            <w:r w:rsidR="005E66D0" w:rsidRPr="00405237">
              <w:t xml:space="preserve"> </w:t>
            </w:r>
            <w:r w:rsidR="009A20A6" w:rsidRPr="00405237">
              <w:t xml:space="preserve">е необходимо </w:t>
            </w:r>
            <w:r w:rsidR="009E6BFD" w:rsidRPr="00405237">
              <w:t xml:space="preserve">над 20% от </w:t>
            </w:r>
            <w:r w:rsidR="005E66D0" w:rsidRPr="00405237">
              <w:t xml:space="preserve">предвидения </w:t>
            </w:r>
            <w:r w:rsidR="009E6BFD" w:rsidRPr="00405237">
              <w:t>общ брой обучаеми лица</w:t>
            </w:r>
            <w:r w:rsidR="00C165F5" w:rsidRPr="00405237">
              <w:t>, които</w:t>
            </w:r>
            <w:r w:rsidR="005E66D0" w:rsidRPr="00405237">
              <w:t xml:space="preserve"> </w:t>
            </w:r>
            <w:r w:rsidR="00C165F5" w:rsidRPr="00405237">
              <w:t>ще</w:t>
            </w:r>
            <w:r w:rsidR="00F36FB5" w:rsidRPr="00405237">
              <w:t xml:space="preserve"> </w:t>
            </w:r>
            <w:r w:rsidR="00C165F5" w:rsidRPr="00405237">
              <w:t xml:space="preserve">бъдат </w:t>
            </w:r>
            <w:r w:rsidR="00F36FB5" w:rsidRPr="00405237">
              <w:t>включ</w:t>
            </w:r>
            <w:r w:rsidR="00C165F5" w:rsidRPr="00405237">
              <w:t>ени</w:t>
            </w:r>
            <w:r w:rsidR="00F36FB5" w:rsidRPr="00405237">
              <w:t xml:space="preserve"> в обучението</w:t>
            </w:r>
            <w:r w:rsidR="00F32305" w:rsidRPr="00405237">
              <w:t xml:space="preserve"> </w:t>
            </w:r>
            <w:r w:rsidR="005E66D0" w:rsidRPr="00405237">
              <w:t xml:space="preserve">да </w:t>
            </w:r>
            <w:r w:rsidR="00B36715" w:rsidRPr="00405237">
              <w:t xml:space="preserve">отговарят на </w:t>
            </w:r>
            <w:r w:rsidR="0014657A" w:rsidRPr="00405237">
              <w:t>условието</w:t>
            </w:r>
            <w:r w:rsidR="00B36715" w:rsidRPr="00405237">
              <w:t xml:space="preserve"> </w:t>
            </w:r>
            <w:r w:rsidR="00F36FB5" w:rsidRPr="00405237">
              <w:t>з</w:t>
            </w:r>
            <w:r w:rsidR="00B36715" w:rsidRPr="00405237">
              <w:t>а</w:t>
            </w:r>
            <w:r w:rsidR="0014657A" w:rsidRPr="00405237">
              <w:t xml:space="preserve"> </w:t>
            </w:r>
            <w:r w:rsidRPr="00405237">
              <w:t xml:space="preserve">малки стопанства, одобрени за подпомагане по мерки от </w:t>
            </w:r>
            <w:r w:rsidRPr="00405237">
              <w:lastRenderedPageBreak/>
              <w:t xml:space="preserve">Тематичната подпрограма за малки стопанства по ПРСР 2014-2020 </w:t>
            </w:r>
            <w:r w:rsidRPr="00405237">
              <w:rPr>
                <w:b/>
              </w:rPr>
              <w:t>и/или</w:t>
            </w:r>
            <w:r w:rsidRPr="00405237">
              <w:t xml:space="preserve"> </w:t>
            </w:r>
            <w:r w:rsidR="005E66D0" w:rsidRPr="00405237">
              <w:t xml:space="preserve">да </w:t>
            </w:r>
            <w:r w:rsidRPr="00405237">
              <w:t xml:space="preserve">са млади земеделски стопани или </w:t>
            </w:r>
            <w:r w:rsidR="005E66D0" w:rsidRPr="00405237">
              <w:t xml:space="preserve">да </w:t>
            </w:r>
            <w:r w:rsidRPr="00405237">
              <w:t>са одобрени за подпомагане по</w:t>
            </w:r>
            <w:r w:rsidR="00B36715" w:rsidRPr="00405237">
              <w:t xml:space="preserve"> подмярка 6.1 от ПРСР 2014-2020 г. Процентът </w:t>
            </w:r>
            <w:r w:rsidRPr="00405237">
              <w:t xml:space="preserve">обучаеми, които отговарят на критерия </w:t>
            </w:r>
            <w:r w:rsidR="00A8466F" w:rsidRPr="00405237">
              <w:t>може да</w:t>
            </w:r>
            <w:r w:rsidR="009A20A6" w:rsidRPr="00405237">
              <w:t xml:space="preserve"> бъде</w:t>
            </w:r>
            <w:r w:rsidR="00A8466F" w:rsidRPr="00405237">
              <w:t xml:space="preserve"> формиран</w:t>
            </w:r>
            <w:r w:rsidR="009A20A6" w:rsidRPr="00405237">
              <w:t>,</w:t>
            </w:r>
            <w:r w:rsidR="00A8466F" w:rsidRPr="00405237">
              <w:t xml:space="preserve"> както от </w:t>
            </w:r>
            <w:r w:rsidR="009A20A6" w:rsidRPr="00405237">
              <w:t xml:space="preserve">двете, </w:t>
            </w:r>
            <w:r w:rsidR="00A8466F" w:rsidRPr="00405237">
              <w:t xml:space="preserve">посочени в критерия видове групи, така и </w:t>
            </w:r>
            <w:r w:rsidR="009A20A6" w:rsidRPr="00405237">
              <w:t xml:space="preserve">само </w:t>
            </w:r>
            <w:r w:rsidR="00A8466F" w:rsidRPr="00405237">
              <w:t>от една от групите</w:t>
            </w:r>
            <w:r w:rsidR="00F32305" w:rsidRPr="00405237">
              <w:t xml:space="preserve">. Обръщаме Ви внимание, че </w:t>
            </w:r>
            <w:r w:rsidR="00524269" w:rsidRPr="00405237">
              <w:t>постигането</w:t>
            </w:r>
            <w:r w:rsidR="00F32305" w:rsidRPr="00405237">
              <w:t xml:space="preserve"> на то</w:t>
            </w:r>
            <w:r w:rsidR="00A8466F" w:rsidRPr="00405237">
              <w:t>ва</w:t>
            </w:r>
            <w:r w:rsidR="00F32305" w:rsidRPr="00405237">
              <w:t xml:space="preserve"> </w:t>
            </w:r>
            <w:r w:rsidR="00A8466F" w:rsidRPr="00405237">
              <w:t>условие</w:t>
            </w:r>
            <w:r w:rsidR="00F32305" w:rsidRPr="00405237">
              <w:t xml:space="preserve"> ще се проследява на етап </w:t>
            </w:r>
            <w:r w:rsidR="009E6BFD" w:rsidRPr="00405237">
              <w:t>изпълнение</w:t>
            </w:r>
            <w:r w:rsidR="00524269" w:rsidRPr="00405237">
              <w:t xml:space="preserve"> на проекта</w:t>
            </w:r>
            <w:r w:rsidR="006E6A0D" w:rsidRPr="00405237">
              <w:t>.</w:t>
            </w:r>
          </w:p>
          <w:p w:rsidR="00F464FE" w:rsidRPr="00405237" w:rsidRDefault="00F464FE" w:rsidP="00405237">
            <w:pPr>
              <w:tabs>
                <w:tab w:val="left" w:pos="429"/>
              </w:tabs>
              <w:jc w:val="both"/>
              <w:rPr>
                <w:rFonts w:eastAsia="Times New Roman"/>
                <w:szCs w:val="31"/>
              </w:rPr>
            </w:pPr>
          </w:p>
          <w:p w:rsidR="00F464FE" w:rsidRPr="00405237" w:rsidRDefault="00F464FE" w:rsidP="00405237">
            <w:pPr>
              <w:tabs>
                <w:tab w:val="left" w:pos="429"/>
              </w:tabs>
              <w:jc w:val="both"/>
              <w:rPr>
                <w:rFonts w:eastAsia="Times New Roman"/>
                <w:szCs w:val="31"/>
              </w:rPr>
            </w:pPr>
          </w:p>
          <w:p w:rsidR="00F464FE" w:rsidRPr="00405237" w:rsidRDefault="00F464FE" w:rsidP="00405237">
            <w:pPr>
              <w:tabs>
                <w:tab w:val="left" w:pos="429"/>
              </w:tabs>
              <w:jc w:val="both"/>
              <w:rPr>
                <w:rFonts w:eastAsia="Times New Roman"/>
                <w:szCs w:val="31"/>
              </w:rPr>
            </w:pPr>
          </w:p>
          <w:p w:rsidR="00524269" w:rsidRPr="00405237" w:rsidRDefault="00524269" w:rsidP="00405237">
            <w:pPr>
              <w:tabs>
                <w:tab w:val="left" w:pos="429"/>
              </w:tabs>
              <w:jc w:val="both"/>
              <w:rPr>
                <w:rFonts w:eastAsia="Times New Roman"/>
                <w:szCs w:val="31"/>
              </w:rPr>
            </w:pPr>
          </w:p>
          <w:p w:rsidR="00524269" w:rsidRPr="00405237" w:rsidRDefault="00524269" w:rsidP="00405237">
            <w:pPr>
              <w:tabs>
                <w:tab w:val="left" w:pos="429"/>
              </w:tabs>
              <w:jc w:val="both"/>
              <w:rPr>
                <w:rFonts w:eastAsia="Times New Roman"/>
                <w:szCs w:val="31"/>
              </w:rPr>
            </w:pPr>
          </w:p>
          <w:p w:rsidR="00A52A5B" w:rsidRPr="00405237" w:rsidRDefault="00A52A5B" w:rsidP="00405237">
            <w:pPr>
              <w:pStyle w:val="ListParagraph"/>
              <w:numPr>
                <w:ilvl w:val="0"/>
                <w:numId w:val="12"/>
              </w:numPr>
              <w:tabs>
                <w:tab w:val="left" w:pos="429"/>
              </w:tabs>
              <w:spacing w:before="0" w:beforeAutospacing="0" w:after="0" w:afterAutospacing="0"/>
              <w:ind w:left="58" w:firstLine="0"/>
              <w:jc w:val="both"/>
            </w:pPr>
            <w:r w:rsidRPr="00405237">
              <w:t xml:space="preserve">Съгласно т. </w:t>
            </w:r>
            <w:r w:rsidRPr="00405237">
              <w:rPr>
                <w:bCs/>
              </w:rPr>
              <w:t>2.</w:t>
            </w:r>
            <w:r w:rsidR="0032629C" w:rsidRPr="00405237">
              <w:rPr>
                <w:bCs/>
              </w:rPr>
              <w:t>3</w:t>
            </w:r>
            <w:r w:rsidRPr="00405237">
              <w:rPr>
                <w:bCs/>
              </w:rPr>
              <w:t xml:space="preserve"> от глава А </w:t>
            </w:r>
            <w:r w:rsidR="0032629C" w:rsidRPr="00405237">
              <w:rPr>
                <w:bCs/>
              </w:rPr>
              <w:t>„</w:t>
            </w:r>
            <w:r w:rsidR="000F4B3D" w:rsidRPr="00405237">
              <w:rPr>
                <w:bCs/>
              </w:rPr>
              <w:t>Техническо изпълнение на проектите</w:t>
            </w:r>
            <w:r w:rsidR="0032629C" w:rsidRPr="00405237">
              <w:rPr>
                <w:bCs/>
              </w:rPr>
              <w:t>“</w:t>
            </w:r>
            <w:r w:rsidR="000F4B3D" w:rsidRPr="00405237">
              <w:rPr>
                <w:bCs/>
              </w:rPr>
              <w:t xml:space="preserve">, Раздел </w:t>
            </w:r>
            <w:r w:rsidR="000F4B3D" w:rsidRPr="00405237">
              <w:rPr>
                <w:bCs/>
                <w:lang w:val="en-GB"/>
              </w:rPr>
              <w:t>I</w:t>
            </w:r>
            <w:r w:rsidR="000F4B3D" w:rsidRPr="00405237">
              <w:rPr>
                <w:bCs/>
              </w:rPr>
              <w:t xml:space="preserve"> </w:t>
            </w:r>
            <w:r w:rsidR="000F4B3D" w:rsidRPr="00405237">
              <w:t>от Условия за изпълнение</w:t>
            </w:r>
            <w:r w:rsidR="0032629C" w:rsidRPr="00405237">
              <w:t>:</w:t>
            </w:r>
            <w:r w:rsidR="000F4B3D" w:rsidRPr="00405237">
              <w:t xml:space="preserve"> </w:t>
            </w:r>
            <w:r w:rsidR="0032629C" w:rsidRPr="00405237">
              <w:rPr>
                <w:i/>
              </w:rPr>
              <w:t>„Бенефициентът е длъжен да изпълни одобрения проект, съобразно одобрения формуляр за кандидатстване, Условията за кандидатстване и Условията за изпълнение на проектите, в съответствие с условията и срока, посочени в административния договор и при спазване на крайните срокове за това, посочени в т. 1 от Раздел I „Срок за изпълнение на одобрения проект“ от настоящите условия“.</w:t>
            </w:r>
            <w:r w:rsidR="0032629C" w:rsidRPr="00405237">
              <w:t xml:space="preserve"> </w:t>
            </w:r>
            <w:r w:rsidR="009304C3" w:rsidRPr="00405237">
              <w:t>Съгласно чл. 8, ал. 2, т. 7 от Административния договор Фондът има право да откаже пълно или частично изплащане на финансовата помощ, както и да изиска възстановяване на част или цялата помощ, ако Бенефициентът не е уведомил Фонда за настъпването на факти и обстоятелства от значение за изпъ</w:t>
            </w:r>
            <w:r w:rsidR="00F464FE" w:rsidRPr="00405237">
              <w:t>лнението на одобрения проект.</w:t>
            </w:r>
          </w:p>
          <w:p w:rsidR="00F464FE" w:rsidRPr="00405237" w:rsidRDefault="00F464FE" w:rsidP="00405237">
            <w:pPr>
              <w:pStyle w:val="ListParagraph"/>
              <w:tabs>
                <w:tab w:val="left" w:pos="429"/>
              </w:tabs>
              <w:spacing w:before="0" w:beforeAutospacing="0" w:after="0" w:afterAutospacing="0"/>
              <w:ind w:left="58"/>
              <w:jc w:val="both"/>
            </w:pPr>
          </w:p>
          <w:p w:rsidR="006A35D3" w:rsidRPr="00405237" w:rsidRDefault="006A35D3" w:rsidP="00405237">
            <w:pPr>
              <w:pStyle w:val="ListParagraph"/>
              <w:numPr>
                <w:ilvl w:val="0"/>
                <w:numId w:val="12"/>
              </w:numPr>
              <w:tabs>
                <w:tab w:val="left" w:pos="429"/>
              </w:tabs>
              <w:spacing w:before="0" w:beforeAutospacing="0" w:after="0" w:afterAutospacing="0"/>
              <w:ind w:left="58" w:firstLine="0"/>
              <w:jc w:val="both"/>
            </w:pPr>
            <w:bookmarkStart w:id="0" w:name="_GoBack"/>
            <w:bookmarkEnd w:id="0"/>
            <w:r w:rsidRPr="00405237">
              <w:rPr>
                <w:rFonts w:eastAsia="Times New Roman"/>
                <w:szCs w:val="31"/>
              </w:rPr>
              <w:lastRenderedPageBreak/>
              <w:t>Съгласно т. 13.1.11. от Условията за кандидатстване</w:t>
            </w:r>
            <w:r w:rsidRPr="00405237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05237">
              <w:rPr>
                <w:rFonts w:eastAsia="Times New Roman"/>
                <w:szCs w:val="31"/>
              </w:rPr>
              <w:t>проектното предложение може да съдържа неограничен брой курсове и семинари, попадащи в обхвата на допустимите дейности за съответния бюджет по т. 8.2 или по т. 8.3.</w:t>
            </w:r>
          </w:p>
          <w:p w:rsidR="006A35D3" w:rsidRPr="00405237" w:rsidRDefault="006A35D3" w:rsidP="00405237">
            <w:pPr>
              <w:pStyle w:val="ListParagraph"/>
              <w:tabs>
                <w:tab w:val="left" w:pos="429"/>
              </w:tabs>
              <w:spacing w:before="0" w:beforeAutospacing="0" w:after="0" w:afterAutospacing="0"/>
              <w:ind w:left="58"/>
              <w:jc w:val="both"/>
              <w:rPr>
                <w:rFonts w:eastAsia="Times New Roman"/>
                <w:szCs w:val="31"/>
              </w:rPr>
            </w:pPr>
            <w:r w:rsidRPr="00405237">
              <w:rPr>
                <w:rFonts w:eastAsia="Times New Roman"/>
                <w:szCs w:val="31"/>
              </w:rPr>
              <w:t>В</w:t>
            </w:r>
            <w:r w:rsidR="00134819" w:rsidRPr="00405237">
              <w:rPr>
                <w:rFonts w:eastAsia="Times New Roman"/>
                <w:szCs w:val="31"/>
              </w:rPr>
              <w:t xml:space="preserve"> т. 13.2.1.2. от Условията за кандидатстване </w:t>
            </w:r>
            <w:r w:rsidRPr="00405237">
              <w:rPr>
                <w:rFonts w:eastAsia="Times New Roman"/>
                <w:szCs w:val="31"/>
              </w:rPr>
              <w:t xml:space="preserve">е посочено, че за всеки един курс в проектното предложение </w:t>
            </w:r>
            <w:r w:rsidR="00134819" w:rsidRPr="00405237">
              <w:rPr>
                <w:rFonts w:eastAsia="Times New Roman"/>
                <w:szCs w:val="31"/>
              </w:rPr>
              <w:t xml:space="preserve">трябва да </w:t>
            </w:r>
            <w:r w:rsidRPr="00405237">
              <w:rPr>
                <w:rFonts w:eastAsia="Times New Roman"/>
                <w:szCs w:val="31"/>
              </w:rPr>
              <w:t xml:space="preserve">се </w:t>
            </w:r>
            <w:r w:rsidR="00134819" w:rsidRPr="00405237">
              <w:rPr>
                <w:rFonts w:eastAsia="Times New Roman"/>
                <w:szCs w:val="31"/>
              </w:rPr>
              <w:t xml:space="preserve">представи </w:t>
            </w:r>
            <w:r w:rsidRPr="00405237">
              <w:rPr>
                <w:rFonts w:eastAsia="Times New Roman"/>
                <w:szCs w:val="31"/>
              </w:rPr>
              <w:t xml:space="preserve">Приложение №1 или Приложение №1А </w:t>
            </w:r>
            <w:r w:rsidR="00134819" w:rsidRPr="00405237">
              <w:rPr>
                <w:rFonts w:eastAsia="Times New Roman"/>
                <w:szCs w:val="31"/>
              </w:rPr>
              <w:t>по образец</w:t>
            </w:r>
            <w:r w:rsidRPr="00405237">
              <w:rPr>
                <w:rFonts w:eastAsia="Times New Roman"/>
                <w:szCs w:val="31"/>
              </w:rPr>
              <w:t>.</w:t>
            </w:r>
          </w:p>
          <w:p w:rsidR="00CA3783" w:rsidRPr="00405237" w:rsidRDefault="00CA3783" w:rsidP="00405237">
            <w:pPr>
              <w:pStyle w:val="ListParagraph"/>
              <w:tabs>
                <w:tab w:val="left" w:pos="429"/>
              </w:tabs>
              <w:spacing w:before="0" w:beforeAutospacing="0" w:after="0" w:afterAutospacing="0"/>
              <w:ind w:left="58"/>
              <w:jc w:val="both"/>
              <w:rPr>
                <w:rFonts w:eastAsia="Times New Roman"/>
                <w:szCs w:val="31"/>
              </w:rPr>
            </w:pPr>
          </w:p>
          <w:p w:rsidR="004D54C4" w:rsidRPr="00405237" w:rsidRDefault="00CA3783" w:rsidP="00405237">
            <w:pPr>
              <w:pStyle w:val="ListParagraph"/>
              <w:tabs>
                <w:tab w:val="left" w:pos="429"/>
              </w:tabs>
              <w:spacing w:before="0" w:beforeAutospacing="0" w:after="0" w:afterAutospacing="0"/>
              <w:ind w:left="58"/>
              <w:jc w:val="both"/>
              <w:rPr>
                <w:rFonts w:eastAsia="Times New Roman"/>
                <w:szCs w:val="31"/>
              </w:rPr>
            </w:pPr>
            <w:r w:rsidRPr="00405237">
              <w:t>Обръщаме Ви внимание, че с</w:t>
            </w:r>
            <w:r w:rsidR="00AD539A" w:rsidRPr="00405237">
              <w:t xml:space="preserve">ъгласно т. 13.2.1.1 </w:t>
            </w:r>
            <w:r w:rsidR="006A35D3" w:rsidRPr="00405237">
              <w:t>„</w:t>
            </w:r>
            <w:r w:rsidR="00653DA4" w:rsidRPr="00405237">
              <w:t>Условия за допустимост на курсове за обучение</w:t>
            </w:r>
            <w:r w:rsidR="006A35D3" w:rsidRPr="00405237">
              <w:t>“</w:t>
            </w:r>
            <w:r w:rsidR="00653DA4" w:rsidRPr="00405237">
              <w:t xml:space="preserve"> о</w:t>
            </w:r>
            <w:r w:rsidR="00AD539A" w:rsidRPr="00405237">
              <w:t xml:space="preserve">т </w:t>
            </w:r>
            <w:r w:rsidR="00653DA4" w:rsidRPr="00405237">
              <w:t>Условия</w:t>
            </w:r>
            <w:r w:rsidR="00AD539A" w:rsidRPr="00405237">
              <w:t xml:space="preserve"> за кандидатстване, </w:t>
            </w:r>
            <w:r w:rsidR="00AD539A" w:rsidRPr="00405237">
              <w:rPr>
                <w:rFonts w:eastAsia="Times New Roman"/>
                <w:szCs w:val="31"/>
              </w:rPr>
              <w:t>участниците във всеки курс</w:t>
            </w:r>
            <w:r w:rsidR="00134819" w:rsidRPr="00405237">
              <w:t xml:space="preserve"> трябва да бъдат разпределени в учебни групи, с максимален брой до 30 лица в група, които се обучават по едно и също време и място по учебната програма на дадения курс</w:t>
            </w:r>
            <w:r w:rsidR="004576A8" w:rsidRPr="00405237">
              <w:t>.</w:t>
            </w:r>
          </w:p>
          <w:p w:rsidR="00E47190" w:rsidRPr="00F464FE" w:rsidRDefault="00E47190" w:rsidP="00405237">
            <w:pPr>
              <w:pStyle w:val="ListParagraph"/>
              <w:tabs>
                <w:tab w:val="left" w:pos="429"/>
              </w:tabs>
              <w:spacing w:before="0" w:beforeAutospacing="0" w:after="0" w:afterAutospacing="0"/>
              <w:ind w:left="58"/>
              <w:jc w:val="both"/>
            </w:pPr>
            <w:r w:rsidRPr="00405237">
              <w:rPr>
                <w:rFonts w:eastAsia="Times New Roman"/>
                <w:szCs w:val="31"/>
              </w:rPr>
              <w:t xml:space="preserve">Също така </w:t>
            </w:r>
            <w:r w:rsidR="00F012BA" w:rsidRPr="00405237">
              <w:rPr>
                <w:rFonts w:eastAsia="Times New Roman"/>
                <w:szCs w:val="31"/>
              </w:rPr>
              <w:t xml:space="preserve">имайте предвид, че </w:t>
            </w:r>
            <w:r w:rsidRPr="00405237">
              <w:rPr>
                <w:rFonts w:eastAsia="Times New Roman"/>
                <w:szCs w:val="31"/>
              </w:rPr>
              <w:t xml:space="preserve">съгласно т. 27.1. „Основни термини и дефиниции използвани в условията за кандидатстване“ </w:t>
            </w:r>
            <w:r w:rsidR="00864D33" w:rsidRPr="00405237">
              <w:rPr>
                <w:rFonts w:eastAsia="Times New Roman"/>
                <w:szCs w:val="31"/>
              </w:rPr>
              <w:t xml:space="preserve">е дадено следното </w:t>
            </w:r>
            <w:r w:rsidRPr="00405237">
              <w:rPr>
                <w:rFonts w:eastAsia="Times New Roman"/>
                <w:szCs w:val="31"/>
              </w:rPr>
              <w:t>определение за „курс“</w:t>
            </w:r>
            <w:r w:rsidR="00864D33" w:rsidRPr="00405237">
              <w:rPr>
                <w:rFonts w:eastAsia="Times New Roman"/>
                <w:szCs w:val="31"/>
              </w:rPr>
              <w:t xml:space="preserve"> - </w:t>
            </w:r>
            <w:r w:rsidRPr="00405237">
              <w:rPr>
                <w:rFonts w:eastAsia="Times New Roman"/>
                <w:szCs w:val="31"/>
              </w:rPr>
              <w:t xml:space="preserve"> </w:t>
            </w:r>
            <w:r w:rsidR="00524269" w:rsidRPr="00405237">
              <w:rPr>
                <w:rFonts w:eastAsia="Times New Roman"/>
                <w:szCs w:val="31"/>
              </w:rPr>
              <w:t>„</w:t>
            </w:r>
            <w:r w:rsidRPr="00405237">
              <w:rPr>
                <w:rFonts w:eastAsia="Times New Roman"/>
                <w:szCs w:val="31"/>
              </w:rPr>
              <w:t>съвкупност от специални занятия с разработена учебна програма за част от професия или за обучение за повишаване на квалификацията, за постигане на конкретни цели на обучението</w:t>
            </w:r>
            <w:r w:rsidR="00524269" w:rsidRPr="00405237">
              <w:rPr>
                <w:rFonts w:eastAsia="Times New Roman"/>
                <w:szCs w:val="31"/>
              </w:rPr>
              <w:t>“</w:t>
            </w:r>
            <w:r w:rsidR="00405237" w:rsidRPr="00405237">
              <w:rPr>
                <w:rFonts w:eastAsia="Times New Roman"/>
                <w:szCs w:val="31"/>
              </w:rPr>
              <w:t>, като в случай на по-голям брой обучаеми лица, същите трябва да бъдат обособени в учебни групи до 30 лица.</w:t>
            </w:r>
          </w:p>
        </w:tc>
      </w:tr>
    </w:tbl>
    <w:p w:rsidR="00E85898" w:rsidRDefault="00E85898" w:rsidP="00405237"/>
    <w:sectPr w:rsidR="00E85898" w:rsidSect="00C33494">
      <w:headerReference w:type="default" r:id="rId12"/>
      <w:footerReference w:type="default" r:id="rId13"/>
      <w:pgSz w:w="16838" w:h="11906" w:orient="landscape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A3" w:rsidRDefault="00DB45A3" w:rsidP="00C33494">
      <w:pPr>
        <w:spacing w:after="0" w:line="240" w:lineRule="auto"/>
      </w:pPr>
      <w:r>
        <w:separator/>
      </w:r>
    </w:p>
  </w:endnote>
  <w:endnote w:type="continuationSeparator" w:id="0">
    <w:p w:rsidR="00DB45A3" w:rsidRDefault="00DB45A3" w:rsidP="00C3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85209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346" w:rsidRDefault="00CF63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6346" w:rsidRDefault="00CF6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A3" w:rsidRDefault="00DB45A3" w:rsidP="00C33494">
      <w:pPr>
        <w:spacing w:after="0" w:line="240" w:lineRule="auto"/>
      </w:pPr>
      <w:r>
        <w:separator/>
      </w:r>
    </w:p>
  </w:footnote>
  <w:footnote w:type="continuationSeparator" w:id="0">
    <w:p w:rsidR="00DB45A3" w:rsidRDefault="00DB45A3" w:rsidP="00C3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59"/>
      <w:gridCol w:w="8649"/>
      <w:gridCol w:w="2912"/>
    </w:tblGrid>
    <w:tr w:rsidR="00CF6346" w:rsidTr="00D454ED">
      <w:tc>
        <w:tcPr>
          <w:tcW w:w="935" w:type="pct"/>
        </w:tcPr>
        <w:p w:rsidR="00CF6346" w:rsidRDefault="00CF6346" w:rsidP="00D454ED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348F72F" wp14:editId="313FB08D">
                <wp:extent cx="1151287" cy="896123"/>
                <wp:effectExtent l="0" t="0" r="0" b="0"/>
                <wp:docPr id="2" name="Picture 2" descr="C:\Users\mmkrastev.MZG\Desktop\1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mkrastev.MZG\Desktop\12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20" cy="903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1" w:type="pct"/>
          <w:vAlign w:val="center"/>
        </w:tcPr>
        <w:p w:rsidR="00CF6346" w:rsidRPr="00F052DC" w:rsidRDefault="00CF6346" w:rsidP="00896E9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96E96">
            <w:rPr>
              <w:rFonts w:ascii="Times New Roman" w:hAnsi="Times New Roman" w:cs="Times New Roman"/>
              <w:b/>
              <w:sz w:val="24"/>
              <w:szCs w:val="24"/>
            </w:rPr>
            <w:t xml:space="preserve">Постъпили въпроси от кандидати по процедура </w:t>
          </w:r>
          <w:r w:rsidRPr="00837DF8">
            <w:rPr>
              <w:rFonts w:ascii="Times New Roman" w:eastAsia="Times New Roman" w:hAnsi="Times New Roman"/>
              <w:b/>
              <w:bCs/>
              <w:sz w:val="24"/>
              <w:szCs w:val="24"/>
            </w:rPr>
            <w:t xml:space="preserve">BG 06RDNP001-1.001 </w:t>
          </w:r>
          <w:r w:rsidRPr="00486A90">
            <w:rPr>
              <w:rFonts w:ascii="Times New Roman" w:eastAsia="Times New Roman" w:hAnsi="Times New Roman"/>
              <w:b/>
              <w:bCs/>
              <w:sz w:val="24"/>
              <w:szCs w:val="24"/>
            </w:rPr>
            <w:t xml:space="preserve"> по 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</w:rPr>
            <w:t>подмярка 1.</w:t>
          </w:r>
          <w:proofErr w:type="spellStart"/>
          <w:r>
            <w:rPr>
              <w:rFonts w:ascii="Times New Roman" w:eastAsia="Times New Roman" w:hAnsi="Times New Roman"/>
              <w:b/>
              <w:bCs/>
              <w:sz w:val="24"/>
              <w:szCs w:val="24"/>
            </w:rPr>
            <w:t>1</w:t>
          </w:r>
          <w:proofErr w:type="spellEnd"/>
          <w:r>
            <w:rPr>
              <w:rFonts w:ascii="Times New Roman" w:eastAsia="Times New Roman" w:hAnsi="Times New Roman"/>
              <w:b/>
              <w:bCs/>
              <w:sz w:val="24"/>
              <w:szCs w:val="24"/>
            </w:rPr>
            <w:t>. „П</w:t>
          </w:r>
          <w:r w:rsidRPr="00486A90">
            <w:rPr>
              <w:rFonts w:ascii="Times New Roman" w:eastAsia="Times New Roman" w:hAnsi="Times New Roman"/>
              <w:b/>
              <w:bCs/>
              <w:sz w:val="24"/>
              <w:szCs w:val="24"/>
            </w:rPr>
            <w:t>рофесионално обучение и прид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</w:rPr>
            <w:t>обиване на умения“ от мярка 1 „Т</w:t>
          </w:r>
          <w:r w:rsidRPr="00486A90">
            <w:rPr>
              <w:rFonts w:ascii="Times New Roman" w:eastAsia="Times New Roman" w:hAnsi="Times New Roman"/>
              <w:b/>
              <w:bCs/>
              <w:sz w:val="24"/>
              <w:szCs w:val="24"/>
            </w:rPr>
            <w:t>рансфер на знания и действия за осведомяване“</w:t>
          </w:r>
          <w:r w:rsidRPr="00896E96">
            <w:rPr>
              <w:rFonts w:ascii="Times New Roman" w:eastAsiaTheme="majorEastAsia" w:hAnsi="Times New Roman" w:cs="Times New Roman"/>
              <w:b/>
              <w:bCs/>
              <w:sz w:val="24"/>
              <w:szCs w:val="24"/>
            </w:rPr>
            <w:t>от ПРСР 2014-2020 г.</w:t>
          </w:r>
          <w:r w:rsidRPr="00896E96">
            <w:rPr>
              <w:rFonts w:ascii="Times New Roman" w:hAnsi="Times New Roman" w:cs="Times New Roman"/>
              <w:b/>
              <w:sz w:val="24"/>
              <w:szCs w:val="24"/>
            </w:rPr>
            <w:t xml:space="preserve"> и разяснения по тях</w:t>
          </w:r>
        </w:p>
      </w:tc>
      <w:tc>
        <w:tcPr>
          <w:tcW w:w="1024" w:type="pct"/>
          <w:vAlign w:val="center"/>
        </w:tcPr>
        <w:p w:rsidR="00CF6346" w:rsidRDefault="00CF6346" w:rsidP="00D37332">
          <w:pPr>
            <w:jc w:val="center"/>
          </w:pPr>
          <w:r w:rsidRPr="00AB1DB0">
            <w:rPr>
              <w:noProof/>
              <w:lang w:val="en-US"/>
            </w:rPr>
            <w:drawing>
              <wp:inline distT="0" distB="0" distL="0" distR="0" wp14:anchorId="08907533" wp14:editId="28ECCEF7">
                <wp:extent cx="946672" cy="699714"/>
                <wp:effectExtent l="0" t="0" r="6350" b="5715"/>
                <wp:docPr id="3" name="Picture 6" descr="Резултат с изображение за европейски съюз знам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" name="Picture 6" descr="Резултат с изображение за европейски съюз знам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655" cy="710050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CF6346" w:rsidRDefault="00CF63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501"/>
    <w:multiLevelType w:val="multilevel"/>
    <w:tmpl w:val="3BC2FF2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F741A71"/>
    <w:multiLevelType w:val="hybridMultilevel"/>
    <w:tmpl w:val="72ACA4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AA4"/>
    <w:multiLevelType w:val="hybridMultilevel"/>
    <w:tmpl w:val="F26C9E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8B"/>
    <w:multiLevelType w:val="multilevel"/>
    <w:tmpl w:val="FF82B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38457CEE"/>
    <w:multiLevelType w:val="hybridMultilevel"/>
    <w:tmpl w:val="22602E18"/>
    <w:lvl w:ilvl="0" w:tplc="A4ACFD1C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F94D34"/>
    <w:multiLevelType w:val="hybridMultilevel"/>
    <w:tmpl w:val="D4C4F6F6"/>
    <w:lvl w:ilvl="0" w:tplc="38B842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268E"/>
    <w:multiLevelType w:val="hybridMultilevel"/>
    <w:tmpl w:val="89BEC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8671C0"/>
    <w:multiLevelType w:val="multilevel"/>
    <w:tmpl w:val="547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51394"/>
    <w:multiLevelType w:val="multilevel"/>
    <w:tmpl w:val="9154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D08A4"/>
    <w:multiLevelType w:val="multilevel"/>
    <w:tmpl w:val="4CE0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A24A9E"/>
    <w:multiLevelType w:val="hybridMultilevel"/>
    <w:tmpl w:val="04104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51981"/>
    <w:multiLevelType w:val="multilevel"/>
    <w:tmpl w:val="44A8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133D58"/>
    <w:multiLevelType w:val="multilevel"/>
    <w:tmpl w:val="F8488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6CD717D"/>
    <w:multiLevelType w:val="hybridMultilevel"/>
    <w:tmpl w:val="71789F56"/>
    <w:lvl w:ilvl="0" w:tplc="391E9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B427B"/>
    <w:multiLevelType w:val="multilevel"/>
    <w:tmpl w:val="30D6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EB"/>
    <w:rsid w:val="000070C4"/>
    <w:rsid w:val="00017473"/>
    <w:rsid w:val="0002620D"/>
    <w:rsid w:val="000319C8"/>
    <w:rsid w:val="00036A12"/>
    <w:rsid w:val="0004204F"/>
    <w:rsid w:val="0004292A"/>
    <w:rsid w:val="00042B3F"/>
    <w:rsid w:val="000464CE"/>
    <w:rsid w:val="0004687B"/>
    <w:rsid w:val="00051982"/>
    <w:rsid w:val="00052A8F"/>
    <w:rsid w:val="00053A85"/>
    <w:rsid w:val="00062A20"/>
    <w:rsid w:val="00064FCD"/>
    <w:rsid w:val="0007079A"/>
    <w:rsid w:val="00071398"/>
    <w:rsid w:val="000732C7"/>
    <w:rsid w:val="00074FBE"/>
    <w:rsid w:val="000826DF"/>
    <w:rsid w:val="00083C39"/>
    <w:rsid w:val="000846F7"/>
    <w:rsid w:val="00090C41"/>
    <w:rsid w:val="00091459"/>
    <w:rsid w:val="000916B8"/>
    <w:rsid w:val="00093F38"/>
    <w:rsid w:val="0009455E"/>
    <w:rsid w:val="00094BFA"/>
    <w:rsid w:val="000A02CA"/>
    <w:rsid w:val="000A0985"/>
    <w:rsid w:val="000B16AA"/>
    <w:rsid w:val="000B7B63"/>
    <w:rsid w:val="000C4A1B"/>
    <w:rsid w:val="000D06DE"/>
    <w:rsid w:val="000D53FD"/>
    <w:rsid w:val="000D60DF"/>
    <w:rsid w:val="000E3B43"/>
    <w:rsid w:val="000E652F"/>
    <w:rsid w:val="000F4B3D"/>
    <w:rsid w:val="001116DA"/>
    <w:rsid w:val="00112D4F"/>
    <w:rsid w:val="00114B9D"/>
    <w:rsid w:val="0011536F"/>
    <w:rsid w:val="00124766"/>
    <w:rsid w:val="00124E80"/>
    <w:rsid w:val="00131C66"/>
    <w:rsid w:val="0013370D"/>
    <w:rsid w:val="00134819"/>
    <w:rsid w:val="001354FB"/>
    <w:rsid w:val="00137A02"/>
    <w:rsid w:val="00140817"/>
    <w:rsid w:val="001428E9"/>
    <w:rsid w:val="00145ECF"/>
    <w:rsid w:val="0014657A"/>
    <w:rsid w:val="00156D77"/>
    <w:rsid w:val="001571DA"/>
    <w:rsid w:val="0016515A"/>
    <w:rsid w:val="00167557"/>
    <w:rsid w:val="00167E41"/>
    <w:rsid w:val="00170121"/>
    <w:rsid w:val="001724B2"/>
    <w:rsid w:val="00173B29"/>
    <w:rsid w:val="001774DD"/>
    <w:rsid w:val="0018205D"/>
    <w:rsid w:val="00187200"/>
    <w:rsid w:val="00197D78"/>
    <w:rsid w:val="001A1968"/>
    <w:rsid w:val="001A327E"/>
    <w:rsid w:val="001A675D"/>
    <w:rsid w:val="001B46D5"/>
    <w:rsid w:val="001B4E15"/>
    <w:rsid w:val="001C01FA"/>
    <w:rsid w:val="001C07B7"/>
    <w:rsid w:val="001C0F0A"/>
    <w:rsid w:val="001C2178"/>
    <w:rsid w:val="001C304F"/>
    <w:rsid w:val="001D2953"/>
    <w:rsid w:val="001D539A"/>
    <w:rsid w:val="001D5900"/>
    <w:rsid w:val="001E2BC3"/>
    <w:rsid w:val="001E34DE"/>
    <w:rsid w:val="001E4EB3"/>
    <w:rsid w:val="001E4F2E"/>
    <w:rsid w:val="001E6DF5"/>
    <w:rsid w:val="00200705"/>
    <w:rsid w:val="00203E29"/>
    <w:rsid w:val="00206D1D"/>
    <w:rsid w:val="00212E31"/>
    <w:rsid w:val="00216FAB"/>
    <w:rsid w:val="00222FFF"/>
    <w:rsid w:val="002257C0"/>
    <w:rsid w:val="00225B47"/>
    <w:rsid w:val="00230B0A"/>
    <w:rsid w:val="002355CE"/>
    <w:rsid w:val="002547EE"/>
    <w:rsid w:val="00254840"/>
    <w:rsid w:val="00260FA8"/>
    <w:rsid w:val="00262A39"/>
    <w:rsid w:val="00263C99"/>
    <w:rsid w:val="002662FE"/>
    <w:rsid w:val="002672EA"/>
    <w:rsid w:val="002745F2"/>
    <w:rsid w:val="002773D3"/>
    <w:rsid w:val="0027746F"/>
    <w:rsid w:val="002807C3"/>
    <w:rsid w:val="002847FC"/>
    <w:rsid w:val="0029518E"/>
    <w:rsid w:val="002A7D4F"/>
    <w:rsid w:val="002A7F6F"/>
    <w:rsid w:val="002B2500"/>
    <w:rsid w:val="002C5B38"/>
    <w:rsid w:val="002D0883"/>
    <w:rsid w:val="002E56D2"/>
    <w:rsid w:val="002E7B24"/>
    <w:rsid w:val="00300FAE"/>
    <w:rsid w:val="00305B6C"/>
    <w:rsid w:val="00312BEB"/>
    <w:rsid w:val="00313E4C"/>
    <w:rsid w:val="00316FA6"/>
    <w:rsid w:val="003175A2"/>
    <w:rsid w:val="00322636"/>
    <w:rsid w:val="003233A0"/>
    <w:rsid w:val="0032629C"/>
    <w:rsid w:val="00330479"/>
    <w:rsid w:val="00331F4A"/>
    <w:rsid w:val="003349D3"/>
    <w:rsid w:val="00335D3B"/>
    <w:rsid w:val="0034603A"/>
    <w:rsid w:val="003466E2"/>
    <w:rsid w:val="00352D8E"/>
    <w:rsid w:val="0035592A"/>
    <w:rsid w:val="0036356C"/>
    <w:rsid w:val="00363D28"/>
    <w:rsid w:val="0036440C"/>
    <w:rsid w:val="00384965"/>
    <w:rsid w:val="0039178D"/>
    <w:rsid w:val="0039369B"/>
    <w:rsid w:val="003A4812"/>
    <w:rsid w:val="003A4D5C"/>
    <w:rsid w:val="003B1942"/>
    <w:rsid w:val="003B4363"/>
    <w:rsid w:val="003B7777"/>
    <w:rsid w:val="003B7B2A"/>
    <w:rsid w:val="003D78A7"/>
    <w:rsid w:val="003F7FB3"/>
    <w:rsid w:val="00400193"/>
    <w:rsid w:val="00405237"/>
    <w:rsid w:val="00405D7A"/>
    <w:rsid w:val="00407976"/>
    <w:rsid w:val="00414955"/>
    <w:rsid w:val="00420EA0"/>
    <w:rsid w:val="00422EBE"/>
    <w:rsid w:val="00424434"/>
    <w:rsid w:val="00433C68"/>
    <w:rsid w:val="0043458E"/>
    <w:rsid w:val="00441FB6"/>
    <w:rsid w:val="004431A5"/>
    <w:rsid w:val="0044612C"/>
    <w:rsid w:val="00452A7A"/>
    <w:rsid w:val="0045510D"/>
    <w:rsid w:val="00455CB5"/>
    <w:rsid w:val="004576A8"/>
    <w:rsid w:val="004824D1"/>
    <w:rsid w:val="00484FB8"/>
    <w:rsid w:val="00484FF1"/>
    <w:rsid w:val="004971D6"/>
    <w:rsid w:val="00497D44"/>
    <w:rsid w:val="004A67FA"/>
    <w:rsid w:val="004A6B42"/>
    <w:rsid w:val="004B142C"/>
    <w:rsid w:val="004B4C64"/>
    <w:rsid w:val="004C0C28"/>
    <w:rsid w:val="004C52AF"/>
    <w:rsid w:val="004C7D0B"/>
    <w:rsid w:val="004D3E3E"/>
    <w:rsid w:val="004D54C4"/>
    <w:rsid w:val="004F185A"/>
    <w:rsid w:val="004F2AEF"/>
    <w:rsid w:val="004F46EC"/>
    <w:rsid w:val="004F4974"/>
    <w:rsid w:val="005056E5"/>
    <w:rsid w:val="00520A16"/>
    <w:rsid w:val="00524269"/>
    <w:rsid w:val="00527F51"/>
    <w:rsid w:val="00532089"/>
    <w:rsid w:val="00537963"/>
    <w:rsid w:val="00541E0A"/>
    <w:rsid w:val="0056699D"/>
    <w:rsid w:val="00571CE6"/>
    <w:rsid w:val="00575554"/>
    <w:rsid w:val="00577D25"/>
    <w:rsid w:val="00577DA8"/>
    <w:rsid w:val="005872AA"/>
    <w:rsid w:val="00587794"/>
    <w:rsid w:val="005A2C6F"/>
    <w:rsid w:val="005B486E"/>
    <w:rsid w:val="005C18A4"/>
    <w:rsid w:val="005D32A1"/>
    <w:rsid w:val="005E0B41"/>
    <w:rsid w:val="005E5511"/>
    <w:rsid w:val="005E5733"/>
    <w:rsid w:val="005E66D0"/>
    <w:rsid w:val="005F0CA2"/>
    <w:rsid w:val="005F123D"/>
    <w:rsid w:val="005F3702"/>
    <w:rsid w:val="006055AE"/>
    <w:rsid w:val="00615B3C"/>
    <w:rsid w:val="00617BF7"/>
    <w:rsid w:val="00626976"/>
    <w:rsid w:val="00636FC8"/>
    <w:rsid w:val="00637D63"/>
    <w:rsid w:val="00643AA6"/>
    <w:rsid w:val="00646365"/>
    <w:rsid w:val="00647823"/>
    <w:rsid w:val="006502F7"/>
    <w:rsid w:val="0065209D"/>
    <w:rsid w:val="00653DA4"/>
    <w:rsid w:val="00657E73"/>
    <w:rsid w:val="00661CD7"/>
    <w:rsid w:val="00662A62"/>
    <w:rsid w:val="00662B56"/>
    <w:rsid w:val="00663A05"/>
    <w:rsid w:val="0066727B"/>
    <w:rsid w:val="00670187"/>
    <w:rsid w:val="00675FB1"/>
    <w:rsid w:val="00677072"/>
    <w:rsid w:val="0068070D"/>
    <w:rsid w:val="006852CD"/>
    <w:rsid w:val="00693F1F"/>
    <w:rsid w:val="00695A36"/>
    <w:rsid w:val="006A35D3"/>
    <w:rsid w:val="006A521C"/>
    <w:rsid w:val="006B3A14"/>
    <w:rsid w:val="006B7EA6"/>
    <w:rsid w:val="006C7114"/>
    <w:rsid w:val="006D0096"/>
    <w:rsid w:val="006D5C83"/>
    <w:rsid w:val="006E0A1F"/>
    <w:rsid w:val="006E0E26"/>
    <w:rsid w:val="006E363D"/>
    <w:rsid w:val="006E6A0D"/>
    <w:rsid w:val="006F0A24"/>
    <w:rsid w:val="006F3CB8"/>
    <w:rsid w:val="006F4C0F"/>
    <w:rsid w:val="006F511B"/>
    <w:rsid w:val="007018E2"/>
    <w:rsid w:val="007036B5"/>
    <w:rsid w:val="007042F8"/>
    <w:rsid w:val="0071073A"/>
    <w:rsid w:val="0071455D"/>
    <w:rsid w:val="00721D50"/>
    <w:rsid w:val="00730267"/>
    <w:rsid w:val="007302A1"/>
    <w:rsid w:val="007331D3"/>
    <w:rsid w:val="007343C7"/>
    <w:rsid w:val="00744974"/>
    <w:rsid w:val="00763C56"/>
    <w:rsid w:val="007651AC"/>
    <w:rsid w:val="0076768C"/>
    <w:rsid w:val="00773307"/>
    <w:rsid w:val="00773710"/>
    <w:rsid w:val="0077553B"/>
    <w:rsid w:val="00781EEF"/>
    <w:rsid w:val="00782CAE"/>
    <w:rsid w:val="0078620A"/>
    <w:rsid w:val="00793B0C"/>
    <w:rsid w:val="007A77DA"/>
    <w:rsid w:val="007B55C2"/>
    <w:rsid w:val="007B607C"/>
    <w:rsid w:val="007C59CC"/>
    <w:rsid w:val="007D464D"/>
    <w:rsid w:val="007D624D"/>
    <w:rsid w:val="007D7EC3"/>
    <w:rsid w:val="007E01EB"/>
    <w:rsid w:val="007E07AB"/>
    <w:rsid w:val="007F1CC3"/>
    <w:rsid w:val="007F5EDA"/>
    <w:rsid w:val="007F68F7"/>
    <w:rsid w:val="00801C62"/>
    <w:rsid w:val="008072D2"/>
    <w:rsid w:val="008168BB"/>
    <w:rsid w:val="00826117"/>
    <w:rsid w:val="008362F5"/>
    <w:rsid w:val="008419F1"/>
    <w:rsid w:val="00843264"/>
    <w:rsid w:val="008461FC"/>
    <w:rsid w:val="00855088"/>
    <w:rsid w:val="00864D33"/>
    <w:rsid w:val="00877325"/>
    <w:rsid w:val="008778EB"/>
    <w:rsid w:val="008811A2"/>
    <w:rsid w:val="00882151"/>
    <w:rsid w:val="00885D4C"/>
    <w:rsid w:val="00896E96"/>
    <w:rsid w:val="008A6550"/>
    <w:rsid w:val="008B1F26"/>
    <w:rsid w:val="008B23CC"/>
    <w:rsid w:val="008B4451"/>
    <w:rsid w:val="008C6852"/>
    <w:rsid w:val="008C709B"/>
    <w:rsid w:val="008C7201"/>
    <w:rsid w:val="008D1E8B"/>
    <w:rsid w:val="008D4F78"/>
    <w:rsid w:val="008E0A88"/>
    <w:rsid w:val="008E5D50"/>
    <w:rsid w:val="008E666F"/>
    <w:rsid w:val="008E6C3A"/>
    <w:rsid w:val="009014E1"/>
    <w:rsid w:val="00912BAC"/>
    <w:rsid w:val="00914073"/>
    <w:rsid w:val="0091662B"/>
    <w:rsid w:val="009304C3"/>
    <w:rsid w:val="00933894"/>
    <w:rsid w:val="00934017"/>
    <w:rsid w:val="0093616E"/>
    <w:rsid w:val="009448C2"/>
    <w:rsid w:val="0094601B"/>
    <w:rsid w:val="00946915"/>
    <w:rsid w:val="009531C9"/>
    <w:rsid w:val="00963A0D"/>
    <w:rsid w:val="00964CD6"/>
    <w:rsid w:val="0096618C"/>
    <w:rsid w:val="009668D6"/>
    <w:rsid w:val="0097025D"/>
    <w:rsid w:val="009729ED"/>
    <w:rsid w:val="009751A6"/>
    <w:rsid w:val="00977FF5"/>
    <w:rsid w:val="00986930"/>
    <w:rsid w:val="00986DEE"/>
    <w:rsid w:val="00990C44"/>
    <w:rsid w:val="00993855"/>
    <w:rsid w:val="00996449"/>
    <w:rsid w:val="009A20A6"/>
    <w:rsid w:val="009A2197"/>
    <w:rsid w:val="009A4A1B"/>
    <w:rsid w:val="009A5126"/>
    <w:rsid w:val="009A58C3"/>
    <w:rsid w:val="009A5F0E"/>
    <w:rsid w:val="009B249C"/>
    <w:rsid w:val="009B28CC"/>
    <w:rsid w:val="009B2FBF"/>
    <w:rsid w:val="009B4239"/>
    <w:rsid w:val="009B46A3"/>
    <w:rsid w:val="009B6F5E"/>
    <w:rsid w:val="009C13CF"/>
    <w:rsid w:val="009C59A6"/>
    <w:rsid w:val="009D3C5D"/>
    <w:rsid w:val="009E6BFD"/>
    <w:rsid w:val="009F4EAE"/>
    <w:rsid w:val="009F5B4E"/>
    <w:rsid w:val="00A134BA"/>
    <w:rsid w:val="00A139BF"/>
    <w:rsid w:val="00A16E5B"/>
    <w:rsid w:val="00A17A0F"/>
    <w:rsid w:val="00A23558"/>
    <w:rsid w:val="00A31415"/>
    <w:rsid w:val="00A33AA3"/>
    <w:rsid w:val="00A36464"/>
    <w:rsid w:val="00A51A57"/>
    <w:rsid w:val="00A52A5B"/>
    <w:rsid w:val="00A54E9F"/>
    <w:rsid w:val="00A74412"/>
    <w:rsid w:val="00A74B02"/>
    <w:rsid w:val="00A759CF"/>
    <w:rsid w:val="00A76610"/>
    <w:rsid w:val="00A812DE"/>
    <w:rsid w:val="00A82C9B"/>
    <w:rsid w:val="00A8409F"/>
    <w:rsid w:val="00A8466F"/>
    <w:rsid w:val="00A87536"/>
    <w:rsid w:val="00AA29A0"/>
    <w:rsid w:val="00AB1DB0"/>
    <w:rsid w:val="00AB6838"/>
    <w:rsid w:val="00AC3334"/>
    <w:rsid w:val="00AC5391"/>
    <w:rsid w:val="00AD1D16"/>
    <w:rsid w:val="00AD3308"/>
    <w:rsid w:val="00AD539A"/>
    <w:rsid w:val="00AD7552"/>
    <w:rsid w:val="00AD7928"/>
    <w:rsid w:val="00AE0F48"/>
    <w:rsid w:val="00AE26FA"/>
    <w:rsid w:val="00AE6D7A"/>
    <w:rsid w:val="00AF29C9"/>
    <w:rsid w:val="00AF4857"/>
    <w:rsid w:val="00AF7817"/>
    <w:rsid w:val="00B005D4"/>
    <w:rsid w:val="00B17366"/>
    <w:rsid w:val="00B25DE1"/>
    <w:rsid w:val="00B26FFF"/>
    <w:rsid w:val="00B336E4"/>
    <w:rsid w:val="00B35AE6"/>
    <w:rsid w:val="00B35C1C"/>
    <w:rsid w:val="00B36715"/>
    <w:rsid w:val="00B450C5"/>
    <w:rsid w:val="00B57686"/>
    <w:rsid w:val="00B618C0"/>
    <w:rsid w:val="00B62FCE"/>
    <w:rsid w:val="00B70186"/>
    <w:rsid w:val="00B70657"/>
    <w:rsid w:val="00B7084F"/>
    <w:rsid w:val="00B70999"/>
    <w:rsid w:val="00B711F5"/>
    <w:rsid w:val="00B71355"/>
    <w:rsid w:val="00B75016"/>
    <w:rsid w:val="00B7701A"/>
    <w:rsid w:val="00B77651"/>
    <w:rsid w:val="00B82841"/>
    <w:rsid w:val="00B85654"/>
    <w:rsid w:val="00B93D81"/>
    <w:rsid w:val="00BC2739"/>
    <w:rsid w:val="00BE3B6E"/>
    <w:rsid w:val="00BE4E03"/>
    <w:rsid w:val="00BE7094"/>
    <w:rsid w:val="00BE7A3B"/>
    <w:rsid w:val="00BF6A72"/>
    <w:rsid w:val="00C0074A"/>
    <w:rsid w:val="00C039F0"/>
    <w:rsid w:val="00C06938"/>
    <w:rsid w:val="00C07571"/>
    <w:rsid w:val="00C100AD"/>
    <w:rsid w:val="00C14F0A"/>
    <w:rsid w:val="00C165F5"/>
    <w:rsid w:val="00C33494"/>
    <w:rsid w:val="00C35C2C"/>
    <w:rsid w:val="00C46F39"/>
    <w:rsid w:val="00C554EF"/>
    <w:rsid w:val="00C62F73"/>
    <w:rsid w:val="00C6408D"/>
    <w:rsid w:val="00C820EE"/>
    <w:rsid w:val="00CA0A8C"/>
    <w:rsid w:val="00CA3783"/>
    <w:rsid w:val="00CB559D"/>
    <w:rsid w:val="00CD0577"/>
    <w:rsid w:val="00CE1F1F"/>
    <w:rsid w:val="00CE58D8"/>
    <w:rsid w:val="00CE78C8"/>
    <w:rsid w:val="00CF6346"/>
    <w:rsid w:val="00CF6FE4"/>
    <w:rsid w:val="00CF7E71"/>
    <w:rsid w:val="00D015BA"/>
    <w:rsid w:val="00D121F2"/>
    <w:rsid w:val="00D12DA0"/>
    <w:rsid w:val="00D14ACB"/>
    <w:rsid w:val="00D2018F"/>
    <w:rsid w:val="00D206E9"/>
    <w:rsid w:val="00D22AC8"/>
    <w:rsid w:val="00D272F4"/>
    <w:rsid w:val="00D33912"/>
    <w:rsid w:val="00D33BF5"/>
    <w:rsid w:val="00D36C99"/>
    <w:rsid w:val="00D37332"/>
    <w:rsid w:val="00D37D5E"/>
    <w:rsid w:val="00D425D9"/>
    <w:rsid w:val="00D429C4"/>
    <w:rsid w:val="00D454ED"/>
    <w:rsid w:val="00D549DB"/>
    <w:rsid w:val="00D568DA"/>
    <w:rsid w:val="00D72092"/>
    <w:rsid w:val="00D808E8"/>
    <w:rsid w:val="00D837C1"/>
    <w:rsid w:val="00D87403"/>
    <w:rsid w:val="00D92507"/>
    <w:rsid w:val="00D94BEA"/>
    <w:rsid w:val="00D957EA"/>
    <w:rsid w:val="00D95EE6"/>
    <w:rsid w:val="00DA120F"/>
    <w:rsid w:val="00DA57F5"/>
    <w:rsid w:val="00DB2DCD"/>
    <w:rsid w:val="00DB45A3"/>
    <w:rsid w:val="00DC3AB7"/>
    <w:rsid w:val="00DC4F2D"/>
    <w:rsid w:val="00DD50B4"/>
    <w:rsid w:val="00DE1B79"/>
    <w:rsid w:val="00DE5E67"/>
    <w:rsid w:val="00DF09ED"/>
    <w:rsid w:val="00DF1EA9"/>
    <w:rsid w:val="00DF7AFD"/>
    <w:rsid w:val="00E01015"/>
    <w:rsid w:val="00E03F80"/>
    <w:rsid w:val="00E05A6E"/>
    <w:rsid w:val="00E11A78"/>
    <w:rsid w:val="00E12D4A"/>
    <w:rsid w:val="00E1398F"/>
    <w:rsid w:val="00E13C99"/>
    <w:rsid w:val="00E20BE6"/>
    <w:rsid w:val="00E31E32"/>
    <w:rsid w:val="00E34B75"/>
    <w:rsid w:val="00E47190"/>
    <w:rsid w:val="00E52108"/>
    <w:rsid w:val="00E531C1"/>
    <w:rsid w:val="00E5614B"/>
    <w:rsid w:val="00E67C61"/>
    <w:rsid w:val="00E76505"/>
    <w:rsid w:val="00E77306"/>
    <w:rsid w:val="00E85898"/>
    <w:rsid w:val="00E860D6"/>
    <w:rsid w:val="00E86632"/>
    <w:rsid w:val="00E92915"/>
    <w:rsid w:val="00E95701"/>
    <w:rsid w:val="00E96698"/>
    <w:rsid w:val="00EA03A1"/>
    <w:rsid w:val="00EA2A98"/>
    <w:rsid w:val="00EA4F49"/>
    <w:rsid w:val="00EA57DB"/>
    <w:rsid w:val="00EC5C84"/>
    <w:rsid w:val="00EC7D41"/>
    <w:rsid w:val="00ED696B"/>
    <w:rsid w:val="00EE3588"/>
    <w:rsid w:val="00EE472D"/>
    <w:rsid w:val="00EF2BFE"/>
    <w:rsid w:val="00EF47D5"/>
    <w:rsid w:val="00EF4CC8"/>
    <w:rsid w:val="00EF5F5F"/>
    <w:rsid w:val="00F010C9"/>
    <w:rsid w:val="00F012BA"/>
    <w:rsid w:val="00F01BB7"/>
    <w:rsid w:val="00F02576"/>
    <w:rsid w:val="00F0373E"/>
    <w:rsid w:val="00F052DC"/>
    <w:rsid w:val="00F122D0"/>
    <w:rsid w:val="00F1483E"/>
    <w:rsid w:val="00F17A91"/>
    <w:rsid w:val="00F24031"/>
    <w:rsid w:val="00F32305"/>
    <w:rsid w:val="00F34F02"/>
    <w:rsid w:val="00F36FB5"/>
    <w:rsid w:val="00F3702B"/>
    <w:rsid w:val="00F45B24"/>
    <w:rsid w:val="00F464FE"/>
    <w:rsid w:val="00F46C26"/>
    <w:rsid w:val="00F47935"/>
    <w:rsid w:val="00F54E8D"/>
    <w:rsid w:val="00F567EE"/>
    <w:rsid w:val="00F5713F"/>
    <w:rsid w:val="00F6521E"/>
    <w:rsid w:val="00F652A2"/>
    <w:rsid w:val="00F73225"/>
    <w:rsid w:val="00F73352"/>
    <w:rsid w:val="00F840F1"/>
    <w:rsid w:val="00F84D21"/>
    <w:rsid w:val="00F867CF"/>
    <w:rsid w:val="00F9450C"/>
    <w:rsid w:val="00FC2B02"/>
    <w:rsid w:val="00FC770D"/>
    <w:rsid w:val="00FD0268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5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94"/>
  </w:style>
  <w:style w:type="paragraph" w:styleId="Footer">
    <w:name w:val="footer"/>
    <w:basedOn w:val="Normal"/>
    <w:link w:val="FooterChar"/>
    <w:uiPriority w:val="99"/>
    <w:unhideWhenUsed/>
    <w:rsid w:val="00C3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94"/>
  </w:style>
  <w:style w:type="character" w:styleId="Hyperlink">
    <w:name w:val="Hyperlink"/>
    <w:basedOn w:val="DefaultParagraphFont"/>
    <w:uiPriority w:val="99"/>
    <w:unhideWhenUsed/>
    <w:rsid w:val="00EF2BFE"/>
    <w:rPr>
      <w:color w:val="0000FF" w:themeColor="hyperlink"/>
      <w:u w:val="single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rsid w:val="007343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EA03A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194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NormalWebChar1">
    <w:name w:val="Normal (Web) Char1"/>
    <w:aliases w:val="Normal (Web) Char Char"/>
    <w:link w:val="NormalWeb"/>
    <w:rsid w:val="003B1942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45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unhideWhenUsed/>
    <w:rsid w:val="001153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536F"/>
    <w:rPr>
      <w:rFonts w:ascii="Calibri" w:hAnsi="Calibri"/>
      <w:szCs w:val="21"/>
    </w:rPr>
  </w:style>
  <w:style w:type="paragraph" w:customStyle="1" w:styleId="ydp8af6b4demsonormal">
    <w:name w:val="ydp8af6b4demsonormal"/>
    <w:basedOn w:val="Normal"/>
    <w:uiPriority w:val="99"/>
    <w:semiHidden/>
    <w:rsid w:val="00896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1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5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nhideWhenUsed/>
    <w:rsid w:val="005E57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5E5733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5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94"/>
  </w:style>
  <w:style w:type="paragraph" w:styleId="Footer">
    <w:name w:val="footer"/>
    <w:basedOn w:val="Normal"/>
    <w:link w:val="FooterChar"/>
    <w:uiPriority w:val="99"/>
    <w:unhideWhenUsed/>
    <w:rsid w:val="00C33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94"/>
  </w:style>
  <w:style w:type="character" w:styleId="Hyperlink">
    <w:name w:val="Hyperlink"/>
    <w:basedOn w:val="DefaultParagraphFont"/>
    <w:uiPriority w:val="99"/>
    <w:unhideWhenUsed/>
    <w:rsid w:val="00EF2BFE"/>
    <w:rPr>
      <w:color w:val="0000FF" w:themeColor="hyperlink"/>
      <w:u w:val="single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rsid w:val="007343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EA03A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194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NormalWebChar1">
    <w:name w:val="Normal (Web) Char1"/>
    <w:aliases w:val="Normal (Web) Char Char"/>
    <w:link w:val="NormalWeb"/>
    <w:rsid w:val="003B1942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45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unhideWhenUsed/>
    <w:rsid w:val="001153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536F"/>
    <w:rPr>
      <w:rFonts w:ascii="Calibri" w:hAnsi="Calibri"/>
      <w:szCs w:val="21"/>
    </w:rPr>
  </w:style>
  <w:style w:type="paragraph" w:customStyle="1" w:styleId="ydp8af6b4demsonormal">
    <w:name w:val="ydp8af6b4demsonormal"/>
    <w:basedOn w:val="Normal"/>
    <w:uiPriority w:val="99"/>
    <w:semiHidden/>
    <w:rsid w:val="00896E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1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55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nhideWhenUsed/>
    <w:rsid w:val="005E57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5E5733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_consult@abv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s-mbox@gelesof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-mbox@gelesof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229D-B080-4933-A4F4-965DFB03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M. Krastev</dc:creator>
  <cp:lastModifiedBy>Diana Pendova</cp:lastModifiedBy>
  <cp:revision>5</cp:revision>
  <cp:lastPrinted>2019-12-27T09:53:00Z</cp:lastPrinted>
  <dcterms:created xsi:type="dcterms:W3CDTF">2020-01-10T12:41:00Z</dcterms:created>
  <dcterms:modified xsi:type="dcterms:W3CDTF">2020-01-10T14:49:00Z</dcterms:modified>
</cp:coreProperties>
</file>