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24" w:rsidRPr="00287644" w:rsidRDefault="009D0924" w:rsidP="00287644">
      <w:pPr>
        <w:jc w:val="both"/>
        <w:rPr>
          <w:rFonts w:ascii="Arial" w:eastAsia="SimSun" w:hAnsi="Arial" w:cs="Arial"/>
          <w:b/>
          <w:bCs/>
          <w:color w:val="000000"/>
          <w:sz w:val="20"/>
          <w:lang w:val="bg-BG" w:eastAsia="bg-BG"/>
        </w:rPr>
      </w:pPr>
    </w:p>
    <w:tbl>
      <w:tblPr>
        <w:tblW w:w="10156" w:type="dxa"/>
        <w:tblInd w:w="108" w:type="dxa"/>
        <w:tblLook w:val="01E0" w:firstRow="1" w:lastRow="1" w:firstColumn="1" w:lastColumn="1" w:noHBand="0" w:noVBand="0"/>
      </w:tblPr>
      <w:tblGrid>
        <w:gridCol w:w="9900"/>
        <w:gridCol w:w="256"/>
      </w:tblGrid>
      <w:tr w:rsidR="00403CB9" w:rsidRPr="00287644" w:rsidTr="00DF42CC">
        <w:tc>
          <w:tcPr>
            <w:tcW w:w="9900" w:type="dxa"/>
            <w:shd w:val="clear" w:color="auto" w:fill="C0C0C0"/>
            <w:hideMark/>
          </w:tcPr>
          <w:p w:rsidR="00403CB9" w:rsidRPr="00287644" w:rsidRDefault="00403CB9" w:rsidP="00DF42CC">
            <w:pPr>
              <w:tabs>
                <w:tab w:val="left" w:pos="1020"/>
              </w:tabs>
              <w:autoSpaceDE w:val="0"/>
              <w:autoSpaceDN w:val="0"/>
              <w:adjustRightInd w:val="0"/>
              <w:jc w:val="both"/>
              <w:rPr>
                <w:rFonts w:ascii="Arial" w:hAnsi="Arial" w:cs="Arial"/>
                <w:b/>
                <w:i/>
                <w:iCs/>
                <w:sz w:val="20"/>
                <w:lang w:val="bg-BG"/>
              </w:rPr>
            </w:pPr>
            <w:r w:rsidRPr="00287644">
              <w:rPr>
                <w:rFonts w:ascii="Arial" w:hAnsi="Arial" w:cs="Arial"/>
                <w:b/>
                <w:i/>
                <w:sz w:val="20"/>
                <w:lang w:val="bg-BG"/>
              </w:rPr>
              <w:t>Визия за ОСП след 2020 г.</w:t>
            </w:r>
          </w:p>
        </w:tc>
        <w:tc>
          <w:tcPr>
            <w:tcW w:w="256" w:type="dxa"/>
          </w:tcPr>
          <w:p w:rsidR="00403CB9" w:rsidRPr="00287644" w:rsidRDefault="00403CB9" w:rsidP="00DF42CC">
            <w:pPr>
              <w:jc w:val="both"/>
              <w:rPr>
                <w:rFonts w:ascii="Arial" w:hAnsi="Arial" w:cs="Arial"/>
                <w:b/>
                <w:sz w:val="20"/>
                <w:lang w:val="bg-BG"/>
              </w:rPr>
            </w:pPr>
          </w:p>
        </w:tc>
      </w:tr>
    </w:tbl>
    <w:p w:rsidR="00B90317" w:rsidRPr="00287644" w:rsidRDefault="00B90317" w:rsidP="00C00F88">
      <w:pPr>
        <w:jc w:val="both"/>
        <w:rPr>
          <w:rFonts w:ascii="Arial" w:hAnsi="Arial" w:cs="Arial"/>
          <w:b/>
          <w:sz w:val="20"/>
          <w:lang w:val="bg-BG"/>
        </w:rPr>
      </w:pPr>
    </w:p>
    <w:p w:rsidR="0076375A" w:rsidRPr="00287644" w:rsidRDefault="006E7A46" w:rsidP="0076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lang w:val="bg-BG"/>
        </w:rPr>
      </w:pPr>
      <w:r w:rsidRPr="00287644">
        <w:rPr>
          <w:rFonts w:ascii="Arial" w:hAnsi="Arial" w:cs="Arial"/>
          <w:b/>
          <w:color w:val="222222"/>
          <w:sz w:val="20"/>
          <w:lang w:val="bg-BG" w:eastAsia="bg-BG"/>
        </w:rPr>
        <w:t>3.</w:t>
      </w:r>
      <w:r w:rsidR="0076375A" w:rsidRPr="00287644">
        <w:rPr>
          <w:rFonts w:ascii="Arial" w:hAnsi="Arial" w:cs="Arial"/>
          <w:b/>
          <w:bCs/>
          <w:sz w:val="20"/>
          <w:lang w:val="bg-BG"/>
        </w:rPr>
        <w:t xml:space="preserve"> Докладът за напредъка на финландското председателство напълно отразява дебата за бъдещата реформа </w:t>
      </w:r>
      <w:r w:rsidR="000A21CD" w:rsidRPr="00287644">
        <w:rPr>
          <w:rFonts w:ascii="Arial" w:hAnsi="Arial" w:cs="Arial"/>
          <w:b/>
          <w:bCs/>
          <w:sz w:val="20"/>
          <w:lang w:val="bg-BG"/>
        </w:rPr>
        <w:t xml:space="preserve">на ОСП. </w:t>
      </w:r>
      <w:r w:rsidR="000A21CD" w:rsidRPr="00287644">
        <w:rPr>
          <w:rFonts w:ascii="Arial" w:hAnsi="Arial" w:cs="Arial"/>
          <w:bCs/>
          <w:sz w:val="20"/>
          <w:lang w:val="bg-BG"/>
        </w:rPr>
        <w:t xml:space="preserve">Той </w:t>
      </w:r>
      <w:r w:rsidR="009F396C" w:rsidRPr="00287644">
        <w:rPr>
          <w:rFonts w:ascii="Arial" w:hAnsi="Arial" w:cs="Arial"/>
          <w:bCs/>
          <w:sz w:val="20"/>
          <w:lang w:val="bg-BG"/>
        </w:rPr>
        <w:t>представлява</w:t>
      </w:r>
      <w:r w:rsidR="000A21CD" w:rsidRPr="00287644">
        <w:rPr>
          <w:rFonts w:ascii="Arial" w:hAnsi="Arial" w:cs="Arial"/>
          <w:bCs/>
          <w:sz w:val="20"/>
          <w:lang w:val="bg-BG"/>
        </w:rPr>
        <w:t xml:space="preserve"> </w:t>
      </w:r>
      <w:r w:rsidR="0076375A" w:rsidRPr="00287644">
        <w:rPr>
          <w:rFonts w:ascii="Arial" w:hAnsi="Arial" w:cs="Arial"/>
          <w:bCs/>
          <w:sz w:val="20"/>
          <w:lang w:val="bg-BG"/>
        </w:rPr>
        <w:t xml:space="preserve">добра основа за продължаване на дискусията по време на предстоящото хърватско председателство (от 1 януари), но в трите законодателни документа остават редица открити въпроси от политически и технически характер, заявиха  министрите </w:t>
      </w:r>
      <w:r w:rsidR="000A21CD" w:rsidRPr="00287644">
        <w:rPr>
          <w:rFonts w:ascii="Arial" w:hAnsi="Arial" w:cs="Arial"/>
          <w:bCs/>
          <w:sz w:val="20"/>
          <w:lang w:val="bg-BG"/>
        </w:rPr>
        <w:t xml:space="preserve">на земеделието </w:t>
      </w:r>
      <w:r w:rsidR="00052F14" w:rsidRPr="00287644">
        <w:rPr>
          <w:rFonts w:ascii="Arial" w:hAnsi="Arial" w:cs="Arial"/>
          <w:bCs/>
          <w:sz w:val="20"/>
          <w:lang w:val="bg-BG"/>
        </w:rPr>
        <w:t xml:space="preserve"> по време на Съвета</w:t>
      </w:r>
      <w:r w:rsidR="00D4351D" w:rsidRPr="00287644">
        <w:rPr>
          <w:rFonts w:ascii="Arial" w:hAnsi="Arial" w:cs="Arial"/>
          <w:bCs/>
          <w:sz w:val="20"/>
          <w:lang w:val="bg-BG"/>
        </w:rPr>
        <w:t xml:space="preserve"> на ЕС </w:t>
      </w:r>
      <w:r w:rsidR="00052F14" w:rsidRPr="00287644">
        <w:rPr>
          <w:rFonts w:ascii="Arial" w:hAnsi="Arial" w:cs="Arial"/>
          <w:bCs/>
          <w:sz w:val="20"/>
          <w:lang w:val="bg-BG"/>
        </w:rPr>
        <w:t>по земеделие и рибарство</w:t>
      </w:r>
      <w:r w:rsidR="00D4351D" w:rsidRPr="00287644">
        <w:rPr>
          <w:rFonts w:ascii="Arial" w:hAnsi="Arial" w:cs="Arial"/>
          <w:bCs/>
          <w:sz w:val="20"/>
          <w:lang w:val="bg-BG"/>
        </w:rPr>
        <w:t>,</w:t>
      </w:r>
      <w:r w:rsidR="009F396C" w:rsidRPr="00287644">
        <w:rPr>
          <w:rFonts w:ascii="Arial" w:hAnsi="Arial" w:cs="Arial"/>
          <w:bCs/>
          <w:sz w:val="20"/>
          <w:lang w:val="bg-BG"/>
        </w:rPr>
        <w:t xml:space="preserve"> на </w:t>
      </w:r>
      <w:r w:rsidR="0076375A" w:rsidRPr="00287644">
        <w:rPr>
          <w:rFonts w:ascii="Arial" w:hAnsi="Arial" w:cs="Arial"/>
          <w:bCs/>
          <w:sz w:val="20"/>
          <w:lang w:val="bg-BG"/>
        </w:rPr>
        <w:t>16 декември в Брюксел</w:t>
      </w:r>
      <w:r w:rsidR="0076375A" w:rsidRPr="00287644">
        <w:rPr>
          <w:rFonts w:ascii="Arial" w:hAnsi="Arial" w:cs="Arial"/>
          <w:b/>
          <w:bCs/>
          <w:sz w:val="20"/>
          <w:lang w:val="bg-BG"/>
        </w:rPr>
        <w:t>.</w:t>
      </w:r>
      <w:r w:rsidR="0076375A" w:rsidRPr="00287644">
        <w:rPr>
          <w:rFonts w:ascii="Arial" w:hAnsi="Arial" w:cs="Arial"/>
          <w:bCs/>
          <w:sz w:val="20"/>
          <w:lang w:val="bg-BG"/>
        </w:rPr>
        <w:t xml:space="preserve"> </w:t>
      </w:r>
      <w:r w:rsidR="009F396C" w:rsidRPr="00287644">
        <w:rPr>
          <w:rFonts w:ascii="Arial" w:hAnsi="Arial" w:cs="Arial"/>
          <w:bCs/>
          <w:sz w:val="20"/>
          <w:lang w:val="bg-BG"/>
        </w:rPr>
        <w:t>Трите законодателни документа включени в п</w:t>
      </w:r>
      <w:r w:rsidR="000A21CD" w:rsidRPr="00287644">
        <w:rPr>
          <w:rFonts w:ascii="Arial" w:hAnsi="Arial" w:cs="Arial"/>
          <w:bCs/>
          <w:sz w:val="20"/>
          <w:lang w:val="bg-BG"/>
        </w:rPr>
        <w:t>а</w:t>
      </w:r>
      <w:r w:rsidR="009F396C" w:rsidRPr="00287644">
        <w:rPr>
          <w:rFonts w:ascii="Arial" w:hAnsi="Arial" w:cs="Arial"/>
          <w:bCs/>
          <w:sz w:val="20"/>
          <w:lang w:val="bg-BG"/>
        </w:rPr>
        <w:t>кета за реформа  на ОСП са</w:t>
      </w:r>
      <w:r w:rsidR="000A21CD" w:rsidRPr="00287644">
        <w:rPr>
          <w:rFonts w:ascii="Arial" w:hAnsi="Arial" w:cs="Arial"/>
          <w:bCs/>
          <w:sz w:val="20"/>
          <w:lang w:val="bg-BG"/>
        </w:rPr>
        <w:t>: Регламент относно стратегическите планове на ОСП; Регламент относно финансирането, управлението и мониторинга на ОСП, както и Регламент за общата организация на пазарите на селскостопански продукти.</w:t>
      </w:r>
      <w:r w:rsidR="0093666A" w:rsidRPr="00287644">
        <w:rPr>
          <w:rFonts w:ascii="Arial" w:hAnsi="Arial" w:cs="Arial"/>
          <w:bCs/>
          <w:sz w:val="20"/>
          <w:lang w:val="bg-BG"/>
        </w:rPr>
        <w:t xml:space="preserve"> Общата позиция на Съвета относно бъдещата селскостопанска политика ще бъде </w:t>
      </w:r>
      <w:proofErr w:type="spellStart"/>
      <w:r w:rsidR="0093666A" w:rsidRPr="00287644">
        <w:rPr>
          <w:rFonts w:ascii="Arial" w:hAnsi="Arial" w:cs="Arial"/>
          <w:bCs/>
          <w:sz w:val="20"/>
          <w:lang w:val="bg-BG"/>
        </w:rPr>
        <w:t>финализирана</w:t>
      </w:r>
      <w:proofErr w:type="spellEnd"/>
      <w:r w:rsidR="0093666A" w:rsidRPr="00287644">
        <w:rPr>
          <w:rFonts w:ascii="Arial" w:hAnsi="Arial" w:cs="Arial"/>
          <w:bCs/>
          <w:sz w:val="20"/>
          <w:lang w:val="bg-BG"/>
        </w:rPr>
        <w:t xml:space="preserve"> едва след</w:t>
      </w:r>
      <w:r w:rsidR="00984426" w:rsidRPr="00287644">
        <w:rPr>
          <w:rFonts w:ascii="Arial" w:hAnsi="Arial" w:cs="Arial"/>
          <w:bCs/>
          <w:sz w:val="20"/>
          <w:lang w:val="bg-BG"/>
        </w:rPr>
        <w:t xml:space="preserve"> приключване на преговорите за М</w:t>
      </w:r>
      <w:r w:rsidR="0093666A" w:rsidRPr="00287644">
        <w:rPr>
          <w:rFonts w:ascii="Arial" w:hAnsi="Arial" w:cs="Arial"/>
          <w:bCs/>
          <w:sz w:val="20"/>
          <w:lang w:val="bg-BG"/>
        </w:rPr>
        <w:t>ногогодишната финансова рамка (МФР).</w:t>
      </w:r>
      <w:r w:rsidR="009F396C" w:rsidRPr="00287644">
        <w:rPr>
          <w:rFonts w:ascii="Arial" w:hAnsi="Arial" w:cs="Arial"/>
          <w:bCs/>
          <w:sz w:val="20"/>
          <w:lang w:val="bg-BG"/>
        </w:rPr>
        <w:t xml:space="preserve"> По-</w:t>
      </w:r>
      <w:r w:rsidR="0076375A" w:rsidRPr="00287644">
        <w:rPr>
          <w:rFonts w:ascii="Arial" w:hAnsi="Arial" w:cs="Arial"/>
          <w:bCs/>
          <w:sz w:val="20"/>
          <w:lang w:val="bg-BG"/>
        </w:rPr>
        <w:t xml:space="preserve">подробна информация за проведената дискусия </w:t>
      </w:r>
      <w:r w:rsidR="00984426" w:rsidRPr="00287644">
        <w:rPr>
          <w:rFonts w:ascii="Arial" w:hAnsi="Arial" w:cs="Arial"/>
          <w:bCs/>
          <w:sz w:val="20"/>
          <w:lang w:val="bg-BG"/>
        </w:rPr>
        <w:t xml:space="preserve">по </w:t>
      </w:r>
      <w:r w:rsidR="0076375A" w:rsidRPr="00287644">
        <w:rPr>
          <w:rFonts w:ascii="Arial" w:hAnsi="Arial" w:cs="Arial"/>
          <w:bCs/>
          <w:sz w:val="20"/>
          <w:lang w:val="bg-BG"/>
        </w:rPr>
        <w:t xml:space="preserve"> доклада за напредъка на финландското председателство</w:t>
      </w:r>
      <w:r w:rsidR="000A21CD" w:rsidRPr="00287644">
        <w:rPr>
          <w:rFonts w:ascii="Arial" w:hAnsi="Arial" w:cs="Arial"/>
          <w:bCs/>
          <w:sz w:val="20"/>
          <w:lang w:val="bg-BG"/>
        </w:rPr>
        <w:t xml:space="preserve"> </w:t>
      </w:r>
      <w:r w:rsidR="0076375A" w:rsidRPr="00287644">
        <w:rPr>
          <w:rFonts w:ascii="Arial" w:hAnsi="Arial" w:cs="Arial"/>
          <w:bCs/>
          <w:sz w:val="20"/>
          <w:lang w:val="bg-BG"/>
        </w:rPr>
        <w:t xml:space="preserve"> може</w:t>
      </w:r>
      <w:r w:rsidR="00984426" w:rsidRPr="00287644">
        <w:rPr>
          <w:rFonts w:ascii="Arial" w:hAnsi="Arial" w:cs="Arial"/>
          <w:bCs/>
          <w:sz w:val="20"/>
          <w:lang w:val="bg-BG"/>
        </w:rPr>
        <w:t>те</w:t>
      </w:r>
      <w:r w:rsidR="0076375A" w:rsidRPr="00287644">
        <w:rPr>
          <w:rFonts w:ascii="Arial" w:hAnsi="Arial" w:cs="Arial"/>
          <w:bCs/>
          <w:sz w:val="20"/>
          <w:lang w:val="bg-BG"/>
        </w:rPr>
        <w:t xml:space="preserve"> да </w:t>
      </w:r>
      <w:r w:rsidR="00984426" w:rsidRPr="00287644">
        <w:rPr>
          <w:rFonts w:ascii="Arial" w:hAnsi="Arial" w:cs="Arial"/>
          <w:bCs/>
          <w:sz w:val="20"/>
          <w:lang w:val="bg-BG"/>
        </w:rPr>
        <w:t>видите в  П</w:t>
      </w:r>
      <w:r w:rsidR="0076375A" w:rsidRPr="00287644">
        <w:rPr>
          <w:rFonts w:ascii="Arial" w:hAnsi="Arial" w:cs="Arial"/>
          <w:bCs/>
          <w:sz w:val="20"/>
          <w:lang w:val="bg-BG"/>
        </w:rPr>
        <w:t>риложение 1.</w:t>
      </w:r>
    </w:p>
    <w:p w:rsidR="00287644" w:rsidRDefault="00287644" w:rsidP="0076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lang w:val="en-US"/>
        </w:rPr>
      </w:pPr>
    </w:p>
    <w:p w:rsidR="0076375A" w:rsidRPr="00287644" w:rsidRDefault="0076375A" w:rsidP="0076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lang w:val="bg-BG"/>
        </w:rPr>
      </w:pPr>
      <w:r w:rsidRPr="00287644">
        <w:rPr>
          <w:rFonts w:ascii="Arial" w:hAnsi="Arial" w:cs="Arial"/>
          <w:b/>
          <w:bCs/>
          <w:sz w:val="20"/>
          <w:lang w:val="bg-BG"/>
        </w:rPr>
        <w:t xml:space="preserve">4. На 16 декември 2019 г. Съветът на Европейския съюз по земеделие и рибарство отбеляза дебюта на комисаря по земеделие Януш </w:t>
      </w:r>
      <w:proofErr w:type="spellStart"/>
      <w:r w:rsidRPr="00287644">
        <w:rPr>
          <w:rFonts w:ascii="Arial" w:hAnsi="Arial" w:cs="Arial"/>
          <w:b/>
          <w:bCs/>
          <w:sz w:val="20"/>
          <w:lang w:val="bg-BG"/>
        </w:rPr>
        <w:t>Войчеховски</w:t>
      </w:r>
      <w:proofErr w:type="spellEnd"/>
      <w:r w:rsidRPr="00287644">
        <w:rPr>
          <w:rFonts w:ascii="Arial" w:hAnsi="Arial" w:cs="Arial"/>
          <w:b/>
          <w:bCs/>
          <w:sz w:val="20"/>
          <w:lang w:val="bg-BG"/>
        </w:rPr>
        <w:t xml:space="preserve">, който </w:t>
      </w:r>
      <w:proofErr w:type="spellStart"/>
      <w:r w:rsidRPr="00287644">
        <w:rPr>
          <w:rFonts w:ascii="Arial" w:hAnsi="Arial" w:cs="Arial"/>
          <w:b/>
          <w:bCs/>
          <w:sz w:val="20"/>
          <w:lang w:val="bg-BG"/>
        </w:rPr>
        <w:t>заяи</w:t>
      </w:r>
      <w:proofErr w:type="spellEnd"/>
      <w:r w:rsidRPr="00287644">
        <w:rPr>
          <w:rFonts w:ascii="Arial" w:hAnsi="Arial" w:cs="Arial"/>
          <w:b/>
          <w:bCs/>
          <w:sz w:val="20"/>
          <w:lang w:val="bg-BG"/>
        </w:rPr>
        <w:t>, че 2020 г. ще бъде „к</w:t>
      </w:r>
      <w:r w:rsidR="00C3177B" w:rsidRPr="00287644">
        <w:rPr>
          <w:rFonts w:ascii="Arial" w:hAnsi="Arial" w:cs="Arial"/>
          <w:b/>
          <w:bCs/>
          <w:sz w:val="20"/>
          <w:lang w:val="bg-BG"/>
        </w:rPr>
        <w:t>лючова година“ по отношение на М</w:t>
      </w:r>
      <w:r w:rsidRPr="00287644">
        <w:rPr>
          <w:rFonts w:ascii="Arial" w:hAnsi="Arial" w:cs="Arial"/>
          <w:b/>
          <w:bCs/>
          <w:sz w:val="20"/>
          <w:lang w:val="bg-BG"/>
        </w:rPr>
        <w:t>ногогодишната финансова рамка (МФР) и рефор</w:t>
      </w:r>
      <w:r w:rsidR="009F396C" w:rsidRPr="00287644">
        <w:rPr>
          <w:rFonts w:ascii="Arial" w:hAnsi="Arial" w:cs="Arial"/>
          <w:b/>
          <w:bCs/>
          <w:sz w:val="20"/>
          <w:lang w:val="bg-BG"/>
        </w:rPr>
        <w:t>мата на ОСП, тъй като двете са тясно свързани помежду си</w:t>
      </w:r>
      <w:r w:rsidRPr="00287644">
        <w:rPr>
          <w:rFonts w:ascii="Arial" w:hAnsi="Arial" w:cs="Arial"/>
          <w:b/>
          <w:bCs/>
          <w:sz w:val="20"/>
          <w:lang w:val="bg-BG"/>
        </w:rPr>
        <w:t>.</w:t>
      </w:r>
      <w:r w:rsidRPr="00287644">
        <w:rPr>
          <w:rFonts w:ascii="Arial" w:hAnsi="Arial" w:cs="Arial"/>
          <w:bCs/>
          <w:sz w:val="20"/>
          <w:lang w:val="bg-BG"/>
        </w:rPr>
        <w:t xml:space="preserve"> В </w:t>
      </w:r>
      <w:r w:rsidR="00C3177B" w:rsidRPr="00287644">
        <w:rPr>
          <w:rFonts w:ascii="Arial" w:hAnsi="Arial" w:cs="Arial"/>
          <w:bCs/>
          <w:sz w:val="20"/>
          <w:lang w:val="bg-BG"/>
        </w:rPr>
        <w:t>своето о</w:t>
      </w:r>
      <w:r w:rsidRPr="00287644">
        <w:rPr>
          <w:rFonts w:ascii="Arial" w:hAnsi="Arial" w:cs="Arial"/>
          <w:bCs/>
          <w:sz w:val="20"/>
          <w:lang w:val="bg-BG"/>
        </w:rPr>
        <w:t xml:space="preserve">бръщението </w:t>
      </w:r>
      <w:r w:rsidR="00C3177B" w:rsidRPr="00287644">
        <w:rPr>
          <w:rFonts w:ascii="Arial" w:hAnsi="Arial" w:cs="Arial"/>
          <w:bCs/>
          <w:sz w:val="20"/>
          <w:lang w:val="bg-BG"/>
        </w:rPr>
        <w:t>той</w:t>
      </w:r>
      <w:r w:rsidRPr="00287644">
        <w:rPr>
          <w:rFonts w:ascii="Arial" w:hAnsi="Arial" w:cs="Arial"/>
          <w:bCs/>
          <w:sz w:val="20"/>
          <w:lang w:val="bg-BG"/>
        </w:rPr>
        <w:t xml:space="preserve"> обеща да продължи процеса на реформи въз основа на сегашния план, тъй като „няма време… да се </w:t>
      </w:r>
      <w:r w:rsidR="00C3177B" w:rsidRPr="00287644">
        <w:rPr>
          <w:rFonts w:ascii="Arial" w:hAnsi="Arial" w:cs="Arial"/>
          <w:bCs/>
          <w:sz w:val="20"/>
          <w:lang w:val="bg-BG"/>
        </w:rPr>
        <w:t>разработва</w:t>
      </w:r>
      <w:r w:rsidRPr="00287644">
        <w:rPr>
          <w:rFonts w:ascii="Arial" w:hAnsi="Arial" w:cs="Arial"/>
          <w:bCs/>
          <w:sz w:val="20"/>
          <w:lang w:val="bg-BG"/>
        </w:rPr>
        <w:t xml:space="preserve"> всичко от нулата“.</w:t>
      </w:r>
      <w:r w:rsidR="009F396C" w:rsidRPr="00287644">
        <w:rPr>
          <w:rFonts w:ascii="Arial" w:hAnsi="Arial" w:cs="Arial"/>
          <w:bCs/>
          <w:sz w:val="20"/>
          <w:lang w:val="bg-BG"/>
        </w:rPr>
        <w:t xml:space="preserve"> </w:t>
      </w:r>
      <w:r w:rsidR="00860D4D" w:rsidRPr="00287644">
        <w:rPr>
          <w:rFonts w:ascii="Arial" w:hAnsi="Arial" w:cs="Arial"/>
          <w:bCs/>
          <w:sz w:val="20"/>
          <w:lang w:val="bg-BG"/>
        </w:rPr>
        <w:t xml:space="preserve">Комисар </w:t>
      </w:r>
      <w:r w:rsidRPr="00287644">
        <w:rPr>
          <w:rFonts w:ascii="Arial" w:hAnsi="Arial" w:cs="Arial"/>
          <w:bCs/>
          <w:sz w:val="20"/>
          <w:lang w:val="bg-BG"/>
        </w:rPr>
        <w:t xml:space="preserve"> </w:t>
      </w:r>
      <w:proofErr w:type="spellStart"/>
      <w:r w:rsidR="00860D4D" w:rsidRPr="00287644">
        <w:rPr>
          <w:rFonts w:ascii="Arial" w:hAnsi="Arial" w:cs="Arial"/>
          <w:bCs/>
          <w:sz w:val="20"/>
          <w:lang w:val="bg-BG"/>
        </w:rPr>
        <w:t>Войчеховски</w:t>
      </w:r>
      <w:proofErr w:type="spellEnd"/>
      <w:r w:rsidR="00860D4D" w:rsidRPr="00287644">
        <w:rPr>
          <w:rFonts w:ascii="Arial" w:hAnsi="Arial" w:cs="Arial"/>
          <w:bCs/>
          <w:sz w:val="20"/>
          <w:lang w:val="bg-BG"/>
        </w:rPr>
        <w:t xml:space="preserve"> </w:t>
      </w:r>
      <w:r w:rsidRPr="00287644">
        <w:rPr>
          <w:rFonts w:ascii="Arial" w:hAnsi="Arial" w:cs="Arial"/>
          <w:bCs/>
          <w:sz w:val="20"/>
          <w:lang w:val="bg-BG"/>
        </w:rPr>
        <w:t>се ангажира с отворен диалог със Съвета и ЕП и се обяви срещу в</w:t>
      </w:r>
      <w:r w:rsidR="009F396C" w:rsidRPr="00287644">
        <w:rPr>
          <w:rFonts w:ascii="Arial" w:hAnsi="Arial" w:cs="Arial"/>
          <w:bCs/>
          <w:sz w:val="20"/>
          <w:lang w:val="bg-BG"/>
        </w:rPr>
        <w:t xml:space="preserve">сякакво </w:t>
      </w:r>
      <w:r w:rsidR="00860D4D" w:rsidRPr="00287644">
        <w:rPr>
          <w:rFonts w:ascii="Arial" w:hAnsi="Arial" w:cs="Arial"/>
          <w:bCs/>
          <w:sz w:val="20"/>
          <w:lang w:val="bg-BG"/>
        </w:rPr>
        <w:t>намаление</w:t>
      </w:r>
      <w:r w:rsidR="009F396C" w:rsidRPr="00287644">
        <w:rPr>
          <w:rFonts w:ascii="Arial" w:hAnsi="Arial" w:cs="Arial"/>
          <w:bCs/>
          <w:sz w:val="20"/>
          <w:lang w:val="bg-BG"/>
        </w:rPr>
        <w:t xml:space="preserve"> на подкрепата за </w:t>
      </w:r>
      <w:r w:rsidRPr="00287644">
        <w:rPr>
          <w:rFonts w:ascii="Arial" w:hAnsi="Arial" w:cs="Arial"/>
          <w:bCs/>
          <w:sz w:val="20"/>
          <w:lang w:val="bg-BG"/>
        </w:rPr>
        <w:t>фермерите, о</w:t>
      </w:r>
      <w:r w:rsidR="009F396C" w:rsidRPr="00287644">
        <w:rPr>
          <w:rFonts w:ascii="Arial" w:hAnsi="Arial" w:cs="Arial"/>
          <w:bCs/>
          <w:sz w:val="20"/>
          <w:lang w:val="bg-BG"/>
        </w:rPr>
        <w:t>бещавайки да се бори за силен</w:t>
      </w:r>
      <w:r w:rsidR="00D633A6" w:rsidRPr="00287644">
        <w:rPr>
          <w:rFonts w:ascii="Arial" w:hAnsi="Arial" w:cs="Arial"/>
          <w:bCs/>
          <w:sz w:val="20"/>
          <w:lang w:val="bg-BG"/>
        </w:rPr>
        <w:t xml:space="preserve"> бюджет. Комисарят по земеделие</w:t>
      </w:r>
      <w:r w:rsidR="00D633A6" w:rsidRPr="00287644">
        <w:rPr>
          <w:rFonts w:ascii="Arial" w:hAnsi="Arial" w:cs="Arial"/>
          <w:b/>
          <w:bCs/>
          <w:sz w:val="20"/>
          <w:lang w:val="bg-BG"/>
        </w:rPr>
        <w:t xml:space="preserve"> </w:t>
      </w:r>
      <w:r w:rsidRPr="00287644">
        <w:rPr>
          <w:rFonts w:ascii="Arial" w:hAnsi="Arial" w:cs="Arial"/>
          <w:bCs/>
          <w:sz w:val="20"/>
          <w:lang w:val="bg-BG"/>
        </w:rPr>
        <w:t xml:space="preserve">обърна внимание на съществуващите различни мнения между делегациите относно външната конвергенция. Януш </w:t>
      </w:r>
      <w:proofErr w:type="spellStart"/>
      <w:r w:rsidRPr="00287644">
        <w:rPr>
          <w:rFonts w:ascii="Arial" w:hAnsi="Arial" w:cs="Arial"/>
          <w:bCs/>
          <w:sz w:val="20"/>
          <w:lang w:val="bg-BG"/>
        </w:rPr>
        <w:t>Войчеховски</w:t>
      </w:r>
      <w:proofErr w:type="spellEnd"/>
      <w:r w:rsidRPr="00287644">
        <w:rPr>
          <w:rFonts w:ascii="Arial" w:hAnsi="Arial" w:cs="Arial"/>
          <w:bCs/>
          <w:sz w:val="20"/>
          <w:lang w:val="bg-BG"/>
        </w:rPr>
        <w:t xml:space="preserve"> </w:t>
      </w:r>
      <w:r w:rsidR="005D4C72" w:rsidRPr="00287644">
        <w:rPr>
          <w:rFonts w:ascii="Arial" w:hAnsi="Arial" w:cs="Arial"/>
          <w:bCs/>
          <w:sz w:val="20"/>
          <w:lang w:val="bg-BG"/>
        </w:rPr>
        <w:t>изрази желанието си</w:t>
      </w:r>
      <w:r w:rsidRPr="00287644">
        <w:rPr>
          <w:rFonts w:ascii="Arial" w:hAnsi="Arial" w:cs="Arial"/>
          <w:bCs/>
          <w:sz w:val="20"/>
          <w:lang w:val="bg-BG"/>
        </w:rPr>
        <w:t xml:space="preserve"> да </w:t>
      </w:r>
      <w:r w:rsidR="005D4C72" w:rsidRPr="00287644">
        <w:rPr>
          <w:rFonts w:ascii="Arial" w:hAnsi="Arial" w:cs="Arial"/>
          <w:bCs/>
          <w:sz w:val="20"/>
          <w:lang w:val="bg-BG"/>
        </w:rPr>
        <w:t xml:space="preserve">се </w:t>
      </w:r>
      <w:r w:rsidRPr="00287644">
        <w:rPr>
          <w:rFonts w:ascii="Arial" w:hAnsi="Arial" w:cs="Arial"/>
          <w:bCs/>
          <w:sz w:val="20"/>
          <w:lang w:val="bg-BG"/>
        </w:rPr>
        <w:t>избягва всякакъв вид конкуренция межд</w:t>
      </w:r>
      <w:r w:rsidR="00326505" w:rsidRPr="00287644">
        <w:rPr>
          <w:rFonts w:ascii="Arial" w:hAnsi="Arial" w:cs="Arial"/>
          <w:bCs/>
          <w:sz w:val="20"/>
          <w:lang w:val="bg-BG"/>
        </w:rPr>
        <w:t>у фермерите и държавите</w:t>
      </w:r>
      <w:r w:rsidR="005D4C72" w:rsidRPr="00287644">
        <w:rPr>
          <w:rFonts w:ascii="Arial" w:hAnsi="Arial" w:cs="Arial"/>
          <w:bCs/>
          <w:sz w:val="20"/>
          <w:lang w:val="bg-BG"/>
        </w:rPr>
        <w:t xml:space="preserve"> </w:t>
      </w:r>
      <w:r w:rsidR="00326505" w:rsidRPr="00287644">
        <w:rPr>
          <w:rFonts w:ascii="Arial" w:hAnsi="Arial" w:cs="Arial"/>
          <w:bCs/>
          <w:sz w:val="20"/>
          <w:lang w:val="bg-BG"/>
        </w:rPr>
        <w:t xml:space="preserve">членки </w:t>
      </w:r>
      <w:r w:rsidRPr="00287644">
        <w:rPr>
          <w:rFonts w:ascii="Arial" w:hAnsi="Arial" w:cs="Arial"/>
          <w:bCs/>
          <w:sz w:val="20"/>
          <w:lang w:val="bg-BG"/>
        </w:rPr>
        <w:t xml:space="preserve">и е убеден, че земеделските стопани </w:t>
      </w:r>
      <w:r w:rsidR="005D4C72" w:rsidRPr="00287644">
        <w:rPr>
          <w:rFonts w:ascii="Arial" w:hAnsi="Arial" w:cs="Arial"/>
          <w:bCs/>
          <w:sz w:val="20"/>
          <w:lang w:val="bg-BG"/>
        </w:rPr>
        <w:t>във всички страни</w:t>
      </w:r>
      <w:r w:rsidRPr="00287644">
        <w:rPr>
          <w:rFonts w:ascii="Arial" w:hAnsi="Arial" w:cs="Arial"/>
          <w:bCs/>
          <w:sz w:val="20"/>
          <w:lang w:val="bg-BG"/>
        </w:rPr>
        <w:t xml:space="preserve"> трябва да получа</w:t>
      </w:r>
      <w:r w:rsidR="00326505" w:rsidRPr="00287644">
        <w:rPr>
          <w:rFonts w:ascii="Arial" w:hAnsi="Arial" w:cs="Arial"/>
          <w:bCs/>
          <w:sz w:val="20"/>
          <w:lang w:val="bg-BG"/>
        </w:rPr>
        <w:t>ва</w:t>
      </w:r>
      <w:r w:rsidRPr="00287644">
        <w:rPr>
          <w:rFonts w:ascii="Arial" w:hAnsi="Arial" w:cs="Arial"/>
          <w:bCs/>
          <w:sz w:val="20"/>
          <w:lang w:val="bg-BG"/>
        </w:rPr>
        <w:t>т по-добра подкрепа и по-добра защита, но за това се нуждаят от по-г</w:t>
      </w:r>
      <w:r w:rsidR="00326505" w:rsidRPr="00287644">
        <w:rPr>
          <w:rFonts w:ascii="Arial" w:hAnsi="Arial" w:cs="Arial"/>
          <w:bCs/>
          <w:sz w:val="20"/>
          <w:lang w:val="bg-BG"/>
        </w:rPr>
        <w:t xml:space="preserve">олям бюджет. Междувременно </w:t>
      </w:r>
      <w:r w:rsidR="005D4C72" w:rsidRPr="00287644">
        <w:rPr>
          <w:rFonts w:ascii="Arial" w:hAnsi="Arial" w:cs="Arial"/>
          <w:bCs/>
          <w:sz w:val="20"/>
          <w:lang w:val="bg-BG"/>
        </w:rPr>
        <w:t>изтъкна</w:t>
      </w:r>
      <w:r w:rsidRPr="00287644">
        <w:rPr>
          <w:rFonts w:ascii="Arial" w:hAnsi="Arial" w:cs="Arial"/>
          <w:bCs/>
          <w:sz w:val="20"/>
          <w:lang w:val="bg-BG"/>
        </w:rPr>
        <w:t xml:space="preserve"> приноса на ОСП за </w:t>
      </w:r>
      <w:r w:rsidR="005D4C72" w:rsidRPr="00287644">
        <w:rPr>
          <w:rFonts w:ascii="Arial" w:hAnsi="Arial" w:cs="Arial"/>
          <w:bCs/>
          <w:sz w:val="20"/>
          <w:lang w:val="bg-BG"/>
        </w:rPr>
        <w:t>Европейската зелена сделка</w:t>
      </w:r>
      <w:r w:rsidR="00326505" w:rsidRPr="00287644">
        <w:rPr>
          <w:rFonts w:ascii="Arial" w:hAnsi="Arial" w:cs="Arial"/>
          <w:bCs/>
          <w:sz w:val="20"/>
          <w:lang w:val="bg-BG"/>
        </w:rPr>
        <w:t xml:space="preserve"> (опазване на климата/околната среда, </w:t>
      </w:r>
      <w:r w:rsidRPr="00287644">
        <w:rPr>
          <w:rFonts w:ascii="Arial" w:hAnsi="Arial" w:cs="Arial"/>
          <w:bCs/>
          <w:sz w:val="20"/>
          <w:lang w:val="bg-BG"/>
        </w:rPr>
        <w:t xml:space="preserve">биоразнообразието и хуманното отношение към животните). </w:t>
      </w:r>
      <w:r w:rsidR="008A7E18" w:rsidRPr="00287644">
        <w:rPr>
          <w:rFonts w:ascii="Arial" w:hAnsi="Arial" w:cs="Arial"/>
          <w:bCs/>
          <w:sz w:val="20"/>
          <w:lang w:val="bg-BG"/>
        </w:rPr>
        <w:t>Европейската зелена сделка</w:t>
      </w:r>
      <w:r w:rsidRPr="00287644">
        <w:rPr>
          <w:rFonts w:ascii="Arial" w:hAnsi="Arial" w:cs="Arial"/>
          <w:bCs/>
          <w:sz w:val="20"/>
          <w:lang w:val="bg-BG"/>
        </w:rPr>
        <w:t xml:space="preserve">  предоставя огромна възможност в труден момент за сектора, особено за малки и средни стопанства. В течение на 5-годишния си мандат (до 2024 г.), комисар</w:t>
      </w:r>
      <w:r w:rsidR="008A7E18" w:rsidRPr="00287644">
        <w:rPr>
          <w:rFonts w:ascii="Arial" w:hAnsi="Arial" w:cs="Arial"/>
          <w:bCs/>
          <w:sz w:val="20"/>
          <w:lang w:val="bg-BG"/>
        </w:rPr>
        <w:t>ят</w:t>
      </w:r>
      <w:r w:rsidRPr="00287644">
        <w:rPr>
          <w:rFonts w:ascii="Arial" w:hAnsi="Arial" w:cs="Arial"/>
          <w:bCs/>
          <w:sz w:val="20"/>
          <w:lang w:val="bg-BG"/>
        </w:rPr>
        <w:t xml:space="preserve"> обеща да води открит диалог с фермерите. Той потвърди плановете си да разработи план за селските райони</w:t>
      </w:r>
      <w:r w:rsidR="008A7E18" w:rsidRPr="00287644">
        <w:rPr>
          <w:rFonts w:ascii="Arial" w:hAnsi="Arial" w:cs="Arial"/>
          <w:bCs/>
          <w:sz w:val="20"/>
          <w:lang w:val="bg-BG"/>
        </w:rPr>
        <w:t xml:space="preserve"> </w:t>
      </w:r>
      <w:r w:rsidRPr="00287644">
        <w:rPr>
          <w:rFonts w:ascii="Arial" w:hAnsi="Arial" w:cs="Arial"/>
          <w:bCs/>
          <w:sz w:val="20"/>
          <w:lang w:val="bg-BG"/>
        </w:rPr>
        <w:t>до средата на века, тъй като т</w:t>
      </w:r>
      <w:r w:rsidR="00287644">
        <w:rPr>
          <w:rFonts w:ascii="Arial" w:hAnsi="Arial" w:cs="Arial"/>
          <w:bCs/>
          <w:sz w:val="20"/>
          <w:lang w:val="bg-BG"/>
        </w:rPr>
        <w:t>е трябва да бъдат жизнеспособни и</w:t>
      </w:r>
      <w:r w:rsidRPr="00287644">
        <w:rPr>
          <w:rFonts w:ascii="Arial" w:hAnsi="Arial" w:cs="Arial"/>
          <w:bCs/>
          <w:sz w:val="20"/>
          <w:lang w:val="bg-BG"/>
        </w:rPr>
        <w:t xml:space="preserve"> достойни места за работа и живот. </w:t>
      </w:r>
    </w:p>
    <w:p w:rsidR="00287644" w:rsidRPr="00287644" w:rsidRDefault="00287644" w:rsidP="00C8070A">
      <w:pPr>
        <w:jc w:val="both"/>
        <w:rPr>
          <w:rFonts w:asciiTheme="minorHAnsi" w:hAnsiTheme="minorHAnsi"/>
          <w:b/>
          <w:lang w:val="bg-BG"/>
        </w:rPr>
      </w:pPr>
    </w:p>
    <w:p w:rsidR="00C8070A" w:rsidRPr="00287644" w:rsidRDefault="00C8070A" w:rsidP="00C8070A">
      <w:pPr>
        <w:jc w:val="both"/>
        <w:rPr>
          <w:rFonts w:ascii="Arial" w:hAnsi="Arial" w:cs="Arial"/>
          <w:sz w:val="20"/>
          <w:lang w:val="bg-BG"/>
        </w:rPr>
      </w:pPr>
      <w:r w:rsidRPr="00287644">
        <w:rPr>
          <w:rFonts w:asciiTheme="minorHAnsi" w:hAnsiTheme="minorHAnsi"/>
          <w:b/>
          <w:lang w:val="bg-BG"/>
        </w:rPr>
        <w:t xml:space="preserve">5. </w:t>
      </w:r>
      <w:r w:rsidR="00C61F49" w:rsidRPr="00287644">
        <w:rPr>
          <w:rFonts w:asciiTheme="minorHAnsi" w:hAnsiTheme="minorHAnsi"/>
          <w:b/>
          <w:lang w:val="bg-BG"/>
        </w:rPr>
        <w:t>Х</w:t>
      </w:r>
      <w:r w:rsidRPr="00287644">
        <w:rPr>
          <w:rFonts w:ascii="Arial" w:hAnsi="Arial" w:cs="Arial"/>
          <w:b/>
          <w:sz w:val="20"/>
          <w:lang w:val="bg-BG"/>
        </w:rPr>
        <w:t>ърватското председателство посочи ключовите приоритети в земеделието от 1 януари</w:t>
      </w:r>
      <w:r w:rsidR="00287644">
        <w:rPr>
          <w:rFonts w:ascii="Arial" w:hAnsi="Arial" w:cs="Arial"/>
          <w:b/>
          <w:sz w:val="20"/>
          <w:lang w:val="bg-BG"/>
        </w:rPr>
        <w:t xml:space="preserve"> 2020 г</w:t>
      </w:r>
      <w:r w:rsidR="00287644">
        <w:rPr>
          <w:rFonts w:ascii="Arial" w:hAnsi="Arial" w:cs="Arial"/>
          <w:sz w:val="20"/>
          <w:lang w:val="bg-BG"/>
        </w:rPr>
        <w:t>. Напредъкът</w:t>
      </w:r>
      <w:r w:rsidRPr="00287644">
        <w:rPr>
          <w:rFonts w:ascii="Arial" w:hAnsi="Arial" w:cs="Arial"/>
          <w:sz w:val="20"/>
          <w:lang w:val="bg-BG"/>
        </w:rPr>
        <w:t xml:space="preserve"> на дискусиите по пакета за реформа на ОСП ще бъде „най-важната“ тема за Хърватско председателство на Съвета на Европейския съюз, което започва от  1 януари. Бързото приемане на регламента относно преходните правила, с цел да се избегнат възможни прекъсвания</w:t>
      </w:r>
      <w:r w:rsidR="00936BBD" w:rsidRPr="00287644">
        <w:rPr>
          <w:rFonts w:ascii="Arial" w:hAnsi="Arial" w:cs="Arial"/>
          <w:sz w:val="20"/>
          <w:lang w:val="bg-BG"/>
        </w:rPr>
        <w:t>,</w:t>
      </w:r>
      <w:r w:rsidRPr="00287644">
        <w:rPr>
          <w:rFonts w:ascii="Arial" w:hAnsi="Arial" w:cs="Arial"/>
          <w:sz w:val="20"/>
          <w:lang w:val="bg-BG"/>
        </w:rPr>
        <w:t xml:space="preserve"> ще проправи пътя за безпрепятственото продължаване на прилагането на мерките по двата стълба. Особено внимание ще бъде отделено на „нуждите на уязвимите, селски общности и по-нататъшната модернизация на земеделието и селските райони, с цел да се повиши конкурентоспособността на европейските земеделски стопани и предприятия“, се казва в изявление на официални представители, които посочват концепцията за „Умните села“ като ключова приоритетна област. „Това може да повлияе положително върху качеството на живот на жителите и да привлече младите фермери“, се добавя в изявлението. Подобно на предишните председателства, Хърватия ще продължи да наблюдава ситуацията на селскостопанските пазари и да информира делегациите за развитието на международната търговия. По въпросите на безопасност</w:t>
      </w:r>
      <w:r w:rsidR="009054CE" w:rsidRPr="00287644">
        <w:rPr>
          <w:rFonts w:ascii="Arial" w:hAnsi="Arial" w:cs="Arial"/>
          <w:sz w:val="20"/>
          <w:lang w:val="bg-BG"/>
        </w:rPr>
        <w:t>та</w:t>
      </w:r>
      <w:r w:rsidRPr="00287644">
        <w:rPr>
          <w:rFonts w:ascii="Arial" w:hAnsi="Arial" w:cs="Arial"/>
          <w:sz w:val="20"/>
          <w:lang w:val="bg-BG"/>
        </w:rPr>
        <w:t xml:space="preserve"> на храните, ветеринарните, санитарните и </w:t>
      </w:r>
      <w:proofErr w:type="spellStart"/>
      <w:r w:rsidRPr="00287644">
        <w:rPr>
          <w:rFonts w:ascii="Arial" w:hAnsi="Arial" w:cs="Arial"/>
          <w:sz w:val="20"/>
          <w:lang w:val="bg-BG"/>
        </w:rPr>
        <w:t>фитосанитарните</w:t>
      </w:r>
      <w:proofErr w:type="spellEnd"/>
      <w:r w:rsidRPr="00287644">
        <w:rPr>
          <w:rFonts w:ascii="Arial" w:hAnsi="Arial" w:cs="Arial"/>
          <w:sz w:val="20"/>
          <w:lang w:val="bg-BG"/>
        </w:rPr>
        <w:t xml:space="preserve"> въпроси</w:t>
      </w:r>
      <w:r w:rsidR="00280AC1" w:rsidRPr="00287644">
        <w:rPr>
          <w:rFonts w:ascii="Arial" w:hAnsi="Arial" w:cs="Arial"/>
          <w:sz w:val="20"/>
          <w:lang w:val="bg-BG"/>
        </w:rPr>
        <w:t>,</w:t>
      </w:r>
      <w:r w:rsidRPr="00287644">
        <w:rPr>
          <w:rFonts w:ascii="Arial" w:hAnsi="Arial" w:cs="Arial"/>
          <w:sz w:val="20"/>
          <w:lang w:val="bg-BG"/>
        </w:rPr>
        <w:t xml:space="preserve"> Хърватия ще се „застъпва за еднакво ниво на </w:t>
      </w:r>
      <w:proofErr w:type="spellStart"/>
      <w:r w:rsidRPr="00287644">
        <w:rPr>
          <w:rFonts w:ascii="Arial" w:hAnsi="Arial" w:cs="Arial"/>
          <w:sz w:val="20"/>
          <w:lang w:val="bg-BG"/>
        </w:rPr>
        <w:t>фитосанитарна</w:t>
      </w:r>
      <w:proofErr w:type="spellEnd"/>
      <w:r w:rsidRPr="00287644">
        <w:rPr>
          <w:rFonts w:ascii="Arial" w:hAnsi="Arial" w:cs="Arial"/>
          <w:sz w:val="20"/>
          <w:lang w:val="bg-BG"/>
        </w:rPr>
        <w:t xml:space="preserve"> защита в рамките на ЕС и равни условия за европейските производители и търговци.“ По време на Международната година на здравето на растенията на ООН Хърватското председателство ще работи за гарантиране на „общи правила на ниво ЕС“, свързани с производството, инспекцията, вземането на проби, вноса, движението и сертифицирането на растителния материал и ще насърчава „</w:t>
      </w:r>
      <w:proofErr w:type="spellStart"/>
      <w:r w:rsidRPr="00287644">
        <w:rPr>
          <w:rFonts w:ascii="Arial" w:hAnsi="Arial" w:cs="Arial"/>
          <w:sz w:val="20"/>
          <w:lang w:val="bg-BG"/>
        </w:rPr>
        <w:t>нотифицирането</w:t>
      </w:r>
      <w:proofErr w:type="spellEnd"/>
      <w:r w:rsidRPr="00287644">
        <w:rPr>
          <w:rFonts w:ascii="Arial" w:hAnsi="Arial" w:cs="Arial"/>
          <w:sz w:val="20"/>
          <w:lang w:val="bg-BG"/>
        </w:rPr>
        <w:t xml:space="preserve">, откриването и ликвидирането на вредителите“. В областта на безопасността на храните, здравето и хуманното отношение към животните председателството ще продължи да ръководи дискусиите относно мерките за предотвратяване, контрол и ликвидиране на болестите по животните на европейско ниво. Европейската зелена сделката и </w:t>
      </w:r>
      <w:r w:rsidR="00840944">
        <w:rPr>
          <w:rFonts w:ascii="Arial" w:hAnsi="Arial" w:cs="Arial"/>
          <w:sz w:val="20"/>
          <w:lang w:val="bg-BG"/>
        </w:rPr>
        <w:t>с</w:t>
      </w:r>
      <w:r w:rsidRPr="00287644">
        <w:rPr>
          <w:rFonts w:ascii="Arial" w:hAnsi="Arial" w:cs="Arial"/>
          <w:sz w:val="20"/>
          <w:lang w:val="bg-BG"/>
        </w:rPr>
        <w:t xml:space="preserve">тратегията „От фермата </w:t>
      </w:r>
      <w:r w:rsidR="00280AC1" w:rsidRPr="00287644">
        <w:rPr>
          <w:rFonts w:ascii="Arial" w:hAnsi="Arial" w:cs="Arial"/>
          <w:sz w:val="20"/>
          <w:lang w:val="bg-BG"/>
        </w:rPr>
        <w:t>до трапезата“ ще бъдат централни теми</w:t>
      </w:r>
      <w:r w:rsidRPr="00287644">
        <w:rPr>
          <w:rFonts w:ascii="Arial" w:hAnsi="Arial" w:cs="Arial"/>
          <w:sz w:val="20"/>
          <w:lang w:val="bg-BG"/>
        </w:rPr>
        <w:t xml:space="preserve"> през шестмесечния период (до 30 юни), като Председателството ще продължи и дебата </w:t>
      </w:r>
      <w:r w:rsidRPr="00287644">
        <w:rPr>
          <w:rFonts w:ascii="Arial" w:hAnsi="Arial" w:cs="Arial"/>
          <w:sz w:val="20"/>
          <w:lang w:val="bg-BG"/>
        </w:rPr>
        <w:lastRenderedPageBreak/>
        <w:t xml:space="preserve">за приемането на новата Европейска стратегия за горите за периода след 2020 г. Първото заседание на Съвета, под ръководството на земеделския министър Мария </w:t>
      </w:r>
      <w:proofErr w:type="spellStart"/>
      <w:r w:rsidRPr="00287644">
        <w:rPr>
          <w:rFonts w:ascii="Arial" w:hAnsi="Arial" w:cs="Arial"/>
          <w:sz w:val="20"/>
          <w:lang w:val="bg-BG"/>
        </w:rPr>
        <w:t>Вучкович</w:t>
      </w:r>
      <w:proofErr w:type="spellEnd"/>
      <w:r w:rsidRPr="00287644">
        <w:rPr>
          <w:rFonts w:ascii="Arial" w:hAnsi="Arial" w:cs="Arial"/>
          <w:sz w:val="20"/>
          <w:lang w:val="bg-BG"/>
        </w:rPr>
        <w:t xml:space="preserve">, е определено за 27 януари и ще бъде последвано от заседания на 17-18 февруари, 23-24 март, 27-28 април (в Люксембург), 25-26 май и 29-30 юни (в Люксембург). Неформалното заседание на Съвета по земеделие ще се проведе в Сплит в началото на юни (7-9), където министър </w:t>
      </w:r>
      <w:proofErr w:type="spellStart"/>
      <w:r w:rsidRPr="00287644">
        <w:rPr>
          <w:rFonts w:ascii="Arial" w:hAnsi="Arial" w:cs="Arial"/>
          <w:sz w:val="20"/>
          <w:lang w:val="bg-BG"/>
        </w:rPr>
        <w:t>Вучкович</w:t>
      </w:r>
      <w:proofErr w:type="spellEnd"/>
      <w:r w:rsidRPr="00287644">
        <w:rPr>
          <w:rFonts w:ascii="Arial" w:hAnsi="Arial" w:cs="Arial"/>
          <w:sz w:val="20"/>
          <w:lang w:val="bg-BG"/>
        </w:rPr>
        <w:t xml:space="preserve"> ще ръководи дебата за селските райони  и семейните ферми. Земеделският министър на Хърватия е на 45 години, политик от Демократичния съюз, като преди това е работила в областта на търговските и финансови операции на пристанище </w:t>
      </w:r>
      <w:proofErr w:type="spellStart"/>
      <w:r w:rsidRPr="00287644">
        <w:rPr>
          <w:rFonts w:ascii="Arial" w:hAnsi="Arial" w:cs="Arial"/>
          <w:sz w:val="20"/>
          <w:lang w:val="bg-BG"/>
        </w:rPr>
        <w:t>Плоче</w:t>
      </w:r>
      <w:proofErr w:type="spellEnd"/>
      <w:r w:rsidRPr="00287644">
        <w:rPr>
          <w:rFonts w:ascii="Arial" w:hAnsi="Arial" w:cs="Arial"/>
          <w:sz w:val="20"/>
          <w:lang w:val="bg-BG"/>
        </w:rPr>
        <w:t xml:space="preserve"> и е назначена през  лятото на този пост. </w:t>
      </w:r>
    </w:p>
    <w:p w:rsidR="00287644" w:rsidRDefault="00287644" w:rsidP="0021760E">
      <w:pPr>
        <w:tabs>
          <w:tab w:val="left" w:pos="10992"/>
          <w:tab w:val="left" w:pos="11908"/>
          <w:tab w:val="left" w:pos="12824"/>
          <w:tab w:val="left" w:pos="13740"/>
          <w:tab w:val="left" w:pos="14656"/>
        </w:tabs>
        <w:jc w:val="both"/>
        <w:rPr>
          <w:rFonts w:ascii="Arial" w:hAnsi="Arial" w:cs="Arial"/>
          <w:b/>
          <w:color w:val="222222"/>
          <w:sz w:val="20"/>
          <w:lang w:val="en-US" w:eastAsia="bg-BG"/>
        </w:rPr>
      </w:pPr>
    </w:p>
    <w:p w:rsidR="0076375A" w:rsidRPr="00287644" w:rsidRDefault="00C8070A" w:rsidP="0021760E">
      <w:pPr>
        <w:tabs>
          <w:tab w:val="left" w:pos="10992"/>
          <w:tab w:val="left" w:pos="11908"/>
          <w:tab w:val="left" w:pos="12824"/>
          <w:tab w:val="left" w:pos="13740"/>
          <w:tab w:val="left" w:pos="14656"/>
        </w:tabs>
        <w:jc w:val="both"/>
        <w:rPr>
          <w:rFonts w:ascii="Arial" w:hAnsi="Arial" w:cs="Arial"/>
          <w:color w:val="222222"/>
          <w:sz w:val="20"/>
          <w:lang w:val="bg-BG" w:eastAsia="bg-BG"/>
        </w:rPr>
      </w:pPr>
      <w:r w:rsidRPr="00287644">
        <w:rPr>
          <w:rFonts w:ascii="Arial" w:hAnsi="Arial" w:cs="Arial"/>
          <w:b/>
          <w:color w:val="222222"/>
          <w:sz w:val="20"/>
          <w:lang w:val="bg-BG" w:eastAsia="bg-BG"/>
        </w:rPr>
        <w:t>6</w:t>
      </w:r>
      <w:r w:rsidR="0076375A" w:rsidRPr="00287644">
        <w:rPr>
          <w:rFonts w:ascii="Arial" w:hAnsi="Arial" w:cs="Arial"/>
          <w:b/>
          <w:color w:val="222222"/>
          <w:sz w:val="20"/>
          <w:lang w:val="bg-BG" w:eastAsia="bg-BG"/>
        </w:rPr>
        <w:t>.</w:t>
      </w:r>
      <w:r w:rsidR="002972B2" w:rsidRPr="00287644">
        <w:rPr>
          <w:rFonts w:ascii="Arial" w:hAnsi="Arial" w:cs="Arial"/>
          <w:b/>
          <w:color w:val="222222"/>
          <w:sz w:val="20"/>
          <w:lang w:val="bg-BG" w:eastAsia="bg-BG"/>
        </w:rPr>
        <w:t xml:space="preserve"> </w:t>
      </w:r>
      <w:r w:rsidR="00B85B24" w:rsidRPr="00287644">
        <w:rPr>
          <w:rFonts w:ascii="Arial" w:hAnsi="Arial" w:cs="Arial"/>
          <w:b/>
          <w:color w:val="222222"/>
          <w:sz w:val="20"/>
          <w:lang w:val="bg-BG" w:eastAsia="bg-BG"/>
        </w:rPr>
        <w:t>ЕП прие</w:t>
      </w:r>
      <w:r w:rsidR="0076375A" w:rsidRPr="00287644">
        <w:rPr>
          <w:rFonts w:ascii="Arial" w:hAnsi="Arial" w:cs="Arial"/>
          <w:b/>
          <w:color w:val="222222"/>
          <w:sz w:val="20"/>
          <w:lang w:val="bg-BG" w:eastAsia="bg-BG"/>
        </w:rPr>
        <w:t xml:space="preserve"> пъ</w:t>
      </w:r>
      <w:r w:rsidR="009059A9" w:rsidRPr="00287644">
        <w:rPr>
          <w:rFonts w:ascii="Arial" w:hAnsi="Arial" w:cs="Arial"/>
          <w:b/>
          <w:color w:val="222222"/>
          <w:sz w:val="20"/>
          <w:lang w:val="bg-BG" w:eastAsia="bg-BG"/>
        </w:rPr>
        <w:t xml:space="preserve">рвата част от </w:t>
      </w:r>
      <w:r w:rsidR="009059A9" w:rsidRPr="00287644">
        <w:rPr>
          <w:rStyle w:val="tlid-translation"/>
          <w:rFonts w:ascii="Arial" w:hAnsi="Arial" w:cs="Arial"/>
          <w:b/>
          <w:noProof/>
          <w:sz w:val="20"/>
          <w:lang w:val="bg-BG"/>
        </w:rPr>
        <w:t>така наречения преходен пакет</w:t>
      </w:r>
      <w:r w:rsidR="0076375A" w:rsidRPr="00287644">
        <w:rPr>
          <w:rFonts w:ascii="Arial" w:hAnsi="Arial" w:cs="Arial"/>
          <w:b/>
          <w:color w:val="222222"/>
          <w:sz w:val="20"/>
          <w:lang w:val="bg-BG" w:eastAsia="bg-BG"/>
        </w:rPr>
        <w:t>:</w:t>
      </w:r>
      <w:r w:rsidR="00F1698D" w:rsidRPr="00287644">
        <w:rPr>
          <w:rFonts w:ascii="Arial" w:hAnsi="Arial" w:cs="Arial"/>
          <w:b/>
          <w:color w:val="222222"/>
          <w:sz w:val="20"/>
          <w:lang w:val="bg-BG" w:eastAsia="bg-BG"/>
        </w:rPr>
        <w:t xml:space="preserve"> </w:t>
      </w:r>
      <w:r w:rsidR="0076375A" w:rsidRPr="00287644">
        <w:rPr>
          <w:rFonts w:ascii="Arial" w:hAnsi="Arial" w:cs="Arial"/>
          <w:b/>
          <w:color w:val="222222"/>
          <w:sz w:val="20"/>
          <w:lang w:val="bg-BG" w:eastAsia="bg-BG"/>
        </w:rPr>
        <w:t>първия набор от правила, за да осигури плавен преход към бъдещата селскостопанска политика на ЕС и да предостави яснота на земеделските производители през  2021 г.</w:t>
      </w:r>
      <w:r w:rsidR="0076375A" w:rsidRPr="00287644">
        <w:rPr>
          <w:rFonts w:ascii="Arial" w:hAnsi="Arial" w:cs="Arial"/>
          <w:color w:val="222222"/>
          <w:sz w:val="20"/>
          <w:lang w:val="bg-BG" w:eastAsia="bg-BG"/>
        </w:rPr>
        <w:t xml:space="preserve"> </w:t>
      </w:r>
      <w:r w:rsidR="006B23CA" w:rsidRPr="00287644">
        <w:rPr>
          <w:rFonts w:ascii="Arial" w:hAnsi="Arial" w:cs="Arial"/>
          <w:color w:val="222222"/>
          <w:sz w:val="20"/>
          <w:lang w:val="bg-BG" w:eastAsia="bg-BG"/>
        </w:rPr>
        <w:t>Одобреното</w:t>
      </w:r>
      <w:r w:rsidR="0025587D" w:rsidRPr="00287644">
        <w:rPr>
          <w:rFonts w:ascii="Arial" w:hAnsi="Arial" w:cs="Arial"/>
          <w:color w:val="222222"/>
          <w:sz w:val="20"/>
          <w:lang w:val="bg-BG" w:eastAsia="bg-BG"/>
        </w:rPr>
        <w:t xml:space="preserve"> </w:t>
      </w:r>
      <w:r w:rsidR="006B23CA" w:rsidRPr="00287644">
        <w:rPr>
          <w:rStyle w:val="tlid-translation"/>
          <w:rFonts w:ascii="Arial" w:hAnsi="Arial" w:cs="Arial"/>
          <w:noProof/>
          <w:sz w:val="20"/>
          <w:lang w:val="bg-BG"/>
        </w:rPr>
        <w:t>техническо предложение за актуализиране на правилата за финансова дисциплина и гъвкавост между стълбовете</w:t>
      </w:r>
      <w:r w:rsidR="00720A21" w:rsidRPr="00287644">
        <w:rPr>
          <w:rStyle w:val="tlid-translation"/>
          <w:rFonts w:ascii="Arial" w:hAnsi="Arial" w:cs="Arial"/>
          <w:noProof/>
          <w:sz w:val="20"/>
          <w:lang w:val="bg-BG"/>
        </w:rPr>
        <w:t>,</w:t>
      </w:r>
      <w:r w:rsidR="006B23CA" w:rsidRPr="00287644">
        <w:rPr>
          <w:rFonts w:ascii="Arial" w:hAnsi="Arial" w:cs="Arial"/>
          <w:color w:val="222222"/>
          <w:sz w:val="20"/>
          <w:lang w:val="bg-BG" w:eastAsia="bg-BG"/>
        </w:rPr>
        <w:t xml:space="preserve"> </w:t>
      </w:r>
      <w:r w:rsidR="00E85073" w:rsidRPr="00287644">
        <w:rPr>
          <w:rFonts w:ascii="Arial" w:hAnsi="Arial" w:cs="Arial"/>
          <w:color w:val="222222"/>
          <w:sz w:val="20"/>
          <w:lang w:val="bg-BG" w:eastAsia="bg-BG"/>
        </w:rPr>
        <w:t>продължава</w:t>
      </w:r>
      <w:r w:rsidR="0025587D" w:rsidRPr="00287644">
        <w:rPr>
          <w:rFonts w:ascii="Arial" w:hAnsi="Arial" w:cs="Arial"/>
          <w:color w:val="222222"/>
          <w:sz w:val="20"/>
          <w:lang w:val="bg-BG" w:eastAsia="bg-BG"/>
        </w:rPr>
        <w:t xml:space="preserve"> правилата от 2015-2019 г</w:t>
      </w:r>
      <w:r w:rsidR="00E85073" w:rsidRPr="00287644">
        <w:rPr>
          <w:rFonts w:ascii="Arial" w:hAnsi="Arial" w:cs="Arial"/>
          <w:color w:val="222222"/>
          <w:sz w:val="20"/>
          <w:lang w:val="bg-BG" w:eastAsia="bg-BG"/>
        </w:rPr>
        <w:t>.</w:t>
      </w:r>
      <w:r w:rsidR="00F1698D" w:rsidRPr="00287644">
        <w:rPr>
          <w:rFonts w:ascii="Arial" w:hAnsi="Arial" w:cs="Arial"/>
          <w:color w:val="222222"/>
          <w:sz w:val="20"/>
          <w:lang w:val="bg-BG" w:eastAsia="bg-BG"/>
        </w:rPr>
        <w:t xml:space="preserve"> </w:t>
      </w:r>
      <w:r w:rsidR="00720A21" w:rsidRPr="00287644">
        <w:rPr>
          <w:rFonts w:ascii="Arial" w:hAnsi="Arial" w:cs="Arial"/>
          <w:color w:val="222222"/>
          <w:sz w:val="20"/>
          <w:lang w:val="bg-BG" w:eastAsia="bg-BG"/>
        </w:rPr>
        <w:t xml:space="preserve">за </w:t>
      </w:r>
      <w:r w:rsidR="00F1698D" w:rsidRPr="00287644">
        <w:rPr>
          <w:rFonts w:ascii="Arial" w:hAnsi="Arial" w:cs="Arial"/>
          <w:color w:val="222222"/>
          <w:sz w:val="20"/>
          <w:lang w:val="bg-BG" w:eastAsia="bg-BG"/>
        </w:rPr>
        <w:t>прехвърляне</w:t>
      </w:r>
      <w:r w:rsidR="0076375A" w:rsidRPr="00287644">
        <w:rPr>
          <w:rFonts w:ascii="Arial" w:hAnsi="Arial" w:cs="Arial"/>
          <w:color w:val="222222"/>
          <w:sz w:val="20"/>
          <w:lang w:val="bg-BG" w:eastAsia="bg-BG"/>
        </w:rPr>
        <w:t xml:space="preserve"> на пари от националните пакети за развитие на селските райони към 1-ви стълб (директни плащания</w:t>
      </w:r>
      <w:r w:rsidR="0025587D" w:rsidRPr="00287644">
        <w:rPr>
          <w:rFonts w:ascii="Arial" w:hAnsi="Arial" w:cs="Arial"/>
          <w:color w:val="222222"/>
          <w:sz w:val="20"/>
          <w:lang w:val="bg-BG" w:eastAsia="bg-BG"/>
        </w:rPr>
        <w:t>), за</w:t>
      </w:r>
      <w:r w:rsidR="0076375A" w:rsidRPr="00287644">
        <w:rPr>
          <w:rFonts w:ascii="Arial" w:hAnsi="Arial" w:cs="Arial"/>
          <w:color w:val="222222"/>
          <w:sz w:val="20"/>
          <w:lang w:val="bg-BG" w:eastAsia="bg-BG"/>
        </w:rPr>
        <w:t xml:space="preserve"> финансовата 2021 г. Текстът бе гласуван с 637 гласа „за“, 27 „против“ и 20 въздържали се. Новият закон ще гарантира, че настоящите правила за предоставяне на подпомагане на доходите на земеделските производители могат да продължат и след 2019 г., при липса на сделка за дългосрочния бюджет и новата ОСП. Коментирайки след гласуването на текста, председателят на комисията по земеделие и развитие на селскит</w:t>
      </w:r>
      <w:r w:rsidR="006B23CA" w:rsidRPr="00287644">
        <w:rPr>
          <w:rFonts w:ascii="Arial" w:hAnsi="Arial" w:cs="Arial"/>
          <w:color w:val="222222"/>
          <w:sz w:val="20"/>
          <w:lang w:val="bg-BG" w:eastAsia="bg-BG"/>
        </w:rPr>
        <w:t xml:space="preserve">е райони </w:t>
      </w:r>
      <w:r w:rsidR="00212FA8" w:rsidRPr="00287644">
        <w:rPr>
          <w:rFonts w:ascii="Arial" w:hAnsi="Arial" w:cs="Arial"/>
          <w:color w:val="222222"/>
          <w:sz w:val="20"/>
          <w:lang w:val="bg-BG" w:eastAsia="bg-BG"/>
        </w:rPr>
        <w:t xml:space="preserve">г-н </w:t>
      </w:r>
      <w:proofErr w:type="spellStart"/>
      <w:r w:rsidR="006B23CA" w:rsidRPr="00287644">
        <w:rPr>
          <w:rFonts w:ascii="Arial" w:hAnsi="Arial" w:cs="Arial"/>
          <w:color w:val="222222"/>
          <w:sz w:val="20"/>
          <w:lang w:val="bg-BG" w:eastAsia="bg-BG"/>
        </w:rPr>
        <w:t>Норберт</w:t>
      </w:r>
      <w:proofErr w:type="spellEnd"/>
      <w:r w:rsidR="006B23CA" w:rsidRPr="00287644">
        <w:rPr>
          <w:rFonts w:ascii="Arial" w:hAnsi="Arial" w:cs="Arial"/>
          <w:color w:val="222222"/>
          <w:sz w:val="20"/>
          <w:lang w:val="bg-BG" w:eastAsia="bg-BG"/>
        </w:rPr>
        <w:t xml:space="preserve"> </w:t>
      </w:r>
      <w:proofErr w:type="spellStart"/>
      <w:r w:rsidR="006B23CA" w:rsidRPr="00287644">
        <w:rPr>
          <w:rFonts w:ascii="Arial" w:hAnsi="Arial" w:cs="Arial"/>
          <w:color w:val="222222"/>
          <w:sz w:val="20"/>
          <w:lang w:val="bg-BG" w:eastAsia="bg-BG"/>
        </w:rPr>
        <w:t>Линс</w:t>
      </w:r>
      <w:proofErr w:type="spellEnd"/>
      <w:r w:rsidR="006B23CA" w:rsidRPr="00287644">
        <w:rPr>
          <w:rFonts w:ascii="Arial" w:hAnsi="Arial" w:cs="Arial"/>
          <w:color w:val="222222"/>
          <w:sz w:val="20"/>
          <w:lang w:val="bg-BG" w:eastAsia="bg-BG"/>
        </w:rPr>
        <w:t xml:space="preserve"> заяви, че </w:t>
      </w:r>
      <w:r w:rsidR="0076375A" w:rsidRPr="00287644">
        <w:rPr>
          <w:rFonts w:ascii="Arial" w:hAnsi="Arial" w:cs="Arial"/>
          <w:color w:val="222222"/>
          <w:sz w:val="20"/>
          <w:lang w:val="bg-BG" w:eastAsia="bg-BG"/>
        </w:rPr>
        <w:t>ЕП „гарантира, че земеделските стопани ще продължат да получават финансиране на сегашните нива, дори ако новите дългосрочни бюджети и правилата на ОСП не са о</w:t>
      </w:r>
      <w:r w:rsidR="006B23CA" w:rsidRPr="00287644">
        <w:rPr>
          <w:rFonts w:ascii="Arial" w:hAnsi="Arial" w:cs="Arial"/>
          <w:color w:val="222222"/>
          <w:sz w:val="20"/>
          <w:lang w:val="bg-BG" w:eastAsia="bg-BG"/>
        </w:rPr>
        <w:t xml:space="preserve">ще в сила. Той определи </w:t>
      </w:r>
      <w:r w:rsidR="0076375A" w:rsidRPr="00287644">
        <w:rPr>
          <w:rFonts w:ascii="Arial" w:hAnsi="Arial" w:cs="Arial"/>
          <w:color w:val="222222"/>
          <w:sz w:val="20"/>
          <w:lang w:val="bg-BG" w:eastAsia="bg-BG"/>
        </w:rPr>
        <w:t>решение,</w:t>
      </w:r>
      <w:r w:rsidR="006B23CA" w:rsidRPr="00287644">
        <w:rPr>
          <w:rFonts w:ascii="Arial" w:hAnsi="Arial" w:cs="Arial"/>
          <w:color w:val="222222"/>
          <w:sz w:val="20"/>
          <w:lang w:val="bg-BG" w:eastAsia="bg-BG"/>
        </w:rPr>
        <w:t xml:space="preserve"> като решаващо,</w:t>
      </w:r>
      <w:r w:rsidR="0076375A" w:rsidRPr="00287644">
        <w:rPr>
          <w:rFonts w:ascii="Arial" w:hAnsi="Arial" w:cs="Arial"/>
          <w:color w:val="222222"/>
          <w:sz w:val="20"/>
          <w:lang w:val="bg-BG" w:eastAsia="bg-BG"/>
        </w:rPr>
        <w:t xml:space="preserve"> което носи яснота за селскостопанска общност и гарантира, че тези, които произвеждат храната, която всички консумираме, могат да бъдат сигурни, че ще продължат да получават подкрепа за обществената услуга, която предоставят. Одобреният регламент е първото от две</w:t>
      </w:r>
      <w:r w:rsidR="00F1698D" w:rsidRPr="00287644">
        <w:rPr>
          <w:rFonts w:ascii="Arial" w:hAnsi="Arial" w:cs="Arial"/>
          <w:color w:val="222222"/>
          <w:sz w:val="20"/>
          <w:lang w:val="bg-BG" w:eastAsia="bg-BG"/>
        </w:rPr>
        <w:t>те</w:t>
      </w:r>
      <w:r w:rsidR="0076375A" w:rsidRPr="00287644">
        <w:rPr>
          <w:rFonts w:ascii="Arial" w:hAnsi="Arial" w:cs="Arial"/>
          <w:color w:val="222222"/>
          <w:sz w:val="20"/>
          <w:lang w:val="bg-BG" w:eastAsia="bg-BG"/>
        </w:rPr>
        <w:t xml:space="preserve"> предложения, внесени от Комисията, за да се осигури плавен преход към ОСП след 2020 г. Г-жа</w:t>
      </w:r>
      <w:r w:rsidR="00825A8A" w:rsidRPr="00287644">
        <w:rPr>
          <w:rFonts w:ascii="Arial" w:hAnsi="Arial" w:cs="Arial"/>
          <w:color w:val="222222"/>
          <w:sz w:val="20"/>
          <w:lang w:val="bg-BG" w:eastAsia="bg-BG"/>
        </w:rPr>
        <w:t xml:space="preserve"> </w:t>
      </w:r>
      <w:proofErr w:type="spellStart"/>
      <w:r w:rsidR="00825A8A" w:rsidRPr="00287644">
        <w:rPr>
          <w:rFonts w:ascii="Arial" w:hAnsi="Arial" w:cs="Arial"/>
          <w:color w:val="222222"/>
          <w:sz w:val="20"/>
          <w:lang w:val="bg-BG" w:eastAsia="bg-BG"/>
        </w:rPr>
        <w:t>Елси</w:t>
      </w:r>
      <w:proofErr w:type="spellEnd"/>
      <w:r w:rsidR="00825A8A" w:rsidRPr="00287644">
        <w:rPr>
          <w:rFonts w:ascii="Arial" w:hAnsi="Arial" w:cs="Arial"/>
          <w:color w:val="222222"/>
          <w:sz w:val="20"/>
          <w:lang w:val="bg-BG" w:eastAsia="bg-BG"/>
        </w:rPr>
        <w:t xml:space="preserve"> </w:t>
      </w:r>
      <w:proofErr w:type="spellStart"/>
      <w:r w:rsidR="00825A8A" w:rsidRPr="00287644">
        <w:rPr>
          <w:rFonts w:ascii="Arial" w:hAnsi="Arial" w:cs="Arial"/>
          <w:color w:val="222222"/>
          <w:sz w:val="20"/>
          <w:lang w:val="bg-BG" w:eastAsia="bg-BG"/>
        </w:rPr>
        <w:t>Катенен</w:t>
      </w:r>
      <w:proofErr w:type="spellEnd"/>
      <w:r w:rsidR="00825A8A" w:rsidRPr="00287644">
        <w:rPr>
          <w:rFonts w:ascii="Arial" w:hAnsi="Arial" w:cs="Arial"/>
          <w:color w:val="222222"/>
          <w:sz w:val="20"/>
          <w:lang w:val="bg-BG" w:eastAsia="bg-BG"/>
        </w:rPr>
        <w:t xml:space="preserve"> ще </w:t>
      </w:r>
      <w:proofErr w:type="spellStart"/>
      <w:r w:rsidR="00825A8A" w:rsidRPr="00287644">
        <w:rPr>
          <w:rFonts w:ascii="Arial" w:hAnsi="Arial" w:cs="Arial"/>
          <w:color w:val="222222"/>
          <w:sz w:val="20"/>
          <w:lang w:val="bg-BG" w:eastAsia="bg-BG"/>
        </w:rPr>
        <w:t>предстви</w:t>
      </w:r>
      <w:proofErr w:type="spellEnd"/>
      <w:r w:rsidR="0076375A" w:rsidRPr="00287644">
        <w:rPr>
          <w:rFonts w:ascii="Arial" w:hAnsi="Arial" w:cs="Arial"/>
          <w:color w:val="222222"/>
          <w:sz w:val="20"/>
          <w:lang w:val="bg-BG" w:eastAsia="bg-BG"/>
        </w:rPr>
        <w:t xml:space="preserve"> втория преходен регламент (по-голям обхват) за 2021 г., докато преговорите за реформата на ОСП продължават. Преди това Комисията заяви, че това досие трябва да бъде прието </w:t>
      </w:r>
      <w:r w:rsidR="0006350C" w:rsidRPr="00287644">
        <w:rPr>
          <w:rFonts w:ascii="Arial" w:hAnsi="Arial" w:cs="Arial"/>
          <w:color w:val="222222"/>
          <w:sz w:val="20"/>
          <w:lang w:val="bg-BG" w:eastAsia="bg-BG"/>
        </w:rPr>
        <w:t xml:space="preserve">от </w:t>
      </w:r>
      <w:proofErr w:type="spellStart"/>
      <w:r w:rsidR="0006350C" w:rsidRPr="00287644">
        <w:rPr>
          <w:rFonts w:ascii="Arial" w:hAnsi="Arial" w:cs="Arial"/>
          <w:color w:val="222222"/>
          <w:sz w:val="20"/>
          <w:lang w:val="bg-BG" w:eastAsia="bg-BG"/>
        </w:rPr>
        <w:t>съзаконодателите</w:t>
      </w:r>
      <w:proofErr w:type="spellEnd"/>
      <w:r w:rsidR="0006350C" w:rsidRPr="00287644">
        <w:rPr>
          <w:rFonts w:ascii="Arial" w:hAnsi="Arial" w:cs="Arial"/>
          <w:color w:val="222222"/>
          <w:sz w:val="20"/>
          <w:lang w:val="bg-BG" w:eastAsia="bg-BG"/>
        </w:rPr>
        <w:t xml:space="preserve"> </w:t>
      </w:r>
      <w:r w:rsidR="0076375A" w:rsidRPr="00287644">
        <w:rPr>
          <w:rFonts w:ascii="Arial" w:hAnsi="Arial" w:cs="Arial"/>
          <w:color w:val="222222"/>
          <w:sz w:val="20"/>
          <w:lang w:val="bg-BG" w:eastAsia="bg-BG"/>
        </w:rPr>
        <w:t>най-късно до лятото на 2020 г. В изявление, публикувано в края на ноември, финландският евродепутат подчерта важността на осигуряването на ста</w:t>
      </w:r>
      <w:r w:rsidR="00E85073" w:rsidRPr="00287644">
        <w:rPr>
          <w:rFonts w:ascii="Arial" w:hAnsi="Arial" w:cs="Arial"/>
          <w:color w:val="222222"/>
          <w:sz w:val="20"/>
          <w:lang w:val="bg-BG" w:eastAsia="bg-BG"/>
        </w:rPr>
        <w:t>билност и сигурност за земеделските стопани</w:t>
      </w:r>
      <w:r w:rsidR="0076375A" w:rsidRPr="00287644">
        <w:rPr>
          <w:rFonts w:ascii="Arial" w:hAnsi="Arial" w:cs="Arial"/>
          <w:color w:val="222222"/>
          <w:sz w:val="20"/>
          <w:lang w:val="bg-BG" w:eastAsia="bg-BG"/>
        </w:rPr>
        <w:t xml:space="preserve">. </w:t>
      </w:r>
      <w:r w:rsidR="0006350C" w:rsidRPr="00287644">
        <w:rPr>
          <w:rFonts w:ascii="Arial" w:hAnsi="Arial" w:cs="Arial"/>
          <w:color w:val="222222"/>
          <w:sz w:val="20"/>
          <w:lang w:val="bg-BG" w:eastAsia="bg-BG"/>
        </w:rPr>
        <w:t>Тя</w:t>
      </w:r>
      <w:r w:rsidR="0076375A" w:rsidRPr="00287644">
        <w:rPr>
          <w:rFonts w:ascii="Arial" w:hAnsi="Arial" w:cs="Arial"/>
          <w:color w:val="222222"/>
          <w:sz w:val="20"/>
          <w:lang w:val="bg-BG" w:eastAsia="bg-BG"/>
        </w:rPr>
        <w:t xml:space="preserve"> </w:t>
      </w:r>
      <w:r w:rsidR="00F1698D" w:rsidRPr="00287644">
        <w:rPr>
          <w:rFonts w:ascii="Arial" w:hAnsi="Arial" w:cs="Arial"/>
          <w:color w:val="222222"/>
          <w:sz w:val="20"/>
          <w:lang w:val="bg-BG" w:eastAsia="bg-BG"/>
        </w:rPr>
        <w:t xml:space="preserve">предложи </w:t>
      </w:r>
      <w:r w:rsidR="00F1698D" w:rsidRPr="00287644">
        <w:rPr>
          <w:rStyle w:val="tlid-translation"/>
          <w:rFonts w:ascii="Arial" w:hAnsi="Arial" w:cs="Arial"/>
          <w:noProof/>
          <w:sz w:val="20"/>
          <w:lang w:val="bg-BG"/>
        </w:rPr>
        <w:t>2-годишен преходен период като „по-реалистичен вариант“, тъй като счита, че една година е „твърде кратко време“ за цялата административна подготовка</w:t>
      </w:r>
      <w:r w:rsidR="006B23CA" w:rsidRPr="00287644">
        <w:rPr>
          <w:rStyle w:val="tlid-translation"/>
          <w:rFonts w:ascii="Arial" w:hAnsi="Arial" w:cs="Arial"/>
          <w:noProof/>
          <w:sz w:val="20"/>
          <w:lang w:val="bg-BG"/>
        </w:rPr>
        <w:t xml:space="preserve"> и привежане в съответствие на системите с новата правна рамка. </w:t>
      </w:r>
    </w:p>
    <w:p w:rsidR="00563064" w:rsidRPr="00287644" w:rsidRDefault="007F16CF" w:rsidP="007F16CF">
      <w:pPr>
        <w:tabs>
          <w:tab w:val="left" w:pos="1753"/>
        </w:tabs>
        <w:jc w:val="both"/>
        <w:rPr>
          <w:rStyle w:val="longtext"/>
          <w:rFonts w:ascii="Arial" w:hAnsi="Arial" w:cs="Arial"/>
          <w:b/>
          <w:sz w:val="20"/>
          <w:lang w:val="bg-BG"/>
        </w:rPr>
      </w:pPr>
      <w:r w:rsidRPr="00287644">
        <w:rPr>
          <w:rStyle w:val="longtext"/>
          <w:rFonts w:ascii="Arial" w:hAnsi="Arial" w:cs="Arial"/>
          <w:b/>
          <w:sz w:val="20"/>
          <w:lang w:val="bg-BG"/>
        </w:rPr>
        <w:tab/>
      </w:r>
    </w:p>
    <w:p w:rsidR="00287644" w:rsidRPr="00287644" w:rsidRDefault="00287644">
      <w:pPr>
        <w:spacing w:after="160" w:line="259" w:lineRule="auto"/>
        <w:rPr>
          <w:rFonts w:ascii="Arial" w:hAnsi="Arial" w:cs="Arial"/>
          <w:sz w:val="20"/>
          <w:lang w:val="bg-BG"/>
        </w:rPr>
      </w:pPr>
      <w:bookmarkStart w:id="0" w:name="_GoBack"/>
      <w:bookmarkEnd w:id="0"/>
      <w:r w:rsidRPr="00287644">
        <w:rPr>
          <w:rFonts w:ascii="Arial" w:hAnsi="Arial" w:cs="Arial"/>
          <w:sz w:val="20"/>
          <w:lang w:val="bg-BG"/>
        </w:rPr>
        <w:br w:type="page"/>
      </w:r>
    </w:p>
    <w:p w:rsidR="00287644" w:rsidRPr="00287644" w:rsidRDefault="00AA4073" w:rsidP="00287644">
      <w:pPr>
        <w:shd w:val="clear" w:color="auto" w:fill="FFFFFF"/>
        <w:tabs>
          <w:tab w:val="left" w:pos="1327"/>
        </w:tabs>
        <w:jc w:val="right"/>
        <w:rPr>
          <w:rFonts w:ascii="Arial" w:hAnsi="Arial" w:cs="Arial"/>
          <w:b/>
          <w:i/>
          <w:color w:val="222222"/>
          <w:sz w:val="20"/>
          <w:lang w:val="bg-BG" w:eastAsia="bg-BG"/>
        </w:rPr>
      </w:pPr>
      <w:r w:rsidRPr="00287644">
        <w:rPr>
          <w:rFonts w:ascii="Arial" w:hAnsi="Arial" w:cs="Arial"/>
          <w:b/>
          <w:i/>
          <w:color w:val="222222"/>
          <w:sz w:val="20"/>
          <w:lang w:val="bg-BG" w:eastAsia="bg-BG"/>
        </w:rPr>
        <w:lastRenderedPageBreak/>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r w:rsidRPr="00287644">
        <w:rPr>
          <w:rFonts w:ascii="Arial" w:hAnsi="Arial" w:cs="Arial"/>
          <w:b/>
          <w:i/>
          <w:color w:val="222222"/>
          <w:sz w:val="20"/>
          <w:lang w:val="bg-BG" w:eastAsia="bg-BG"/>
        </w:rPr>
        <w:tab/>
      </w:r>
    </w:p>
    <w:p w:rsidR="00AA4073" w:rsidRPr="00287644" w:rsidRDefault="00AA4073" w:rsidP="00287644">
      <w:pPr>
        <w:shd w:val="clear" w:color="auto" w:fill="FFFFFF"/>
        <w:tabs>
          <w:tab w:val="left" w:pos="1327"/>
        </w:tabs>
        <w:jc w:val="right"/>
        <w:rPr>
          <w:rFonts w:ascii="Arial" w:hAnsi="Arial" w:cs="Arial"/>
          <w:b/>
          <w:i/>
          <w:color w:val="222222"/>
          <w:sz w:val="20"/>
          <w:lang w:val="bg-BG" w:eastAsia="bg-BG"/>
        </w:rPr>
      </w:pPr>
      <w:r w:rsidRPr="00287644">
        <w:rPr>
          <w:rFonts w:ascii="Arial" w:hAnsi="Arial" w:cs="Arial"/>
          <w:b/>
          <w:i/>
          <w:color w:val="222222"/>
          <w:sz w:val="20"/>
          <w:lang w:val="bg-BG" w:eastAsia="bg-BG"/>
        </w:rPr>
        <w:t>Приложение</w:t>
      </w:r>
      <w:r w:rsidR="000E143B" w:rsidRPr="00287644">
        <w:rPr>
          <w:rFonts w:ascii="Arial" w:hAnsi="Arial" w:cs="Arial"/>
          <w:b/>
          <w:i/>
          <w:color w:val="222222"/>
          <w:sz w:val="20"/>
          <w:lang w:val="bg-BG" w:eastAsia="bg-BG"/>
        </w:rPr>
        <w:t xml:space="preserve"> </w:t>
      </w:r>
      <w:r w:rsidRPr="00287644">
        <w:rPr>
          <w:rFonts w:ascii="Arial" w:hAnsi="Arial" w:cs="Arial"/>
          <w:b/>
          <w:i/>
          <w:color w:val="222222"/>
          <w:sz w:val="20"/>
          <w:lang w:val="bg-BG" w:eastAsia="bg-BG"/>
        </w:rPr>
        <w:t>1</w:t>
      </w:r>
    </w:p>
    <w:p w:rsidR="00AA4073" w:rsidRPr="00287644" w:rsidRDefault="00AA4073" w:rsidP="00AA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1E1E1E"/>
          <w:sz w:val="20"/>
          <w:shd w:val="clear" w:color="auto" w:fill="FFFFFF"/>
          <w:lang w:val="bg-BG"/>
        </w:rPr>
      </w:pPr>
    </w:p>
    <w:p w:rsidR="00AA4073" w:rsidRPr="00287644" w:rsidRDefault="00AA4073" w:rsidP="000E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sz w:val="20"/>
          <w:lang w:val="bg-BG" w:eastAsia="bg-BG"/>
        </w:rPr>
      </w:pPr>
      <w:r w:rsidRPr="00287644">
        <w:rPr>
          <w:rFonts w:ascii="Arial" w:hAnsi="Arial" w:cs="Arial"/>
          <w:b/>
          <w:color w:val="1E1E1E"/>
          <w:sz w:val="20"/>
          <w:shd w:val="clear" w:color="auto" w:fill="FFFFFF"/>
          <w:lang w:val="bg-BG"/>
        </w:rPr>
        <w:t>Дискусия</w:t>
      </w:r>
      <w:r w:rsidR="000E143B" w:rsidRPr="00287644">
        <w:rPr>
          <w:rFonts w:ascii="Arial" w:hAnsi="Arial" w:cs="Arial"/>
          <w:b/>
          <w:color w:val="1E1E1E"/>
          <w:sz w:val="20"/>
          <w:shd w:val="clear" w:color="auto" w:fill="FFFFFF"/>
          <w:lang w:val="bg-BG"/>
        </w:rPr>
        <w:t xml:space="preserve"> в Съвета по земеделие и рибарство относно</w:t>
      </w:r>
      <w:r w:rsidRPr="00287644">
        <w:rPr>
          <w:rFonts w:ascii="Arial" w:hAnsi="Arial" w:cs="Arial"/>
          <w:b/>
          <w:color w:val="1E1E1E"/>
          <w:sz w:val="20"/>
          <w:shd w:val="clear" w:color="auto" w:fill="FFFFFF"/>
          <w:lang w:val="bg-BG"/>
        </w:rPr>
        <w:t xml:space="preserve"> изготвения от </w:t>
      </w:r>
      <w:r w:rsidR="00840944">
        <w:rPr>
          <w:rFonts w:ascii="Arial" w:hAnsi="Arial" w:cs="Arial"/>
          <w:b/>
          <w:color w:val="1E1E1E"/>
          <w:sz w:val="20"/>
          <w:shd w:val="clear" w:color="auto" w:fill="FFFFFF"/>
          <w:lang w:val="bg-BG"/>
        </w:rPr>
        <w:t>Ф</w:t>
      </w:r>
      <w:r w:rsidRPr="00287644">
        <w:rPr>
          <w:rFonts w:ascii="Arial" w:hAnsi="Arial" w:cs="Arial"/>
          <w:b/>
          <w:color w:val="1E1E1E"/>
          <w:sz w:val="20"/>
          <w:shd w:val="clear" w:color="auto" w:fill="FFFFFF"/>
          <w:lang w:val="bg-BG"/>
        </w:rPr>
        <w:t>инландско</w:t>
      </w:r>
      <w:r w:rsidR="000E143B" w:rsidRPr="00287644">
        <w:rPr>
          <w:rFonts w:ascii="Arial" w:hAnsi="Arial" w:cs="Arial"/>
          <w:b/>
          <w:color w:val="1E1E1E"/>
          <w:sz w:val="20"/>
          <w:shd w:val="clear" w:color="auto" w:fill="FFFFFF"/>
          <w:lang w:val="bg-BG"/>
        </w:rPr>
        <w:t>то</w:t>
      </w:r>
      <w:r w:rsidR="003A450A" w:rsidRPr="00287644">
        <w:rPr>
          <w:rFonts w:ascii="Arial" w:hAnsi="Arial" w:cs="Arial"/>
          <w:b/>
          <w:color w:val="1E1E1E"/>
          <w:sz w:val="20"/>
          <w:shd w:val="clear" w:color="auto" w:fill="FFFFFF"/>
          <w:lang w:val="bg-BG"/>
        </w:rPr>
        <w:t xml:space="preserve"> председателство Д</w:t>
      </w:r>
      <w:r w:rsidR="00287644" w:rsidRPr="00287644">
        <w:rPr>
          <w:rFonts w:ascii="Arial" w:hAnsi="Arial" w:cs="Arial"/>
          <w:b/>
          <w:color w:val="1E1E1E"/>
          <w:sz w:val="20"/>
          <w:shd w:val="clear" w:color="auto" w:fill="FFFFFF"/>
          <w:lang w:val="bg-BG"/>
        </w:rPr>
        <w:t>оклад за напредъка</w:t>
      </w:r>
    </w:p>
    <w:p w:rsidR="00AA4073" w:rsidRPr="00287644" w:rsidRDefault="00AA4073" w:rsidP="000E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222222"/>
          <w:sz w:val="20"/>
          <w:lang w:val="bg-BG" w:eastAsia="bg-BG"/>
        </w:rPr>
      </w:pPr>
    </w:p>
    <w:p w:rsidR="00AA4073"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На заседание</w:t>
      </w:r>
      <w:r w:rsidR="003A450A" w:rsidRPr="00287644">
        <w:rPr>
          <w:rFonts w:ascii="Arial" w:hAnsi="Arial" w:cs="Arial"/>
          <w:color w:val="222222"/>
          <w:sz w:val="20"/>
          <w:lang w:val="bg-BG" w:eastAsia="bg-BG"/>
        </w:rPr>
        <w:t>то</w:t>
      </w:r>
      <w:r w:rsidRPr="00287644">
        <w:rPr>
          <w:rFonts w:ascii="Arial" w:hAnsi="Arial" w:cs="Arial"/>
          <w:color w:val="222222"/>
          <w:sz w:val="20"/>
          <w:lang w:val="bg-BG" w:eastAsia="bg-BG"/>
        </w:rPr>
        <w:t xml:space="preserve"> </w:t>
      </w:r>
      <w:r w:rsidR="000A21CD" w:rsidRPr="00287644">
        <w:rPr>
          <w:rFonts w:ascii="Arial" w:hAnsi="Arial" w:cs="Arial"/>
          <w:color w:val="222222"/>
          <w:sz w:val="20"/>
          <w:lang w:val="bg-BG" w:eastAsia="bg-BG"/>
        </w:rPr>
        <w:t xml:space="preserve">на 16 декември </w:t>
      </w:r>
      <w:r w:rsidRPr="00287644">
        <w:rPr>
          <w:rFonts w:ascii="Arial" w:hAnsi="Arial" w:cs="Arial"/>
          <w:color w:val="222222"/>
          <w:sz w:val="20"/>
          <w:lang w:val="bg-BG" w:eastAsia="bg-BG"/>
        </w:rPr>
        <w:t>министрите се запоз</w:t>
      </w:r>
      <w:r w:rsidR="00840944">
        <w:rPr>
          <w:rFonts w:ascii="Arial" w:hAnsi="Arial" w:cs="Arial"/>
          <w:color w:val="222222"/>
          <w:sz w:val="20"/>
          <w:lang w:val="bg-BG" w:eastAsia="bg-BG"/>
        </w:rPr>
        <w:t xml:space="preserve">наха с доклада за напредъка на </w:t>
      </w:r>
      <w:proofErr w:type="spellStart"/>
      <w:r w:rsidR="00840944">
        <w:rPr>
          <w:rFonts w:ascii="Arial" w:hAnsi="Arial" w:cs="Arial"/>
          <w:color w:val="222222"/>
          <w:sz w:val="20"/>
          <w:lang w:val="bg-BG" w:eastAsia="bg-BG"/>
        </w:rPr>
        <w:t>Ф</w:t>
      </w:r>
      <w:r w:rsidRPr="00287644">
        <w:rPr>
          <w:rFonts w:ascii="Arial" w:hAnsi="Arial" w:cs="Arial"/>
          <w:color w:val="222222"/>
          <w:sz w:val="20"/>
          <w:lang w:val="bg-BG" w:eastAsia="bg-BG"/>
        </w:rPr>
        <w:t>инландкото</w:t>
      </w:r>
      <w:proofErr w:type="spellEnd"/>
      <w:r w:rsidRPr="00287644">
        <w:rPr>
          <w:rFonts w:ascii="Arial" w:hAnsi="Arial" w:cs="Arial"/>
          <w:color w:val="222222"/>
          <w:sz w:val="20"/>
          <w:lang w:val="bg-BG" w:eastAsia="bg-BG"/>
        </w:rPr>
        <w:t xml:space="preserve"> председателство и проведоха обмен на мнения по пакета за реформата на ОСП. </w:t>
      </w:r>
    </w:p>
    <w:p w:rsidR="00AA4073"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 xml:space="preserve">Министърът на земеделието и горите на Финландия </w:t>
      </w:r>
      <w:proofErr w:type="spellStart"/>
      <w:r w:rsidR="006D07B9" w:rsidRPr="00287644">
        <w:rPr>
          <w:rFonts w:ascii="Arial" w:hAnsi="Arial" w:cs="Arial"/>
          <w:color w:val="222222"/>
          <w:sz w:val="20"/>
          <w:lang w:val="bg-BG" w:eastAsia="bg-BG"/>
        </w:rPr>
        <w:t>Яри</w:t>
      </w:r>
      <w:proofErr w:type="spellEnd"/>
      <w:r w:rsidR="006D07B9" w:rsidRPr="00287644">
        <w:rPr>
          <w:rFonts w:ascii="Arial" w:hAnsi="Arial" w:cs="Arial"/>
          <w:color w:val="222222"/>
          <w:sz w:val="20"/>
          <w:lang w:val="bg-BG" w:eastAsia="bg-BG"/>
        </w:rPr>
        <w:t xml:space="preserve"> </w:t>
      </w:r>
      <w:proofErr w:type="spellStart"/>
      <w:r w:rsidR="006D07B9" w:rsidRPr="00287644">
        <w:rPr>
          <w:rFonts w:ascii="Arial" w:hAnsi="Arial" w:cs="Arial"/>
          <w:color w:val="222222"/>
          <w:sz w:val="20"/>
          <w:lang w:val="bg-BG" w:eastAsia="bg-BG"/>
        </w:rPr>
        <w:t>Леппя</w:t>
      </w:r>
      <w:proofErr w:type="spellEnd"/>
      <w:r w:rsidRPr="00287644">
        <w:rPr>
          <w:rFonts w:ascii="Arial" w:hAnsi="Arial" w:cs="Arial"/>
          <w:color w:val="222222"/>
          <w:sz w:val="20"/>
          <w:lang w:val="bg-BG" w:eastAsia="bg-BG"/>
        </w:rPr>
        <w:t xml:space="preserve">  заяви, че председателството не търси одобрение, а по-скоро „идеи как да придвижи реформата към преговорна позиц</w:t>
      </w:r>
      <w:r w:rsidR="00D604C0" w:rsidRPr="00287644">
        <w:rPr>
          <w:rFonts w:ascii="Arial" w:hAnsi="Arial" w:cs="Arial"/>
          <w:color w:val="222222"/>
          <w:sz w:val="20"/>
          <w:lang w:val="bg-BG" w:eastAsia="bg-BG"/>
        </w:rPr>
        <w:t xml:space="preserve">ия на Съвета.“ Той подчерта, че </w:t>
      </w:r>
      <w:r w:rsidRPr="00287644">
        <w:rPr>
          <w:rFonts w:ascii="Arial" w:hAnsi="Arial" w:cs="Arial"/>
          <w:color w:val="222222"/>
          <w:sz w:val="20"/>
          <w:lang w:val="bg-BG" w:eastAsia="bg-BG"/>
        </w:rPr>
        <w:t>се очакват по-нататъшни дискусии по въпроси, пряко свързани с МФР, външната конвергенция, условността, прилаг</w:t>
      </w:r>
      <w:r w:rsidR="00D604C0" w:rsidRPr="00287644">
        <w:rPr>
          <w:rFonts w:ascii="Arial" w:hAnsi="Arial" w:cs="Arial"/>
          <w:color w:val="222222"/>
          <w:sz w:val="20"/>
          <w:lang w:val="bg-BG" w:eastAsia="bg-BG"/>
        </w:rPr>
        <w:t>а</w:t>
      </w:r>
      <w:r w:rsidR="009E4DA6" w:rsidRPr="00287644">
        <w:rPr>
          <w:rFonts w:ascii="Arial" w:hAnsi="Arial" w:cs="Arial"/>
          <w:color w:val="222222"/>
          <w:sz w:val="20"/>
          <w:lang w:val="bg-BG" w:eastAsia="bg-BG"/>
        </w:rPr>
        <w:t>нето на новия модел за изпълнение</w:t>
      </w:r>
      <w:r w:rsidRPr="00287644">
        <w:rPr>
          <w:rFonts w:ascii="Arial" w:hAnsi="Arial" w:cs="Arial"/>
          <w:color w:val="222222"/>
          <w:sz w:val="20"/>
          <w:lang w:val="bg-BG" w:eastAsia="bg-BG"/>
        </w:rPr>
        <w:t>, по въпроси, свързани с околната среда и климата и обвързаната подкрепа.</w:t>
      </w:r>
      <w:r w:rsidR="00D604C0" w:rsidRPr="00287644">
        <w:rPr>
          <w:rFonts w:ascii="Arial" w:hAnsi="Arial" w:cs="Arial"/>
          <w:color w:val="222222"/>
          <w:sz w:val="20"/>
          <w:lang w:val="bg-BG" w:eastAsia="bg-BG"/>
        </w:rPr>
        <w:t xml:space="preserve"> Г-н </w:t>
      </w:r>
      <w:proofErr w:type="spellStart"/>
      <w:r w:rsidR="00D604C0" w:rsidRPr="00287644">
        <w:rPr>
          <w:rFonts w:ascii="Arial" w:hAnsi="Arial" w:cs="Arial"/>
          <w:color w:val="222222"/>
          <w:sz w:val="20"/>
          <w:lang w:val="bg-BG" w:eastAsia="bg-BG"/>
        </w:rPr>
        <w:t>Яри</w:t>
      </w:r>
      <w:proofErr w:type="spellEnd"/>
      <w:r w:rsidR="00D604C0" w:rsidRPr="00287644">
        <w:rPr>
          <w:rFonts w:ascii="Arial" w:hAnsi="Arial" w:cs="Arial"/>
          <w:color w:val="222222"/>
          <w:sz w:val="20"/>
          <w:lang w:val="bg-BG" w:eastAsia="bg-BG"/>
        </w:rPr>
        <w:t xml:space="preserve"> </w:t>
      </w:r>
      <w:proofErr w:type="spellStart"/>
      <w:r w:rsidR="00D604C0" w:rsidRPr="00287644">
        <w:rPr>
          <w:rFonts w:ascii="Arial" w:hAnsi="Arial" w:cs="Arial"/>
          <w:color w:val="222222"/>
          <w:sz w:val="20"/>
          <w:lang w:val="bg-BG" w:eastAsia="bg-BG"/>
        </w:rPr>
        <w:t>Леппя</w:t>
      </w:r>
      <w:proofErr w:type="spellEnd"/>
      <w:r w:rsidR="00D604C0" w:rsidRPr="00287644">
        <w:rPr>
          <w:rFonts w:ascii="Arial" w:hAnsi="Arial" w:cs="Arial"/>
          <w:color w:val="222222"/>
          <w:sz w:val="20"/>
          <w:lang w:val="bg-BG" w:eastAsia="bg-BG"/>
        </w:rPr>
        <w:t xml:space="preserve">  подчерта, че </w:t>
      </w:r>
      <w:r w:rsidR="00C32A47" w:rsidRPr="00287644">
        <w:rPr>
          <w:rFonts w:ascii="Arial" w:hAnsi="Arial" w:cs="Arial"/>
          <w:color w:val="222222"/>
          <w:sz w:val="20"/>
          <w:lang w:val="bg-BG" w:eastAsia="bg-BG"/>
        </w:rPr>
        <w:t xml:space="preserve">Европейската зелена сделка </w:t>
      </w:r>
      <w:r w:rsidRPr="00287644">
        <w:rPr>
          <w:rFonts w:ascii="Arial" w:hAnsi="Arial" w:cs="Arial"/>
          <w:color w:val="222222"/>
          <w:sz w:val="20"/>
          <w:lang w:val="bg-BG" w:eastAsia="bg-BG"/>
        </w:rPr>
        <w:t>също е от съществено значение, имайки предвид необходимостта от силна независима стратегия на ЕС в областта на горите.</w:t>
      </w:r>
    </w:p>
    <w:p w:rsidR="00AA4073"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Относно предложението на финландското председателство за единен общ процент на финансиране за целите, свързан с околната среда и климата, който да обхваща и двата стълба, министрите считат, че тази идея може да бъде допълнително проучена и е необходима сериозна техническа р</w:t>
      </w:r>
      <w:r w:rsidR="00D604C0" w:rsidRPr="00287644">
        <w:rPr>
          <w:rFonts w:ascii="Arial" w:hAnsi="Arial" w:cs="Arial"/>
          <w:color w:val="222222"/>
          <w:sz w:val="20"/>
          <w:lang w:val="bg-BG" w:eastAsia="bg-BG"/>
        </w:rPr>
        <w:t>абота, за да бъде реализирана. Д</w:t>
      </w:r>
      <w:r w:rsidRPr="00287644">
        <w:rPr>
          <w:rFonts w:ascii="Arial" w:hAnsi="Arial" w:cs="Arial"/>
          <w:color w:val="222222"/>
          <w:sz w:val="20"/>
          <w:lang w:val="bg-BG" w:eastAsia="bg-BG"/>
        </w:rPr>
        <w:t xml:space="preserve">ействителният процент (или фиксирана сума) може да бъде определен само след като споразумението за следващата МФР е </w:t>
      </w:r>
      <w:r w:rsidR="00615AE2" w:rsidRPr="00287644">
        <w:rPr>
          <w:rFonts w:ascii="Arial" w:hAnsi="Arial" w:cs="Arial"/>
          <w:color w:val="222222"/>
          <w:sz w:val="20"/>
          <w:lang w:val="bg-BG" w:eastAsia="bg-BG"/>
        </w:rPr>
        <w:t>п</w:t>
      </w:r>
      <w:r w:rsidRPr="00287644">
        <w:rPr>
          <w:rFonts w:ascii="Arial" w:hAnsi="Arial" w:cs="Arial"/>
          <w:color w:val="222222"/>
          <w:sz w:val="20"/>
          <w:lang w:val="bg-BG" w:eastAsia="bg-BG"/>
        </w:rPr>
        <w:t>остигнато. Предложението на председателството е вместо да се отделят 30% от втория стълб за целите, свързани с околната среда и климата,  държавите членки да отделят определен процен</w:t>
      </w:r>
      <w:r w:rsidR="003A2B71" w:rsidRPr="00287644">
        <w:rPr>
          <w:rFonts w:ascii="Arial" w:hAnsi="Arial" w:cs="Arial"/>
          <w:color w:val="222222"/>
          <w:sz w:val="20"/>
          <w:lang w:val="bg-BG" w:eastAsia="bg-BG"/>
        </w:rPr>
        <w:t>т</w:t>
      </w:r>
      <w:r w:rsidRPr="00287644">
        <w:rPr>
          <w:rFonts w:ascii="Arial" w:hAnsi="Arial" w:cs="Arial"/>
          <w:color w:val="222222"/>
          <w:sz w:val="20"/>
          <w:lang w:val="bg-BG" w:eastAsia="bg-BG"/>
        </w:rPr>
        <w:t xml:space="preserve"> от общия си пакет за ОСП (първи и втори стълб) за тези цели. Общият процент ще обхване целия стратегически план на ОСП, еднакво приложим за всички държави. След това държавите членки ще избират една или повече интервенции по стълб I и стълб II или и двата</w:t>
      </w:r>
      <w:r w:rsidR="00D604C0" w:rsidRPr="00287644">
        <w:rPr>
          <w:rFonts w:ascii="Arial" w:hAnsi="Arial" w:cs="Arial"/>
          <w:color w:val="222222"/>
          <w:sz w:val="20"/>
          <w:lang w:val="bg-BG" w:eastAsia="bg-BG"/>
        </w:rPr>
        <w:t>.</w:t>
      </w:r>
    </w:p>
    <w:p w:rsidR="00AA4073"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 xml:space="preserve">По време на дебата </w:t>
      </w:r>
      <w:r w:rsidR="003A2B71" w:rsidRPr="00287644">
        <w:rPr>
          <w:rFonts w:ascii="Arial" w:hAnsi="Arial" w:cs="Arial"/>
          <w:color w:val="222222"/>
          <w:sz w:val="20"/>
          <w:lang w:val="bg-BG" w:eastAsia="bg-BG"/>
        </w:rPr>
        <w:t>някои държави членки</w:t>
      </w:r>
      <w:r w:rsidRPr="00287644">
        <w:rPr>
          <w:rFonts w:ascii="Arial" w:hAnsi="Arial" w:cs="Arial"/>
          <w:color w:val="222222"/>
          <w:sz w:val="20"/>
          <w:lang w:val="bg-BG" w:eastAsia="bg-BG"/>
        </w:rPr>
        <w:t xml:space="preserve"> заяви</w:t>
      </w:r>
      <w:r w:rsidR="003A2B71" w:rsidRPr="00287644">
        <w:rPr>
          <w:rFonts w:ascii="Arial" w:hAnsi="Arial" w:cs="Arial"/>
          <w:color w:val="222222"/>
          <w:sz w:val="20"/>
          <w:lang w:val="bg-BG" w:eastAsia="bg-BG"/>
        </w:rPr>
        <w:t>ха</w:t>
      </w:r>
      <w:r w:rsidRPr="00287644">
        <w:rPr>
          <w:rFonts w:ascii="Arial" w:hAnsi="Arial" w:cs="Arial"/>
          <w:color w:val="222222"/>
          <w:sz w:val="20"/>
          <w:lang w:val="bg-BG" w:eastAsia="bg-BG"/>
        </w:rPr>
        <w:t>, че не вижда</w:t>
      </w:r>
      <w:r w:rsidR="003A2B71" w:rsidRPr="00287644">
        <w:rPr>
          <w:rFonts w:ascii="Arial" w:hAnsi="Arial" w:cs="Arial"/>
          <w:color w:val="222222"/>
          <w:sz w:val="20"/>
          <w:lang w:val="bg-BG" w:eastAsia="bg-BG"/>
        </w:rPr>
        <w:t>т</w:t>
      </w:r>
      <w:r w:rsidRPr="00287644">
        <w:rPr>
          <w:rFonts w:ascii="Arial" w:hAnsi="Arial" w:cs="Arial"/>
          <w:color w:val="222222"/>
          <w:sz w:val="20"/>
          <w:lang w:val="bg-BG" w:eastAsia="bg-BG"/>
        </w:rPr>
        <w:t xml:space="preserve"> осезаем напредък в дискусии</w:t>
      </w:r>
      <w:r w:rsidR="00DE7B4B" w:rsidRPr="00287644">
        <w:rPr>
          <w:rFonts w:ascii="Arial" w:hAnsi="Arial" w:cs="Arial"/>
          <w:color w:val="222222"/>
          <w:sz w:val="20"/>
          <w:lang w:val="bg-BG" w:eastAsia="bg-BG"/>
        </w:rPr>
        <w:t>те</w:t>
      </w:r>
      <w:r w:rsidRPr="00287644">
        <w:rPr>
          <w:rFonts w:ascii="Arial" w:hAnsi="Arial" w:cs="Arial"/>
          <w:color w:val="222222"/>
          <w:sz w:val="20"/>
          <w:lang w:val="bg-BG" w:eastAsia="bg-BG"/>
        </w:rPr>
        <w:t>, тъй като се цитират едни и същи аргументи</w:t>
      </w:r>
      <w:r w:rsidR="001D7A7F" w:rsidRPr="00287644">
        <w:rPr>
          <w:rFonts w:ascii="Arial" w:hAnsi="Arial" w:cs="Arial"/>
          <w:color w:val="222222"/>
          <w:sz w:val="20"/>
          <w:lang w:val="bg-BG" w:eastAsia="bg-BG"/>
        </w:rPr>
        <w:t xml:space="preserve">, например </w:t>
      </w:r>
      <w:r w:rsidRPr="00287644">
        <w:rPr>
          <w:rFonts w:ascii="Arial" w:hAnsi="Arial" w:cs="Arial"/>
          <w:color w:val="222222"/>
          <w:sz w:val="20"/>
          <w:lang w:val="bg-BG" w:eastAsia="bg-BG"/>
        </w:rPr>
        <w:t>отно</w:t>
      </w:r>
      <w:r w:rsidR="001D7A7F" w:rsidRPr="00287644">
        <w:rPr>
          <w:rFonts w:ascii="Arial" w:hAnsi="Arial" w:cs="Arial"/>
          <w:color w:val="222222"/>
          <w:sz w:val="20"/>
          <w:lang w:val="bg-BG" w:eastAsia="bg-BG"/>
        </w:rPr>
        <w:t>сно разпоредбите за условността</w:t>
      </w:r>
      <w:r w:rsidRPr="00287644">
        <w:rPr>
          <w:rFonts w:ascii="Arial" w:hAnsi="Arial" w:cs="Arial"/>
          <w:color w:val="222222"/>
          <w:sz w:val="20"/>
          <w:lang w:val="bg-BG" w:eastAsia="bg-BG"/>
        </w:rPr>
        <w:t xml:space="preserve"> за малките земеделски </w:t>
      </w:r>
      <w:r w:rsidR="000954E4" w:rsidRPr="00287644">
        <w:rPr>
          <w:rFonts w:ascii="Arial" w:hAnsi="Arial" w:cs="Arial"/>
          <w:color w:val="222222"/>
          <w:sz w:val="20"/>
          <w:lang w:val="bg-BG" w:eastAsia="bg-BG"/>
        </w:rPr>
        <w:t>стопани</w:t>
      </w:r>
      <w:r w:rsidRPr="00287644">
        <w:rPr>
          <w:rFonts w:ascii="Arial" w:hAnsi="Arial" w:cs="Arial"/>
          <w:color w:val="222222"/>
          <w:sz w:val="20"/>
          <w:lang w:val="bg-BG" w:eastAsia="bg-BG"/>
        </w:rPr>
        <w:t xml:space="preserve">, стратегическите планове, дискусиите </w:t>
      </w:r>
      <w:r w:rsidR="000954E4" w:rsidRPr="00287644">
        <w:rPr>
          <w:rFonts w:ascii="Arial" w:hAnsi="Arial" w:cs="Arial"/>
          <w:color w:val="222222"/>
          <w:sz w:val="20"/>
          <w:lang w:val="bg-BG" w:eastAsia="bg-BG"/>
        </w:rPr>
        <w:t>за</w:t>
      </w:r>
      <w:r w:rsidRPr="00287644">
        <w:rPr>
          <w:rFonts w:ascii="Arial" w:hAnsi="Arial" w:cs="Arial"/>
          <w:color w:val="222222"/>
          <w:sz w:val="20"/>
          <w:lang w:val="bg-BG" w:eastAsia="bg-BG"/>
        </w:rPr>
        <w:t xml:space="preserve"> прехвърлянето на средства между 1-ви и 2-ри стълб.</w:t>
      </w:r>
      <w:r w:rsidR="000954E4" w:rsidRPr="00287644">
        <w:rPr>
          <w:rFonts w:ascii="Arial" w:hAnsi="Arial" w:cs="Arial"/>
          <w:color w:val="222222"/>
          <w:sz w:val="20"/>
          <w:lang w:val="bg-BG" w:eastAsia="bg-BG"/>
        </w:rPr>
        <w:t xml:space="preserve"> Други</w:t>
      </w:r>
      <w:r w:rsidR="001D7A7F" w:rsidRPr="00287644">
        <w:rPr>
          <w:rFonts w:ascii="Arial" w:hAnsi="Arial" w:cs="Arial"/>
          <w:color w:val="222222"/>
          <w:sz w:val="20"/>
          <w:lang w:val="bg-BG" w:eastAsia="bg-BG"/>
        </w:rPr>
        <w:t xml:space="preserve"> </w:t>
      </w:r>
      <w:r w:rsidRPr="00287644">
        <w:rPr>
          <w:rFonts w:ascii="Arial" w:hAnsi="Arial" w:cs="Arial"/>
          <w:color w:val="222222"/>
          <w:sz w:val="20"/>
          <w:lang w:val="bg-BG" w:eastAsia="bg-BG"/>
        </w:rPr>
        <w:t>призова</w:t>
      </w:r>
      <w:r w:rsidR="000954E4" w:rsidRPr="00287644">
        <w:rPr>
          <w:rFonts w:ascii="Arial" w:hAnsi="Arial" w:cs="Arial"/>
          <w:color w:val="222222"/>
          <w:sz w:val="20"/>
          <w:lang w:val="bg-BG" w:eastAsia="bg-BG"/>
        </w:rPr>
        <w:t>ха</w:t>
      </w:r>
      <w:r w:rsidRPr="00287644">
        <w:rPr>
          <w:rFonts w:ascii="Arial" w:hAnsi="Arial" w:cs="Arial"/>
          <w:color w:val="222222"/>
          <w:sz w:val="20"/>
          <w:lang w:val="bg-BG" w:eastAsia="bg-BG"/>
        </w:rPr>
        <w:t xml:space="preserve"> колегите си да повишат нивото на зелен</w:t>
      </w:r>
      <w:r w:rsidR="001D7A7F" w:rsidRPr="00287644">
        <w:rPr>
          <w:rFonts w:ascii="Arial" w:hAnsi="Arial" w:cs="Arial"/>
          <w:color w:val="222222"/>
          <w:sz w:val="20"/>
          <w:lang w:val="bg-BG" w:eastAsia="bg-BG"/>
        </w:rPr>
        <w:t>ата амбиция, като настоя</w:t>
      </w:r>
      <w:r w:rsidR="000954E4" w:rsidRPr="00287644">
        <w:rPr>
          <w:rFonts w:ascii="Arial" w:hAnsi="Arial" w:cs="Arial"/>
          <w:color w:val="222222"/>
          <w:sz w:val="20"/>
          <w:lang w:val="bg-BG" w:eastAsia="bg-BG"/>
        </w:rPr>
        <w:t>ха</w:t>
      </w:r>
      <w:r w:rsidR="001D7A7F" w:rsidRPr="00287644">
        <w:rPr>
          <w:rFonts w:ascii="Arial" w:hAnsi="Arial" w:cs="Arial"/>
          <w:color w:val="222222"/>
          <w:sz w:val="20"/>
          <w:lang w:val="bg-BG" w:eastAsia="bg-BG"/>
        </w:rPr>
        <w:t xml:space="preserve">, </w:t>
      </w:r>
      <w:proofErr w:type="spellStart"/>
      <w:r w:rsidRPr="00287644">
        <w:rPr>
          <w:rFonts w:ascii="Arial" w:hAnsi="Arial" w:cs="Arial"/>
          <w:color w:val="222222"/>
          <w:sz w:val="20"/>
          <w:lang w:val="bg-BG" w:eastAsia="bg-BG"/>
        </w:rPr>
        <w:t>еко-схемит</w:t>
      </w:r>
      <w:r w:rsidR="00A9168C" w:rsidRPr="00287644">
        <w:rPr>
          <w:rFonts w:ascii="Arial" w:hAnsi="Arial" w:cs="Arial"/>
          <w:color w:val="222222"/>
          <w:sz w:val="20"/>
          <w:lang w:val="bg-BG" w:eastAsia="bg-BG"/>
        </w:rPr>
        <w:t>е</w:t>
      </w:r>
      <w:proofErr w:type="spellEnd"/>
      <w:r w:rsidR="00A9168C" w:rsidRPr="00287644">
        <w:rPr>
          <w:rFonts w:ascii="Arial" w:hAnsi="Arial" w:cs="Arial"/>
          <w:color w:val="222222"/>
          <w:sz w:val="20"/>
          <w:lang w:val="bg-BG" w:eastAsia="bg-BG"/>
        </w:rPr>
        <w:t xml:space="preserve"> и мерки</w:t>
      </w:r>
      <w:r w:rsidR="00861717" w:rsidRPr="00287644">
        <w:rPr>
          <w:rFonts w:ascii="Arial" w:hAnsi="Arial" w:cs="Arial"/>
          <w:color w:val="222222"/>
          <w:sz w:val="20"/>
          <w:lang w:val="bg-BG" w:eastAsia="bg-BG"/>
        </w:rPr>
        <w:t>те</w:t>
      </w:r>
      <w:r w:rsidR="00A9168C" w:rsidRPr="00287644">
        <w:rPr>
          <w:rFonts w:ascii="Arial" w:hAnsi="Arial" w:cs="Arial"/>
          <w:color w:val="222222"/>
          <w:sz w:val="20"/>
          <w:lang w:val="bg-BG" w:eastAsia="bg-BG"/>
        </w:rPr>
        <w:t xml:space="preserve"> по втория стълб </w:t>
      </w:r>
      <w:r w:rsidRPr="00287644">
        <w:rPr>
          <w:rFonts w:ascii="Arial" w:hAnsi="Arial" w:cs="Arial"/>
          <w:color w:val="222222"/>
          <w:sz w:val="20"/>
          <w:lang w:val="bg-BG" w:eastAsia="bg-BG"/>
        </w:rPr>
        <w:t xml:space="preserve"> да бъдат задължителни, а не доброволни.</w:t>
      </w:r>
      <w:r w:rsidR="000954E4" w:rsidRPr="00287644">
        <w:rPr>
          <w:rFonts w:ascii="Arial" w:hAnsi="Arial" w:cs="Arial"/>
          <w:color w:val="222222"/>
          <w:sz w:val="20"/>
          <w:lang w:val="bg-BG" w:eastAsia="bg-BG"/>
        </w:rPr>
        <w:t xml:space="preserve"> Някои делегации</w:t>
      </w:r>
      <w:r w:rsidR="00F96F34" w:rsidRPr="00287644">
        <w:rPr>
          <w:rFonts w:ascii="Arial" w:hAnsi="Arial" w:cs="Arial"/>
          <w:color w:val="222222"/>
          <w:sz w:val="20"/>
          <w:lang w:val="bg-BG" w:eastAsia="bg-BG"/>
        </w:rPr>
        <w:t xml:space="preserve"> се обединиха около мнението</w:t>
      </w:r>
      <w:r w:rsidRPr="00287644">
        <w:rPr>
          <w:rFonts w:ascii="Arial" w:hAnsi="Arial" w:cs="Arial"/>
          <w:color w:val="222222"/>
          <w:sz w:val="20"/>
          <w:lang w:val="bg-BG" w:eastAsia="bg-BG"/>
        </w:rPr>
        <w:t>,</w:t>
      </w:r>
      <w:r w:rsidR="00F96F34" w:rsidRPr="00287644">
        <w:rPr>
          <w:rFonts w:ascii="Arial" w:hAnsi="Arial" w:cs="Arial"/>
          <w:color w:val="222222"/>
          <w:sz w:val="20"/>
          <w:lang w:val="bg-BG" w:eastAsia="bg-BG"/>
        </w:rPr>
        <w:t xml:space="preserve"> </w:t>
      </w:r>
      <w:r w:rsidR="000954E4" w:rsidRPr="00287644">
        <w:rPr>
          <w:rFonts w:ascii="Arial" w:hAnsi="Arial" w:cs="Arial"/>
          <w:color w:val="222222"/>
          <w:sz w:val="20"/>
          <w:lang w:val="bg-BG" w:eastAsia="bg-BG"/>
        </w:rPr>
        <w:t>че предвид</w:t>
      </w:r>
      <w:r w:rsidRPr="00287644">
        <w:rPr>
          <w:rFonts w:ascii="Arial" w:hAnsi="Arial" w:cs="Arial"/>
          <w:color w:val="222222"/>
          <w:sz w:val="20"/>
          <w:lang w:val="bg-BG" w:eastAsia="bg-BG"/>
        </w:rPr>
        <w:t xml:space="preserve"> оставащата несигурност относно МФР, трябва да се работи повече по н</w:t>
      </w:r>
      <w:r w:rsidR="00F96F34" w:rsidRPr="00287644">
        <w:rPr>
          <w:rFonts w:ascii="Arial" w:hAnsi="Arial" w:cs="Arial"/>
          <w:color w:val="222222"/>
          <w:sz w:val="20"/>
          <w:lang w:val="bg-BG" w:eastAsia="bg-BG"/>
        </w:rPr>
        <w:t>ов</w:t>
      </w:r>
      <w:r w:rsidR="000954E4" w:rsidRPr="00287644">
        <w:rPr>
          <w:rFonts w:ascii="Arial" w:hAnsi="Arial" w:cs="Arial"/>
          <w:color w:val="222222"/>
          <w:sz w:val="20"/>
          <w:lang w:val="bg-BG" w:eastAsia="bg-BG"/>
        </w:rPr>
        <w:t xml:space="preserve">ия </w:t>
      </w:r>
      <w:r w:rsidR="00F96F34" w:rsidRPr="00287644">
        <w:rPr>
          <w:rFonts w:ascii="Arial" w:hAnsi="Arial" w:cs="Arial"/>
          <w:color w:val="222222"/>
          <w:sz w:val="20"/>
          <w:lang w:val="bg-BG" w:eastAsia="bg-BG"/>
        </w:rPr>
        <w:t xml:space="preserve">модел на </w:t>
      </w:r>
      <w:r w:rsidR="000954E4" w:rsidRPr="00287644">
        <w:rPr>
          <w:rFonts w:ascii="Arial" w:hAnsi="Arial" w:cs="Arial"/>
          <w:color w:val="222222"/>
          <w:sz w:val="20"/>
          <w:lang w:val="bg-BG" w:eastAsia="bg-BG"/>
        </w:rPr>
        <w:t>изпълнение</w:t>
      </w:r>
      <w:r w:rsidRPr="00287644">
        <w:rPr>
          <w:rFonts w:ascii="Arial" w:hAnsi="Arial" w:cs="Arial"/>
          <w:color w:val="222222"/>
          <w:sz w:val="20"/>
          <w:lang w:val="bg-BG" w:eastAsia="bg-BG"/>
        </w:rPr>
        <w:t xml:space="preserve"> и приветства</w:t>
      </w:r>
      <w:r w:rsidR="00F96F34" w:rsidRPr="00287644">
        <w:rPr>
          <w:rFonts w:ascii="Arial" w:hAnsi="Arial" w:cs="Arial"/>
          <w:color w:val="222222"/>
          <w:sz w:val="20"/>
          <w:lang w:val="bg-BG" w:eastAsia="bg-BG"/>
        </w:rPr>
        <w:t>ха</w:t>
      </w:r>
      <w:r w:rsidRPr="00287644">
        <w:rPr>
          <w:rFonts w:ascii="Arial" w:hAnsi="Arial" w:cs="Arial"/>
          <w:color w:val="222222"/>
          <w:sz w:val="20"/>
          <w:lang w:val="bg-BG" w:eastAsia="bg-BG"/>
        </w:rPr>
        <w:t xml:space="preserve"> напредъка, постигнат по технически</w:t>
      </w:r>
      <w:r w:rsidR="00F96F34" w:rsidRPr="00287644">
        <w:rPr>
          <w:rFonts w:ascii="Arial" w:hAnsi="Arial" w:cs="Arial"/>
          <w:color w:val="222222"/>
          <w:sz w:val="20"/>
          <w:lang w:val="bg-BG" w:eastAsia="bg-BG"/>
        </w:rPr>
        <w:t xml:space="preserve">те въпроси. </w:t>
      </w:r>
      <w:r w:rsidR="000954E4" w:rsidRPr="00287644">
        <w:rPr>
          <w:rFonts w:ascii="Arial" w:hAnsi="Arial" w:cs="Arial"/>
          <w:color w:val="222222"/>
          <w:sz w:val="20"/>
          <w:lang w:val="bg-BG" w:eastAsia="bg-BG"/>
        </w:rPr>
        <w:t>Някои делегации настояха за</w:t>
      </w:r>
      <w:r w:rsidRPr="00287644">
        <w:rPr>
          <w:rFonts w:ascii="Arial" w:hAnsi="Arial" w:cs="Arial"/>
          <w:color w:val="222222"/>
          <w:sz w:val="20"/>
          <w:lang w:val="bg-BG" w:eastAsia="bg-BG"/>
        </w:rPr>
        <w:t xml:space="preserve"> „преглед на резултатите с по-малки темп</w:t>
      </w:r>
      <w:r w:rsidR="00F96F34" w:rsidRPr="00287644">
        <w:rPr>
          <w:rFonts w:ascii="Arial" w:hAnsi="Arial" w:cs="Arial"/>
          <w:color w:val="222222"/>
          <w:sz w:val="20"/>
          <w:lang w:val="bg-BG" w:eastAsia="bg-BG"/>
        </w:rPr>
        <w:t xml:space="preserve">ове“. </w:t>
      </w:r>
      <w:r w:rsidR="000954E4" w:rsidRPr="00287644">
        <w:rPr>
          <w:rFonts w:ascii="Arial" w:hAnsi="Arial" w:cs="Arial"/>
          <w:color w:val="222222"/>
          <w:sz w:val="20"/>
          <w:lang w:val="bg-BG" w:eastAsia="bg-BG"/>
        </w:rPr>
        <w:t>Други делегации</w:t>
      </w:r>
      <w:r w:rsidR="00F96F34" w:rsidRPr="00287644">
        <w:rPr>
          <w:rFonts w:ascii="Arial" w:hAnsi="Arial" w:cs="Arial"/>
          <w:color w:val="222222"/>
          <w:sz w:val="20"/>
          <w:lang w:val="bg-BG" w:eastAsia="bg-BG"/>
        </w:rPr>
        <w:t xml:space="preserve"> </w:t>
      </w:r>
      <w:r w:rsidRPr="00287644">
        <w:rPr>
          <w:rFonts w:ascii="Arial" w:hAnsi="Arial" w:cs="Arial"/>
          <w:color w:val="222222"/>
          <w:sz w:val="20"/>
          <w:lang w:val="bg-BG" w:eastAsia="bg-BG"/>
        </w:rPr>
        <w:t>заяви</w:t>
      </w:r>
      <w:r w:rsidR="000954E4" w:rsidRPr="00287644">
        <w:rPr>
          <w:rFonts w:ascii="Arial" w:hAnsi="Arial" w:cs="Arial"/>
          <w:color w:val="222222"/>
          <w:sz w:val="20"/>
          <w:lang w:val="bg-BG" w:eastAsia="bg-BG"/>
        </w:rPr>
        <w:t>ха</w:t>
      </w:r>
      <w:r w:rsidRPr="00287644">
        <w:rPr>
          <w:rFonts w:ascii="Arial" w:hAnsi="Arial" w:cs="Arial"/>
          <w:color w:val="222222"/>
          <w:sz w:val="20"/>
          <w:lang w:val="bg-BG" w:eastAsia="bg-BG"/>
        </w:rPr>
        <w:t>, че всякакви спекулации или разговори срещу външната конвергенция всъщност са загуба на</w:t>
      </w:r>
      <w:r w:rsidR="00840944">
        <w:rPr>
          <w:rFonts w:ascii="Arial" w:hAnsi="Arial" w:cs="Arial"/>
          <w:color w:val="222222"/>
          <w:sz w:val="20"/>
          <w:lang w:val="bg-BG" w:eastAsia="bg-BG"/>
        </w:rPr>
        <w:t xml:space="preserve"> време,</w:t>
      </w:r>
      <w:r w:rsidRPr="00287644">
        <w:rPr>
          <w:rFonts w:ascii="Arial" w:hAnsi="Arial" w:cs="Arial"/>
          <w:color w:val="222222"/>
          <w:sz w:val="20"/>
          <w:lang w:val="bg-BG" w:eastAsia="bg-BG"/>
        </w:rPr>
        <w:t xml:space="preserve"> тъй като това е фундаментален принцип,</w:t>
      </w:r>
      <w:r w:rsidR="000954E4" w:rsidRPr="00287644">
        <w:rPr>
          <w:rFonts w:ascii="Arial" w:hAnsi="Arial" w:cs="Arial"/>
          <w:color w:val="222222"/>
          <w:sz w:val="20"/>
          <w:lang w:val="bg-BG" w:eastAsia="bg-BG"/>
        </w:rPr>
        <w:t xml:space="preserve"> съгласно Договора за ЕС. Д</w:t>
      </w:r>
      <w:r w:rsidRPr="00287644">
        <w:rPr>
          <w:rFonts w:ascii="Arial" w:hAnsi="Arial" w:cs="Arial"/>
          <w:color w:val="222222"/>
          <w:sz w:val="20"/>
          <w:lang w:val="bg-BG" w:eastAsia="bg-BG"/>
        </w:rPr>
        <w:t>иректните плащания трябва да бъдат изравнени</w:t>
      </w:r>
      <w:r w:rsidR="000954E4" w:rsidRPr="00287644">
        <w:rPr>
          <w:rFonts w:ascii="Arial" w:hAnsi="Arial" w:cs="Arial"/>
          <w:color w:val="222222"/>
          <w:sz w:val="20"/>
          <w:lang w:val="bg-BG" w:eastAsia="bg-BG"/>
        </w:rPr>
        <w:t>, докато финансирането за р</w:t>
      </w:r>
      <w:r w:rsidRPr="00287644">
        <w:rPr>
          <w:rFonts w:ascii="Arial" w:hAnsi="Arial" w:cs="Arial"/>
          <w:color w:val="222222"/>
          <w:sz w:val="20"/>
          <w:lang w:val="bg-BG" w:eastAsia="bg-BG"/>
        </w:rPr>
        <w:t xml:space="preserve">азвитието на селските райони не трябва да намалява. </w:t>
      </w:r>
    </w:p>
    <w:p w:rsidR="00287644" w:rsidRPr="00287644" w:rsidRDefault="00AA4073" w:rsidP="00840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287644">
        <w:rPr>
          <w:rFonts w:ascii="Arial" w:hAnsi="Arial" w:cs="Arial"/>
          <w:color w:val="222222"/>
          <w:sz w:val="20"/>
          <w:lang w:val="bg-BG" w:eastAsia="bg-BG"/>
        </w:rPr>
        <w:t xml:space="preserve">Редица </w:t>
      </w:r>
      <w:r w:rsidR="002A1D98" w:rsidRPr="00287644">
        <w:rPr>
          <w:rFonts w:ascii="Arial" w:hAnsi="Arial" w:cs="Arial"/>
          <w:color w:val="222222"/>
          <w:sz w:val="20"/>
          <w:lang w:val="bg-BG" w:eastAsia="bg-BG"/>
        </w:rPr>
        <w:t>държави-членки</w:t>
      </w:r>
      <w:r w:rsidRPr="00287644">
        <w:rPr>
          <w:rFonts w:ascii="Arial" w:hAnsi="Arial" w:cs="Arial"/>
          <w:color w:val="222222"/>
          <w:sz w:val="20"/>
          <w:lang w:val="bg-BG" w:eastAsia="bg-BG"/>
        </w:rPr>
        <w:t xml:space="preserve">, заявиха че </w:t>
      </w:r>
      <w:r w:rsidR="00F36C1A" w:rsidRPr="00287644">
        <w:rPr>
          <w:rFonts w:ascii="Arial" w:hAnsi="Arial" w:cs="Arial"/>
          <w:color w:val="222222"/>
          <w:sz w:val="20"/>
          <w:lang w:val="bg-BG" w:eastAsia="bg-BG"/>
        </w:rPr>
        <w:t>желаят една амбициозна ОСП, която да отговаря на очакванията на европейското общество и предизвикателствата на околната среда.</w:t>
      </w:r>
      <w:r w:rsidR="002A1D98" w:rsidRPr="00287644">
        <w:rPr>
          <w:rFonts w:ascii="Arial" w:hAnsi="Arial" w:cs="Arial"/>
          <w:color w:val="222222"/>
          <w:sz w:val="20"/>
          <w:lang w:val="bg-BG" w:eastAsia="bg-BG"/>
        </w:rPr>
        <w:t xml:space="preserve"> Някои делегации</w:t>
      </w:r>
      <w:r w:rsidR="00F36C1A" w:rsidRPr="00287644">
        <w:rPr>
          <w:rFonts w:ascii="Arial" w:hAnsi="Arial" w:cs="Arial"/>
          <w:color w:val="222222"/>
          <w:sz w:val="20"/>
          <w:lang w:val="bg-BG" w:eastAsia="bg-BG"/>
        </w:rPr>
        <w:t xml:space="preserve"> </w:t>
      </w:r>
      <w:r w:rsidRPr="00287644">
        <w:rPr>
          <w:rFonts w:ascii="Arial" w:hAnsi="Arial" w:cs="Arial"/>
          <w:color w:val="222222"/>
          <w:sz w:val="20"/>
          <w:lang w:val="bg-BG" w:eastAsia="bg-BG"/>
        </w:rPr>
        <w:t>настоя</w:t>
      </w:r>
      <w:r w:rsidR="002A1D98" w:rsidRPr="00287644">
        <w:rPr>
          <w:rFonts w:ascii="Arial" w:hAnsi="Arial" w:cs="Arial"/>
          <w:color w:val="222222"/>
          <w:sz w:val="20"/>
          <w:lang w:val="bg-BG" w:eastAsia="bg-BG"/>
        </w:rPr>
        <w:t>ха</w:t>
      </w:r>
      <w:r w:rsidR="00F36C1A" w:rsidRPr="00287644">
        <w:rPr>
          <w:rFonts w:ascii="Arial" w:hAnsi="Arial" w:cs="Arial"/>
          <w:color w:val="222222"/>
          <w:sz w:val="20"/>
          <w:lang w:val="bg-BG" w:eastAsia="bg-BG"/>
        </w:rPr>
        <w:t xml:space="preserve"> бюджета</w:t>
      </w:r>
      <w:r w:rsidR="002A1D98" w:rsidRPr="00287644">
        <w:rPr>
          <w:rFonts w:ascii="Arial" w:hAnsi="Arial" w:cs="Arial"/>
          <w:color w:val="222222"/>
          <w:sz w:val="20"/>
          <w:lang w:val="bg-BG" w:eastAsia="bg-BG"/>
        </w:rPr>
        <w:t xml:space="preserve"> з</w:t>
      </w:r>
      <w:r w:rsidRPr="00287644">
        <w:rPr>
          <w:rFonts w:ascii="Arial" w:hAnsi="Arial" w:cs="Arial"/>
          <w:color w:val="222222"/>
          <w:sz w:val="20"/>
          <w:lang w:val="bg-BG" w:eastAsia="bg-BG"/>
        </w:rPr>
        <w:t xml:space="preserve">а ОСП и обвързаната с него подкрепа да се </w:t>
      </w:r>
      <w:r w:rsidR="002A1D98" w:rsidRPr="00287644">
        <w:rPr>
          <w:rFonts w:ascii="Arial" w:hAnsi="Arial" w:cs="Arial"/>
          <w:color w:val="222222"/>
          <w:sz w:val="20"/>
          <w:lang w:val="bg-BG" w:eastAsia="bg-BG"/>
        </w:rPr>
        <w:t>запази</w:t>
      </w:r>
      <w:r w:rsidRPr="00287644">
        <w:rPr>
          <w:rFonts w:ascii="Arial" w:hAnsi="Arial" w:cs="Arial"/>
          <w:color w:val="222222"/>
          <w:sz w:val="20"/>
          <w:lang w:val="bg-BG" w:eastAsia="bg-BG"/>
        </w:rPr>
        <w:t xml:space="preserve"> „на сегашното ниво“, докато </w:t>
      </w:r>
      <w:r w:rsidR="002A1D98" w:rsidRPr="00287644">
        <w:rPr>
          <w:rFonts w:ascii="Arial" w:hAnsi="Arial" w:cs="Arial"/>
          <w:color w:val="222222"/>
          <w:sz w:val="20"/>
          <w:lang w:val="bg-BG" w:eastAsia="bg-BG"/>
        </w:rPr>
        <w:t xml:space="preserve">други, сред които </w:t>
      </w:r>
      <w:r w:rsidR="00F36C1A" w:rsidRPr="00287644">
        <w:rPr>
          <w:rFonts w:ascii="Arial" w:hAnsi="Arial" w:cs="Arial"/>
          <w:color w:val="222222"/>
          <w:sz w:val="20"/>
          <w:lang w:val="bg-BG" w:eastAsia="bg-BG"/>
        </w:rPr>
        <w:t xml:space="preserve"> България</w:t>
      </w:r>
      <w:r w:rsidR="002A1D98" w:rsidRPr="00287644">
        <w:rPr>
          <w:rFonts w:ascii="Arial" w:hAnsi="Arial" w:cs="Arial"/>
          <w:color w:val="222222"/>
          <w:sz w:val="20"/>
          <w:lang w:val="bg-BG" w:eastAsia="bg-BG"/>
        </w:rPr>
        <w:t>,</w:t>
      </w:r>
      <w:r w:rsidR="00F36C1A" w:rsidRPr="00287644">
        <w:rPr>
          <w:rFonts w:ascii="Arial" w:hAnsi="Arial" w:cs="Arial"/>
          <w:color w:val="222222"/>
          <w:sz w:val="20"/>
          <w:lang w:val="bg-BG" w:eastAsia="bg-BG"/>
        </w:rPr>
        <w:t xml:space="preserve"> се </w:t>
      </w:r>
      <w:r w:rsidRPr="00287644">
        <w:rPr>
          <w:rFonts w:ascii="Arial" w:hAnsi="Arial" w:cs="Arial"/>
          <w:color w:val="222222"/>
          <w:sz w:val="20"/>
          <w:lang w:val="bg-BG" w:eastAsia="bg-BG"/>
        </w:rPr>
        <w:t xml:space="preserve">борят за </w:t>
      </w:r>
      <w:r w:rsidR="00F36C1A" w:rsidRPr="00287644">
        <w:rPr>
          <w:rFonts w:ascii="Arial" w:hAnsi="Arial" w:cs="Arial"/>
          <w:color w:val="222222"/>
          <w:sz w:val="20"/>
          <w:lang w:val="bg-BG" w:eastAsia="bg-BG"/>
        </w:rPr>
        <w:t xml:space="preserve">един </w:t>
      </w:r>
      <w:r w:rsidR="002A1D98" w:rsidRPr="00287644">
        <w:rPr>
          <w:rFonts w:ascii="Arial" w:hAnsi="Arial" w:cs="Arial"/>
          <w:color w:val="222222"/>
          <w:sz w:val="20"/>
          <w:lang w:val="bg-BG" w:eastAsia="bg-BG"/>
        </w:rPr>
        <w:t>по-</w:t>
      </w:r>
      <w:r w:rsidRPr="00287644">
        <w:rPr>
          <w:rFonts w:ascii="Arial" w:hAnsi="Arial" w:cs="Arial"/>
          <w:color w:val="222222"/>
          <w:sz w:val="20"/>
          <w:lang w:val="bg-BG" w:eastAsia="bg-BG"/>
        </w:rPr>
        <w:t xml:space="preserve">силен бюджет. </w:t>
      </w:r>
      <w:r w:rsidR="00250200" w:rsidRPr="00287644">
        <w:rPr>
          <w:rFonts w:ascii="Arial" w:hAnsi="Arial" w:cs="Arial"/>
          <w:color w:val="222222"/>
          <w:sz w:val="20"/>
          <w:lang w:val="bg-BG" w:eastAsia="bg-BG"/>
        </w:rPr>
        <w:t>Н</w:t>
      </w:r>
      <w:r w:rsidRPr="00287644">
        <w:rPr>
          <w:rFonts w:ascii="Arial" w:hAnsi="Arial" w:cs="Arial"/>
          <w:color w:val="222222"/>
          <w:sz w:val="20"/>
          <w:lang w:val="bg-BG" w:eastAsia="bg-BG"/>
        </w:rPr>
        <w:t>е можем да искаме</w:t>
      </w:r>
      <w:r w:rsidR="00250200" w:rsidRPr="00287644">
        <w:rPr>
          <w:rFonts w:ascii="Arial" w:hAnsi="Arial" w:cs="Arial"/>
          <w:color w:val="222222"/>
          <w:sz w:val="20"/>
          <w:lang w:val="bg-BG" w:eastAsia="bg-BG"/>
        </w:rPr>
        <w:t xml:space="preserve"> от</w:t>
      </w:r>
      <w:r w:rsidRPr="00287644">
        <w:rPr>
          <w:rFonts w:ascii="Arial" w:hAnsi="Arial" w:cs="Arial"/>
          <w:color w:val="222222"/>
          <w:sz w:val="20"/>
          <w:lang w:val="bg-BG" w:eastAsia="bg-BG"/>
        </w:rPr>
        <w:t xml:space="preserve"> фермерите да правят повече за по-малко пари. </w:t>
      </w:r>
      <w:r w:rsidR="00861717" w:rsidRPr="00287644">
        <w:rPr>
          <w:rFonts w:ascii="Arial" w:hAnsi="Arial" w:cs="Arial"/>
          <w:color w:val="222222"/>
          <w:sz w:val="20"/>
          <w:lang w:val="bg-BG" w:eastAsia="bg-BG"/>
        </w:rPr>
        <w:t>България продължава</w:t>
      </w:r>
      <w:r w:rsidRPr="00287644">
        <w:rPr>
          <w:rFonts w:ascii="Arial" w:hAnsi="Arial" w:cs="Arial"/>
          <w:color w:val="222222"/>
          <w:sz w:val="20"/>
          <w:lang w:val="bg-BG" w:eastAsia="bg-BG"/>
        </w:rPr>
        <w:t xml:space="preserve"> да защитава позицията с</w:t>
      </w:r>
      <w:r w:rsidR="00F36C1A" w:rsidRPr="00287644">
        <w:rPr>
          <w:rFonts w:ascii="Arial" w:hAnsi="Arial" w:cs="Arial"/>
          <w:color w:val="222222"/>
          <w:sz w:val="20"/>
          <w:lang w:val="bg-BG" w:eastAsia="bg-BG"/>
        </w:rPr>
        <w:t xml:space="preserve">и за повишаване на размера на </w:t>
      </w:r>
      <w:r w:rsidR="00250200" w:rsidRPr="00287644">
        <w:rPr>
          <w:rFonts w:ascii="Arial" w:hAnsi="Arial" w:cs="Arial"/>
          <w:color w:val="222222"/>
          <w:sz w:val="20"/>
          <w:lang w:val="bg-BG" w:eastAsia="bg-BG"/>
        </w:rPr>
        <w:t>максималното</w:t>
      </w:r>
      <w:r w:rsidRPr="00287644">
        <w:rPr>
          <w:rFonts w:ascii="Arial" w:hAnsi="Arial" w:cs="Arial"/>
          <w:color w:val="222222"/>
          <w:sz w:val="20"/>
          <w:lang w:val="bg-BG" w:eastAsia="bg-BG"/>
        </w:rPr>
        <w:t xml:space="preserve"> финансиране за схемите за обвързаната подкрепа в новата Обща селскостопанска политика</w:t>
      </w:r>
      <w:r w:rsidR="00250200" w:rsidRPr="00287644">
        <w:rPr>
          <w:rFonts w:ascii="Arial" w:hAnsi="Arial" w:cs="Arial"/>
          <w:color w:val="222222"/>
          <w:sz w:val="20"/>
          <w:lang w:val="bg-BG" w:eastAsia="bg-BG"/>
        </w:rPr>
        <w:t>, като</w:t>
      </w:r>
      <w:r w:rsidRPr="00287644">
        <w:rPr>
          <w:rFonts w:ascii="Arial" w:hAnsi="Arial" w:cs="Arial"/>
          <w:color w:val="222222"/>
          <w:sz w:val="20"/>
          <w:lang w:val="bg-BG" w:eastAsia="bg-BG"/>
        </w:rPr>
        <w:t xml:space="preserve"> подчерта</w:t>
      </w:r>
      <w:r w:rsidR="00250200" w:rsidRPr="00287644">
        <w:rPr>
          <w:rFonts w:ascii="Arial" w:hAnsi="Arial" w:cs="Arial"/>
          <w:color w:val="222222"/>
          <w:sz w:val="20"/>
          <w:lang w:val="bg-BG" w:eastAsia="bg-BG"/>
        </w:rPr>
        <w:t xml:space="preserve"> нейното </w:t>
      </w:r>
      <w:r w:rsidRPr="00287644">
        <w:rPr>
          <w:rFonts w:ascii="Arial" w:hAnsi="Arial" w:cs="Arial"/>
          <w:color w:val="222222"/>
          <w:sz w:val="20"/>
          <w:lang w:val="bg-BG" w:eastAsia="bg-BG"/>
        </w:rPr>
        <w:t xml:space="preserve">значението за поддържане на конкурентоспособността на чувствителните сектори. </w:t>
      </w:r>
      <w:r w:rsidR="00250200" w:rsidRPr="00287644">
        <w:rPr>
          <w:rFonts w:ascii="Arial" w:hAnsi="Arial" w:cs="Arial"/>
          <w:color w:val="222222"/>
          <w:sz w:val="20"/>
          <w:lang w:val="bg-BG" w:eastAsia="bg-BG"/>
        </w:rPr>
        <w:t>Други делегации</w:t>
      </w:r>
      <w:r w:rsidRPr="00287644">
        <w:rPr>
          <w:rFonts w:ascii="Arial" w:hAnsi="Arial" w:cs="Arial"/>
          <w:color w:val="222222"/>
          <w:sz w:val="20"/>
          <w:lang w:val="bg-BG" w:eastAsia="bg-BG"/>
        </w:rPr>
        <w:t xml:space="preserve"> призоваха за </w:t>
      </w:r>
      <w:r w:rsidR="00250200" w:rsidRPr="00287644">
        <w:rPr>
          <w:rFonts w:ascii="Arial" w:hAnsi="Arial" w:cs="Arial"/>
          <w:color w:val="222222"/>
          <w:sz w:val="20"/>
          <w:lang w:val="bg-BG" w:eastAsia="bg-BG"/>
        </w:rPr>
        <w:t xml:space="preserve">повече </w:t>
      </w:r>
      <w:r w:rsidRPr="00287644">
        <w:rPr>
          <w:rFonts w:ascii="Arial" w:hAnsi="Arial" w:cs="Arial"/>
          <w:color w:val="222222"/>
          <w:sz w:val="20"/>
          <w:lang w:val="bg-BG" w:eastAsia="bg-BG"/>
        </w:rPr>
        <w:t xml:space="preserve">предпазливост </w:t>
      </w:r>
      <w:r w:rsidR="00250200" w:rsidRPr="00287644">
        <w:rPr>
          <w:rFonts w:ascii="Arial" w:hAnsi="Arial" w:cs="Arial"/>
          <w:color w:val="222222"/>
          <w:sz w:val="20"/>
          <w:lang w:val="bg-BG" w:eastAsia="bg-BG"/>
        </w:rPr>
        <w:t>относно</w:t>
      </w:r>
      <w:r w:rsidRPr="00287644">
        <w:rPr>
          <w:rFonts w:ascii="Arial" w:hAnsi="Arial" w:cs="Arial"/>
          <w:color w:val="222222"/>
          <w:sz w:val="20"/>
          <w:lang w:val="bg-BG" w:eastAsia="bg-BG"/>
        </w:rPr>
        <w:t xml:space="preserve"> нивата на обвързана </w:t>
      </w:r>
      <w:r w:rsidR="00250200" w:rsidRPr="00287644">
        <w:rPr>
          <w:rFonts w:ascii="Arial" w:hAnsi="Arial" w:cs="Arial"/>
          <w:color w:val="222222"/>
          <w:sz w:val="20"/>
          <w:lang w:val="bg-BG" w:eastAsia="bg-BG"/>
        </w:rPr>
        <w:t>подкрепа</w:t>
      </w:r>
      <w:r w:rsidRPr="00287644">
        <w:rPr>
          <w:rFonts w:ascii="Arial" w:hAnsi="Arial" w:cs="Arial"/>
          <w:color w:val="222222"/>
          <w:sz w:val="20"/>
          <w:lang w:val="bg-BG" w:eastAsia="bg-BG"/>
        </w:rPr>
        <w:t>, като заявиха, че тя може да бъде отпусната само ако „производството не се у</w:t>
      </w:r>
      <w:r w:rsidR="00250200" w:rsidRPr="00287644">
        <w:rPr>
          <w:rFonts w:ascii="Arial" w:hAnsi="Arial" w:cs="Arial"/>
          <w:color w:val="222222"/>
          <w:sz w:val="20"/>
          <w:lang w:val="bg-BG" w:eastAsia="bg-BG"/>
        </w:rPr>
        <w:t>величава. Имаше изказвания</w:t>
      </w:r>
      <w:r w:rsidRPr="00287644">
        <w:rPr>
          <w:rFonts w:ascii="Arial" w:hAnsi="Arial" w:cs="Arial"/>
          <w:color w:val="222222"/>
          <w:sz w:val="20"/>
          <w:lang w:val="bg-BG" w:eastAsia="bg-BG"/>
        </w:rPr>
        <w:t>, че обвързаната подкрепа не трябва да води до нарушаване на конкуренцията.</w:t>
      </w:r>
    </w:p>
    <w:p w:rsidR="00287644" w:rsidRPr="00287644" w:rsidRDefault="00287644">
      <w:pPr>
        <w:spacing w:after="160" w:line="259" w:lineRule="auto"/>
        <w:rPr>
          <w:rFonts w:ascii="Arial" w:hAnsi="Arial" w:cs="Arial"/>
          <w:color w:val="222222"/>
          <w:sz w:val="20"/>
          <w:lang w:val="bg-BG" w:eastAsia="bg-BG"/>
        </w:rPr>
      </w:pPr>
      <w:r w:rsidRPr="00287644">
        <w:rPr>
          <w:rFonts w:ascii="Arial" w:hAnsi="Arial" w:cs="Arial"/>
          <w:color w:val="222222"/>
          <w:sz w:val="20"/>
          <w:lang w:val="bg-BG" w:eastAsia="bg-BG"/>
        </w:rPr>
        <w:br w:type="page"/>
      </w:r>
    </w:p>
    <w:p w:rsidR="00A678AC" w:rsidRPr="00287644" w:rsidRDefault="00A678AC" w:rsidP="0028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color w:val="222222"/>
          <w:sz w:val="20"/>
          <w:lang w:val="bg-BG" w:eastAsia="bg-BG"/>
        </w:rPr>
      </w:pPr>
      <w:r w:rsidRPr="00287644">
        <w:rPr>
          <w:rFonts w:ascii="Arial" w:hAnsi="Arial" w:cs="Arial"/>
          <w:b/>
          <w:i/>
          <w:color w:val="222222"/>
          <w:sz w:val="20"/>
          <w:lang w:val="bg-BG" w:eastAsia="bg-BG"/>
        </w:rPr>
        <w:lastRenderedPageBreak/>
        <w:t>Приложение</w:t>
      </w:r>
      <w:r w:rsidR="00EA0ED8" w:rsidRPr="00287644">
        <w:rPr>
          <w:rFonts w:ascii="Arial" w:hAnsi="Arial" w:cs="Arial"/>
          <w:b/>
          <w:i/>
          <w:color w:val="222222"/>
          <w:sz w:val="20"/>
          <w:lang w:val="bg-BG" w:eastAsia="bg-BG"/>
        </w:rPr>
        <w:t xml:space="preserve"> </w:t>
      </w:r>
      <w:r w:rsidRPr="00287644">
        <w:rPr>
          <w:rFonts w:ascii="Arial" w:hAnsi="Arial" w:cs="Arial"/>
          <w:b/>
          <w:i/>
          <w:color w:val="222222"/>
          <w:sz w:val="20"/>
          <w:lang w:val="bg-BG" w:eastAsia="bg-BG"/>
        </w:rPr>
        <w:t>2</w:t>
      </w:r>
    </w:p>
    <w:p w:rsidR="00C2582E" w:rsidRPr="00287644" w:rsidRDefault="00FA1453" w:rsidP="00FA1453">
      <w:pPr>
        <w:tabs>
          <w:tab w:val="left" w:pos="4182"/>
        </w:tabs>
        <w:rPr>
          <w:rFonts w:ascii="Arial" w:hAnsi="Arial" w:cs="Arial"/>
          <w:b/>
          <w:color w:val="1E1E1E"/>
          <w:sz w:val="20"/>
          <w:shd w:val="clear" w:color="auto" w:fill="FFFFFF"/>
          <w:lang w:val="bg-BG"/>
        </w:rPr>
      </w:pPr>
      <w:r w:rsidRPr="00287644">
        <w:rPr>
          <w:rFonts w:ascii="Arial" w:hAnsi="Arial" w:cs="Arial"/>
          <w:b/>
          <w:color w:val="1E1E1E"/>
          <w:sz w:val="20"/>
          <w:shd w:val="clear" w:color="auto" w:fill="FFFFFF"/>
          <w:lang w:val="bg-BG"/>
        </w:rPr>
        <w:tab/>
      </w:r>
    </w:p>
    <w:p w:rsidR="00A678AC" w:rsidRPr="00287644" w:rsidRDefault="008F2241" w:rsidP="000E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22222"/>
          <w:sz w:val="20"/>
          <w:lang w:val="bg-BG" w:eastAsia="bg-BG"/>
        </w:rPr>
      </w:pPr>
      <w:r w:rsidRPr="00287644">
        <w:rPr>
          <w:rFonts w:ascii="Arial" w:hAnsi="Arial" w:cs="Arial"/>
          <w:b/>
          <w:color w:val="1E1E1E"/>
          <w:sz w:val="20"/>
          <w:shd w:val="clear" w:color="auto" w:fill="FFFFFF"/>
          <w:lang w:val="bg-BG"/>
        </w:rPr>
        <w:t xml:space="preserve">Дискусия </w:t>
      </w:r>
      <w:r w:rsidRPr="00287644">
        <w:rPr>
          <w:rFonts w:ascii="Arial" w:hAnsi="Arial" w:cs="Arial"/>
          <w:b/>
          <w:sz w:val="20"/>
          <w:lang w:val="bg-BG"/>
        </w:rPr>
        <w:t>относно многогодишната финансова рамка (МФР) 2021-2027 г.</w:t>
      </w:r>
      <w:r w:rsidR="00C2582E" w:rsidRPr="00287644">
        <w:rPr>
          <w:rFonts w:ascii="Arial" w:hAnsi="Arial" w:cs="Arial"/>
          <w:b/>
          <w:sz w:val="20"/>
          <w:lang w:val="bg-BG"/>
        </w:rPr>
        <w:t xml:space="preserve"> </w:t>
      </w:r>
      <w:r w:rsidR="00CC6A88" w:rsidRPr="00287644">
        <w:rPr>
          <w:rFonts w:ascii="Arial" w:hAnsi="Arial" w:cs="Arial"/>
          <w:b/>
          <w:sz w:val="20"/>
          <w:lang w:val="bg-BG"/>
        </w:rPr>
        <w:t>и други</w:t>
      </w:r>
      <w:r w:rsidR="00C2582E" w:rsidRPr="00287644">
        <w:rPr>
          <w:rFonts w:ascii="Arial" w:hAnsi="Arial" w:cs="Arial"/>
          <w:b/>
          <w:sz w:val="20"/>
          <w:lang w:val="bg-BG"/>
        </w:rPr>
        <w:t xml:space="preserve"> въпроси по време на  заседанието на Европейския съвет на 12 декември в Брюксел</w:t>
      </w:r>
    </w:p>
    <w:p w:rsidR="00C2582E" w:rsidRPr="00287644" w:rsidRDefault="00C2582E" w:rsidP="000E1709">
      <w:pPr>
        <w:jc w:val="center"/>
        <w:rPr>
          <w:rFonts w:ascii="Arial" w:hAnsi="Arial" w:cs="Arial"/>
          <w:sz w:val="20"/>
          <w:lang w:val="bg-BG"/>
        </w:rPr>
      </w:pPr>
    </w:p>
    <w:p w:rsidR="00C2582E" w:rsidRPr="00287644" w:rsidRDefault="008F2241" w:rsidP="00840944">
      <w:pPr>
        <w:spacing w:after="120"/>
        <w:jc w:val="both"/>
        <w:rPr>
          <w:rFonts w:ascii="Arial" w:hAnsi="Arial" w:cs="Arial"/>
          <w:sz w:val="20"/>
          <w:lang w:val="bg-BG"/>
        </w:rPr>
      </w:pPr>
      <w:r w:rsidRPr="00287644">
        <w:rPr>
          <w:rFonts w:ascii="Arial" w:hAnsi="Arial" w:cs="Arial"/>
          <w:sz w:val="20"/>
          <w:lang w:val="bg-BG"/>
        </w:rPr>
        <w:t xml:space="preserve">На заседанието белгийският премиер Софи </w:t>
      </w:r>
      <w:proofErr w:type="spellStart"/>
      <w:r w:rsidRPr="00287644">
        <w:rPr>
          <w:rFonts w:ascii="Arial" w:hAnsi="Arial" w:cs="Arial"/>
          <w:sz w:val="20"/>
          <w:lang w:val="bg-BG"/>
        </w:rPr>
        <w:t>Уилмес</w:t>
      </w:r>
      <w:proofErr w:type="spellEnd"/>
      <w:r w:rsidRPr="00287644">
        <w:rPr>
          <w:rFonts w:ascii="Arial" w:hAnsi="Arial" w:cs="Arial"/>
          <w:sz w:val="20"/>
          <w:lang w:val="bg-BG"/>
        </w:rPr>
        <w:t xml:space="preserve"> заяви, че през февруари трябва да се проведе извънредна среща на върха. Освен  това лидерите изказаха критики по отношение на финландската „преговорна кутия“. Испанският премиер Педро Санчес подкрепи предложението на ЕК за 1.114% от брутния национален доход (БНД) на ЕС , в сравнение с 1,07%  във финландското предложение. Мадрид иска да запази традиционните политики като Общата селскостопанска политика (ОСП) и политиката на сближаване. За словашкия министър-председател Петер </w:t>
      </w:r>
      <w:proofErr w:type="spellStart"/>
      <w:r w:rsidRPr="00287644">
        <w:rPr>
          <w:rFonts w:ascii="Arial" w:hAnsi="Arial" w:cs="Arial"/>
          <w:sz w:val="20"/>
          <w:lang w:val="bg-BG"/>
        </w:rPr>
        <w:t>Пелегрини</w:t>
      </w:r>
      <w:proofErr w:type="spellEnd"/>
      <w:r w:rsidRPr="00287644">
        <w:rPr>
          <w:rFonts w:ascii="Arial" w:hAnsi="Arial" w:cs="Arial"/>
          <w:sz w:val="20"/>
          <w:lang w:val="bg-BG"/>
        </w:rPr>
        <w:t xml:space="preserve"> финландският документ игнорира позицията на „</w:t>
      </w:r>
      <w:proofErr w:type="spellStart"/>
      <w:r w:rsidRPr="00287644">
        <w:rPr>
          <w:rFonts w:ascii="Arial" w:hAnsi="Arial" w:cs="Arial"/>
          <w:sz w:val="20"/>
          <w:lang w:val="bg-BG"/>
        </w:rPr>
        <w:t>кохезионните</w:t>
      </w:r>
      <w:proofErr w:type="spellEnd"/>
      <w:r w:rsidRPr="00287644">
        <w:rPr>
          <w:rFonts w:ascii="Arial" w:hAnsi="Arial" w:cs="Arial"/>
          <w:sz w:val="20"/>
          <w:lang w:val="bg-BG"/>
        </w:rPr>
        <w:t xml:space="preserve"> ДЧ“. Френският президент </w:t>
      </w:r>
      <w:proofErr w:type="spellStart"/>
      <w:r w:rsidRPr="00287644">
        <w:rPr>
          <w:rFonts w:ascii="Arial" w:hAnsi="Arial" w:cs="Arial"/>
          <w:sz w:val="20"/>
          <w:lang w:val="bg-BG"/>
        </w:rPr>
        <w:t>Еманюел</w:t>
      </w:r>
      <w:proofErr w:type="spellEnd"/>
      <w:r w:rsidRPr="00287644">
        <w:rPr>
          <w:rFonts w:ascii="Arial" w:hAnsi="Arial" w:cs="Arial"/>
          <w:sz w:val="20"/>
          <w:lang w:val="bg-BG"/>
        </w:rPr>
        <w:t xml:space="preserve"> </w:t>
      </w:r>
      <w:proofErr w:type="spellStart"/>
      <w:r w:rsidRPr="00287644">
        <w:rPr>
          <w:rFonts w:ascii="Arial" w:hAnsi="Arial" w:cs="Arial"/>
          <w:sz w:val="20"/>
          <w:lang w:val="bg-BG"/>
        </w:rPr>
        <w:t>Макрон</w:t>
      </w:r>
      <w:proofErr w:type="spellEnd"/>
      <w:r w:rsidRPr="00287644">
        <w:rPr>
          <w:rFonts w:ascii="Arial" w:hAnsi="Arial" w:cs="Arial"/>
          <w:sz w:val="20"/>
          <w:lang w:val="bg-BG"/>
        </w:rPr>
        <w:t xml:space="preserve"> счита за важно запазването на ОСП, сближаването и финансирането на бъдещите политики. От друга страна, шведският премиер Стефан </w:t>
      </w:r>
      <w:proofErr w:type="spellStart"/>
      <w:r w:rsidRPr="00287644">
        <w:rPr>
          <w:rFonts w:ascii="Arial" w:hAnsi="Arial" w:cs="Arial"/>
          <w:sz w:val="20"/>
          <w:lang w:val="bg-BG"/>
        </w:rPr>
        <w:t>Льовен</w:t>
      </w:r>
      <w:proofErr w:type="spellEnd"/>
      <w:r w:rsidRPr="00287644">
        <w:rPr>
          <w:rFonts w:ascii="Arial" w:hAnsi="Arial" w:cs="Arial"/>
          <w:sz w:val="20"/>
          <w:lang w:val="bg-BG"/>
        </w:rPr>
        <w:t xml:space="preserve"> се  застъпи за сума, която не надвишава 1,00%. </w:t>
      </w:r>
    </w:p>
    <w:p w:rsidR="008F2241" w:rsidRPr="00287644" w:rsidRDefault="008F2241" w:rsidP="00840944">
      <w:pPr>
        <w:spacing w:after="120"/>
        <w:jc w:val="both"/>
        <w:rPr>
          <w:rFonts w:ascii="Arial" w:hAnsi="Arial" w:cs="Arial"/>
          <w:sz w:val="20"/>
          <w:lang w:val="bg-BG"/>
        </w:rPr>
      </w:pPr>
      <w:r w:rsidRPr="00287644">
        <w:rPr>
          <w:rFonts w:ascii="Arial" w:hAnsi="Arial" w:cs="Arial"/>
          <w:sz w:val="20"/>
          <w:lang w:val="bg-BG"/>
        </w:rPr>
        <w:t xml:space="preserve">На същото заседание Европейския съвет  прие </w:t>
      </w:r>
      <w:r w:rsidR="00FE77AD" w:rsidRPr="00287644">
        <w:rPr>
          <w:rFonts w:ascii="Arial" w:hAnsi="Arial" w:cs="Arial"/>
          <w:sz w:val="20"/>
          <w:lang w:val="bg-BG"/>
        </w:rPr>
        <w:t>з</w:t>
      </w:r>
      <w:r w:rsidRPr="00287644">
        <w:rPr>
          <w:rFonts w:ascii="Arial" w:hAnsi="Arial" w:cs="Arial"/>
          <w:sz w:val="20"/>
          <w:lang w:val="bg-BG"/>
        </w:rPr>
        <w:t xml:space="preserve">аключения, в които на първо място се засяга въпроса за </w:t>
      </w:r>
      <w:r w:rsidRPr="00287644">
        <w:rPr>
          <w:rFonts w:ascii="Arial" w:hAnsi="Arial" w:cs="Arial"/>
          <w:bCs/>
          <w:sz w:val="20"/>
          <w:lang w:val="bg-BG"/>
        </w:rPr>
        <w:t xml:space="preserve"> изменението на климата и се подчертава, че се под</w:t>
      </w:r>
      <w:r w:rsidRPr="00287644">
        <w:rPr>
          <w:rFonts w:ascii="Arial" w:hAnsi="Arial" w:cs="Arial"/>
          <w:sz w:val="20"/>
          <w:lang w:val="bg-BG"/>
        </w:rPr>
        <w:t xml:space="preserve">крепя целта за постигане на </w:t>
      </w:r>
      <w:r w:rsidR="00FE77AD" w:rsidRPr="00287644">
        <w:rPr>
          <w:rFonts w:ascii="Arial" w:hAnsi="Arial" w:cs="Arial"/>
          <w:sz w:val="20"/>
          <w:lang w:val="bg-BG"/>
        </w:rPr>
        <w:t xml:space="preserve">въглероден </w:t>
      </w:r>
      <w:r w:rsidRPr="00287644">
        <w:rPr>
          <w:rFonts w:ascii="Arial" w:hAnsi="Arial" w:cs="Arial"/>
          <w:sz w:val="20"/>
          <w:lang w:val="bg-BG"/>
        </w:rPr>
        <w:t>неутрал</w:t>
      </w:r>
      <w:r w:rsidR="00FE77AD" w:rsidRPr="00287644">
        <w:rPr>
          <w:rFonts w:ascii="Arial" w:hAnsi="Arial" w:cs="Arial"/>
          <w:sz w:val="20"/>
          <w:lang w:val="bg-BG"/>
        </w:rPr>
        <w:t>итет</w:t>
      </w:r>
      <w:r w:rsidRPr="00287644">
        <w:rPr>
          <w:rFonts w:ascii="Arial" w:hAnsi="Arial" w:cs="Arial"/>
          <w:sz w:val="20"/>
          <w:lang w:val="bg-BG"/>
        </w:rPr>
        <w:t xml:space="preserve"> </w:t>
      </w:r>
      <w:r w:rsidR="00FE77AD" w:rsidRPr="00287644">
        <w:rPr>
          <w:rFonts w:ascii="Arial" w:hAnsi="Arial" w:cs="Arial"/>
          <w:sz w:val="20"/>
          <w:lang w:val="bg-BG"/>
        </w:rPr>
        <w:t>в</w:t>
      </w:r>
      <w:r w:rsidRPr="00287644">
        <w:rPr>
          <w:rFonts w:ascii="Arial" w:hAnsi="Arial" w:cs="Arial"/>
          <w:sz w:val="20"/>
          <w:lang w:val="bg-BG"/>
        </w:rPr>
        <w:t xml:space="preserve"> ЕС до 2050 г.</w:t>
      </w:r>
      <w:r w:rsidR="00960080" w:rsidRPr="00287644">
        <w:rPr>
          <w:rFonts w:ascii="Arial" w:hAnsi="Arial" w:cs="Arial"/>
          <w:sz w:val="20"/>
          <w:lang w:val="bg-BG"/>
        </w:rPr>
        <w:t>,</w:t>
      </w:r>
      <w:r w:rsidRPr="00287644">
        <w:rPr>
          <w:rFonts w:ascii="Arial" w:hAnsi="Arial" w:cs="Arial"/>
          <w:sz w:val="20"/>
          <w:lang w:val="bg-BG"/>
        </w:rPr>
        <w:t xml:space="preserve"> в съответствие с целите на Парижкото споразумение</w:t>
      </w:r>
      <w:r w:rsidR="00960080" w:rsidRPr="00287644">
        <w:rPr>
          <w:rFonts w:ascii="Arial" w:hAnsi="Arial" w:cs="Arial"/>
          <w:sz w:val="20"/>
          <w:lang w:val="bg-BG"/>
        </w:rPr>
        <w:t>. Т</w:t>
      </w:r>
      <w:r w:rsidRPr="00287644">
        <w:rPr>
          <w:rFonts w:ascii="Arial" w:hAnsi="Arial" w:cs="Arial"/>
          <w:sz w:val="20"/>
          <w:lang w:val="bg-BG"/>
        </w:rPr>
        <w:t xml:space="preserve">ози въпрос ще се разгледа отново през юни 2020 г. Преходът към </w:t>
      </w:r>
      <w:r w:rsidR="00960080" w:rsidRPr="00287644">
        <w:rPr>
          <w:rFonts w:ascii="Arial" w:hAnsi="Arial" w:cs="Arial"/>
          <w:sz w:val="20"/>
          <w:lang w:val="bg-BG"/>
        </w:rPr>
        <w:t>въглероден неутралитет</w:t>
      </w:r>
      <w:r w:rsidRPr="00287644">
        <w:rPr>
          <w:rFonts w:ascii="Arial" w:hAnsi="Arial" w:cs="Arial"/>
          <w:sz w:val="20"/>
          <w:lang w:val="bg-BG"/>
        </w:rPr>
        <w:t xml:space="preserve"> ще донесе значителни възможности, като потенциал за икономически растеж, за нови бизнес модели и пазари, за нови работни места и технологично развитие. Ключова роля в това отношение ще играят насочените към бъдещето политики в областта на научните изследвания, развойната дейност и иновациите. Европейският съвет взема под внимание съобщението на ЕК относно Европейск</w:t>
      </w:r>
      <w:r w:rsidR="00960080" w:rsidRPr="00287644">
        <w:rPr>
          <w:rFonts w:ascii="Arial" w:hAnsi="Arial" w:cs="Arial"/>
          <w:sz w:val="20"/>
          <w:lang w:val="bg-BG"/>
        </w:rPr>
        <w:t>ата зелена сделка</w:t>
      </w:r>
      <w:r w:rsidRPr="00287644">
        <w:rPr>
          <w:rFonts w:ascii="Arial" w:hAnsi="Arial" w:cs="Arial"/>
          <w:sz w:val="20"/>
          <w:lang w:val="bg-BG"/>
        </w:rPr>
        <w:t>. Преходът ще изисква значителни публични и частни инвестиции. В този контекст се приветства и подкрепя съобщението на Европейската инвестиционна банка (ЕИБ)</w:t>
      </w:r>
      <w:r w:rsidR="00C2582E" w:rsidRPr="00287644">
        <w:rPr>
          <w:rFonts w:ascii="Arial" w:hAnsi="Arial" w:cs="Arial"/>
          <w:sz w:val="20"/>
          <w:lang w:val="bg-BG"/>
        </w:rPr>
        <w:t xml:space="preserve">, че в периода от 2021 г. </w:t>
      </w:r>
      <w:r w:rsidRPr="00287644">
        <w:rPr>
          <w:rFonts w:ascii="Arial" w:hAnsi="Arial" w:cs="Arial"/>
          <w:sz w:val="20"/>
          <w:lang w:val="bg-BG"/>
        </w:rPr>
        <w:t>до 2030 г. възнамерява да подкрепи инвестиции в размер на 1 трилион евро за действия в областта на климата и за екологична устойчивост. Изтъква се, че следващата МФР ще допринесе значително за действията в областта на климата. Всички имащи отношение законодателни актове и политики на ЕС трябва да отговарят на целта за неутрал</w:t>
      </w:r>
      <w:r w:rsidR="00045ACC" w:rsidRPr="00287644">
        <w:rPr>
          <w:rFonts w:ascii="Arial" w:hAnsi="Arial" w:cs="Arial"/>
          <w:sz w:val="20"/>
          <w:lang w:val="bg-BG"/>
        </w:rPr>
        <w:t>итет</w:t>
      </w:r>
      <w:r w:rsidRPr="00287644">
        <w:rPr>
          <w:rFonts w:ascii="Arial" w:hAnsi="Arial" w:cs="Arial"/>
          <w:sz w:val="20"/>
          <w:lang w:val="bg-BG"/>
        </w:rPr>
        <w:t xml:space="preserve"> по отношение на климата и да допринасят за нейното постигане, като същевременно се спазват условия</w:t>
      </w:r>
      <w:r w:rsidR="00045ACC" w:rsidRPr="00287644">
        <w:rPr>
          <w:rFonts w:ascii="Arial" w:hAnsi="Arial" w:cs="Arial"/>
          <w:sz w:val="20"/>
          <w:lang w:val="bg-BG"/>
        </w:rPr>
        <w:t>та</w:t>
      </w:r>
      <w:r w:rsidRPr="00287644">
        <w:rPr>
          <w:rFonts w:ascii="Arial" w:hAnsi="Arial" w:cs="Arial"/>
          <w:sz w:val="20"/>
          <w:lang w:val="bg-BG"/>
        </w:rPr>
        <w:t xml:space="preserve"> на </w:t>
      </w:r>
      <w:proofErr w:type="spellStart"/>
      <w:r w:rsidRPr="00287644">
        <w:rPr>
          <w:rFonts w:ascii="Arial" w:hAnsi="Arial" w:cs="Arial"/>
          <w:sz w:val="20"/>
          <w:lang w:val="bg-BG"/>
        </w:rPr>
        <w:t>равнопоставеност</w:t>
      </w:r>
      <w:proofErr w:type="spellEnd"/>
      <w:r w:rsidRPr="00287644">
        <w:rPr>
          <w:rFonts w:ascii="Arial" w:hAnsi="Arial" w:cs="Arial"/>
          <w:sz w:val="20"/>
          <w:lang w:val="bg-BG"/>
        </w:rPr>
        <w:t xml:space="preserve">. Европейският съвет отчита, че е необходимо да се гарантира енергийната сигурност и да се зачита правото на </w:t>
      </w:r>
      <w:r w:rsidR="00045ACC" w:rsidRPr="00287644">
        <w:rPr>
          <w:rFonts w:ascii="Arial" w:hAnsi="Arial" w:cs="Arial"/>
          <w:sz w:val="20"/>
          <w:lang w:val="bg-BG"/>
        </w:rPr>
        <w:t>държавите-членки</w:t>
      </w:r>
      <w:r w:rsidRPr="00287644">
        <w:rPr>
          <w:rFonts w:ascii="Arial" w:hAnsi="Arial" w:cs="Arial"/>
          <w:sz w:val="20"/>
          <w:lang w:val="bg-BG"/>
        </w:rPr>
        <w:t xml:space="preserve"> да вземат решения относно своя енергиен микс и да избират най-подходящите технологии</w:t>
      </w:r>
      <w:r w:rsidR="00C2582E" w:rsidRPr="00287644">
        <w:rPr>
          <w:rFonts w:ascii="Arial" w:hAnsi="Arial" w:cs="Arial"/>
          <w:sz w:val="20"/>
          <w:lang w:val="bg-BG"/>
        </w:rPr>
        <w:t xml:space="preserve">. </w:t>
      </w:r>
      <w:r w:rsidRPr="00287644">
        <w:rPr>
          <w:rFonts w:ascii="Arial" w:hAnsi="Arial" w:cs="Arial"/>
          <w:sz w:val="20"/>
          <w:lang w:val="bg-BG"/>
        </w:rPr>
        <w:t xml:space="preserve">Целта за </w:t>
      </w:r>
      <w:r w:rsidR="00045ACC" w:rsidRPr="00287644">
        <w:rPr>
          <w:rFonts w:ascii="Arial" w:hAnsi="Arial" w:cs="Arial"/>
          <w:sz w:val="20"/>
          <w:lang w:val="bg-BG"/>
        </w:rPr>
        <w:t>въглероден неутралитет в ЕС</w:t>
      </w:r>
      <w:r w:rsidRPr="00287644">
        <w:rPr>
          <w:rFonts w:ascii="Arial" w:hAnsi="Arial" w:cs="Arial"/>
          <w:sz w:val="20"/>
          <w:lang w:val="bg-BG"/>
        </w:rPr>
        <w:t xml:space="preserve"> трябва да бъде постигната така, че да се запази конкурентоспособността на ЕС. Европейският съвет приканва Комисията да изготви възможно най-скоро през 2020 г. предложение за дългосрочна стратегия на ЕС с оглед на нейното приемане от Съвета и представянето ѝ в рамките на Рамкова</w:t>
      </w:r>
      <w:r w:rsidR="00045ACC" w:rsidRPr="00287644">
        <w:rPr>
          <w:rFonts w:ascii="Arial" w:hAnsi="Arial" w:cs="Arial"/>
          <w:sz w:val="20"/>
          <w:lang w:val="bg-BG"/>
        </w:rPr>
        <w:t>та</w:t>
      </w:r>
      <w:r w:rsidRPr="00287644">
        <w:rPr>
          <w:rFonts w:ascii="Arial" w:hAnsi="Arial" w:cs="Arial"/>
          <w:sz w:val="20"/>
          <w:lang w:val="bg-BG"/>
        </w:rPr>
        <w:t xml:space="preserve"> конвенция на ООН за изменението на климата. </w:t>
      </w:r>
    </w:p>
    <w:p w:rsidR="008F2241" w:rsidRPr="00287644" w:rsidRDefault="008F2241" w:rsidP="00840944">
      <w:pPr>
        <w:spacing w:after="120"/>
        <w:jc w:val="both"/>
        <w:rPr>
          <w:rFonts w:ascii="Arial" w:hAnsi="Arial" w:cs="Arial"/>
          <w:sz w:val="20"/>
          <w:lang w:val="bg-BG"/>
        </w:rPr>
      </w:pPr>
      <w:r w:rsidRPr="00287644">
        <w:rPr>
          <w:rFonts w:ascii="Arial" w:hAnsi="Arial" w:cs="Arial"/>
          <w:sz w:val="20"/>
          <w:lang w:val="bg-BG"/>
        </w:rPr>
        <w:t xml:space="preserve">По отношение на МФР се очаква Европейският съвет да обсъди нейните основните елементи след представянето от финландското председателство на преговорната кутия с цифри </w:t>
      </w:r>
      <w:r w:rsidR="00122980" w:rsidRPr="00287644">
        <w:rPr>
          <w:rFonts w:ascii="Arial" w:hAnsi="Arial" w:cs="Arial"/>
          <w:sz w:val="20"/>
          <w:lang w:val="bg-BG"/>
        </w:rPr>
        <w:t>но изрази воля за придвижване на</w:t>
      </w:r>
      <w:r w:rsidRPr="00287644">
        <w:rPr>
          <w:rFonts w:ascii="Arial" w:hAnsi="Arial" w:cs="Arial"/>
          <w:sz w:val="20"/>
          <w:lang w:val="bg-BG"/>
        </w:rPr>
        <w:t xml:space="preserve"> преговорите </w:t>
      </w:r>
      <w:r w:rsidR="00122980" w:rsidRPr="00287644">
        <w:rPr>
          <w:rFonts w:ascii="Arial" w:hAnsi="Arial" w:cs="Arial"/>
          <w:sz w:val="20"/>
          <w:lang w:val="bg-BG"/>
        </w:rPr>
        <w:t>и</w:t>
      </w:r>
      <w:r w:rsidRPr="00287644">
        <w:rPr>
          <w:rFonts w:ascii="Arial" w:hAnsi="Arial" w:cs="Arial"/>
          <w:sz w:val="20"/>
          <w:lang w:val="bg-BG"/>
        </w:rPr>
        <w:t xml:space="preserve"> постигане на окончателно споразумение. </w:t>
      </w:r>
    </w:p>
    <w:p w:rsidR="0066052D" w:rsidRPr="00287644" w:rsidRDefault="008F2241" w:rsidP="00840944">
      <w:pPr>
        <w:spacing w:after="120"/>
        <w:jc w:val="both"/>
        <w:rPr>
          <w:rFonts w:ascii="Arial" w:hAnsi="Arial" w:cs="Arial"/>
          <w:sz w:val="20"/>
          <w:lang w:val="bg-BG"/>
        </w:rPr>
      </w:pPr>
      <w:r w:rsidRPr="00287644">
        <w:rPr>
          <w:rFonts w:ascii="Arial" w:hAnsi="Arial" w:cs="Arial"/>
          <w:sz w:val="20"/>
          <w:lang w:val="bg-BG"/>
        </w:rPr>
        <w:t xml:space="preserve">В раздела „Други </w:t>
      </w:r>
      <w:r w:rsidR="0066052D" w:rsidRPr="00287644">
        <w:rPr>
          <w:rFonts w:ascii="Arial" w:hAnsi="Arial" w:cs="Arial"/>
          <w:sz w:val="20"/>
          <w:lang w:val="bg-BG"/>
        </w:rPr>
        <w:t>въпроси</w:t>
      </w:r>
      <w:r w:rsidRPr="00287644">
        <w:rPr>
          <w:rFonts w:ascii="Arial" w:hAnsi="Arial" w:cs="Arial"/>
          <w:sz w:val="20"/>
          <w:lang w:val="bg-BG"/>
        </w:rPr>
        <w:t xml:space="preserve">“ Европейският съвет разглежда идеята за конференция за бъдещето на Европа, която да започне през 2020 г. и да приключи през 2022 г. Възлага на хърватското председателство на Съвета да работи за определянето на позицията относно съдържанието, обхвата, състава и функционирането на една такава конференция, която следва да се основава на успешното провеждане през последните две години на граждански диалози и да предвижда широки консултации с гражданите в хода на процеса. В нея </w:t>
      </w:r>
      <w:r w:rsidR="0066052D" w:rsidRPr="00287644">
        <w:rPr>
          <w:rFonts w:ascii="Arial" w:hAnsi="Arial" w:cs="Arial"/>
          <w:sz w:val="20"/>
          <w:lang w:val="bg-BG"/>
        </w:rPr>
        <w:t>ще</w:t>
      </w:r>
      <w:r w:rsidRPr="00287644">
        <w:rPr>
          <w:rFonts w:ascii="Arial" w:hAnsi="Arial" w:cs="Arial"/>
          <w:sz w:val="20"/>
          <w:lang w:val="bg-BG"/>
        </w:rPr>
        <w:t xml:space="preserve"> участват Съветът, Европейският парламент и Комисията при пълно зачитане на </w:t>
      </w:r>
      <w:proofErr w:type="spellStart"/>
      <w:r w:rsidRPr="00287644">
        <w:rPr>
          <w:rFonts w:ascii="Arial" w:hAnsi="Arial" w:cs="Arial"/>
          <w:sz w:val="20"/>
          <w:lang w:val="bg-BG"/>
        </w:rPr>
        <w:t>междуинституционалния</w:t>
      </w:r>
      <w:proofErr w:type="spellEnd"/>
      <w:r w:rsidRPr="00287644">
        <w:rPr>
          <w:rFonts w:ascii="Arial" w:hAnsi="Arial" w:cs="Arial"/>
          <w:sz w:val="20"/>
          <w:lang w:val="bg-BG"/>
        </w:rPr>
        <w:t xml:space="preserve"> баланс и на съответните им роли, както са определени в Договорите.  </w:t>
      </w:r>
    </w:p>
    <w:p w:rsidR="00AA4073" w:rsidRPr="00287644" w:rsidRDefault="008F2241" w:rsidP="00840944">
      <w:pPr>
        <w:spacing w:after="120"/>
        <w:jc w:val="both"/>
        <w:rPr>
          <w:rStyle w:val="longtext"/>
          <w:rFonts w:ascii="Arial" w:hAnsi="Arial" w:cs="Arial"/>
          <w:b/>
          <w:sz w:val="20"/>
          <w:lang w:val="bg-BG"/>
        </w:rPr>
      </w:pPr>
      <w:r w:rsidRPr="00287644">
        <w:rPr>
          <w:rFonts w:ascii="Arial" w:hAnsi="Arial" w:cs="Arial"/>
          <w:sz w:val="20"/>
          <w:lang w:val="bg-BG"/>
        </w:rPr>
        <w:t xml:space="preserve">Европейският съвет призовава ЕК и върховния представител да осигурят необходимата основа за провеждането на стратегически дебат по време на юнското заседание на Европейския съвет за отношенията с Африка и за следващата среща на върха между ЕС и Африканския съюз. Изтъква се отново пълната подкрепа за глобалния, основан на правила международен ред и отбелязва със загриженост, че дейността на механизма на СТО за уреждане на спорове е парализирана.  Припомня предишните си заключения относно Турция  относно незаконните сондажни дейности на Турция в изключителната икономическа зона на Кипър. Меморандумът за разбирателство между Турция и Либия </w:t>
      </w:r>
      <w:r w:rsidRPr="00287644">
        <w:rPr>
          <w:rFonts w:ascii="Arial" w:hAnsi="Arial" w:cs="Arial"/>
          <w:sz w:val="20"/>
          <w:lang w:val="bg-BG"/>
        </w:rPr>
        <w:lastRenderedPageBreak/>
        <w:t xml:space="preserve">за определяне на границите на морските юрисдикции в Средиземно море нарушава суверенните права на трети държави, не е в съответствие с морското право и не може да поражда правни последици за трети държави. Европейският съвет потвърждава недвусмислено своята солидарност с Гърция и Кипър във връзка с тези действия на Турция. Европейският съюз е солидарен с Албания след неотдавнашното земетресение и приветства съобщението на ЕК, че ще предостави хуманитарна помощ и ще организира конференция на донорите. </w:t>
      </w:r>
    </w:p>
    <w:sectPr w:rsidR="00AA4073" w:rsidRPr="00287644"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C7" w:rsidRDefault="009503C7">
      <w:r>
        <w:separator/>
      </w:r>
    </w:p>
  </w:endnote>
  <w:endnote w:type="continuationSeparator" w:id="0">
    <w:p w:rsidR="009503C7" w:rsidRDefault="0095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9503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9503C7"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lang w:val="bg-BG"/>
      </w:rPr>
      <w:t>Д</w:t>
    </w:r>
    <w:r w:rsidR="00AB2303">
      <w:rPr>
        <w:rFonts w:ascii="Arial" w:hAnsi="Arial"/>
        <w:i/>
        <w:iCs/>
        <w:color w:val="800080"/>
        <w:sz w:val="18"/>
        <w:szCs w:val="18"/>
        <w:lang w:val="bg-BG"/>
      </w:rPr>
      <w:t xml:space="preserve">ирекции „Директни плащания </w:t>
    </w:r>
    <w:r>
      <w:rPr>
        <w:rFonts w:ascii="Arial" w:hAnsi="Arial"/>
        <w:i/>
        <w:iCs/>
        <w:color w:val="800080"/>
        <w:sz w:val="18"/>
        <w:szCs w:val="18"/>
        <w:lang w:val="bg-BG"/>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lang w:val="bg-BG"/>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31762F">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C7" w:rsidRDefault="009503C7">
      <w:r>
        <w:separator/>
      </w:r>
    </w:p>
  </w:footnote>
  <w:footnote w:type="continuationSeparator" w:id="0">
    <w:p w:rsidR="009503C7" w:rsidRDefault="00950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88C" w:rsidRDefault="00E0588C">
    <w:r>
      <w:rPr>
        <w:rFonts w:ascii="Palatino Linotype" w:hAnsi="Palatino Linotype" w:cs="Palatino Linotype"/>
        <w:i/>
        <w:iCs/>
        <w:noProof/>
        <w:sz w:val="52"/>
        <w:szCs w:val="52"/>
        <w:lang w:val="bg-BG" w:eastAsia="bg-BG"/>
      </w:rPr>
      <w:drawing>
        <wp:anchor distT="0" distB="0" distL="114300" distR="114300" simplePos="0" relativeHeight="251660288" behindDoc="0" locked="0" layoutInCell="1" allowOverlap="1" wp14:anchorId="423C6091" wp14:editId="21516754">
          <wp:simplePos x="0" y="0"/>
          <wp:positionH relativeFrom="column">
            <wp:posOffset>5430138</wp:posOffset>
          </wp:positionH>
          <wp:positionV relativeFrom="paragraph">
            <wp:posOffset>-232636</wp:posOffset>
          </wp:positionV>
          <wp:extent cx="644823" cy="644823"/>
          <wp:effectExtent l="152400" t="152400" r="41275" b="136525"/>
          <wp:wrapNone/>
          <wp:docPr id="3" name="Picture 3" descr="http://i.dir.bg/cards2/cards/xmas/43_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ir.bg/cards2/cards/xmas/43_t">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rot="2634715">
                    <a:off x="0" y="0"/>
                    <a:ext cx="641241" cy="6412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88C" w:rsidRDefault="00E0588C"/>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0EB325F6" wp14:editId="09C410FB">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9503C7" w:rsidP="00831EFF">
          <w:pPr>
            <w:jc w:val="right"/>
            <w:rPr>
              <w:rFonts w:ascii="Comic Sans MS" w:hAnsi="Comic Sans MS" w:cs="Arial"/>
              <w:b/>
              <w:color w:val="640064"/>
              <w:sz w:val="18"/>
              <w:szCs w:val="18"/>
              <w:lang w:val="bg-BG"/>
            </w:rPr>
          </w:pPr>
        </w:p>
        <w:p w:rsidR="005618E1" w:rsidRDefault="00643BC6" w:rsidP="00FB1F3E">
          <w:pPr>
            <w:jc w:val="right"/>
            <w:rPr>
              <w:color w:val="640064"/>
              <w:sz w:val="18"/>
              <w:szCs w:val="18"/>
              <w:lang w:val="en-US"/>
            </w:rPr>
          </w:pPr>
          <w:r>
            <w:rPr>
              <w:rFonts w:ascii="Comic Sans MS" w:hAnsi="Comic Sans MS" w:cs="Arial"/>
              <w:b/>
              <w:color w:val="640064"/>
              <w:sz w:val="18"/>
              <w:szCs w:val="18"/>
              <w:lang w:val="en-US"/>
            </w:rPr>
            <w:t xml:space="preserve">  </w:t>
          </w:r>
          <w:r w:rsidR="00403CB9">
            <w:rPr>
              <w:rFonts w:ascii="Comic Sans MS" w:hAnsi="Comic Sans MS" w:cs="Arial"/>
              <w:b/>
              <w:color w:val="640064"/>
              <w:sz w:val="18"/>
              <w:szCs w:val="18"/>
              <w:lang w:val="bg-BG"/>
            </w:rPr>
            <w:t>DIRECT</w:t>
          </w:r>
          <w:r w:rsidR="00403CB9">
            <w:rPr>
              <w:rFonts w:ascii="Comic Sans MS" w:hAnsi="Comic Sans MS" w:cs="Arial"/>
              <w:b/>
              <w:color w:val="640064"/>
              <w:sz w:val="18"/>
              <w:szCs w:val="18"/>
              <w:lang w:val="en-US"/>
            </w:rPr>
            <w:t xml:space="preserve"> </w:t>
          </w:r>
          <w:r w:rsidR="00403CB9">
            <w:rPr>
              <w:rFonts w:ascii="Comic Sans MS" w:hAnsi="Comic Sans MS" w:cs="Arial"/>
              <w:b/>
              <w:color w:val="640064"/>
              <w:sz w:val="18"/>
              <w:szCs w:val="18"/>
              <w:lang w:val="bg-BG"/>
            </w:rPr>
            <w:t>PAYMENTS</w:t>
          </w:r>
          <w:r w:rsidR="00403CB9">
            <w:rPr>
              <w:rFonts w:ascii="Comic Sans MS" w:hAnsi="Comic Sans MS" w:cs="Arial"/>
              <w:b/>
              <w:color w:val="640064"/>
              <w:sz w:val="18"/>
              <w:szCs w:val="18"/>
              <w:lang w:val="en-US"/>
            </w:rPr>
            <w:t xml:space="preserve"> </w:t>
          </w:r>
          <w:r w:rsidR="00403CB9">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sidR="00403CB9">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9503C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643BC6">
      <w:rPr>
        <w:rFonts w:ascii="Arial" w:hAnsi="Arial"/>
        <w:b/>
        <w:bCs/>
        <w:color w:val="800080"/>
        <w:sz w:val="20"/>
        <w:lang w:val="en-US"/>
      </w:rPr>
      <w:t>401</w:t>
    </w:r>
    <w:r>
      <w:rPr>
        <w:rFonts w:ascii="Arial" w:hAnsi="Arial"/>
        <w:b/>
        <w:bCs/>
        <w:color w:val="800080"/>
        <w:sz w:val="20"/>
        <w:lang w:val="bg-BG"/>
      </w:rPr>
      <w:t>/</w:t>
    </w:r>
    <w:r w:rsidR="00643BC6">
      <w:rPr>
        <w:rFonts w:ascii="Arial" w:hAnsi="Arial"/>
        <w:b/>
        <w:bCs/>
        <w:color w:val="800080"/>
        <w:sz w:val="20"/>
        <w:lang w:val="en-US"/>
      </w:rPr>
      <w:t>23</w:t>
    </w:r>
    <w:r w:rsidR="006E7A46">
      <w:rPr>
        <w:rFonts w:ascii="Arial" w:hAnsi="Arial"/>
        <w:b/>
        <w:bCs/>
        <w:color w:val="800080"/>
        <w:sz w:val="20"/>
        <w:lang w:val="en-US"/>
      </w:rPr>
      <w:t>.12</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743E"/>
    <w:rsid w:val="0001077C"/>
    <w:rsid w:val="00011876"/>
    <w:rsid w:val="0002497A"/>
    <w:rsid w:val="000456B3"/>
    <w:rsid w:val="00045ACC"/>
    <w:rsid w:val="00046D50"/>
    <w:rsid w:val="00051200"/>
    <w:rsid w:val="00052F14"/>
    <w:rsid w:val="00053949"/>
    <w:rsid w:val="0006350C"/>
    <w:rsid w:val="00065623"/>
    <w:rsid w:val="00081DAE"/>
    <w:rsid w:val="00091CD4"/>
    <w:rsid w:val="000954E4"/>
    <w:rsid w:val="000A21CD"/>
    <w:rsid w:val="000A31F0"/>
    <w:rsid w:val="000B2026"/>
    <w:rsid w:val="000E143B"/>
    <w:rsid w:val="000E1709"/>
    <w:rsid w:val="001127E1"/>
    <w:rsid w:val="00122980"/>
    <w:rsid w:val="00124C2D"/>
    <w:rsid w:val="00131A6D"/>
    <w:rsid w:val="00134872"/>
    <w:rsid w:val="0013606E"/>
    <w:rsid w:val="0014608C"/>
    <w:rsid w:val="001639CC"/>
    <w:rsid w:val="00173E25"/>
    <w:rsid w:val="00180441"/>
    <w:rsid w:val="00186654"/>
    <w:rsid w:val="001B2329"/>
    <w:rsid w:val="001C56E8"/>
    <w:rsid w:val="001D7A7F"/>
    <w:rsid w:val="001E1EAA"/>
    <w:rsid w:val="001E4C01"/>
    <w:rsid w:val="001F2EC7"/>
    <w:rsid w:val="002118F6"/>
    <w:rsid w:val="00212FA8"/>
    <w:rsid w:val="0021760E"/>
    <w:rsid w:val="00221CDF"/>
    <w:rsid w:val="002472EE"/>
    <w:rsid w:val="00250200"/>
    <w:rsid w:val="002521C1"/>
    <w:rsid w:val="00253C58"/>
    <w:rsid w:val="0025587D"/>
    <w:rsid w:val="002610A9"/>
    <w:rsid w:val="00274F4E"/>
    <w:rsid w:val="0027550C"/>
    <w:rsid w:val="00280AC1"/>
    <w:rsid w:val="00285183"/>
    <w:rsid w:val="00287644"/>
    <w:rsid w:val="0029220D"/>
    <w:rsid w:val="002972B2"/>
    <w:rsid w:val="002A1D98"/>
    <w:rsid w:val="002A5150"/>
    <w:rsid w:val="002A6A4C"/>
    <w:rsid w:val="002B44DA"/>
    <w:rsid w:val="002D25F9"/>
    <w:rsid w:val="002F1104"/>
    <w:rsid w:val="002F6211"/>
    <w:rsid w:val="002F677F"/>
    <w:rsid w:val="00300FA3"/>
    <w:rsid w:val="00304D05"/>
    <w:rsid w:val="00313FBA"/>
    <w:rsid w:val="0031762F"/>
    <w:rsid w:val="00320AF0"/>
    <w:rsid w:val="00323717"/>
    <w:rsid w:val="00326505"/>
    <w:rsid w:val="00353ACF"/>
    <w:rsid w:val="00371F59"/>
    <w:rsid w:val="003877CA"/>
    <w:rsid w:val="003952CE"/>
    <w:rsid w:val="003A2B71"/>
    <w:rsid w:val="003A450A"/>
    <w:rsid w:val="003A534A"/>
    <w:rsid w:val="003A56BA"/>
    <w:rsid w:val="003B7AAB"/>
    <w:rsid w:val="003C0E47"/>
    <w:rsid w:val="003C1BFF"/>
    <w:rsid w:val="003D0C6C"/>
    <w:rsid w:val="003E118D"/>
    <w:rsid w:val="003E5CB2"/>
    <w:rsid w:val="003E6E10"/>
    <w:rsid w:val="00403CB9"/>
    <w:rsid w:val="004133A8"/>
    <w:rsid w:val="00422311"/>
    <w:rsid w:val="00427C6C"/>
    <w:rsid w:val="0044148C"/>
    <w:rsid w:val="00446398"/>
    <w:rsid w:val="0048330E"/>
    <w:rsid w:val="00492033"/>
    <w:rsid w:val="004923C1"/>
    <w:rsid w:val="004D596A"/>
    <w:rsid w:val="004E213C"/>
    <w:rsid w:val="004F5BA5"/>
    <w:rsid w:val="005003F3"/>
    <w:rsid w:val="00500EF3"/>
    <w:rsid w:val="00502A0A"/>
    <w:rsid w:val="005247A5"/>
    <w:rsid w:val="00530C09"/>
    <w:rsid w:val="00537A32"/>
    <w:rsid w:val="00563064"/>
    <w:rsid w:val="00576A0C"/>
    <w:rsid w:val="005A0184"/>
    <w:rsid w:val="005B4574"/>
    <w:rsid w:val="005C1BB7"/>
    <w:rsid w:val="005D4C72"/>
    <w:rsid w:val="005E2AFB"/>
    <w:rsid w:val="00615AE2"/>
    <w:rsid w:val="00617EB8"/>
    <w:rsid w:val="00632166"/>
    <w:rsid w:val="00632622"/>
    <w:rsid w:val="006367A9"/>
    <w:rsid w:val="00643BC6"/>
    <w:rsid w:val="0066052D"/>
    <w:rsid w:val="00682667"/>
    <w:rsid w:val="006961F0"/>
    <w:rsid w:val="006A094F"/>
    <w:rsid w:val="006A3872"/>
    <w:rsid w:val="006A739D"/>
    <w:rsid w:val="006B23CA"/>
    <w:rsid w:val="006D07B9"/>
    <w:rsid w:val="006D3065"/>
    <w:rsid w:val="006E19B6"/>
    <w:rsid w:val="006E7A46"/>
    <w:rsid w:val="00700BB7"/>
    <w:rsid w:val="00705B40"/>
    <w:rsid w:val="00715C7F"/>
    <w:rsid w:val="00720A21"/>
    <w:rsid w:val="00734448"/>
    <w:rsid w:val="00750FB4"/>
    <w:rsid w:val="0076375A"/>
    <w:rsid w:val="007846E5"/>
    <w:rsid w:val="007960F4"/>
    <w:rsid w:val="007A388B"/>
    <w:rsid w:val="007A70E6"/>
    <w:rsid w:val="007B03F2"/>
    <w:rsid w:val="007B367A"/>
    <w:rsid w:val="007B6990"/>
    <w:rsid w:val="007D7438"/>
    <w:rsid w:val="007E4B38"/>
    <w:rsid w:val="007F16CF"/>
    <w:rsid w:val="007F4E89"/>
    <w:rsid w:val="008030C3"/>
    <w:rsid w:val="00816686"/>
    <w:rsid w:val="0082007C"/>
    <w:rsid w:val="008206C1"/>
    <w:rsid w:val="00825A8A"/>
    <w:rsid w:val="0083184F"/>
    <w:rsid w:val="0083232B"/>
    <w:rsid w:val="00840944"/>
    <w:rsid w:val="00845489"/>
    <w:rsid w:val="00852DE4"/>
    <w:rsid w:val="00860D4D"/>
    <w:rsid w:val="00861450"/>
    <w:rsid w:val="00861717"/>
    <w:rsid w:val="0087702E"/>
    <w:rsid w:val="0087763E"/>
    <w:rsid w:val="008836F2"/>
    <w:rsid w:val="008A7E18"/>
    <w:rsid w:val="008B2869"/>
    <w:rsid w:val="008E0F81"/>
    <w:rsid w:val="008F2241"/>
    <w:rsid w:val="008F7ECC"/>
    <w:rsid w:val="009054CE"/>
    <w:rsid w:val="009059A9"/>
    <w:rsid w:val="00910462"/>
    <w:rsid w:val="00911EE9"/>
    <w:rsid w:val="00934FA6"/>
    <w:rsid w:val="009355BA"/>
    <w:rsid w:val="0093666A"/>
    <w:rsid w:val="00936BBD"/>
    <w:rsid w:val="009503C7"/>
    <w:rsid w:val="00960080"/>
    <w:rsid w:val="0096103C"/>
    <w:rsid w:val="009704A2"/>
    <w:rsid w:val="00972B35"/>
    <w:rsid w:val="00984426"/>
    <w:rsid w:val="0099695D"/>
    <w:rsid w:val="009A5D09"/>
    <w:rsid w:val="009D0924"/>
    <w:rsid w:val="009D6F1E"/>
    <w:rsid w:val="009E4DA6"/>
    <w:rsid w:val="009F396C"/>
    <w:rsid w:val="009F4E95"/>
    <w:rsid w:val="009F7022"/>
    <w:rsid w:val="00A105DE"/>
    <w:rsid w:val="00A1170C"/>
    <w:rsid w:val="00A447C0"/>
    <w:rsid w:val="00A56825"/>
    <w:rsid w:val="00A578E8"/>
    <w:rsid w:val="00A673EB"/>
    <w:rsid w:val="00A678AC"/>
    <w:rsid w:val="00A9168C"/>
    <w:rsid w:val="00AA4073"/>
    <w:rsid w:val="00AB1841"/>
    <w:rsid w:val="00AB2303"/>
    <w:rsid w:val="00AC1E2A"/>
    <w:rsid w:val="00AC73DE"/>
    <w:rsid w:val="00AE14FF"/>
    <w:rsid w:val="00AE2FF4"/>
    <w:rsid w:val="00B12902"/>
    <w:rsid w:val="00B16835"/>
    <w:rsid w:val="00B22AB8"/>
    <w:rsid w:val="00B34793"/>
    <w:rsid w:val="00B36AFF"/>
    <w:rsid w:val="00B6482B"/>
    <w:rsid w:val="00B64F87"/>
    <w:rsid w:val="00B73DA3"/>
    <w:rsid w:val="00B8112B"/>
    <w:rsid w:val="00B853D4"/>
    <w:rsid w:val="00B85B24"/>
    <w:rsid w:val="00B90317"/>
    <w:rsid w:val="00B93F21"/>
    <w:rsid w:val="00BB4703"/>
    <w:rsid w:val="00BC70E2"/>
    <w:rsid w:val="00BD7C16"/>
    <w:rsid w:val="00BE55CA"/>
    <w:rsid w:val="00BF118B"/>
    <w:rsid w:val="00BF28EC"/>
    <w:rsid w:val="00BF55F0"/>
    <w:rsid w:val="00C00F88"/>
    <w:rsid w:val="00C020E5"/>
    <w:rsid w:val="00C20809"/>
    <w:rsid w:val="00C2582E"/>
    <w:rsid w:val="00C30017"/>
    <w:rsid w:val="00C3159E"/>
    <w:rsid w:val="00C3177B"/>
    <w:rsid w:val="00C32A47"/>
    <w:rsid w:val="00C3643A"/>
    <w:rsid w:val="00C37B23"/>
    <w:rsid w:val="00C60D17"/>
    <w:rsid w:val="00C61F49"/>
    <w:rsid w:val="00C6312D"/>
    <w:rsid w:val="00C718EB"/>
    <w:rsid w:val="00C8070A"/>
    <w:rsid w:val="00CA35A8"/>
    <w:rsid w:val="00CB196D"/>
    <w:rsid w:val="00CC6A88"/>
    <w:rsid w:val="00CE5E69"/>
    <w:rsid w:val="00CF2D44"/>
    <w:rsid w:val="00D1195A"/>
    <w:rsid w:val="00D167B1"/>
    <w:rsid w:val="00D3159B"/>
    <w:rsid w:val="00D32B06"/>
    <w:rsid w:val="00D4351D"/>
    <w:rsid w:val="00D43BBD"/>
    <w:rsid w:val="00D44038"/>
    <w:rsid w:val="00D604C0"/>
    <w:rsid w:val="00D61B59"/>
    <w:rsid w:val="00D633A6"/>
    <w:rsid w:val="00D80D84"/>
    <w:rsid w:val="00D8519B"/>
    <w:rsid w:val="00DA4860"/>
    <w:rsid w:val="00DC5A8E"/>
    <w:rsid w:val="00DD056A"/>
    <w:rsid w:val="00DE7B4B"/>
    <w:rsid w:val="00DF7E91"/>
    <w:rsid w:val="00E02B6A"/>
    <w:rsid w:val="00E0588C"/>
    <w:rsid w:val="00E17E07"/>
    <w:rsid w:val="00E2125A"/>
    <w:rsid w:val="00E23670"/>
    <w:rsid w:val="00E24FA2"/>
    <w:rsid w:val="00E256E7"/>
    <w:rsid w:val="00E44DF1"/>
    <w:rsid w:val="00E6099A"/>
    <w:rsid w:val="00E85073"/>
    <w:rsid w:val="00EA0ED8"/>
    <w:rsid w:val="00EA40C1"/>
    <w:rsid w:val="00EA4B29"/>
    <w:rsid w:val="00EA4B99"/>
    <w:rsid w:val="00EB0F17"/>
    <w:rsid w:val="00EB783C"/>
    <w:rsid w:val="00EC0DDC"/>
    <w:rsid w:val="00EE38E7"/>
    <w:rsid w:val="00EE7B1B"/>
    <w:rsid w:val="00F0360F"/>
    <w:rsid w:val="00F10B77"/>
    <w:rsid w:val="00F1698D"/>
    <w:rsid w:val="00F23EFD"/>
    <w:rsid w:val="00F36C1A"/>
    <w:rsid w:val="00F4416D"/>
    <w:rsid w:val="00F531AD"/>
    <w:rsid w:val="00F83BE9"/>
    <w:rsid w:val="00F96F34"/>
    <w:rsid w:val="00FA1453"/>
    <w:rsid w:val="00FB7C73"/>
    <w:rsid w:val="00FC42E3"/>
    <w:rsid w:val="00FD4196"/>
    <w:rsid w:val="00FE14C1"/>
    <w:rsid w:val="00FE77AD"/>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72392900">
      <w:bodyDiv w:val="1"/>
      <w:marLeft w:val="0"/>
      <w:marRight w:val="0"/>
      <w:marTop w:val="0"/>
      <w:marBottom w:val="0"/>
      <w:divBdr>
        <w:top w:val="none" w:sz="0" w:space="0" w:color="auto"/>
        <w:left w:val="none" w:sz="0" w:space="0" w:color="auto"/>
        <w:bottom w:val="none" w:sz="0" w:space="0" w:color="auto"/>
        <w:right w:val="none" w:sz="0" w:space="0" w:color="auto"/>
      </w:divBdr>
      <w:divsChild>
        <w:div w:id="933437997">
          <w:marLeft w:val="0"/>
          <w:marRight w:val="0"/>
          <w:marTop w:val="0"/>
          <w:marBottom w:val="150"/>
          <w:divBdr>
            <w:top w:val="none" w:sz="0" w:space="0" w:color="auto"/>
            <w:left w:val="none" w:sz="0" w:space="0" w:color="auto"/>
            <w:bottom w:val="none" w:sz="0" w:space="0" w:color="auto"/>
            <w:right w:val="none" w:sz="0" w:space="0" w:color="auto"/>
          </w:divBdr>
        </w:div>
      </w:divsChild>
    </w:div>
    <w:div w:id="611397370">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56037716">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09609186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94120084">
      <w:bodyDiv w:val="1"/>
      <w:marLeft w:val="0"/>
      <w:marRight w:val="0"/>
      <w:marTop w:val="0"/>
      <w:marBottom w:val="0"/>
      <w:divBdr>
        <w:top w:val="none" w:sz="0" w:space="0" w:color="auto"/>
        <w:left w:val="none" w:sz="0" w:space="0" w:color="auto"/>
        <w:bottom w:val="none" w:sz="0" w:space="0" w:color="auto"/>
        <w:right w:val="none" w:sz="0" w:space="0" w:color="auto"/>
      </w:divBdr>
    </w:div>
    <w:div w:id="172937746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i.dir.bg/cards2/cards/xmas/43_t" TargetMode="External"/><Relationship Id="rId2" Type="http://schemas.openxmlformats.org/officeDocument/2006/relationships/image" Target="media/image1.gif"/><Relationship Id="rId1" Type="http://schemas.openxmlformats.org/officeDocument/2006/relationships/hyperlink" Target="http://greetings.dir.bg/send.php?c=&amp;id=400"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42</cp:revision>
  <cp:lastPrinted>2019-12-23T07:45:00Z</cp:lastPrinted>
  <dcterms:created xsi:type="dcterms:W3CDTF">2019-12-23T11:44:00Z</dcterms:created>
  <dcterms:modified xsi:type="dcterms:W3CDTF">2019-12-27T13:09:00Z</dcterms:modified>
</cp:coreProperties>
</file>