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993" w:rsidRPr="000E4044" w:rsidRDefault="00BA7811" w:rsidP="00AC7993">
      <w:pPr>
        <w:widowControl w:val="0"/>
        <w:autoSpaceDE w:val="0"/>
        <w:autoSpaceDN w:val="0"/>
        <w:adjustRightInd w:val="0"/>
        <w:spacing w:after="0" w:line="240" w:lineRule="auto"/>
        <w:jc w:val="right"/>
        <w:rPr>
          <w:rFonts w:ascii="Times New Roman" w:hAnsi="Times New Roman"/>
          <w:strike/>
          <w:color w:val="FF0000"/>
          <w:sz w:val="24"/>
          <w:szCs w:val="24"/>
          <w:lang w:val="bg-BG" w:eastAsia="bg-BG"/>
        </w:rPr>
      </w:pPr>
      <w:r w:rsidRPr="000E4044">
        <w:rPr>
          <w:rFonts w:ascii="Times New Roman" w:hAnsi="Times New Roman"/>
          <w:noProof/>
          <w:sz w:val="24"/>
          <w:szCs w:val="24"/>
        </w:rPr>
        <w:drawing>
          <wp:anchor distT="0" distB="0" distL="114300" distR="114300" simplePos="0" relativeHeight="251657728" behindDoc="1" locked="0" layoutInCell="1" allowOverlap="1" wp14:anchorId="0938C45F" wp14:editId="61D2239C">
            <wp:simplePos x="0" y="0"/>
            <wp:positionH relativeFrom="column">
              <wp:posOffset>2262505</wp:posOffset>
            </wp:positionH>
            <wp:positionV relativeFrom="paragraph">
              <wp:posOffset>-316865</wp:posOffset>
            </wp:positionV>
            <wp:extent cx="1243330" cy="1199515"/>
            <wp:effectExtent l="0" t="0" r="0" b="63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3330" cy="1199515"/>
                    </a:xfrm>
                    <a:prstGeom prst="rect">
                      <a:avLst/>
                    </a:prstGeom>
                    <a:noFill/>
                  </pic:spPr>
                </pic:pic>
              </a:graphicData>
            </a:graphic>
            <wp14:sizeRelH relativeFrom="page">
              <wp14:pctWidth>0</wp14:pctWidth>
            </wp14:sizeRelH>
            <wp14:sizeRelV relativeFrom="page">
              <wp14:pctHeight>0</wp14:pctHeight>
            </wp14:sizeRelV>
          </wp:anchor>
        </w:drawing>
      </w:r>
      <w:r w:rsidR="00AC7993" w:rsidRPr="000E4044">
        <w:rPr>
          <w:rFonts w:ascii="Times New Roman" w:hAnsi="Times New Roman"/>
          <w:strike/>
          <w:color w:val="FF0000"/>
          <w:sz w:val="24"/>
          <w:szCs w:val="24"/>
          <w:lang w:val="bg-BG" w:eastAsia="bg-BG"/>
        </w:rPr>
        <w:t xml:space="preserve"> </w:t>
      </w:r>
    </w:p>
    <w:p w:rsidR="00AC7993" w:rsidRPr="000E4044" w:rsidRDefault="00AC7993" w:rsidP="00AC7993">
      <w:pPr>
        <w:tabs>
          <w:tab w:val="center" w:pos="4153"/>
          <w:tab w:val="left" w:pos="7230"/>
          <w:tab w:val="left" w:pos="7655"/>
          <w:tab w:val="right" w:pos="8306"/>
        </w:tabs>
        <w:spacing w:after="0" w:line="216" w:lineRule="auto"/>
        <w:ind w:left="-851" w:right="-285"/>
        <w:jc w:val="center"/>
        <w:rPr>
          <w:rFonts w:ascii="Times New Roman" w:hAnsi="Times New Roman"/>
          <w:noProof/>
          <w:sz w:val="24"/>
          <w:szCs w:val="24"/>
          <w:lang w:val="bg-BG" w:eastAsia="bg-BG"/>
        </w:rPr>
      </w:pPr>
    </w:p>
    <w:p w:rsidR="00AC7993" w:rsidRPr="000E4044" w:rsidRDefault="00AC7993" w:rsidP="00AC7993">
      <w:pPr>
        <w:tabs>
          <w:tab w:val="center" w:pos="4153"/>
          <w:tab w:val="left" w:pos="7230"/>
          <w:tab w:val="left" w:pos="7655"/>
          <w:tab w:val="right" w:pos="8306"/>
        </w:tabs>
        <w:spacing w:after="0" w:line="216" w:lineRule="auto"/>
        <w:ind w:left="-851" w:right="-285"/>
        <w:jc w:val="center"/>
        <w:rPr>
          <w:rFonts w:ascii="Times New Roman" w:hAnsi="Times New Roman"/>
          <w:noProof/>
          <w:sz w:val="24"/>
          <w:szCs w:val="24"/>
          <w:lang w:val="bg-BG" w:eastAsia="bg-BG"/>
        </w:rPr>
      </w:pPr>
    </w:p>
    <w:p w:rsidR="00AC7993" w:rsidRPr="000E4044" w:rsidRDefault="00AC7993" w:rsidP="00AC7993">
      <w:pPr>
        <w:tabs>
          <w:tab w:val="center" w:pos="4153"/>
          <w:tab w:val="left" w:pos="7230"/>
          <w:tab w:val="left" w:pos="7655"/>
          <w:tab w:val="right" w:pos="8306"/>
        </w:tabs>
        <w:spacing w:after="0" w:line="216" w:lineRule="auto"/>
        <w:ind w:left="-851" w:right="-285"/>
        <w:jc w:val="center"/>
        <w:rPr>
          <w:rFonts w:ascii="Times New Roman" w:hAnsi="Times New Roman"/>
          <w:noProof/>
          <w:sz w:val="24"/>
          <w:szCs w:val="24"/>
          <w:lang w:val="bg-BG" w:eastAsia="bg-BG"/>
        </w:rPr>
      </w:pPr>
    </w:p>
    <w:p w:rsidR="00AC7993" w:rsidRPr="000E4044" w:rsidRDefault="00AC7993" w:rsidP="00AC7993">
      <w:pPr>
        <w:tabs>
          <w:tab w:val="center" w:pos="4153"/>
          <w:tab w:val="left" w:pos="7230"/>
          <w:tab w:val="left" w:pos="7655"/>
          <w:tab w:val="right" w:pos="8306"/>
        </w:tabs>
        <w:spacing w:after="0" w:line="216" w:lineRule="auto"/>
        <w:ind w:left="-851" w:right="-285"/>
        <w:jc w:val="center"/>
        <w:rPr>
          <w:rFonts w:ascii="Times New Roman" w:hAnsi="Times New Roman"/>
          <w:noProof/>
          <w:sz w:val="24"/>
          <w:szCs w:val="24"/>
          <w:lang w:val="bg-BG" w:eastAsia="bg-BG"/>
        </w:rPr>
      </w:pPr>
    </w:p>
    <w:p w:rsidR="00AC7993" w:rsidRPr="000E4044" w:rsidRDefault="00AC7993" w:rsidP="00AC7993">
      <w:pPr>
        <w:tabs>
          <w:tab w:val="center" w:pos="4153"/>
          <w:tab w:val="left" w:pos="7230"/>
          <w:tab w:val="left" w:pos="7655"/>
          <w:tab w:val="right" w:pos="8306"/>
        </w:tabs>
        <w:spacing w:after="0" w:line="216" w:lineRule="auto"/>
        <w:ind w:left="-851" w:right="-285"/>
        <w:jc w:val="center"/>
        <w:rPr>
          <w:rFonts w:ascii="Times New Roman" w:hAnsi="Times New Roman"/>
          <w:noProof/>
          <w:sz w:val="24"/>
          <w:szCs w:val="24"/>
          <w:lang w:val="bg-BG" w:eastAsia="bg-BG"/>
        </w:rPr>
      </w:pPr>
    </w:p>
    <w:p w:rsidR="00AC7993" w:rsidRPr="000E4044" w:rsidRDefault="00AC7993" w:rsidP="00AC7993">
      <w:pPr>
        <w:tabs>
          <w:tab w:val="center" w:pos="4153"/>
          <w:tab w:val="left" w:pos="7230"/>
          <w:tab w:val="left" w:pos="7655"/>
          <w:tab w:val="right" w:pos="8306"/>
        </w:tabs>
        <w:spacing w:after="0" w:line="216" w:lineRule="auto"/>
        <w:ind w:left="-851" w:right="-285"/>
        <w:jc w:val="center"/>
        <w:rPr>
          <w:rFonts w:ascii="Times New Roman" w:hAnsi="Times New Roman"/>
          <w:noProof/>
          <w:sz w:val="24"/>
          <w:szCs w:val="24"/>
          <w:lang w:val="bg-BG" w:eastAsia="bg-BG"/>
        </w:rPr>
      </w:pPr>
    </w:p>
    <w:p w:rsidR="00AC7993" w:rsidRPr="000E4044" w:rsidRDefault="00AC7993" w:rsidP="00AC7993">
      <w:pPr>
        <w:keepNext/>
        <w:spacing w:before="240" w:after="60" w:line="240" w:lineRule="auto"/>
        <w:jc w:val="center"/>
        <w:outlineLvl w:val="0"/>
        <w:rPr>
          <w:rFonts w:ascii="Times New Roman" w:hAnsi="Times New Roman"/>
          <w:spacing w:val="40"/>
          <w:kern w:val="32"/>
          <w:sz w:val="28"/>
          <w:szCs w:val="28"/>
          <w:lang w:val="bg-BG" w:eastAsia="bg-BG"/>
        </w:rPr>
      </w:pPr>
      <w:r w:rsidRPr="000E4044">
        <w:rPr>
          <w:rFonts w:ascii="Times New Roman" w:hAnsi="Times New Roman"/>
          <w:spacing w:val="40"/>
          <w:kern w:val="32"/>
          <w:sz w:val="28"/>
          <w:szCs w:val="28"/>
          <w:lang w:val="bg-BG" w:eastAsia="bg-BG"/>
        </w:rPr>
        <w:t>РЕПУБЛИКА БЪЛГАРИЯ</w:t>
      </w:r>
    </w:p>
    <w:p w:rsidR="00AC7993" w:rsidRPr="000E4044" w:rsidRDefault="00AC7993" w:rsidP="00AC7993">
      <w:pPr>
        <w:widowControl w:val="0"/>
        <w:pBdr>
          <w:bottom w:val="single" w:sz="4" w:space="1" w:color="auto"/>
        </w:pBdr>
        <w:autoSpaceDE w:val="0"/>
        <w:autoSpaceDN w:val="0"/>
        <w:adjustRightInd w:val="0"/>
        <w:spacing w:after="0" w:line="360" w:lineRule="auto"/>
        <w:jc w:val="center"/>
        <w:rPr>
          <w:rFonts w:ascii="Times New Roman" w:hAnsi="Times New Roman"/>
          <w:sz w:val="28"/>
          <w:szCs w:val="28"/>
          <w:lang w:val="bg-BG" w:eastAsia="bg-BG"/>
        </w:rPr>
      </w:pPr>
      <w:r w:rsidRPr="000E4044">
        <w:rPr>
          <w:rFonts w:ascii="Times New Roman" w:hAnsi="Times New Roman"/>
          <w:spacing w:val="40"/>
          <w:sz w:val="28"/>
          <w:szCs w:val="28"/>
          <w:lang w:val="bg-BG" w:eastAsia="bg-BG"/>
        </w:rPr>
        <w:t>Министър на земеделието, храните и горите</w:t>
      </w:r>
    </w:p>
    <w:p w:rsidR="00AC7993" w:rsidRPr="000E4044" w:rsidRDefault="00AC7993" w:rsidP="00804836">
      <w:pPr>
        <w:widowControl w:val="0"/>
        <w:autoSpaceDE w:val="0"/>
        <w:autoSpaceDN w:val="0"/>
        <w:adjustRightInd w:val="0"/>
        <w:spacing w:after="0" w:line="360" w:lineRule="auto"/>
        <w:jc w:val="center"/>
        <w:rPr>
          <w:rFonts w:ascii="Times New Roman" w:hAnsi="Times New Roman"/>
          <w:b/>
          <w:bCs/>
          <w:caps/>
          <w:sz w:val="24"/>
          <w:szCs w:val="24"/>
          <w:lang w:val="bg-BG" w:eastAsia="bg-BG"/>
        </w:rPr>
      </w:pPr>
    </w:p>
    <w:p w:rsidR="00AC7993" w:rsidRPr="000E4044" w:rsidRDefault="00AC7993" w:rsidP="00804836">
      <w:pPr>
        <w:tabs>
          <w:tab w:val="center" w:pos="4153"/>
          <w:tab w:val="right" w:pos="8306"/>
        </w:tabs>
        <w:spacing w:after="0" w:line="360" w:lineRule="auto"/>
        <w:jc w:val="center"/>
        <w:rPr>
          <w:rFonts w:ascii="Times New Roman" w:hAnsi="Times New Roman"/>
          <w:sz w:val="24"/>
          <w:szCs w:val="24"/>
          <w:lang w:val="bg-BG" w:eastAsia="bg-BG"/>
        </w:rPr>
      </w:pPr>
    </w:p>
    <w:p w:rsidR="00AC7993" w:rsidRPr="000E4044" w:rsidRDefault="00AC7993" w:rsidP="00804836">
      <w:pPr>
        <w:widowControl w:val="0"/>
        <w:autoSpaceDE w:val="0"/>
        <w:autoSpaceDN w:val="0"/>
        <w:adjustRightInd w:val="0"/>
        <w:spacing w:after="0" w:line="360" w:lineRule="auto"/>
        <w:rPr>
          <w:rFonts w:ascii="Times New Roman" w:hAnsi="Times New Roman"/>
          <w:b/>
          <w:bCs/>
          <w:sz w:val="24"/>
          <w:szCs w:val="24"/>
          <w:lang w:val="bg-BG" w:eastAsia="bg-BG"/>
        </w:rPr>
      </w:pPr>
      <w:r w:rsidRPr="000E4044">
        <w:rPr>
          <w:rFonts w:ascii="Times New Roman" w:hAnsi="Times New Roman"/>
          <w:b/>
          <w:bCs/>
          <w:sz w:val="24"/>
          <w:szCs w:val="24"/>
          <w:lang w:val="bg-BG" w:eastAsia="bg-BG"/>
        </w:rPr>
        <w:t>ДО</w:t>
      </w:r>
    </w:p>
    <w:p w:rsidR="00AC7993" w:rsidRPr="000E4044" w:rsidRDefault="00AC7993" w:rsidP="00804836">
      <w:pPr>
        <w:widowControl w:val="0"/>
        <w:autoSpaceDE w:val="0"/>
        <w:autoSpaceDN w:val="0"/>
        <w:adjustRightInd w:val="0"/>
        <w:spacing w:after="0" w:line="360" w:lineRule="auto"/>
        <w:rPr>
          <w:rFonts w:ascii="Times New Roman" w:hAnsi="Times New Roman"/>
          <w:b/>
          <w:bCs/>
          <w:sz w:val="24"/>
          <w:szCs w:val="24"/>
          <w:lang w:val="bg-BG" w:eastAsia="bg-BG"/>
        </w:rPr>
      </w:pPr>
      <w:r w:rsidRPr="000E4044">
        <w:rPr>
          <w:rFonts w:ascii="Times New Roman" w:hAnsi="Times New Roman"/>
          <w:b/>
          <w:bCs/>
          <w:sz w:val="24"/>
          <w:szCs w:val="24"/>
          <w:lang w:val="bg-BG" w:eastAsia="bg-BG"/>
        </w:rPr>
        <w:t>МИНИСТЕРСКИЯ СЪВЕТ</w:t>
      </w:r>
    </w:p>
    <w:p w:rsidR="00AC7993" w:rsidRDefault="00AC7993" w:rsidP="00804836">
      <w:pPr>
        <w:widowControl w:val="0"/>
        <w:autoSpaceDE w:val="0"/>
        <w:autoSpaceDN w:val="0"/>
        <w:adjustRightInd w:val="0"/>
        <w:spacing w:after="0" w:line="360" w:lineRule="auto"/>
        <w:rPr>
          <w:rFonts w:ascii="Times New Roman" w:hAnsi="Times New Roman"/>
          <w:b/>
          <w:bCs/>
          <w:sz w:val="24"/>
          <w:szCs w:val="24"/>
          <w:lang w:val="bg-BG" w:eastAsia="bg-BG"/>
        </w:rPr>
      </w:pPr>
      <w:r w:rsidRPr="000E4044">
        <w:rPr>
          <w:rFonts w:ascii="Times New Roman" w:hAnsi="Times New Roman"/>
          <w:b/>
          <w:bCs/>
          <w:sz w:val="24"/>
          <w:szCs w:val="24"/>
          <w:lang w:val="bg-BG" w:eastAsia="bg-BG"/>
        </w:rPr>
        <w:t>НА РЕПУБЛИКА БЪЛГАРИЯ</w:t>
      </w:r>
    </w:p>
    <w:p w:rsidR="00804836" w:rsidRDefault="00804836" w:rsidP="00804836">
      <w:pPr>
        <w:widowControl w:val="0"/>
        <w:autoSpaceDE w:val="0"/>
        <w:autoSpaceDN w:val="0"/>
        <w:adjustRightInd w:val="0"/>
        <w:spacing w:after="0" w:line="360" w:lineRule="auto"/>
        <w:rPr>
          <w:rFonts w:ascii="Times New Roman" w:hAnsi="Times New Roman"/>
          <w:b/>
          <w:bCs/>
          <w:sz w:val="24"/>
          <w:szCs w:val="24"/>
          <w:lang w:val="bg-BG" w:eastAsia="bg-BG"/>
        </w:rPr>
      </w:pPr>
    </w:p>
    <w:p w:rsidR="00452CC0" w:rsidRPr="000E4044" w:rsidRDefault="00452CC0" w:rsidP="00804836">
      <w:pPr>
        <w:widowControl w:val="0"/>
        <w:autoSpaceDE w:val="0"/>
        <w:autoSpaceDN w:val="0"/>
        <w:adjustRightInd w:val="0"/>
        <w:spacing w:after="0" w:line="360" w:lineRule="auto"/>
        <w:rPr>
          <w:rFonts w:ascii="Times New Roman" w:hAnsi="Times New Roman"/>
          <w:b/>
          <w:bCs/>
          <w:sz w:val="24"/>
          <w:szCs w:val="24"/>
          <w:lang w:val="bg-BG" w:eastAsia="bg-BG"/>
        </w:rPr>
      </w:pPr>
    </w:p>
    <w:p w:rsidR="00AC7993" w:rsidRPr="00804836" w:rsidRDefault="00AC7993" w:rsidP="00804836">
      <w:pPr>
        <w:keepNext/>
        <w:spacing w:after="0" w:line="360" w:lineRule="auto"/>
        <w:jc w:val="center"/>
        <w:outlineLvl w:val="0"/>
        <w:rPr>
          <w:rFonts w:ascii="Times New Roman" w:hAnsi="Times New Roman"/>
          <w:b/>
          <w:bCs/>
          <w:kern w:val="32"/>
          <w:sz w:val="28"/>
          <w:szCs w:val="28"/>
          <w:lang w:val="bg-BG" w:eastAsia="bg-BG"/>
        </w:rPr>
      </w:pPr>
      <w:r w:rsidRPr="00804836">
        <w:rPr>
          <w:rFonts w:ascii="Times New Roman" w:hAnsi="Times New Roman"/>
          <w:b/>
          <w:bCs/>
          <w:kern w:val="32"/>
          <w:sz w:val="28"/>
          <w:szCs w:val="28"/>
          <w:lang w:val="bg-BG" w:eastAsia="bg-BG"/>
        </w:rPr>
        <w:t>Д О К Л А Д</w:t>
      </w:r>
    </w:p>
    <w:p w:rsidR="00AC7993" w:rsidRPr="000E4044" w:rsidRDefault="00AC7993" w:rsidP="00804836">
      <w:pPr>
        <w:widowControl w:val="0"/>
        <w:autoSpaceDE w:val="0"/>
        <w:autoSpaceDN w:val="0"/>
        <w:adjustRightInd w:val="0"/>
        <w:spacing w:after="0" w:line="360" w:lineRule="auto"/>
        <w:jc w:val="center"/>
        <w:rPr>
          <w:rFonts w:ascii="Times New Roman" w:hAnsi="Times New Roman"/>
          <w:sz w:val="24"/>
          <w:szCs w:val="24"/>
          <w:lang w:val="bg-BG" w:eastAsia="bg-BG"/>
        </w:rPr>
      </w:pPr>
      <w:r w:rsidRPr="000E4044">
        <w:rPr>
          <w:rFonts w:ascii="Times New Roman" w:hAnsi="Times New Roman"/>
          <w:sz w:val="24"/>
          <w:szCs w:val="24"/>
          <w:lang w:val="bg-BG" w:eastAsia="bg-BG"/>
        </w:rPr>
        <w:t xml:space="preserve">от Десислава Танева </w:t>
      </w:r>
      <w:r w:rsidR="00804836">
        <w:rPr>
          <w:rFonts w:ascii="Times New Roman" w:hAnsi="Times New Roman"/>
          <w:sz w:val="24"/>
          <w:szCs w:val="24"/>
          <w:lang w:val="bg-BG" w:eastAsia="bg-BG"/>
        </w:rPr>
        <w:t>–</w:t>
      </w:r>
      <w:r w:rsidRPr="000E4044">
        <w:rPr>
          <w:rFonts w:ascii="Times New Roman" w:hAnsi="Times New Roman"/>
          <w:sz w:val="24"/>
          <w:szCs w:val="24"/>
          <w:lang w:val="bg-BG" w:eastAsia="bg-BG"/>
        </w:rPr>
        <w:t xml:space="preserve"> министър на земеделието, храните и горите</w:t>
      </w:r>
    </w:p>
    <w:p w:rsidR="00AC7993" w:rsidRDefault="00AC7993" w:rsidP="00804836">
      <w:pPr>
        <w:widowControl w:val="0"/>
        <w:autoSpaceDE w:val="0"/>
        <w:autoSpaceDN w:val="0"/>
        <w:adjustRightInd w:val="0"/>
        <w:spacing w:after="0" w:line="360" w:lineRule="auto"/>
        <w:rPr>
          <w:rFonts w:ascii="Times New Roman" w:hAnsi="Times New Roman"/>
          <w:sz w:val="24"/>
          <w:szCs w:val="24"/>
          <w:lang w:val="bg-BG" w:eastAsia="bg-BG"/>
        </w:rPr>
      </w:pPr>
    </w:p>
    <w:p w:rsidR="00AC7993" w:rsidRPr="000E4044" w:rsidRDefault="00AC7993" w:rsidP="00804836">
      <w:pPr>
        <w:widowControl w:val="0"/>
        <w:autoSpaceDE w:val="0"/>
        <w:autoSpaceDN w:val="0"/>
        <w:adjustRightInd w:val="0"/>
        <w:spacing w:after="0" w:line="360" w:lineRule="auto"/>
        <w:rPr>
          <w:rFonts w:ascii="Times New Roman" w:hAnsi="Times New Roman"/>
          <w:sz w:val="24"/>
          <w:szCs w:val="24"/>
          <w:lang w:val="bg-BG" w:eastAsia="bg-BG"/>
        </w:rPr>
      </w:pPr>
    </w:p>
    <w:p w:rsidR="00AC7993" w:rsidRPr="000E4044" w:rsidRDefault="00AC7993" w:rsidP="00804836">
      <w:pPr>
        <w:widowControl w:val="0"/>
        <w:autoSpaceDE w:val="0"/>
        <w:autoSpaceDN w:val="0"/>
        <w:adjustRightInd w:val="0"/>
        <w:spacing w:after="0" w:line="360" w:lineRule="auto"/>
        <w:ind w:left="1134" w:hanging="1134"/>
        <w:jc w:val="both"/>
        <w:rPr>
          <w:rFonts w:ascii="Times New Roman" w:hAnsi="Times New Roman"/>
          <w:sz w:val="24"/>
          <w:szCs w:val="24"/>
          <w:lang w:val="bg-BG" w:eastAsia="bg-BG"/>
        </w:rPr>
      </w:pPr>
      <w:r w:rsidRPr="000E4044">
        <w:rPr>
          <w:rFonts w:ascii="Times New Roman" w:hAnsi="Times New Roman"/>
          <w:b/>
          <w:bCs/>
          <w:sz w:val="24"/>
          <w:szCs w:val="24"/>
          <w:lang w:val="bg-BG" w:eastAsia="bg-BG"/>
        </w:rPr>
        <w:t>Относно</w:t>
      </w:r>
      <w:r w:rsidRPr="00804836">
        <w:rPr>
          <w:rFonts w:ascii="Times New Roman" w:hAnsi="Times New Roman"/>
          <w:b/>
          <w:sz w:val="24"/>
          <w:szCs w:val="24"/>
          <w:lang w:val="bg-BG" w:eastAsia="bg-BG"/>
        </w:rPr>
        <w:t>:</w:t>
      </w:r>
      <w:r w:rsidRPr="000E4044">
        <w:rPr>
          <w:rFonts w:ascii="Times New Roman" w:hAnsi="Times New Roman"/>
          <w:sz w:val="24"/>
          <w:szCs w:val="24"/>
          <w:lang w:val="bg-BG" w:eastAsia="bg-BG"/>
        </w:rPr>
        <w:t xml:space="preserve"> Проект на постановление </w:t>
      </w:r>
      <w:r w:rsidR="00C512AD" w:rsidRPr="000E4044">
        <w:rPr>
          <w:rFonts w:ascii="Times New Roman" w:hAnsi="Times New Roman"/>
          <w:sz w:val="24"/>
          <w:szCs w:val="24"/>
          <w:lang w:val="bg-BG"/>
        </w:rPr>
        <w:t>на</w:t>
      </w:r>
      <w:r w:rsidRPr="000E4044">
        <w:rPr>
          <w:rFonts w:ascii="Times New Roman" w:hAnsi="Times New Roman"/>
          <w:sz w:val="24"/>
          <w:szCs w:val="24"/>
          <w:lang w:val="bg-BG"/>
        </w:rPr>
        <w:t xml:space="preserve"> Министерския съвет за изменение и допълнение на нормативни актове</w:t>
      </w:r>
    </w:p>
    <w:p w:rsidR="00AC7993" w:rsidRDefault="00AC7993" w:rsidP="00804836">
      <w:pPr>
        <w:widowControl w:val="0"/>
        <w:autoSpaceDE w:val="0"/>
        <w:autoSpaceDN w:val="0"/>
        <w:adjustRightInd w:val="0"/>
        <w:spacing w:after="0" w:line="360" w:lineRule="auto"/>
        <w:rPr>
          <w:rFonts w:ascii="Times New Roman" w:hAnsi="Times New Roman"/>
          <w:sz w:val="24"/>
          <w:szCs w:val="24"/>
          <w:lang w:val="bg-BG" w:eastAsia="bg-BG"/>
        </w:rPr>
      </w:pPr>
    </w:p>
    <w:p w:rsidR="00452CC0" w:rsidRPr="000E4044" w:rsidRDefault="00452CC0" w:rsidP="00804836">
      <w:pPr>
        <w:widowControl w:val="0"/>
        <w:autoSpaceDE w:val="0"/>
        <w:autoSpaceDN w:val="0"/>
        <w:adjustRightInd w:val="0"/>
        <w:spacing w:after="0" w:line="360" w:lineRule="auto"/>
        <w:rPr>
          <w:rFonts w:ascii="Times New Roman" w:hAnsi="Times New Roman"/>
          <w:sz w:val="24"/>
          <w:szCs w:val="24"/>
          <w:lang w:val="bg-BG" w:eastAsia="bg-BG"/>
        </w:rPr>
      </w:pPr>
    </w:p>
    <w:p w:rsidR="00AC7993" w:rsidRPr="000E4044" w:rsidRDefault="00AC7993" w:rsidP="00804836">
      <w:pPr>
        <w:widowControl w:val="0"/>
        <w:autoSpaceDE w:val="0"/>
        <w:autoSpaceDN w:val="0"/>
        <w:adjustRightInd w:val="0"/>
        <w:spacing w:after="0" w:line="360" w:lineRule="auto"/>
        <w:rPr>
          <w:rFonts w:ascii="Times New Roman" w:hAnsi="Times New Roman"/>
          <w:b/>
          <w:bCs/>
          <w:sz w:val="24"/>
          <w:szCs w:val="24"/>
          <w:lang w:val="bg-BG" w:eastAsia="bg-BG"/>
        </w:rPr>
      </w:pPr>
      <w:r w:rsidRPr="000E4044">
        <w:rPr>
          <w:rFonts w:ascii="Times New Roman" w:hAnsi="Times New Roman"/>
          <w:b/>
          <w:bCs/>
          <w:sz w:val="24"/>
          <w:szCs w:val="24"/>
          <w:lang w:val="bg-BG" w:eastAsia="bg-BG"/>
        </w:rPr>
        <w:t>УВАЖАЕМИ ГОСПОДИН МИНИСТЪР-ПРЕДСЕДАТЕЛ,</w:t>
      </w:r>
    </w:p>
    <w:p w:rsidR="00AC7993" w:rsidRPr="000E4044" w:rsidRDefault="00AC7993" w:rsidP="00804836">
      <w:pPr>
        <w:widowControl w:val="0"/>
        <w:autoSpaceDE w:val="0"/>
        <w:autoSpaceDN w:val="0"/>
        <w:adjustRightInd w:val="0"/>
        <w:spacing w:after="120" w:line="360" w:lineRule="auto"/>
        <w:rPr>
          <w:rFonts w:ascii="Times New Roman" w:hAnsi="Times New Roman"/>
          <w:b/>
          <w:bCs/>
          <w:sz w:val="24"/>
          <w:szCs w:val="24"/>
          <w:lang w:val="bg-BG" w:eastAsia="bg-BG"/>
        </w:rPr>
      </w:pPr>
      <w:r w:rsidRPr="000E4044">
        <w:rPr>
          <w:rFonts w:ascii="Times New Roman" w:hAnsi="Times New Roman"/>
          <w:b/>
          <w:bCs/>
          <w:sz w:val="24"/>
          <w:szCs w:val="24"/>
          <w:lang w:val="bg-BG" w:eastAsia="bg-BG"/>
        </w:rPr>
        <w:t>УВАЖАЕМИ ГОСПОЖИ И ГОСПОДА МИНИСТРИ,</w:t>
      </w:r>
    </w:p>
    <w:p w:rsidR="00C512AD" w:rsidRPr="000E4044" w:rsidRDefault="00AC7993" w:rsidP="00452CC0">
      <w:pPr>
        <w:widowControl w:val="0"/>
        <w:autoSpaceDE w:val="0"/>
        <w:autoSpaceDN w:val="0"/>
        <w:adjustRightInd w:val="0"/>
        <w:spacing w:after="120" w:line="360" w:lineRule="auto"/>
        <w:ind w:firstLine="709"/>
        <w:jc w:val="both"/>
        <w:rPr>
          <w:rFonts w:ascii="Times New Roman" w:hAnsi="Times New Roman"/>
          <w:sz w:val="24"/>
          <w:szCs w:val="24"/>
          <w:lang w:val="bg-BG" w:eastAsia="bg-BG"/>
        </w:rPr>
      </w:pPr>
      <w:r w:rsidRPr="000E4044">
        <w:rPr>
          <w:rFonts w:ascii="Times New Roman" w:hAnsi="Times New Roman"/>
          <w:sz w:val="24"/>
          <w:szCs w:val="24"/>
          <w:lang w:val="bg-BG" w:eastAsia="bg-BG"/>
        </w:rPr>
        <w:t xml:space="preserve">На основание чл. 31, ал. 2 от </w:t>
      </w:r>
      <w:proofErr w:type="spellStart"/>
      <w:r w:rsidRPr="000E4044">
        <w:rPr>
          <w:rFonts w:ascii="Times New Roman" w:hAnsi="Times New Roman"/>
          <w:sz w:val="24"/>
          <w:szCs w:val="24"/>
          <w:lang w:val="bg-BG" w:eastAsia="bg-BG"/>
        </w:rPr>
        <w:t>Устройствения</w:t>
      </w:r>
      <w:proofErr w:type="spellEnd"/>
      <w:r w:rsidRPr="000E4044">
        <w:rPr>
          <w:rFonts w:ascii="Times New Roman" w:hAnsi="Times New Roman"/>
          <w:sz w:val="24"/>
          <w:szCs w:val="24"/>
          <w:lang w:val="bg-BG" w:eastAsia="bg-BG"/>
        </w:rPr>
        <w:t xml:space="preserve"> правилник на Министерския съвет и на неговата администрация, внасям за разглеждане от Министерския съвет проект на постановление </w:t>
      </w:r>
      <w:r w:rsidR="00C512AD" w:rsidRPr="000E4044">
        <w:rPr>
          <w:rFonts w:ascii="Times New Roman" w:hAnsi="Times New Roman"/>
          <w:sz w:val="24"/>
          <w:szCs w:val="24"/>
          <w:lang w:val="bg-BG"/>
        </w:rPr>
        <w:t>на Министерския съвет за изменение и допълнение на нормативни актове</w:t>
      </w:r>
      <w:r w:rsidR="00A513CE" w:rsidRPr="000E4044">
        <w:rPr>
          <w:rFonts w:ascii="Times New Roman" w:hAnsi="Times New Roman"/>
          <w:sz w:val="24"/>
          <w:szCs w:val="24"/>
          <w:lang w:val="bg-BG"/>
        </w:rPr>
        <w:t>.</w:t>
      </w:r>
    </w:p>
    <w:p w:rsidR="00804836" w:rsidRDefault="00C512AD" w:rsidP="00452CC0">
      <w:pPr>
        <w:spacing w:after="120" w:line="360" w:lineRule="auto"/>
        <w:ind w:firstLine="709"/>
        <w:jc w:val="both"/>
        <w:rPr>
          <w:rFonts w:ascii="Times New Roman" w:hAnsi="Times New Roman"/>
          <w:sz w:val="24"/>
          <w:szCs w:val="24"/>
          <w:lang w:val="bg-BG"/>
        </w:rPr>
      </w:pPr>
      <w:r w:rsidRPr="000E4044">
        <w:rPr>
          <w:rFonts w:ascii="Times New Roman" w:hAnsi="Times New Roman"/>
          <w:sz w:val="24"/>
          <w:szCs w:val="24"/>
          <w:lang w:val="bg-BG"/>
        </w:rPr>
        <w:t xml:space="preserve">С постановлението се прецизират </w:t>
      </w:r>
      <w:r w:rsidR="00AC7993" w:rsidRPr="000E4044">
        <w:rPr>
          <w:rFonts w:ascii="Times New Roman" w:hAnsi="Times New Roman"/>
          <w:sz w:val="24"/>
          <w:szCs w:val="24"/>
          <w:lang w:val="bg-BG"/>
        </w:rPr>
        <w:t xml:space="preserve">функции на </w:t>
      </w:r>
      <w:r w:rsidR="00AC7993" w:rsidRPr="000E4044">
        <w:rPr>
          <w:rFonts w:ascii="Times New Roman" w:hAnsi="Times New Roman"/>
          <w:color w:val="000000"/>
          <w:sz w:val="24"/>
          <w:szCs w:val="24"/>
          <w:lang w:val="bg-BG"/>
        </w:rPr>
        <w:t xml:space="preserve">второстепенни разпоредители с бюджет </w:t>
      </w:r>
      <w:r w:rsidR="00AC7993" w:rsidRPr="000E4044">
        <w:rPr>
          <w:rFonts w:ascii="Times New Roman" w:hAnsi="Times New Roman"/>
          <w:sz w:val="24"/>
          <w:szCs w:val="24"/>
          <w:lang w:val="bg-BG"/>
        </w:rPr>
        <w:t>към министъра на земеделието, храните и горите</w:t>
      </w:r>
      <w:r w:rsidRPr="000E4044">
        <w:rPr>
          <w:rFonts w:ascii="Times New Roman" w:hAnsi="Times New Roman"/>
          <w:sz w:val="24"/>
          <w:szCs w:val="24"/>
          <w:lang w:val="bg-BG"/>
        </w:rPr>
        <w:t>. Необходимо е</w:t>
      </w:r>
      <w:r w:rsidR="00AC7993" w:rsidRPr="000E4044">
        <w:rPr>
          <w:rFonts w:ascii="Times New Roman" w:hAnsi="Times New Roman"/>
          <w:sz w:val="24"/>
          <w:szCs w:val="24"/>
          <w:lang w:val="bg-BG"/>
        </w:rPr>
        <w:t xml:space="preserve"> и</w:t>
      </w:r>
      <w:r w:rsidRPr="000E4044">
        <w:rPr>
          <w:rFonts w:ascii="Times New Roman" w:hAnsi="Times New Roman"/>
          <w:sz w:val="24"/>
          <w:szCs w:val="24"/>
          <w:lang w:val="bg-BG"/>
        </w:rPr>
        <w:t xml:space="preserve"> </w:t>
      </w:r>
      <w:r w:rsidR="00AC7993" w:rsidRPr="000E4044">
        <w:rPr>
          <w:rFonts w:ascii="Times New Roman" w:hAnsi="Times New Roman"/>
          <w:sz w:val="24"/>
          <w:szCs w:val="24"/>
          <w:lang w:val="bg-BG"/>
        </w:rPr>
        <w:t xml:space="preserve">подобряване на административния капацитет в определени административни звена, което ще доведе и до промяна на числеността на щатните им бройки. </w:t>
      </w:r>
    </w:p>
    <w:p w:rsidR="00AC7993" w:rsidRPr="000E4044" w:rsidRDefault="00AC7993" w:rsidP="00452CC0">
      <w:pPr>
        <w:spacing w:after="120" w:line="360" w:lineRule="auto"/>
        <w:ind w:firstLine="709"/>
        <w:jc w:val="both"/>
        <w:rPr>
          <w:rFonts w:ascii="Times New Roman" w:hAnsi="Times New Roman"/>
          <w:sz w:val="24"/>
          <w:szCs w:val="24"/>
          <w:lang w:val="bg-BG"/>
        </w:rPr>
      </w:pPr>
      <w:r w:rsidRPr="000E4044">
        <w:rPr>
          <w:rFonts w:ascii="Times New Roman" w:hAnsi="Times New Roman"/>
          <w:sz w:val="24"/>
          <w:szCs w:val="24"/>
          <w:lang w:val="bg-BG"/>
        </w:rPr>
        <w:t>Изменят се:</w:t>
      </w:r>
    </w:p>
    <w:p w:rsidR="00AC7993" w:rsidRPr="000E4044" w:rsidRDefault="00AC7993" w:rsidP="00452CC0">
      <w:pPr>
        <w:spacing w:after="120" w:line="360" w:lineRule="auto"/>
        <w:ind w:firstLine="709"/>
        <w:jc w:val="both"/>
        <w:rPr>
          <w:rFonts w:ascii="Times New Roman" w:hAnsi="Times New Roman"/>
          <w:sz w:val="24"/>
          <w:szCs w:val="24"/>
          <w:lang w:val="bg-BG"/>
        </w:rPr>
      </w:pPr>
      <w:proofErr w:type="spellStart"/>
      <w:r w:rsidRPr="000E4044">
        <w:rPr>
          <w:rFonts w:ascii="Times New Roman" w:hAnsi="Times New Roman"/>
          <w:sz w:val="24"/>
          <w:szCs w:val="24"/>
          <w:lang w:val="bg-BG"/>
        </w:rPr>
        <w:t>Устройствения</w:t>
      </w:r>
      <w:proofErr w:type="spellEnd"/>
      <w:r w:rsidRPr="000E4044">
        <w:rPr>
          <w:rFonts w:ascii="Times New Roman" w:hAnsi="Times New Roman"/>
          <w:sz w:val="24"/>
          <w:szCs w:val="24"/>
          <w:lang w:val="bg-BG"/>
        </w:rPr>
        <w:t xml:space="preserve"> правилник на Държавен фонд Земеделие (</w:t>
      </w:r>
      <w:proofErr w:type="spellStart"/>
      <w:r w:rsidRPr="000E4044">
        <w:rPr>
          <w:rFonts w:ascii="Times New Roman" w:hAnsi="Times New Roman"/>
          <w:sz w:val="24"/>
          <w:szCs w:val="24"/>
          <w:lang w:val="bg-BG"/>
        </w:rPr>
        <w:t>Обн</w:t>
      </w:r>
      <w:proofErr w:type="spellEnd"/>
      <w:r w:rsidRPr="000E4044">
        <w:rPr>
          <w:rFonts w:ascii="Times New Roman" w:hAnsi="Times New Roman"/>
          <w:sz w:val="24"/>
          <w:szCs w:val="24"/>
          <w:lang w:val="bg-BG"/>
        </w:rPr>
        <w:t xml:space="preserve">., ДВ, </w:t>
      </w:r>
      <w:hyperlink r:id="rId10" w:history="1">
        <w:r w:rsidRPr="000E4044">
          <w:rPr>
            <w:rStyle w:val="Hyperlink"/>
            <w:rFonts w:ascii="Times New Roman" w:hAnsi="Times New Roman"/>
            <w:color w:val="auto"/>
            <w:sz w:val="24"/>
            <w:szCs w:val="24"/>
            <w:u w:val="none"/>
            <w:lang w:val="bg-BG"/>
          </w:rPr>
          <w:t>бр. 55</w:t>
        </w:r>
      </w:hyperlink>
      <w:r w:rsidRPr="000E4044">
        <w:rPr>
          <w:rFonts w:ascii="Times New Roman" w:hAnsi="Times New Roman"/>
          <w:sz w:val="24"/>
          <w:szCs w:val="24"/>
          <w:lang w:val="bg-BG"/>
        </w:rPr>
        <w:t xml:space="preserve"> от 20.07.2012 г., изм., </w:t>
      </w:r>
      <w:hyperlink r:id="rId11" w:history="1">
        <w:r w:rsidRPr="000E4044">
          <w:rPr>
            <w:rStyle w:val="Hyperlink"/>
            <w:rFonts w:ascii="Times New Roman" w:hAnsi="Times New Roman"/>
            <w:color w:val="auto"/>
            <w:sz w:val="24"/>
            <w:szCs w:val="24"/>
            <w:u w:val="none"/>
            <w:lang w:val="bg-BG"/>
          </w:rPr>
          <w:t>бр. 60</w:t>
        </w:r>
      </w:hyperlink>
      <w:r w:rsidRPr="000E4044">
        <w:rPr>
          <w:rFonts w:ascii="Times New Roman" w:hAnsi="Times New Roman"/>
          <w:sz w:val="24"/>
          <w:szCs w:val="24"/>
          <w:lang w:val="bg-BG"/>
        </w:rPr>
        <w:t xml:space="preserve"> от 2014 г., </w:t>
      </w:r>
      <w:hyperlink r:id="rId12" w:history="1">
        <w:r w:rsidRPr="000E4044">
          <w:rPr>
            <w:rStyle w:val="Hyperlink"/>
            <w:rFonts w:ascii="Times New Roman" w:hAnsi="Times New Roman"/>
            <w:color w:val="auto"/>
            <w:sz w:val="24"/>
            <w:szCs w:val="24"/>
            <w:u w:val="none"/>
            <w:lang w:val="bg-BG"/>
          </w:rPr>
          <w:t>бр. 30</w:t>
        </w:r>
      </w:hyperlink>
      <w:r w:rsidRPr="000E4044">
        <w:rPr>
          <w:rFonts w:ascii="Times New Roman" w:hAnsi="Times New Roman"/>
          <w:sz w:val="24"/>
          <w:szCs w:val="24"/>
          <w:lang w:val="bg-BG"/>
        </w:rPr>
        <w:t xml:space="preserve"> от 2015 г., </w:t>
      </w:r>
      <w:hyperlink r:id="rId13" w:history="1">
        <w:r w:rsidRPr="000E4044">
          <w:rPr>
            <w:rStyle w:val="Hyperlink"/>
            <w:rFonts w:ascii="Times New Roman" w:hAnsi="Times New Roman"/>
            <w:color w:val="auto"/>
            <w:sz w:val="24"/>
            <w:szCs w:val="24"/>
            <w:u w:val="none"/>
            <w:lang w:val="bg-BG"/>
          </w:rPr>
          <w:t>бр. 34</w:t>
        </w:r>
      </w:hyperlink>
      <w:r w:rsidRPr="000E4044">
        <w:rPr>
          <w:rFonts w:ascii="Times New Roman" w:hAnsi="Times New Roman"/>
          <w:sz w:val="24"/>
          <w:szCs w:val="24"/>
          <w:lang w:val="bg-BG"/>
        </w:rPr>
        <w:t xml:space="preserve"> от 2016 г. и бр. 2 от 2018 г.)</w:t>
      </w:r>
    </w:p>
    <w:p w:rsidR="00AC7993" w:rsidRPr="000E4044" w:rsidRDefault="00AC7993" w:rsidP="00452CC0">
      <w:pPr>
        <w:spacing w:after="120" w:line="360" w:lineRule="auto"/>
        <w:ind w:firstLine="709"/>
        <w:jc w:val="both"/>
        <w:rPr>
          <w:rFonts w:ascii="Times New Roman" w:hAnsi="Times New Roman"/>
          <w:sz w:val="24"/>
          <w:szCs w:val="24"/>
          <w:lang w:val="bg-BG"/>
        </w:rPr>
      </w:pPr>
      <w:proofErr w:type="spellStart"/>
      <w:r w:rsidRPr="000E4044">
        <w:rPr>
          <w:rStyle w:val="newdocreference1"/>
          <w:rFonts w:ascii="Times New Roman" w:hAnsi="Times New Roman"/>
          <w:color w:val="auto"/>
          <w:sz w:val="24"/>
          <w:szCs w:val="24"/>
          <w:u w:val="none"/>
          <w:lang w:val="bg-BG"/>
        </w:rPr>
        <w:lastRenderedPageBreak/>
        <w:t>Устройствения</w:t>
      </w:r>
      <w:proofErr w:type="spellEnd"/>
      <w:r w:rsidRPr="000E4044">
        <w:rPr>
          <w:rStyle w:val="newdocreference1"/>
          <w:rFonts w:ascii="Times New Roman" w:hAnsi="Times New Roman"/>
          <w:color w:val="auto"/>
          <w:sz w:val="24"/>
          <w:szCs w:val="24"/>
          <w:u w:val="none"/>
          <w:lang w:val="bg-BG"/>
        </w:rPr>
        <w:t xml:space="preserve"> правилник на Изпълнителна агенция „</w:t>
      </w:r>
      <w:proofErr w:type="spellStart"/>
      <w:r w:rsidRPr="000E4044">
        <w:rPr>
          <w:rStyle w:val="newdocreference1"/>
          <w:rFonts w:ascii="Times New Roman" w:hAnsi="Times New Roman"/>
          <w:color w:val="auto"/>
          <w:sz w:val="24"/>
          <w:szCs w:val="24"/>
          <w:u w:val="none"/>
          <w:lang w:val="bg-BG"/>
        </w:rPr>
        <w:t>Сертификационен</w:t>
      </w:r>
      <w:proofErr w:type="spellEnd"/>
      <w:r w:rsidRPr="000E4044">
        <w:rPr>
          <w:rStyle w:val="newdocreference1"/>
          <w:rFonts w:ascii="Times New Roman" w:hAnsi="Times New Roman"/>
          <w:color w:val="auto"/>
          <w:sz w:val="24"/>
          <w:szCs w:val="24"/>
          <w:u w:val="none"/>
          <w:lang w:val="bg-BG"/>
        </w:rPr>
        <w:t xml:space="preserve"> одит на средствата от европейските земеделски фондове”</w:t>
      </w:r>
      <w:r w:rsidRPr="000E4044">
        <w:rPr>
          <w:rFonts w:ascii="Times New Roman" w:hAnsi="Times New Roman"/>
          <w:sz w:val="24"/>
          <w:szCs w:val="24"/>
          <w:lang w:val="bg-BG"/>
        </w:rPr>
        <w:t>(</w:t>
      </w:r>
      <w:proofErr w:type="spellStart"/>
      <w:r w:rsidRPr="000E4044">
        <w:rPr>
          <w:rFonts w:ascii="Times New Roman" w:hAnsi="Times New Roman"/>
          <w:sz w:val="24"/>
          <w:szCs w:val="24"/>
          <w:lang w:val="bg-BG"/>
        </w:rPr>
        <w:t>Обн</w:t>
      </w:r>
      <w:proofErr w:type="spellEnd"/>
      <w:r w:rsidRPr="000E4044">
        <w:rPr>
          <w:rFonts w:ascii="Times New Roman" w:hAnsi="Times New Roman"/>
          <w:sz w:val="24"/>
          <w:szCs w:val="24"/>
          <w:lang w:val="bg-BG"/>
        </w:rPr>
        <w:t>., ДВ, бр. 32 от 2016 г.; изм. бр. 68 от 2016 г., бр. 94 от 2017 г. и бр. 104 от 2018 г.);</w:t>
      </w:r>
    </w:p>
    <w:p w:rsidR="00AC7993" w:rsidRPr="000E4044" w:rsidRDefault="00AC7993" w:rsidP="00452CC0">
      <w:pPr>
        <w:spacing w:after="120" w:line="360" w:lineRule="auto"/>
        <w:ind w:firstLine="709"/>
        <w:jc w:val="both"/>
        <w:textAlignment w:val="center"/>
        <w:rPr>
          <w:rFonts w:ascii="Times New Roman" w:hAnsi="Times New Roman"/>
          <w:bCs/>
          <w:iCs/>
          <w:sz w:val="24"/>
          <w:szCs w:val="24"/>
          <w:lang w:val="bg-BG" w:eastAsia="bg-BG"/>
        </w:rPr>
      </w:pPr>
      <w:proofErr w:type="spellStart"/>
      <w:r w:rsidRPr="000E4044">
        <w:rPr>
          <w:rFonts w:ascii="Times New Roman" w:hAnsi="Times New Roman"/>
          <w:bCs/>
          <w:sz w:val="24"/>
          <w:szCs w:val="24"/>
          <w:lang w:val="bg-BG" w:eastAsia="bg-BG"/>
        </w:rPr>
        <w:t>Устройствения</w:t>
      </w:r>
      <w:proofErr w:type="spellEnd"/>
      <w:r w:rsidRPr="000E4044">
        <w:rPr>
          <w:rFonts w:ascii="Times New Roman" w:hAnsi="Times New Roman"/>
          <w:bCs/>
          <w:sz w:val="24"/>
          <w:szCs w:val="24"/>
          <w:lang w:val="bg-BG" w:eastAsia="bg-BG"/>
        </w:rPr>
        <w:t xml:space="preserve"> правилник на Изпълнителната агенция по рибарство и </w:t>
      </w:r>
      <w:proofErr w:type="spellStart"/>
      <w:r w:rsidRPr="000E4044">
        <w:rPr>
          <w:rFonts w:ascii="Times New Roman" w:hAnsi="Times New Roman"/>
          <w:bCs/>
          <w:sz w:val="24"/>
          <w:szCs w:val="24"/>
          <w:lang w:val="bg-BG" w:eastAsia="bg-BG"/>
        </w:rPr>
        <w:t>аквакултури</w:t>
      </w:r>
      <w:proofErr w:type="spellEnd"/>
      <w:r w:rsidRPr="000E4044">
        <w:rPr>
          <w:rFonts w:ascii="Times New Roman" w:hAnsi="Times New Roman"/>
          <w:bCs/>
          <w:sz w:val="24"/>
          <w:szCs w:val="24"/>
          <w:lang w:val="bg-BG" w:eastAsia="bg-BG"/>
        </w:rPr>
        <w:t xml:space="preserve"> (</w:t>
      </w:r>
      <w:proofErr w:type="spellStart"/>
      <w:r w:rsidRPr="000E4044">
        <w:rPr>
          <w:rFonts w:ascii="Times New Roman" w:hAnsi="Times New Roman"/>
          <w:iCs/>
          <w:sz w:val="24"/>
          <w:szCs w:val="24"/>
          <w:lang w:val="bg-BG" w:eastAsia="bg-BG"/>
        </w:rPr>
        <w:t>Обн</w:t>
      </w:r>
      <w:proofErr w:type="spellEnd"/>
      <w:r w:rsidRPr="000E4044">
        <w:rPr>
          <w:rFonts w:ascii="Times New Roman" w:hAnsi="Times New Roman"/>
          <w:iCs/>
          <w:sz w:val="24"/>
          <w:szCs w:val="24"/>
          <w:lang w:val="bg-BG" w:eastAsia="bg-BG"/>
        </w:rPr>
        <w:t>. ДВ. бр.</w:t>
      </w:r>
      <w:r w:rsidRPr="000E4044">
        <w:rPr>
          <w:rFonts w:ascii="Times New Roman" w:hAnsi="Times New Roman"/>
          <w:bCs/>
          <w:sz w:val="24"/>
          <w:szCs w:val="24"/>
          <w:lang w:val="bg-BG" w:eastAsia="bg-BG"/>
        </w:rPr>
        <w:t>41</w:t>
      </w:r>
      <w:r w:rsidRPr="000E4044">
        <w:rPr>
          <w:rFonts w:ascii="Times New Roman" w:hAnsi="Times New Roman"/>
          <w:iCs/>
          <w:sz w:val="24"/>
          <w:szCs w:val="24"/>
          <w:lang w:val="bg-BG" w:eastAsia="bg-BG"/>
        </w:rPr>
        <w:t xml:space="preserve"> от 2010 г., изм. бр.</w:t>
      </w:r>
      <w:r w:rsidRPr="000E4044">
        <w:rPr>
          <w:rFonts w:ascii="Times New Roman" w:hAnsi="Times New Roman"/>
          <w:bCs/>
          <w:sz w:val="24"/>
          <w:szCs w:val="24"/>
          <w:lang w:val="bg-BG" w:eastAsia="bg-BG"/>
        </w:rPr>
        <w:t>14</w:t>
      </w:r>
      <w:r w:rsidRPr="000E4044">
        <w:rPr>
          <w:rFonts w:ascii="Times New Roman" w:hAnsi="Times New Roman"/>
          <w:iCs/>
          <w:sz w:val="24"/>
          <w:szCs w:val="24"/>
          <w:lang w:val="bg-BG" w:eastAsia="bg-BG"/>
        </w:rPr>
        <w:t xml:space="preserve"> от 2012 г., бр.</w:t>
      </w:r>
      <w:r w:rsidRPr="000E4044">
        <w:rPr>
          <w:rFonts w:ascii="Times New Roman" w:hAnsi="Times New Roman"/>
          <w:bCs/>
          <w:sz w:val="24"/>
          <w:szCs w:val="24"/>
          <w:lang w:val="bg-BG" w:eastAsia="bg-BG"/>
        </w:rPr>
        <w:t>91</w:t>
      </w:r>
      <w:r w:rsidRPr="000E4044">
        <w:rPr>
          <w:rFonts w:ascii="Times New Roman" w:hAnsi="Times New Roman"/>
          <w:iCs/>
          <w:sz w:val="24"/>
          <w:szCs w:val="24"/>
          <w:lang w:val="bg-BG" w:eastAsia="bg-BG"/>
        </w:rPr>
        <w:t xml:space="preserve"> от 2013 г., бр.</w:t>
      </w:r>
      <w:r w:rsidRPr="000E4044">
        <w:rPr>
          <w:rFonts w:ascii="Times New Roman" w:hAnsi="Times New Roman"/>
          <w:bCs/>
          <w:sz w:val="24"/>
          <w:szCs w:val="24"/>
          <w:lang w:val="bg-BG" w:eastAsia="bg-BG"/>
        </w:rPr>
        <w:t>29</w:t>
      </w:r>
      <w:r w:rsidRPr="000E4044">
        <w:rPr>
          <w:rFonts w:ascii="Times New Roman" w:hAnsi="Times New Roman"/>
          <w:iCs/>
          <w:sz w:val="24"/>
          <w:szCs w:val="24"/>
          <w:lang w:val="bg-BG" w:eastAsia="bg-BG"/>
        </w:rPr>
        <w:t xml:space="preserve"> от 2015 г. и </w:t>
      </w:r>
      <w:r w:rsidRPr="000E4044">
        <w:rPr>
          <w:rFonts w:ascii="Times New Roman" w:hAnsi="Times New Roman"/>
          <w:bCs/>
          <w:iCs/>
          <w:sz w:val="24"/>
          <w:szCs w:val="24"/>
          <w:lang w:val="bg-BG" w:eastAsia="bg-BG"/>
        </w:rPr>
        <w:t xml:space="preserve"> бр.62 от 2016 г.</w:t>
      </w:r>
    </w:p>
    <w:p w:rsidR="00AC7993" w:rsidRPr="000E4044" w:rsidRDefault="00AC7993" w:rsidP="00452CC0">
      <w:pPr>
        <w:spacing w:after="120" w:line="360" w:lineRule="auto"/>
        <w:ind w:firstLine="709"/>
        <w:jc w:val="both"/>
        <w:textAlignment w:val="center"/>
        <w:rPr>
          <w:rFonts w:ascii="Times New Roman" w:hAnsi="Times New Roman"/>
          <w:bCs/>
          <w:iCs/>
          <w:sz w:val="24"/>
          <w:szCs w:val="24"/>
          <w:lang w:val="bg-BG" w:eastAsia="bg-BG"/>
        </w:rPr>
      </w:pPr>
      <w:proofErr w:type="spellStart"/>
      <w:r w:rsidRPr="000E4044">
        <w:rPr>
          <w:rFonts w:ascii="Times New Roman" w:hAnsi="Times New Roman"/>
          <w:bCs/>
          <w:sz w:val="24"/>
          <w:szCs w:val="24"/>
          <w:lang w:val="bg-BG"/>
        </w:rPr>
        <w:t>Устройствения</w:t>
      </w:r>
      <w:proofErr w:type="spellEnd"/>
      <w:r w:rsidRPr="000E4044">
        <w:rPr>
          <w:rFonts w:ascii="Times New Roman" w:hAnsi="Times New Roman"/>
          <w:bCs/>
          <w:sz w:val="24"/>
          <w:szCs w:val="24"/>
          <w:lang w:val="bg-BG"/>
        </w:rPr>
        <w:t xml:space="preserve"> правилник на Центъра за оценка на риска по хранителната верига (</w:t>
      </w:r>
      <w:proofErr w:type="spellStart"/>
      <w:r w:rsidRPr="000E4044">
        <w:rPr>
          <w:rFonts w:ascii="Times New Roman" w:hAnsi="Times New Roman"/>
          <w:bCs/>
          <w:iCs/>
          <w:sz w:val="24"/>
          <w:szCs w:val="24"/>
          <w:lang w:val="bg-BG"/>
        </w:rPr>
        <w:t>Обн</w:t>
      </w:r>
      <w:proofErr w:type="spellEnd"/>
      <w:r w:rsidRPr="000E4044">
        <w:rPr>
          <w:rFonts w:ascii="Times New Roman" w:hAnsi="Times New Roman"/>
          <w:bCs/>
          <w:iCs/>
          <w:sz w:val="24"/>
          <w:szCs w:val="24"/>
          <w:lang w:val="bg-BG"/>
        </w:rPr>
        <w:t>. ДВ. бр.71 от 2016 г.)</w:t>
      </w:r>
    </w:p>
    <w:p w:rsidR="00AC7993" w:rsidRPr="000E4044" w:rsidRDefault="00AC7993" w:rsidP="00452CC0">
      <w:pPr>
        <w:spacing w:after="120" w:line="360" w:lineRule="auto"/>
        <w:ind w:firstLine="709"/>
        <w:jc w:val="both"/>
        <w:rPr>
          <w:rFonts w:ascii="Times New Roman" w:hAnsi="Times New Roman"/>
          <w:sz w:val="24"/>
          <w:szCs w:val="24"/>
          <w:lang w:val="bg-BG"/>
        </w:rPr>
      </w:pPr>
      <w:r w:rsidRPr="000E4044">
        <w:rPr>
          <w:rFonts w:ascii="Times New Roman" w:hAnsi="Times New Roman"/>
          <w:sz w:val="24"/>
          <w:szCs w:val="24"/>
          <w:lang w:val="bg-BG"/>
        </w:rPr>
        <w:t xml:space="preserve">Постановление № 173 на Министерския съвет от 2011 г. за приемане на            </w:t>
      </w:r>
      <w:proofErr w:type="spellStart"/>
      <w:r w:rsidRPr="000E4044">
        <w:rPr>
          <w:rFonts w:ascii="Times New Roman" w:hAnsi="Times New Roman"/>
          <w:sz w:val="24"/>
          <w:szCs w:val="24"/>
          <w:lang w:val="bg-BG"/>
        </w:rPr>
        <w:t>Устройствен</w:t>
      </w:r>
      <w:proofErr w:type="spellEnd"/>
      <w:r w:rsidRPr="000E4044">
        <w:rPr>
          <w:rFonts w:ascii="Times New Roman" w:hAnsi="Times New Roman"/>
          <w:sz w:val="24"/>
          <w:szCs w:val="24"/>
          <w:lang w:val="bg-BG"/>
        </w:rPr>
        <w:t xml:space="preserve"> правилник на Изпълнителната агенция по горите (</w:t>
      </w:r>
      <w:proofErr w:type="spellStart"/>
      <w:r w:rsidRPr="000E4044">
        <w:rPr>
          <w:rFonts w:ascii="Times New Roman" w:hAnsi="Times New Roman"/>
          <w:sz w:val="24"/>
          <w:szCs w:val="24"/>
          <w:lang w:val="bg-BG"/>
        </w:rPr>
        <w:t>обн</w:t>
      </w:r>
      <w:proofErr w:type="spellEnd"/>
      <w:r w:rsidRPr="000E4044">
        <w:rPr>
          <w:rFonts w:ascii="Times New Roman" w:hAnsi="Times New Roman"/>
          <w:sz w:val="24"/>
          <w:szCs w:val="24"/>
          <w:lang w:val="bg-BG"/>
        </w:rPr>
        <w:t xml:space="preserve">., ДВ, бр. 49 от 2011 г., изм., бр. 48 от 2012 г., бр. 91 от 2013 г., изм. бр. 29 от 2015 г., </w:t>
      </w:r>
      <w:hyperlink r:id="rId14" w:history="1">
        <w:r w:rsidRPr="000E4044">
          <w:rPr>
            <w:rStyle w:val="Hyperlink"/>
            <w:rFonts w:ascii="Times New Roman" w:hAnsi="Times New Roman"/>
            <w:color w:val="auto"/>
            <w:sz w:val="24"/>
            <w:szCs w:val="24"/>
            <w:u w:val="none"/>
            <w:lang w:val="bg-BG"/>
          </w:rPr>
          <w:t>бр. 32</w:t>
        </w:r>
      </w:hyperlink>
      <w:r w:rsidRPr="000E4044">
        <w:rPr>
          <w:rFonts w:ascii="Times New Roman" w:hAnsi="Times New Roman"/>
          <w:sz w:val="24"/>
          <w:szCs w:val="24"/>
          <w:lang w:val="bg-BG"/>
        </w:rPr>
        <w:t xml:space="preserve"> и 71 от 2016 г., бр. 94 от 2017 г. и бр. 2, 64, 66 и 104 от 2018 г.)</w:t>
      </w:r>
    </w:p>
    <w:p w:rsidR="00AC7993" w:rsidRPr="000E4044" w:rsidRDefault="00AC7993" w:rsidP="00452CC0">
      <w:pPr>
        <w:spacing w:after="120" w:line="360" w:lineRule="auto"/>
        <w:ind w:firstLine="709"/>
        <w:jc w:val="both"/>
        <w:rPr>
          <w:rFonts w:ascii="Times New Roman" w:hAnsi="Times New Roman"/>
          <w:sz w:val="24"/>
          <w:szCs w:val="24"/>
          <w:lang w:val="bg-BG"/>
        </w:rPr>
      </w:pPr>
      <w:r w:rsidRPr="000E4044">
        <w:rPr>
          <w:rStyle w:val="newdocreference1"/>
          <w:rFonts w:ascii="Times New Roman" w:hAnsi="Times New Roman"/>
          <w:color w:val="auto"/>
          <w:sz w:val="24"/>
          <w:szCs w:val="24"/>
          <w:u w:val="none"/>
          <w:lang w:val="bg-BG"/>
        </w:rPr>
        <w:t xml:space="preserve">Постановление № 125 на Министерския съвет от 2006 г. за приемане на </w:t>
      </w:r>
      <w:proofErr w:type="spellStart"/>
      <w:r w:rsidRPr="000E4044">
        <w:rPr>
          <w:rStyle w:val="newdocreference1"/>
          <w:rFonts w:ascii="Times New Roman" w:hAnsi="Times New Roman"/>
          <w:color w:val="auto"/>
          <w:sz w:val="24"/>
          <w:szCs w:val="24"/>
          <w:u w:val="none"/>
          <w:lang w:val="bg-BG"/>
        </w:rPr>
        <w:t>Устройствен</w:t>
      </w:r>
      <w:proofErr w:type="spellEnd"/>
      <w:r w:rsidRPr="000E4044">
        <w:rPr>
          <w:rStyle w:val="newdocreference1"/>
          <w:rFonts w:ascii="Times New Roman" w:hAnsi="Times New Roman"/>
          <w:color w:val="auto"/>
          <w:sz w:val="24"/>
          <w:szCs w:val="24"/>
          <w:u w:val="none"/>
          <w:lang w:val="bg-BG"/>
        </w:rPr>
        <w:t xml:space="preserve"> правилник на Министерството на земеделието и храните</w:t>
      </w:r>
      <w:r w:rsidRPr="000E4044">
        <w:rPr>
          <w:rFonts w:ascii="Times New Roman" w:hAnsi="Times New Roman"/>
          <w:sz w:val="24"/>
          <w:szCs w:val="24"/>
          <w:lang w:val="bg-BG"/>
        </w:rPr>
        <w:t xml:space="preserve"> (</w:t>
      </w:r>
      <w:proofErr w:type="spellStart"/>
      <w:r w:rsidRPr="000E4044">
        <w:rPr>
          <w:rFonts w:ascii="Times New Roman" w:hAnsi="Times New Roman"/>
          <w:sz w:val="24"/>
          <w:szCs w:val="24"/>
          <w:lang w:val="bg-BG"/>
        </w:rPr>
        <w:t>обн</w:t>
      </w:r>
      <w:proofErr w:type="spellEnd"/>
      <w:r w:rsidRPr="000E4044">
        <w:rPr>
          <w:rFonts w:ascii="Times New Roman" w:hAnsi="Times New Roman"/>
          <w:sz w:val="24"/>
          <w:szCs w:val="24"/>
          <w:lang w:val="bg-BG"/>
        </w:rPr>
        <w:t>., ДВ, бр. 48 от 2006 г.; изм. и доп., бр. 15, 62 и 77 от 2007 г., бр. 71, 76 и 83 от 2008 г., бр. 3, 42, 84 и 90 от 2009 г., бр. 4, 22, 41, 84 и 101 от 2010 г., бр. 9, 15, 49, 50, 52, 59 и 72 от 2011 г., бр. 14, 48, 84 и 103 от 2012 г., бр. 77 от 2013 г., бр. 29, 50 и 68 от 2015 г., бр. 12, 32, 62, 71 и 76 от 2016 г., бр. 55 и 94 от 2017 г. и бр. 64 и 66 от 2018 г.)</w:t>
      </w:r>
    </w:p>
    <w:p w:rsidR="00C74432" w:rsidRPr="000E4044" w:rsidRDefault="00986C72" w:rsidP="00452CC0">
      <w:pPr>
        <w:spacing w:after="120" w:line="360" w:lineRule="auto"/>
        <w:ind w:firstLine="709"/>
        <w:jc w:val="both"/>
        <w:rPr>
          <w:rFonts w:ascii="Times New Roman" w:hAnsi="Times New Roman"/>
          <w:sz w:val="24"/>
          <w:szCs w:val="24"/>
          <w:lang w:val="bg-BG"/>
        </w:rPr>
      </w:pPr>
      <w:r w:rsidRPr="000E4044">
        <w:rPr>
          <w:rFonts w:ascii="Times New Roman" w:hAnsi="Times New Roman"/>
          <w:sz w:val="24"/>
          <w:szCs w:val="24"/>
          <w:lang w:val="bg-BG"/>
        </w:rPr>
        <w:t xml:space="preserve">Промени по отношение на </w:t>
      </w:r>
      <w:r w:rsidR="00C74432" w:rsidRPr="000E4044">
        <w:rPr>
          <w:rFonts w:ascii="Times New Roman" w:hAnsi="Times New Roman"/>
          <w:sz w:val="24"/>
          <w:szCs w:val="24"/>
          <w:lang w:val="bg-BG"/>
        </w:rPr>
        <w:t>Държавен фонд „Земеделие”:</w:t>
      </w:r>
    </w:p>
    <w:p w:rsidR="00C74432" w:rsidRPr="000E4044" w:rsidRDefault="00C74432" w:rsidP="00452CC0">
      <w:pPr>
        <w:spacing w:after="120" w:line="360" w:lineRule="auto"/>
        <w:ind w:firstLine="709"/>
        <w:jc w:val="both"/>
        <w:rPr>
          <w:rFonts w:ascii="Times New Roman" w:hAnsi="Times New Roman"/>
          <w:sz w:val="24"/>
          <w:szCs w:val="24"/>
          <w:lang w:val="bg-BG"/>
        </w:rPr>
      </w:pPr>
      <w:r w:rsidRPr="000E4044">
        <w:rPr>
          <w:rFonts w:ascii="Times New Roman" w:hAnsi="Times New Roman"/>
          <w:sz w:val="24"/>
          <w:szCs w:val="24"/>
          <w:lang w:val="bg-BG"/>
        </w:rPr>
        <w:t>Във връзка с промените в Наредба № 4 от 2017 г. за прилагане на мярка 14 "Хуманно отношение към животните" от Програмата за развитие на селските райони за периода 2014 – 2020 г. и добавени нови функции по прилагане мярка 14 от Програмата за развитие на селските райони 2014-2020 се налага промяна в административните звена в структурата на ДФЗ. По реда на тази наредба се подпомагат земеделски стопани, които се задължават да спазват доброволно поети ангажименти за изпълнение на дейности, допринасящи за хуманното отношение към едрите преживни животни (ЕПЖ) и/или дребните преживни животни (ДПЖ), които надхвърлят задължителните минимални стандарти съгласно правото на Европейския съюз. Прилагането на тази мярка обосновава необходимост от разписване на функции на административно звено в ДФЗ, което да приема и изплаща финансовата помощ по подадените по мярката заявления. В тази връзка се добавят текстове, които да определят структурата в ДФЗ, която да отговаря за изпълнение на мярка 14 като методически ръководи и контролира териториалните структури при изпълнение на задълженията им по цитираната мярка. Административния капацитет се налага да бъде увеличен с 6 щатни бройки.</w:t>
      </w:r>
    </w:p>
    <w:p w:rsidR="00C74432" w:rsidRPr="000E4044" w:rsidRDefault="00C74432" w:rsidP="00452CC0">
      <w:pPr>
        <w:tabs>
          <w:tab w:val="left" w:pos="851"/>
        </w:tabs>
        <w:spacing w:after="120" w:line="360" w:lineRule="auto"/>
        <w:ind w:firstLine="709"/>
        <w:jc w:val="both"/>
        <w:rPr>
          <w:rFonts w:ascii="Times New Roman" w:hAnsi="Times New Roman"/>
          <w:sz w:val="24"/>
          <w:szCs w:val="24"/>
          <w:lang w:val="bg-BG"/>
        </w:rPr>
      </w:pPr>
      <w:r w:rsidRPr="000E4044">
        <w:rPr>
          <w:rFonts w:ascii="Times New Roman" w:hAnsi="Times New Roman"/>
          <w:sz w:val="24"/>
          <w:szCs w:val="24"/>
          <w:lang w:val="bg-BG"/>
        </w:rPr>
        <w:lastRenderedPageBreak/>
        <w:t xml:space="preserve">На следващо място поради приключили ангажименти по програма САПАРД съответната дирекция се закрива. Също така е необходимо прецизиране на функциите разписани в </w:t>
      </w:r>
      <w:proofErr w:type="spellStart"/>
      <w:r w:rsidRPr="000E4044">
        <w:rPr>
          <w:rFonts w:ascii="Times New Roman" w:hAnsi="Times New Roman"/>
          <w:sz w:val="24"/>
          <w:szCs w:val="24"/>
          <w:lang w:val="bg-BG"/>
        </w:rPr>
        <w:t>Устройствения</w:t>
      </w:r>
      <w:proofErr w:type="spellEnd"/>
      <w:r w:rsidRPr="000E4044">
        <w:rPr>
          <w:rFonts w:ascii="Times New Roman" w:hAnsi="Times New Roman"/>
          <w:sz w:val="24"/>
          <w:szCs w:val="24"/>
          <w:lang w:val="bg-BG"/>
        </w:rPr>
        <w:t xml:space="preserve"> правилник за дейността на дирекция „Вътрешен одит“, дирекция „Противодействие на измамите”, дирекция „Обществени поръчки“,  дирекция „Правна” и на Инспектората. </w:t>
      </w:r>
    </w:p>
    <w:p w:rsidR="00C74432" w:rsidRPr="000E4044" w:rsidRDefault="00C74432" w:rsidP="00452CC0">
      <w:pPr>
        <w:widowControl w:val="0"/>
        <w:autoSpaceDE w:val="0"/>
        <w:autoSpaceDN w:val="0"/>
        <w:adjustRightInd w:val="0"/>
        <w:spacing w:after="120" w:line="360" w:lineRule="auto"/>
        <w:ind w:firstLine="709"/>
        <w:jc w:val="both"/>
        <w:rPr>
          <w:rFonts w:ascii="Times New Roman" w:hAnsi="Times New Roman"/>
          <w:bCs/>
          <w:sz w:val="24"/>
          <w:szCs w:val="24"/>
          <w:lang w:val="bg-BG"/>
        </w:rPr>
      </w:pPr>
      <w:r w:rsidRPr="000E4044">
        <w:rPr>
          <w:rFonts w:ascii="Times New Roman" w:hAnsi="Times New Roman"/>
          <w:bCs/>
          <w:sz w:val="24"/>
          <w:szCs w:val="24"/>
          <w:lang w:val="bg-BG"/>
        </w:rPr>
        <w:t>Във връзка с обезпечаване изпълнението на  цялостен контрол от ДФ „Земеделие“ на големия набор от изисквания по „Кръстосано съответствие“ се налага увеличаване на административния капацитет в дирекция „Технически инспекторат“ и в областните дирекции на Държавен фонд „Земеделие“ с 12 щатни бройки.</w:t>
      </w:r>
    </w:p>
    <w:p w:rsidR="00C74432" w:rsidRPr="000E4044" w:rsidRDefault="00C74432" w:rsidP="00452CC0">
      <w:pPr>
        <w:spacing w:after="120" w:line="360" w:lineRule="auto"/>
        <w:ind w:firstLine="709"/>
        <w:jc w:val="both"/>
        <w:textAlignment w:val="center"/>
        <w:rPr>
          <w:rFonts w:ascii="Times New Roman" w:hAnsi="Times New Roman"/>
          <w:sz w:val="24"/>
          <w:szCs w:val="24"/>
          <w:lang w:val="bg-BG"/>
        </w:rPr>
      </w:pPr>
      <w:r w:rsidRPr="000E4044">
        <w:rPr>
          <w:rFonts w:ascii="Times New Roman" w:hAnsi="Times New Roman"/>
          <w:bCs/>
          <w:sz w:val="24"/>
          <w:szCs w:val="24"/>
          <w:lang w:val="bg-BG"/>
        </w:rPr>
        <w:t xml:space="preserve">В своята същност „Кръстосаното съответствие“ представлява набор от правила които е необходимо да бъдат спазвани, за да получават земеделските стопани пълния размер на финансовите инструменти за подпомагане (субсидии). Тези правила са изложени в националните стандарти за добро земеделско и екологично състояние (НС за ДЗЕС) и в </w:t>
      </w:r>
      <w:proofErr w:type="spellStart"/>
      <w:r w:rsidRPr="000E4044">
        <w:rPr>
          <w:rFonts w:ascii="Times New Roman" w:hAnsi="Times New Roman"/>
          <w:bCs/>
          <w:sz w:val="24"/>
          <w:szCs w:val="24"/>
          <w:lang w:val="bg-BG"/>
        </w:rPr>
        <w:t>законоустановените</w:t>
      </w:r>
      <w:proofErr w:type="spellEnd"/>
      <w:r w:rsidRPr="000E4044">
        <w:rPr>
          <w:rFonts w:ascii="Times New Roman" w:hAnsi="Times New Roman"/>
          <w:bCs/>
          <w:sz w:val="24"/>
          <w:szCs w:val="24"/>
          <w:lang w:val="bg-BG"/>
        </w:rPr>
        <w:t xml:space="preserve"> изисквания за управление (ЗИУ).</w:t>
      </w:r>
      <w:r w:rsidRPr="000E4044">
        <w:rPr>
          <w:rFonts w:ascii="Times New Roman" w:hAnsi="Times New Roman"/>
          <w:sz w:val="24"/>
          <w:szCs w:val="24"/>
          <w:lang w:val="bg-BG"/>
        </w:rPr>
        <w:t xml:space="preserve"> На основание чл. 42, ал. 2 от Закона за подпомагане на земеделските производители министърът на земеделието, храните и горите одобрява със заповед ръководство за прилагане на </w:t>
      </w:r>
      <w:proofErr w:type="spellStart"/>
      <w:r w:rsidRPr="000E4044">
        <w:rPr>
          <w:rFonts w:ascii="Times New Roman" w:hAnsi="Times New Roman"/>
          <w:sz w:val="24"/>
          <w:szCs w:val="24"/>
          <w:lang w:val="bg-BG"/>
        </w:rPr>
        <w:t>законоустановените</w:t>
      </w:r>
      <w:proofErr w:type="spellEnd"/>
      <w:r w:rsidRPr="000E4044">
        <w:rPr>
          <w:rFonts w:ascii="Times New Roman" w:hAnsi="Times New Roman"/>
          <w:sz w:val="24"/>
          <w:szCs w:val="24"/>
          <w:lang w:val="bg-BG"/>
        </w:rPr>
        <w:t xml:space="preserve"> изисквания за управление и методика за прилагане на кръстосаното съответствие, както и промените в тях, и ги публикува на </w:t>
      </w:r>
      <w:hyperlink r:id="rId15" w:tgtFrame="_blank" w:history="1">
        <w:r w:rsidRPr="000E4044">
          <w:rPr>
            <w:rStyle w:val="Hyperlink"/>
            <w:rFonts w:ascii="Times New Roman" w:hAnsi="Times New Roman"/>
            <w:color w:val="auto"/>
            <w:sz w:val="24"/>
            <w:szCs w:val="24"/>
            <w:u w:val="none"/>
            <w:lang w:val="bg-BG"/>
          </w:rPr>
          <w:t>интернет страницата</w:t>
        </w:r>
      </w:hyperlink>
      <w:r w:rsidRPr="000E4044">
        <w:rPr>
          <w:rFonts w:ascii="Times New Roman" w:hAnsi="Times New Roman"/>
          <w:sz w:val="24"/>
          <w:szCs w:val="24"/>
          <w:lang w:val="bg-BG"/>
        </w:rPr>
        <w:t xml:space="preserve"> на министерството.</w:t>
      </w:r>
    </w:p>
    <w:p w:rsidR="00C74432" w:rsidRPr="000E4044" w:rsidRDefault="00C74432" w:rsidP="00452CC0">
      <w:pPr>
        <w:widowControl w:val="0"/>
        <w:autoSpaceDE w:val="0"/>
        <w:autoSpaceDN w:val="0"/>
        <w:adjustRightInd w:val="0"/>
        <w:spacing w:after="120" w:line="360" w:lineRule="auto"/>
        <w:ind w:firstLine="709"/>
        <w:jc w:val="both"/>
        <w:rPr>
          <w:rFonts w:ascii="Times New Roman" w:hAnsi="Times New Roman"/>
          <w:bCs/>
          <w:sz w:val="24"/>
          <w:szCs w:val="24"/>
          <w:lang w:val="bg-BG"/>
        </w:rPr>
      </w:pPr>
      <w:r w:rsidRPr="000E4044">
        <w:rPr>
          <w:rFonts w:ascii="Times New Roman" w:hAnsi="Times New Roman"/>
          <w:bCs/>
          <w:sz w:val="24"/>
          <w:szCs w:val="24"/>
          <w:lang w:val="bg-BG"/>
        </w:rPr>
        <w:t xml:space="preserve">Към момента ДФЗ-РА извършва проверки на място на НС за ДЗЕС и 2 ЗИУ (с 33 изисквания), като останалите 11 ЗИУ (с 99 изисквания) се проверяват от Българска агенция по безопасност на храните, като разширяването на обхвата на проверките и коя администрация какви проверки ще извършва ще се определи със заповедта на министъра на земеделието, храните и горите, издадена на основание чл. 42, ал. 2 от ЗПЗП. </w:t>
      </w:r>
    </w:p>
    <w:p w:rsidR="00C74432" w:rsidRPr="000E4044" w:rsidRDefault="00C74432" w:rsidP="00452CC0">
      <w:pPr>
        <w:widowControl w:val="0"/>
        <w:autoSpaceDE w:val="0"/>
        <w:autoSpaceDN w:val="0"/>
        <w:adjustRightInd w:val="0"/>
        <w:spacing w:after="120" w:line="360" w:lineRule="auto"/>
        <w:ind w:firstLine="709"/>
        <w:jc w:val="both"/>
        <w:rPr>
          <w:rFonts w:ascii="Times New Roman" w:hAnsi="Times New Roman"/>
          <w:bCs/>
          <w:sz w:val="24"/>
          <w:szCs w:val="24"/>
          <w:lang w:val="bg-BG"/>
        </w:rPr>
      </w:pPr>
      <w:r w:rsidRPr="000E4044">
        <w:rPr>
          <w:rFonts w:ascii="Times New Roman" w:hAnsi="Times New Roman"/>
          <w:bCs/>
          <w:sz w:val="24"/>
          <w:szCs w:val="24"/>
          <w:lang w:val="bg-BG"/>
        </w:rPr>
        <w:t xml:space="preserve">Разширяването обхвата на контрола по „Кръстосано съответствие“, който ще се извършва от ДФЗ е продиктувано от незадоволителни  констатации по извършени одити от страна на структурите на Европейската комисия, ангажирани в одит на изпълнението на законодателството в областта на земеделието, в частта на проверките по кръстосано съответствие. </w:t>
      </w:r>
    </w:p>
    <w:p w:rsidR="00C74432" w:rsidRPr="000E4044" w:rsidRDefault="00C74432" w:rsidP="00452CC0">
      <w:pPr>
        <w:widowControl w:val="0"/>
        <w:autoSpaceDE w:val="0"/>
        <w:autoSpaceDN w:val="0"/>
        <w:adjustRightInd w:val="0"/>
        <w:spacing w:after="120" w:line="360" w:lineRule="auto"/>
        <w:ind w:firstLine="709"/>
        <w:jc w:val="both"/>
        <w:rPr>
          <w:rFonts w:ascii="Times New Roman" w:hAnsi="Times New Roman"/>
          <w:bCs/>
          <w:sz w:val="24"/>
          <w:szCs w:val="24"/>
          <w:lang w:val="bg-BG"/>
        </w:rPr>
      </w:pPr>
      <w:r w:rsidRPr="000E4044">
        <w:rPr>
          <w:rFonts w:ascii="Times New Roman" w:hAnsi="Times New Roman"/>
          <w:bCs/>
          <w:sz w:val="24"/>
          <w:szCs w:val="24"/>
          <w:lang w:val="bg-BG"/>
        </w:rPr>
        <w:t xml:space="preserve">С предложените действия ще се постигне увереност на държавата по отношение изпълнението на ангажиментите, свързани с прилагане на изискванията на европейското и национално законодателство. </w:t>
      </w:r>
    </w:p>
    <w:p w:rsidR="00C74432" w:rsidRPr="000E4044" w:rsidRDefault="00C74432" w:rsidP="00452CC0">
      <w:pPr>
        <w:spacing w:after="120" w:line="360" w:lineRule="auto"/>
        <w:ind w:firstLine="709"/>
        <w:jc w:val="both"/>
        <w:rPr>
          <w:rFonts w:ascii="Times New Roman" w:hAnsi="Times New Roman"/>
          <w:sz w:val="24"/>
          <w:szCs w:val="24"/>
          <w:lang w:val="bg-BG"/>
        </w:rPr>
      </w:pPr>
      <w:r w:rsidRPr="000E4044">
        <w:rPr>
          <w:rFonts w:ascii="Times New Roman" w:hAnsi="Times New Roman"/>
          <w:sz w:val="24"/>
          <w:szCs w:val="24"/>
          <w:lang w:val="bg-BG"/>
        </w:rPr>
        <w:t>Увеличаването на числеността на ДФЗ с общо 18 бройки ще бъде за сметка на намаляване числеността на ИАРА с 6 бройки и на регионалните дирекции по горите към Изпълнителна агенция по горите с 12 бройки.</w:t>
      </w:r>
    </w:p>
    <w:p w:rsidR="00C74432" w:rsidRPr="000E4044" w:rsidRDefault="00986C72" w:rsidP="00452CC0">
      <w:pPr>
        <w:spacing w:after="120" w:line="360" w:lineRule="auto"/>
        <w:ind w:firstLine="709"/>
        <w:jc w:val="both"/>
        <w:rPr>
          <w:rFonts w:ascii="Times New Roman" w:hAnsi="Times New Roman"/>
          <w:sz w:val="24"/>
          <w:szCs w:val="24"/>
          <w:lang w:val="bg-BG"/>
        </w:rPr>
      </w:pPr>
      <w:r w:rsidRPr="000E4044">
        <w:rPr>
          <w:rFonts w:ascii="Times New Roman" w:hAnsi="Times New Roman"/>
          <w:sz w:val="24"/>
          <w:szCs w:val="24"/>
          <w:lang w:val="bg-BG"/>
        </w:rPr>
        <w:lastRenderedPageBreak/>
        <w:t xml:space="preserve">Промени по отношение на </w:t>
      </w:r>
      <w:r w:rsidR="00C74432" w:rsidRPr="000E4044">
        <w:rPr>
          <w:rStyle w:val="newdocreference1"/>
          <w:rFonts w:ascii="Times New Roman" w:hAnsi="Times New Roman"/>
          <w:color w:val="auto"/>
          <w:sz w:val="24"/>
          <w:szCs w:val="24"/>
          <w:u w:val="none"/>
          <w:lang w:val="bg-BG"/>
        </w:rPr>
        <w:t>Изпълнителна агенция „</w:t>
      </w:r>
      <w:proofErr w:type="spellStart"/>
      <w:r w:rsidR="00C74432" w:rsidRPr="000E4044">
        <w:rPr>
          <w:rStyle w:val="newdocreference1"/>
          <w:rFonts w:ascii="Times New Roman" w:hAnsi="Times New Roman"/>
          <w:color w:val="auto"/>
          <w:sz w:val="24"/>
          <w:szCs w:val="24"/>
          <w:u w:val="none"/>
          <w:lang w:val="bg-BG"/>
        </w:rPr>
        <w:t>Сертификационен</w:t>
      </w:r>
      <w:proofErr w:type="spellEnd"/>
      <w:r w:rsidR="00C74432" w:rsidRPr="000E4044">
        <w:rPr>
          <w:rStyle w:val="newdocreference1"/>
          <w:rFonts w:ascii="Times New Roman" w:hAnsi="Times New Roman"/>
          <w:color w:val="auto"/>
          <w:sz w:val="24"/>
          <w:szCs w:val="24"/>
          <w:u w:val="none"/>
          <w:lang w:val="bg-BG"/>
        </w:rPr>
        <w:t xml:space="preserve"> одит на средствата от европейските земеделски фондове”</w:t>
      </w:r>
      <w:r w:rsidRPr="000E4044">
        <w:rPr>
          <w:rStyle w:val="newdocreference1"/>
          <w:rFonts w:ascii="Times New Roman" w:hAnsi="Times New Roman"/>
          <w:color w:val="auto"/>
          <w:sz w:val="24"/>
          <w:szCs w:val="24"/>
          <w:u w:val="none"/>
          <w:lang w:val="bg-BG"/>
        </w:rPr>
        <w:t>:</w:t>
      </w:r>
    </w:p>
    <w:p w:rsidR="00C74432" w:rsidRPr="000E4044" w:rsidRDefault="00986C72" w:rsidP="00452CC0">
      <w:pPr>
        <w:spacing w:after="120" w:line="360" w:lineRule="auto"/>
        <w:ind w:firstLine="709"/>
        <w:jc w:val="both"/>
        <w:rPr>
          <w:rFonts w:ascii="Times New Roman" w:hAnsi="Times New Roman"/>
          <w:sz w:val="24"/>
          <w:szCs w:val="24"/>
          <w:lang w:val="bg-BG"/>
        </w:rPr>
      </w:pPr>
      <w:r w:rsidRPr="000E4044">
        <w:rPr>
          <w:rStyle w:val="newdocreference1"/>
          <w:rFonts w:ascii="Times New Roman" w:hAnsi="Times New Roman"/>
          <w:color w:val="auto"/>
          <w:sz w:val="24"/>
          <w:szCs w:val="24"/>
          <w:u w:val="none"/>
          <w:lang w:val="bg-BG"/>
        </w:rPr>
        <w:t>Изпълнителна агенция „</w:t>
      </w:r>
      <w:proofErr w:type="spellStart"/>
      <w:r w:rsidRPr="000E4044">
        <w:rPr>
          <w:rStyle w:val="newdocreference1"/>
          <w:rFonts w:ascii="Times New Roman" w:hAnsi="Times New Roman"/>
          <w:color w:val="auto"/>
          <w:sz w:val="24"/>
          <w:szCs w:val="24"/>
          <w:u w:val="none"/>
          <w:lang w:val="bg-BG"/>
        </w:rPr>
        <w:t>Сертификационен</w:t>
      </w:r>
      <w:proofErr w:type="spellEnd"/>
      <w:r w:rsidRPr="000E4044">
        <w:rPr>
          <w:rStyle w:val="newdocreference1"/>
          <w:rFonts w:ascii="Times New Roman" w:hAnsi="Times New Roman"/>
          <w:color w:val="auto"/>
          <w:sz w:val="24"/>
          <w:szCs w:val="24"/>
          <w:u w:val="none"/>
          <w:lang w:val="bg-BG"/>
        </w:rPr>
        <w:t xml:space="preserve"> одит на средствата от европейските земеделски фондове</w:t>
      </w:r>
      <w:r w:rsidRPr="000E4044">
        <w:rPr>
          <w:rFonts w:ascii="Times New Roman" w:hAnsi="Times New Roman"/>
          <w:sz w:val="24"/>
          <w:szCs w:val="24"/>
          <w:lang w:val="bg-BG"/>
        </w:rPr>
        <w:t xml:space="preserve"> </w:t>
      </w:r>
      <w:r w:rsidR="00C74432" w:rsidRPr="000E4044">
        <w:rPr>
          <w:rFonts w:ascii="Times New Roman" w:hAnsi="Times New Roman"/>
          <w:sz w:val="24"/>
          <w:szCs w:val="24"/>
          <w:lang w:val="bg-BG"/>
        </w:rPr>
        <w:t xml:space="preserve">изпълнява функции на: </w:t>
      </w:r>
    </w:p>
    <w:p w:rsidR="00C74432" w:rsidRPr="000E4044" w:rsidRDefault="00C74432" w:rsidP="00452CC0">
      <w:pPr>
        <w:spacing w:after="120" w:line="360" w:lineRule="auto"/>
        <w:ind w:firstLine="709"/>
        <w:jc w:val="both"/>
        <w:rPr>
          <w:rFonts w:ascii="Times New Roman" w:hAnsi="Times New Roman"/>
          <w:sz w:val="24"/>
          <w:szCs w:val="24"/>
          <w:lang w:val="bg-BG"/>
        </w:rPr>
      </w:pPr>
      <w:r w:rsidRPr="000E4044">
        <w:rPr>
          <w:rFonts w:ascii="Times New Roman" w:hAnsi="Times New Roman"/>
          <w:sz w:val="24"/>
          <w:szCs w:val="24"/>
          <w:lang w:val="bg-BG"/>
        </w:rPr>
        <w:t>1. сертифициращ орган по Европейския фонд за гарантиране на земеделието (ЕФГЗ) и Европейския земеделски фонд за развитие на селските райони (ЕЗФРСР);</w:t>
      </w:r>
    </w:p>
    <w:p w:rsidR="00C74432" w:rsidRPr="000E4044" w:rsidRDefault="00C74432" w:rsidP="00452CC0">
      <w:pPr>
        <w:spacing w:after="120" w:line="360" w:lineRule="auto"/>
        <w:ind w:firstLine="709"/>
        <w:jc w:val="both"/>
        <w:rPr>
          <w:rFonts w:ascii="Times New Roman" w:hAnsi="Times New Roman"/>
          <w:sz w:val="24"/>
          <w:szCs w:val="24"/>
          <w:lang w:val="bg-BG"/>
        </w:rPr>
      </w:pPr>
      <w:r w:rsidRPr="000E4044">
        <w:rPr>
          <w:rFonts w:ascii="Times New Roman" w:hAnsi="Times New Roman"/>
          <w:sz w:val="24"/>
          <w:szCs w:val="24"/>
          <w:lang w:val="bg-BG"/>
        </w:rPr>
        <w:t xml:space="preserve">2. </w:t>
      </w:r>
      <w:proofErr w:type="spellStart"/>
      <w:r w:rsidRPr="000E4044">
        <w:rPr>
          <w:rFonts w:ascii="Times New Roman" w:hAnsi="Times New Roman"/>
          <w:sz w:val="24"/>
          <w:szCs w:val="24"/>
          <w:lang w:val="bg-BG"/>
        </w:rPr>
        <w:t>одитен</w:t>
      </w:r>
      <w:proofErr w:type="spellEnd"/>
      <w:r w:rsidRPr="000E4044">
        <w:rPr>
          <w:rFonts w:ascii="Times New Roman" w:hAnsi="Times New Roman"/>
          <w:sz w:val="24"/>
          <w:szCs w:val="24"/>
          <w:lang w:val="bg-BG"/>
        </w:rPr>
        <w:t xml:space="preserve"> орган по Европейския фонд за морско дело и рибарство (ЕФМДР).</w:t>
      </w:r>
    </w:p>
    <w:p w:rsidR="00C74432" w:rsidRPr="000E4044" w:rsidRDefault="00C74432" w:rsidP="00452CC0">
      <w:pPr>
        <w:spacing w:after="120" w:line="360" w:lineRule="auto"/>
        <w:ind w:firstLine="709"/>
        <w:jc w:val="both"/>
        <w:rPr>
          <w:rFonts w:ascii="Times New Roman" w:hAnsi="Times New Roman"/>
          <w:sz w:val="24"/>
          <w:szCs w:val="24"/>
          <w:lang w:val="bg-BG"/>
        </w:rPr>
      </w:pPr>
      <w:r w:rsidRPr="000E4044">
        <w:rPr>
          <w:rFonts w:ascii="Times New Roman" w:hAnsi="Times New Roman"/>
          <w:sz w:val="24"/>
          <w:szCs w:val="24"/>
          <w:lang w:val="bg-BG"/>
        </w:rPr>
        <w:t xml:space="preserve">Необходимо е спазване на нормативно определени срокове и качествено изпълнение на </w:t>
      </w:r>
      <w:proofErr w:type="spellStart"/>
      <w:r w:rsidRPr="000E4044">
        <w:rPr>
          <w:rFonts w:ascii="Times New Roman" w:hAnsi="Times New Roman"/>
          <w:sz w:val="24"/>
          <w:szCs w:val="24"/>
          <w:lang w:val="bg-BG"/>
        </w:rPr>
        <w:t>одитните</w:t>
      </w:r>
      <w:proofErr w:type="spellEnd"/>
      <w:r w:rsidRPr="000E4044">
        <w:rPr>
          <w:rFonts w:ascii="Times New Roman" w:hAnsi="Times New Roman"/>
          <w:sz w:val="24"/>
          <w:szCs w:val="24"/>
          <w:lang w:val="bg-BG"/>
        </w:rPr>
        <w:t xml:space="preserve"> ангажименти по ЕФГЗ, ЕЗФРСР и ЕФМДР в съответствие с изискванията на приложимите регламенти на Европейския съюз и международно признатите </w:t>
      </w:r>
      <w:proofErr w:type="spellStart"/>
      <w:r w:rsidRPr="000E4044">
        <w:rPr>
          <w:rFonts w:ascii="Times New Roman" w:hAnsi="Times New Roman"/>
          <w:sz w:val="24"/>
          <w:szCs w:val="24"/>
          <w:lang w:val="bg-BG"/>
        </w:rPr>
        <w:t>одитни</w:t>
      </w:r>
      <w:proofErr w:type="spellEnd"/>
      <w:r w:rsidRPr="000E4044">
        <w:rPr>
          <w:rFonts w:ascii="Times New Roman" w:hAnsi="Times New Roman"/>
          <w:sz w:val="24"/>
          <w:szCs w:val="24"/>
          <w:lang w:val="bg-BG"/>
        </w:rPr>
        <w:t xml:space="preserve"> стандарти. </w:t>
      </w:r>
    </w:p>
    <w:p w:rsidR="00C74432" w:rsidRPr="000E4044" w:rsidRDefault="00C74432" w:rsidP="00452CC0">
      <w:pPr>
        <w:spacing w:after="120" w:line="360" w:lineRule="auto"/>
        <w:ind w:firstLine="709"/>
        <w:jc w:val="both"/>
        <w:rPr>
          <w:rFonts w:ascii="Times New Roman" w:hAnsi="Times New Roman"/>
          <w:sz w:val="24"/>
          <w:szCs w:val="24"/>
          <w:lang w:val="bg-BG"/>
        </w:rPr>
      </w:pPr>
      <w:r w:rsidRPr="000E4044">
        <w:rPr>
          <w:rFonts w:ascii="Times New Roman" w:hAnsi="Times New Roman"/>
          <w:sz w:val="24"/>
          <w:szCs w:val="24"/>
          <w:lang w:val="bg-BG"/>
        </w:rPr>
        <w:t xml:space="preserve">За целите на подготовка на </w:t>
      </w:r>
      <w:proofErr w:type="spellStart"/>
      <w:r w:rsidRPr="000E4044">
        <w:rPr>
          <w:rFonts w:ascii="Times New Roman" w:hAnsi="Times New Roman"/>
          <w:sz w:val="24"/>
          <w:szCs w:val="24"/>
          <w:lang w:val="bg-BG"/>
        </w:rPr>
        <w:t>одитните</w:t>
      </w:r>
      <w:proofErr w:type="spellEnd"/>
      <w:r w:rsidRPr="000E4044">
        <w:rPr>
          <w:rFonts w:ascii="Times New Roman" w:hAnsi="Times New Roman"/>
          <w:sz w:val="24"/>
          <w:szCs w:val="24"/>
          <w:lang w:val="bg-BG"/>
        </w:rPr>
        <w:t xml:space="preserve"> мисии се ангажира съществен човешки ресурс. Анализът показва, че се ангажират средно по седем човека за четири седмици  на мисия (две за подготовка на информацията, една за участие в самата </w:t>
      </w:r>
      <w:proofErr w:type="spellStart"/>
      <w:r w:rsidRPr="000E4044">
        <w:rPr>
          <w:rFonts w:ascii="Times New Roman" w:hAnsi="Times New Roman"/>
          <w:sz w:val="24"/>
          <w:szCs w:val="24"/>
          <w:lang w:val="bg-BG"/>
        </w:rPr>
        <w:t>одитна</w:t>
      </w:r>
      <w:proofErr w:type="spellEnd"/>
      <w:r w:rsidRPr="000E4044">
        <w:rPr>
          <w:rFonts w:ascii="Times New Roman" w:hAnsi="Times New Roman"/>
          <w:sz w:val="24"/>
          <w:szCs w:val="24"/>
          <w:lang w:val="bg-BG"/>
        </w:rPr>
        <w:t xml:space="preserve"> мисия, и една за </w:t>
      </w:r>
      <w:proofErr w:type="spellStart"/>
      <w:r w:rsidRPr="000E4044">
        <w:rPr>
          <w:rFonts w:ascii="Times New Roman" w:hAnsi="Times New Roman"/>
          <w:sz w:val="24"/>
          <w:szCs w:val="24"/>
          <w:lang w:val="bg-BG"/>
        </w:rPr>
        <w:t>последващо</w:t>
      </w:r>
      <w:proofErr w:type="spellEnd"/>
      <w:r w:rsidRPr="000E4044">
        <w:rPr>
          <w:rFonts w:ascii="Times New Roman" w:hAnsi="Times New Roman"/>
          <w:sz w:val="24"/>
          <w:szCs w:val="24"/>
          <w:lang w:val="bg-BG"/>
        </w:rPr>
        <w:t xml:space="preserve"> доуточняване на възникнали казуси и изпращане на допълнителна информация). </w:t>
      </w:r>
    </w:p>
    <w:p w:rsidR="00C74432" w:rsidRPr="000E4044" w:rsidRDefault="00C74432" w:rsidP="00452CC0">
      <w:pPr>
        <w:spacing w:after="120" w:line="360" w:lineRule="auto"/>
        <w:ind w:firstLine="709"/>
        <w:jc w:val="both"/>
        <w:rPr>
          <w:rFonts w:ascii="Times New Roman" w:hAnsi="Times New Roman"/>
          <w:lang w:val="bg-BG"/>
        </w:rPr>
      </w:pPr>
      <w:r w:rsidRPr="000E4044">
        <w:rPr>
          <w:rFonts w:ascii="Times New Roman" w:hAnsi="Times New Roman"/>
          <w:sz w:val="24"/>
          <w:szCs w:val="24"/>
          <w:lang w:val="bg-BG"/>
        </w:rPr>
        <w:t xml:space="preserve">В резултат на отделеното време за подготовка, провеждане и </w:t>
      </w:r>
      <w:proofErr w:type="spellStart"/>
      <w:r w:rsidRPr="000E4044">
        <w:rPr>
          <w:rFonts w:ascii="Times New Roman" w:hAnsi="Times New Roman"/>
          <w:sz w:val="24"/>
          <w:szCs w:val="24"/>
          <w:lang w:val="bg-BG"/>
        </w:rPr>
        <w:t>последваща</w:t>
      </w:r>
      <w:proofErr w:type="spellEnd"/>
      <w:r w:rsidRPr="000E4044">
        <w:rPr>
          <w:rFonts w:ascii="Times New Roman" w:hAnsi="Times New Roman"/>
          <w:sz w:val="24"/>
          <w:szCs w:val="24"/>
          <w:lang w:val="bg-BG"/>
        </w:rPr>
        <w:t xml:space="preserve"> комуникация, към момента има забавяне в изпълнението на графика за годишния </w:t>
      </w:r>
      <w:proofErr w:type="spellStart"/>
      <w:r w:rsidRPr="000E4044">
        <w:rPr>
          <w:rFonts w:ascii="Times New Roman" w:hAnsi="Times New Roman"/>
          <w:sz w:val="24"/>
          <w:szCs w:val="24"/>
          <w:lang w:val="bg-BG"/>
        </w:rPr>
        <w:t>сертификационен</w:t>
      </w:r>
      <w:proofErr w:type="spellEnd"/>
      <w:r w:rsidRPr="000E4044">
        <w:rPr>
          <w:rFonts w:ascii="Times New Roman" w:hAnsi="Times New Roman"/>
          <w:sz w:val="24"/>
          <w:szCs w:val="24"/>
          <w:lang w:val="bg-BG"/>
        </w:rPr>
        <w:t xml:space="preserve"> одит за финансова 2019 година. За да се минимизира риска от изоставане при изпълнението на основната функция на агенцията като сертифициращ орган, а именно своевременното и качествено извършване на сертификация на сметките по ЕФГЗ и ЕЗФРСР са необходими две допълнителни щатни бройки за дирекция „</w:t>
      </w:r>
      <w:proofErr w:type="spellStart"/>
      <w:r w:rsidRPr="000E4044">
        <w:rPr>
          <w:rFonts w:ascii="Times New Roman" w:hAnsi="Times New Roman"/>
          <w:sz w:val="24"/>
          <w:szCs w:val="24"/>
          <w:lang w:val="bg-BG"/>
        </w:rPr>
        <w:t>Одитни</w:t>
      </w:r>
      <w:proofErr w:type="spellEnd"/>
      <w:r w:rsidRPr="000E4044">
        <w:rPr>
          <w:rFonts w:ascii="Times New Roman" w:hAnsi="Times New Roman"/>
          <w:sz w:val="24"/>
          <w:szCs w:val="24"/>
          <w:lang w:val="bg-BG"/>
        </w:rPr>
        <w:t xml:space="preserve"> дейности по европейските</w:t>
      </w:r>
      <w:r w:rsidRPr="000E4044">
        <w:rPr>
          <w:rFonts w:ascii="Times New Roman" w:hAnsi="Times New Roman"/>
          <w:lang w:val="bg-BG"/>
        </w:rPr>
        <w:t xml:space="preserve"> земеделски фондове“.</w:t>
      </w:r>
    </w:p>
    <w:p w:rsidR="00C74432" w:rsidRPr="000E4044" w:rsidRDefault="00986C72" w:rsidP="00452CC0">
      <w:pPr>
        <w:spacing w:after="120" w:line="360" w:lineRule="auto"/>
        <w:ind w:firstLine="709"/>
        <w:jc w:val="both"/>
        <w:rPr>
          <w:rFonts w:ascii="Times New Roman" w:hAnsi="Times New Roman"/>
          <w:bCs/>
          <w:sz w:val="24"/>
          <w:szCs w:val="24"/>
          <w:lang w:val="bg-BG" w:eastAsia="bg-BG"/>
        </w:rPr>
      </w:pPr>
      <w:r w:rsidRPr="000E4044">
        <w:rPr>
          <w:rFonts w:ascii="Times New Roman" w:hAnsi="Times New Roman"/>
          <w:sz w:val="24"/>
          <w:szCs w:val="24"/>
          <w:lang w:val="bg-BG"/>
        </w:rPr>
        <w:t>Промени по отношение на</w:t>
      </w:r>
      <w:r w:rsidR="00C74432" w:rsidRPr="000E4044">
        <w:rPr>
          <w:rFonts w:ascii="Times New Roman" w:hAnsi="Times New Roman"/>
          <w:b/>
          <w:sz w:val="24"/>
          <w:szCs w:val="24"/>
          <w:lang w:val="bg-BG"/>
        </w:rPr>
        <w:t xml:space="preserve"> </w:t>
      </w:r>
      <w:r w:rsidR="00C74432" w:rsidRPr="000E4044">
        <w:rPr>
          <w:rFonts w:ascii="Times New Roman" w:hAnsi="Times New Roman"/>
          <w:bCs/>
          <w:sz w:val="24"/>
          <w:szCs w:val="24"/>
          <w:lang w:val="bg-BG" w:eastAsia="bg-BG"/>
        </w:rPr>
        <w:t xml:space="preserve">Изпълнителната агенция по рибарство и </w:t>
      </w:r>
      <w:proofErr w:type="spellStart"/>
      <w:r w:rsidR="00C74432" w:rsidRPr="000E4044">
        <w:rPr>
          <w:rFonts w:ascii="Times New Roman" w:hAnsi="Times New Roman"/>
          <w:bCs/>
          <w:sz w:val="24"/>
          <w:szCs w:val="24"/>
          <w:lang w:val="bg-BG" w:eastAsia="bg-BG"/>
        </w:rPr>
        <w:t>аквакултури</w:t>
      </w:r>
      <w:proofErr w:type="spellEnd"/>
      <w:r w:rsidRPr="000E4044">
        <w:rPr>
          <w:rFonts w:ascii="Times New Roman" w:hAnsi="Times New Roman"/>
          <w:bCs/>
          <w:sz w:val="24"/>
          <w:szCs w:val="24"/>
          <w:lang w:val="bg-BG" w:eastAsia="bg-BG"/>
        </w:rPr>
        <w:t>:</w:t>
      </w:r>
    </w:p>
    <w:p w:rsidR="00C74432" w:rsidRPr="000E4044" w:rsidRDefault="00C74432" w:rsidP="00452CC0">
      <w:pPr>
        <w:spacing w:after="120" w:line="360" w:lineRule="auto"/>
        <w:ind w:firstLine="709"/>
        <w:jc w:val="both"/>
        <w:rPr>
          <w:rFonts w:ascii="Times New Roman" w:hAnsi="Times New Roman"/>
          <w:sz w:val="24"/>
          <w:szCs w:val="24"/>
          <w:lang w:val="bg-BG"/>
        </w:rPr>
      </w:pPr>
      <w:r w:rsidRPr="000E4044">
        <w:rPr>
          <w:rFonts w:ascii="Times New Roman" w:hAnsi="Times New Roman"/>
          <w:sz w:val="24"/>
          <w:szCs w:val="24"/>
          <w:lang w:val="bg-BG"/>
        </w:rPr>
        <w:t>Прецизират се функциите на</w:t>
      </w:r>
      <w:r w:rsidRPr="000E4044">
        <w:rPr>
          <w:color w:val="000000"/>
          <w:sz w:val="24"/>
          <w:szCs w:val="24"/>
          <w:lang w:val="bg-BG"/>
        </w:rPr>
        <w:t xml:space="preserve"> </w:t>
      </w:r>
      <w:r w:rsidRPr="000E4044">
        <w:rPr>
          <w:rFonts w:ascii="Times New Roman" w:hAnsi="Times New Roman"/>
          <w:color w:val="000000"/>
          <w:sz w:val="24"/>
          <w:szCs w:val="24"/>
          <w:lang w:val="bg-BG"/>
        </w:rPr>
        <w:t>Главна дирекция „Рибарство и контрол”</w:t>
      </w:r>
      <w:r w:rsidRPr="000E4044">
        <w:rPr>
          <w:rFonts w:ascii="Times New Roman" w:hAnsi="Times New Roman"/>
          <w:sz w:val="24"/>
          <w:szCs w:val="24"/>
          <w:lang w:val="bg-BG" w:eastAsia="en-GB"/>
        </w:rPr>
        <w:t>, а</w:t>
      </w:r>
      <w:r w:rsidRPr="000E4044">
        <w:rPr>
          <w:rFonts w:ascii="Times New Roman" w:hAnsi="Times New Roman"/>
          <w:color w:val="000000"/>
          <w:sz w:val="24"/>
          <w:szCs w:val="24"/>
          <w:lang w:val="bg-BG"/>
        </w:rPr>
        <w:t xml:space="preserve"> дирекция "Структурни фондове по рибарство" с адрес: гр. София, бул. Христо Ботев 17 с 13 щатни бройки се закрива, като 6 щатни бройки преминават към ДФЗ, а останалите към други административни звена на ИАРА.</w:t>
      </w:r>
    </w:p>
    <w:p w:rsidR="00C74432" w:rsidRPr="000E4044" w:rsidRDefault="00986C72" w:rsidP="00452CC0">
      <w:pPr>
        <w:spacing w:after="120" w:line="360" w:lineRule="auto"/>
        <w:ind w:firstLine="709"/>
        <w:jc w:val="both"/>
        <w:rPr>
          <w:rFonts w:ascii="Times New Roman" w:hAnsi="Times New Roman"/>
          <w:sz w:val="24"/>
          <w:szCs w:val="24"/>
          <w:lang w:val="bg-BG"/>
        </w:rPr>
      </w:pPr>
      <w:r w:rsidRPr="000E4044">
        <w:rPr>
          <w:rFonts w:ascii="Times New Roman" w:hAnsi="Times New Roman"/>
          <w:sz w:val="24"/>
          <w:szCs w:val="24"/>
          <w:lang w:val="bg-BG"/>
        </w:rPr>
        <w:t>Промени по отношение на</w:t>
      </w:r>
      <w:r w:rsidRPr="000E4044">
        <w:rPr>
          <w:rFonts w:ascii="Times New Roman" w:hAnsi="Times New Roman"/>
          <w:b/>
          <w:sz w:val="24"/>
          <w:szCs w:val="24"/>
          <w:lang w:val="bg-BG"/>
        </w:rPr>
        <w:t xml:space="preserve"> </w:t>
      </w:r>
      <w:r w:rsidR="00C74432" w:rsidRPr="000E4044">
        <w:rPr>
          <w:rFonts w:ascii="Times New Roman" w:hAnsi="Times New Roman"/>
          <w:bCs/>
          <w:color w:val="000000"/>
          <w:sz w:val="24"/>
          <w:szCs w:val="24"/>
          <w:lang w:val="bg-BG"/>
        </w:rPr>
        <w:t>Центъра за оценка на риска по хранителната верига</w:t>
      </w:r>
      <w:r w:rsidRPr="000E4044">
        <w:rPr>
          <w:rFonts w:ascii="Times New Roman" w:hAnsi="Times New Roman"/>
          <w:bCs/>
          <w:color w:val="000000"/>
          <w:sz w:val="24"/>
          <w:szCs w:val="24"/>
          <w:lang w:val="bg-BG"/>
        </w:rPr>
        <w:t>:</w:t>
      </w:r>
    </w:p>
    <w:p w:rsidR="00C74432" w:rsidRPr="000E4044" w:rsidRDefault="00C74432" w:rsidP="00452CC0">
      <w:pPr>
        <w:spacing w:after="120" w:line="360" w:lineRule="auto"/>
        <w:ind w:firstLine="709"/>
        <w:jc w:val="both"/>
        <w:rPr>
          <w:rFonts w:ascii="Times New Roman" w:hAnsi="Times New Roman"/>
          <w:color w:val="000000"/>
          <w:sz w:val="24"/>
          <w:szCs w:val="24"/>
          <w:lang w:val="bg-BG"/>
        </w:rPr>
      </w:pPr>
      <w:r w:rsidRPr="000E4044">
        <w:rPr>
          <w:rFonts w:ascii="Times New Roman" w:hAnsi="Times New Roman"/>
          <w:color w:val="000000"/>
          <w:sz w:val="24"/>
          <w:szCs w:val="24"/>
          <w:lang w:val="bg-BG"/>
        </w:rPr>
        <w:t xml:space="preserve">Прецизират се функции на Дирекция "Комуникация на риска, обучение и Контактен център", тъй като Платформата за обмен на информация (IEP) на ЕОБХ вече не съществува, системата за управление на документите (DMS) остава само с </w:t>
      </w:r>
      <w:r w:rsidRPr="000E4044">
        <w:rPr>
          <w:rFonts w:ascii="Times New Roman" w:hAnsi="Times New Roman"/>
          <w:color w:val="000000"/>
          <w:sz w:val="24"/>
          <w:szCs w:val="24"/>
          <w:lang w:val="bg-BG"/>
        </w:rPr>
        <w:lastRenderedPageBreak/>
        <w:t>административни функции считано от март 2020 г., а експертната база данни към ЕОБХ също вече не съществува.</w:t>
      </w:r>
    </w:p>
    <w:p w:rsidR="00C74432" w:rsidRPr="000E4044" w:rsidRDefault="00C74432" w:rsidP="00452CC0">
      <w:pPr>
        <w:spacing w:after="120" w:line="360" w:lineRule="auto"/>
        <w:ind w:firstLine="709"/>
        <w:jc w:val="both"/>
        <w:rPr>
          <w:rFonts w:ascii="Times New Roman" w:hAnsi="Times New Roman"/>
          <w:color w:val="000000"/>
          <w:sz w:val="24"/>
          <w:szCs w:val="24"/>
          <w:lang w:val="bg-BG"/>
        </w:rPr>
      </w:pPr>
      <w:r w:rsidRPr="000E4044">
        <w:rPr>
          <w:rFonts w:ascii="Times New Roman" w:hAnsi="Times New Roman"/>
          <w:color w:val="000000"/>
          <w:sz w:val="24"/>
          <w:szCs w:val="24"/>
          <w:lang w:val="bg-BG"/>
        </w:rPr>
        <w:t>Увеличават се щатните бройки в дирекция</w:t>
      </w:r>
      <w:r w:rsidRPr="000E4044">
        <w:rPr>
          <w:color w:val="000000"/>
          <w:spacing w:val="3"/>
          <w:sz w:val="24"/>
          <w:szCs w:val="24"/>
          <w:lang w:val="bg-BG"/>
        </w:rPr>
        <w:t xml:space="preserve"> </w:t>
      </w:r>
      <w:r w:rsidRPr="000E4044">
        <w:rPr>
          <w:rFonts w:ascii="Times New Roman" w:hAnsi="Times New Roman"/>
          <w:color w:val="000000"/>
          <w:spacing w:val="3"/>
          <w:sz w:val="24"/>
          <w:szCs w:val="24"/>
          <w:lang w:val="bg-BG"/>
        </w:rPr>
        <w:t>„Продукти за</w:t>
      </w:r>
      <w:r w:rsidRPr="000E4044">
        <w:rPr>
          <w:rFonts w:ascii="Times New Roman" w:hAnsi="Times New Roman"/>
          <w:color w:val="000000"/>
          <w:sz w:val="24"/>
          <w:szCs w:val="24"/>
          <w:lang w:val="bg-BG"/>
        </w:rPr>
        <w:t xml:space="preserve"> </w:t>
      </w:r>
      <w:r w:rsidRPr="000E4044">
        <w:rPr>
          <w:rFonts w:ascii="Times New Roman" w:hAnsi="Times New Roman"/>
          <w:color w:val="000000"/>
          <w:spacing w:val="3"/>
          <w:sz w:val="24"/>
          <w:szCs w:val="24"/>
          <w:lang w:val="bg-BG"/>
        </w:rPr>
        <w:t>растителна защита, активни</w:t>
      </w:r>
      <w:r w:rsidRPr="000E4044">
        <w:rPr>
          <w:rFonts w:ascii="Times New Roman" w:hAnsi="Times New Roman"/>
          <w:color w:val="000000"/>
          <w:sz w:val="24"/>
          <w:szCs w:val="24"/>
          <w:lang w:val="bg-BG"/>
        </w:rPr>
        <w:t xml:space="preserve"> </w:t>
      </w:r>
      <w:r w:rsidRPr="000E4044">
        <w:rPr>
          <w:rFonts w:ascii="Times New Roman" w:hAnsi="Times New Roman"/>
          <w:color w:val="000000"/>
          <w:spacing w:val="3"/>
          <w:sz w:val="24"/>
          <w:szCs w:val="24"/>
          <w:lang w:val="bg-BG"/>
        </w:rPr>
        <w:t>вещества, антидоти и</w:t>
      </w:r>
      <w:r w:rsidRPr="000E4044">
        <w:rPr>
          <w:rFonts w:ascii="Times New Roman" w:hAnsi="Times New Roman"/>
          <w:color w:val="000000"/>
          <w:sz w:val="24"/>
          <w:szCs w:val="24"/>
          <w:lang w:val="bg-BG"/>
        </w:rPr>
        <w:t xml:space="preserve"> </w:t>
      </w:r>
      <w:proofErr w:type="spellStart"/>
      <w:r w:rsidRPr="000E4044">
        <w:rPr>
          <w:rFonts w:ascii="Times New Roman" w:hAnsi="Times New Roman"/>
          <w:color w:val="000000"/>
          <w:spacing w:val="3"/>
          <w:sz w:val="24"/>
          <w:szCs w:val="24"/>
          <w:lang w:val="bg-BG"/>
        </w:rPr>
        <w:t>синергисти</w:t>
      </w:r>
      <w:proofErr w:type="spellEnd"/>
      <w:r w:rsidRPr="000E4044">
        <w:rPr>
          <w:rFonts w:ascii="Times New Roman" w:hAnsi="Times New Roman"/>
          <w:color w:val="000000"/>
          <w:spacing w:val="3"/>
          <w:sz w:val="24"/>
          <w:szCs w:val="24"/>
          <w:lang w:val="bg-BG"/>
        </w:rPr>
        <w:t>”, тъй като са необходими допълнителни експерти оценители за продукти за растителна защита и активни вещества. Към момента научна оценка очакват два пъти повече досиета на продукти отколкото позволява административния капацитет на дирекцията.</w:t>
      </w:r>
    </w:p>
    <w:p w:rsidR="00C74432" w:rsidRPr="000E4044" w:rsidRDefault="00C74432" w:rsidP="00452CC0">
      <w:pPr>
        <w:spacing w:after="120" w:line="360" w:lineRule="auto"/>
        <w:ind w:firstLine="709"/>
        <w:jc w:val="both"/>
        <w:rPr>
          <w:rFonts w:ascii="Times New Roman" w:hAnsi="Times New Roman"/>
          <w:sz w:val="24"/>
          <w:szCs w:val="24"/>
          <w:lang w:val="bg-BG"/>
        </w:rPr>
      </w:pPr>
      <w:r w:rsidRPr="000E4044">
        <w:rPr>
          <w:rFonts w:ascii="Times New Roman" w:hAnsi="Times New Roman"/>
          <w:sz w:val="24"/>
          <w:szCs w:val="24"/>
          <w:lang w:val="bg-BG"/>
        </w:rPr>
        <w:t>Увеличението на числеността на персонала в ИА СОСЕЗФ с 2 бройки и в ЦОРХВ с 4 бройки ще бъде за сметка на числеността на регионалните дирекции по горите към Изпълнителна агенция по горите.</w:t>
      </w:r>
    </w:p>
    <w:p w:rsidR="00AC7993" w:rsidRPr="000E4044" w:rsidRDefault="00AC7993" w:rsidP="00452CC0">
      <w:pPr>
        <w:widowControl w:val="0"/>
        <w:autoSpaceDE w:val="0"/>
        <w:autoSpaceDN w:val="0"/>
        <w:adjustRightInd w:val="0"/>
        <w:spacing w:after="120" w:line="360" w:lineRule="auto"/>
        <w:ind w:firstLine="709"/>
        <w:jc w:val="both"/>
        <w:rPr>
          <w:rFonts w:ascii="Times New Roman" w:hAnsi="Times New Roman"/>
          <w:sz w:val="24"/>
          <w:szCs w:val="24"/>
          <w:lang w:val="bg-BG" w:eastAsia="bg-BG"/>
        </w:rPr>
      </w:pPr>
      <w:r w:rsidRPr="000E4044">
        <w:rPr>
          <w:rFonts w:ascii="Times New Roman" w:hAnsi="Times New Roman"/>
          <w:sz w:val="24"/>
          <w:szCs w:val="24"/>
          <w:lang w:val="bg-BG" w:eastAsia="bg-BG"/>
        </w:rPr>
        <w:t>Изготвеният пр</w:t>
      </w:r>
      <w:r w:rsidR="00C512AD" w:rsidRPr="000E4044">
        <w:rPr>
          <w:rFonts w:ascii="Times New Roman" w:hAnsi="Times New Roman"/>
          <w:sz w:val="24"/>
          <w:szCs w:val="24"/>
          <w:lang w:val="bg-BG" w:eastAsia="bg-BG"/>
        </w:rPr>
        <w:t>оект на п</w:t>
      </w:r>
      <w:r w:rsidRPr="000E4044">
        <w:rPr>
          <w:rFonts w:ascii="Times New Roman" w:hAnsi="Times New Roman"/>
          <w:sz w:val="24"/>
          <w:szCs w:val="24"/>
          <w:lang w:val="bg-BG" w:eastAsia="bg-BG"/>
        </w:rPr>
        <w:t>остановление</w:t>
      </w:r>
      <w:r w:rsidR="00C512AD" w:rsidRPr="000E4044">
        <w:rPr>
          <w:rFonts w:ascii="Times New Roman" w:hAnsi="Times New Roman"/>
          <w:sz w:val="24"/>
          <w:szCs w:val="24"/>
          <w:lang w:val="bg-BG" w:eastAsia="bg-BG"/>
        </w:rPr>
        <w:t xml:space="preserve"> </w:t>
      </w:r>
      <w:r w:rsidR="00C512AD" w:rsidRPr="000E4044">
        <w:rPr>
          <w:rFonts w:ascii="Times New Roman" w:hAnsi="Times New Roman"/>
          <w:sz w:val="24"/>
          <w:szCs w:val="24"/>
          <w:lang w:val="bg-BG"/>
        </w:rPr>
        <w:t>на Министерския съвет за изменение и допълнение на нормативни актове</w:t>
      </w:r>
      <w:r w:rsidRPr="000E4044">
        <w:rPr>
          <w:rFonts w:ascii="Times New Roman" w:hAnsi="Times New Roman"/>
          <w:sz w:val="24"/>
          <w:szCs w:val="24"/>
          <w:lang w:val="bg-BG" w:eastAsia="bg-BG"/>
        </w:rPr>
        <w:t xml:space="preserve"> </w:t>
      </w:r>
      <w:r w:rsidR="00A513CE" w:rsidRPr="000E4044">
        <w:rPr>
          <w:rFonts w:ascii="Times New Roman" w:hAnsi="Times New Roman"/>
          <w:sz w:val="24"/>
          <w:szCs w:val="24"/>
          <w:lang w:val="bg-BG" w:eastAsia="bg-BG"/>
        </w:rPr>
        <w:t xml:space="preserve">не е свързан с транспониране на нормативни актове на институции </w:t>
      </w:r>
      <w:r w:rsidRPr="000E4044">
        <w:rPr>
          <w:rFonts w:ascii="Times New Roman" w:hAnsi="Times New Roman"/>
          <w:sz w:val="24"/>
          <w:szCs w:val="24"/>
          <w:lang w:val="bg-BG" w:eastAsia="bg-BG"/>
        </w:rPr>
        <w:t xml:space="preserve">ЕС, с оглед на което </w:t>
      </w:r>
      <w:r w:rsidR="00C74432" w:rsidRPr="000E4044">
        <w:rPr>
          <w:rFonts w:ascii="Times New Roman" w:hAnsi="Times New Roman"/>
          <w:sz w:val="24"/>
          <w:szCs w:val="24"/>
          <w:lang w:val="bg-BG" w:eastAsia="bg-BG"/>
        </w:rPr>
        <w:t xml:space="preserve">не се налага </w:t>
      </w:r>
      <w:r w:rsidRPr="000E4044">
        <w:rPr>
          <w:rFonts w:ascii="Times New Roman" w:hAnsi="Times New Roman"/>
          <w:sz w:val="24"/>
          <w:szCs w:val="24"/>
          <w:lang w:val="bg-BG" w:eastAsia="bg-BG"/>
        </w:rPr>
        <w:t>изготвяне на таблица на съответствието с правото на ЕС.</w:t>
      </w:r>
    </w:p>
    <w:p w:rsidR="00C6775C" w:rsidRPr="000E4044" w:rsidRDefault="00AC7993" w:rsidP="00452CC0">
      <w:pPr>
        <w:spacing w:after="120" w:line="360" w:lineRule="auto"/>
        <w:ind w:firstLine="709"/>
        <w:jc w:val="both"/>
        <w:rPr>
          <w:rFonts w:ascii="Times New Roman" w:hAnsi="Times New Roman"/>
          <w:spacing w:val="-4"/>
          <w:sz w:val="24"/>
          <w:szCs w:val="24"/>
          <w:lang w:val="bg-BG"/>
        </w:rPr>
      </w:pPr>
      <w:r w:rsidRPr="000E4044">
        <w:rPr>
          <w:rFonts w:ascii="Times New Roman" w:hAnsi="Times New Roman"/>
          <w:sz w:val="24"/>
          <w:szCs w:val="24"/>
          <w:lang w:val="bg-BG" w:eastAsia="bg-BG"/>
        </w:rPr>
        <w:t>Приемането</w:t>
      </w:r>
      <w:r w:rsidR="00C512AD" w:rsidRPr="000E4044">
        <w:rPr>
          <w:rFonts w:ascii="Times New Roman" w:hAnsi="Times New Roman"/>
          <w:sz w:val="24"/>
          <w:szCs w:val="24"/>
          <w:lang w:val="bg-BG" w:eastAsia="bg-BG"/>
        </w:rPr>
        <w:t xml:space="preserve"> на проекта на п</w:t>
      </w:r>
      <w:r w:rsidRPr="000E4044">
        <w:rPr>
          <w:rFonts w:ascii="Times New Roman" w:hAnsi="Times New Roman"/>
          <w:sz w:val="24"/>
          <w:szCs w:val="24"/>
          <w:lang w:val="bg-BG" w:eastAsia="bg-BG"/>
        </w:rPr>
        <w:t xml:space="preserve">остановление </w:t>
      </w:r>
      <w:r w:rsidR="00C512AD" w:rsidRPr="000E4044">
        <w:rPr>
          <w:rFonts w:ascii="Times New Roman" w:hAnsi="Times New Roman"/>
          <w:sz w:val="24"/>
          <w:szCs w:val="24"/>
          <w:lang w:val="bg-BG"/>
        </w:rPr>
        <w:t>на Министерския съвет за изменение и допълнение на нормативни актове</w:t>
      </w:r>
      <w:r w:rsidR="00C512AD" w:rsidRPr="000E4044">
        <w:rPr>
          <w:rFonts w:ascii="Times New Roman" w:hAnsi="Times New Roman"/>
          <w:sz w:val="24"/>
          <w:szCs w:val="24"/>
          <w:lang w:val="bg-BG" w:eastAsia="bg-BG"/>
        </w:rPr>
        <w:t xml:space="preserve"> </w:t>
      </w:r>
      <w:r w:rsidRPr="000E4044">
        <w:rPr>
          <w:rFonts w:ascii="Times New Roman" w:hAnsi="Times New Roman"/>
          <w:sz w:val="24"/>
          <w:szCs w:val="24"/>
          <w:lang w:val="bg-BG" w:eastAsia="bg-BG"/>
        </w:rPr>
        <w:t xml:space="preserve">не изисква осигуряването на допълнителни финансови ресурси и </w:t>
      </w:r>
      <w:r w:rsidR="00A513CE" w:rsidRPr="000E4044">
        <w:rPr>
          <w:rFonts w:ascii="Times New Roman" w:hAnsi="Times New Roman"/>
          <w:sz w:val="24"/>
          <w:szCs w:val="24"/>
          <w:lang w:val="bg-BG" w:eastAsia="bg-BG"/>
        </w:rPr>
        <w:t xml:space="preserve">не води до </w:t>
      </w:r>
      <w:r w:rsidRPr="000E4044">
        <w:rPr>
          <w:rFonts w:ascii="Times New Roman" w:hAnsi="Times New Roman"/>
          <w:sz w:val="24"/>
          <w:szCs w:val="24"/>
          <w:lang w:val="bg-BG" w:eastAsia="bg-BG"/>
        </w:rPr>
        <w:t xml:space="preserve">въздействие върху държавния бюджет, </w:t>
      </w:r>
      <w:r w:rsidR="00A513CE" w:rsidRPr="000E4044">
        <w:rPr>
          <w:rFonts w:ascii="Times New Roman" w:hAnsi="Times New Roman"/>
          <w:bCs/>
          <w:sz w:val="24"/>
          <w:szCs w:val="24"/>
          <w:lang w:val="bg-BG" w:eastAsia="bg-BG"/>
        </w:rPr>
        <w:t xml:space="preserve">тъй като се прехвърлят само щатни бройки между отделните администрации, на които няма назначен персонал. </w:t>
      </w:r>
      <w:r w:rsidR="00C6775C" w:rsidRPr="000E4044">
        <w:rPr>
          <w:rFonts w:ascii="Times New Roman" w:hAnsi="Times New Roman"/>
          <w:spacing w:val="-4"/>
          <w:sz w:val="24"/>
          <w:szCs w:val="24"/>
          <w:lang w:val="bg-BG"/>
        </w:rPr>
        <w:t xml:space="preserve">Към проекта на постановление е приложена финансова обосновка за актове, които не водят до въздействие върху държавния бюджет, съгласно изискванията на чл. 35, ал. 1, т. 4, буква „б” от </w:t>
      </w:r>
      <w:proofErr w:type="spellStart"/>
      <w:r w:rsidR="00C6775C" w:rsidRPr="000E4044">
        <w:rPr>
          <w:rFonts w:ascii="Times New Roman" w:hAnsi="Times New Roman"/>
          <w:spacing w:val="-4"/>
          <w:sz w:val="24"/>
          <w:szCs w:val="24"/>
          <w:lang w:val="bg-BG"/>
        </w:rPr>
        <w:t>Устройствения</w:t>
      </w:r>
      <w:proofErr w:type="spellEnd"/>
      <w:r w:rsidR="00C6775C" w:rsidRPr="000E4044">
        <w:rPr>
          <w:rFonts w:ascii="Times New Roman" w:hAnsi="Times New Roman"/>
          <w:spacing w:val="-4"/>
          <w:sz w:val="24"/>
          <w:szCs w:val="24"/>
          <w:lang w:val="bg-BG"/>
        </w:rPr>
        <w:t xml:space="preserve"> правилник на Министерския съвет и на неговата администрация.</w:t>
      </w:r>
    </w:p>
    <w:p w:rsidR="00C6775C" w:rsidRPr="000E4044" w:rsidRDefault="00AC7993" w:rsidP="00452CC0">
      <w:pPr>
        <w:autoSpaceDE w:val="0"/>
        <w:autoSpaceDN w:val="0"/>
        <w:adjustRightInd w:val="0"/>
        <w:spacing w:after="120" w:line="360" w:lineRule="auto"/>
        <w:ind w:firstLine="709"/>
        <w:jc w:val="both"/>
        <w:rPr>
          <w:rFonts w:ascii="Times New Roman" w:hAnsi="Times New Roman"/>
          <w:sz w:val="24"/>
          <w:szCs w:val="24"/>
          <w:lang w:val="bg-BG"/>
        </w:rPr>
      </w:pPr>
      <w:r w:rsidRPr="000E4044">
        <w:rPr>
          <w:rFonts w:ascii="Times New Roman" w:hAnsi="Times New Roman"/>
          <w:sz w:val="24"/>
          <w:szCs w:val="24"/>
          <w:lang w:val="bg-BG"/>
        </w:rPr>
        <w:t>Съгласно чл. 26, ал. 3 и 4 от Закона за нормативните актове проектът на постановление, доклада с мотивите, частичната предварителна оценка и становището на дирекция „Модернизация на администрацията” са публикувани на интернет страницата на Министерството на земеделието, храните и горите и на Портала за обще</w:t>
      </w:r>
      <w:r w:rsidR="00C6775C" w:rsidRPr="000E4044">
        <w:rPr>
          <w:rFonts w:ascii="Times New Roman" w:hAnsi="Times New Roman"/>
          <w:sz w:val="24"/>
          <w:szCs w:val="24"/>
          <w:lang w:val="bg-BG"/>
        </w:rPr>
        <w:t>ствени консултации за срок от 30</w:t>
      </w:r>
      <w:r w:rsidRPr="000E4044">
        <w:rPr>
          <w:rFonts w:ascii="Times New Roman" w:hAnsi="Times New Roman"/>
          <w:sz w:val="24"/>
          <w:szCs w:val="24"/>
          <w:lang w:val="bg-BG"/>
        </w:rPr>
        <w:t xml:space="preserve"> дни. </w:t>
      </w:r>
    </w:p>
    <w:p w:rsidR="00AC7993" w:rsidRPr="000E4044" w:rsidRDefault="00AC7993" w:rsidP="00452CC0">
      <w:pPr>
        <w:autoSpaceDE w:val="0"/>
        <w:autoSpaceDN w:val="0"/>
        <w:adjustRightInd w:val="0"/>
        <w:spacing w:after="120" w:line="360" w:lineRule="auto"/>
        <w:ind w:firstLine="709"/>
        <w:jc w:val="both"/>
        <w:rPr>
          <w:rFonts w:ascii="Times New Roman" w:hAnsi="Times New Roman"/>
          <w:sz w:val="24"/>
          <w:szCs w:val="24"/>
          <w:lang w:val="bg-BG" w:eastAsia="bg-BG"/>
        </w:rPr>
      </w:pPr>
      <w:r w:rsidRPr="000E4044">
        <w:rPr>
          <w:rFonts w:ascii="Times New Roman" w:hAnsi="Times New Roman"/>
          <w:sz w:val="24"/>
          <w:szCs w:val="24"/>
          <w:lang w:val="bg-BG" w:eastAsia="bg-BG"/>
        </w:rPr>
        <w:t xml:space="preserve">Предложеният проект е съгласуван по реда на чл. 32 от </w:t>
      </w:r>
      <w:proofErr w:type="spellStart"/>
      <w:r w:rsidRPr="000E4044">
        <w:rPr>
          <w:rFonts w:ascii="Times New Roman" w:hAnsi="Times New Roman"/>
          <w:sz w:val="24"/>
          <w:szCs w:val="24"/>
          <w:lang w:val="bg-BG" w:eastAsia="bg-BG"/>
        </w:rPr>
        <w:t>Устройствения</w:t>
      </w:r>
      <w:proofErr w:type="spellEnd"/>
      <w:r w:rsidRPr="000E4044">
        <w:rPr>
          <w:rFonts w:ascii="Times New Roman" w:hAnsi="Times New Roman"/>
          <w:sz w:val="24"/>
          <w:szCs w:val="24"/>
          <w:lang w:val="bg-BG" w:eastAsia="bg-BG"/>
        </w:rPr>
        <w:t xml:space="preserve"> правилник на Министерския съвет и на неговата администрация, като направените целесъобразни бележки са отразени.</w:t>
      </w:r>
    </w:p>
    <w:p w:rsidR="00AC7993" w:rsidRPr="000E4044" w:rsidRDefault="00AC7993" w:rsidP="00804836">
      <w:pPr>
        <w:widowControl w:val="0"/>
        <w:autoSpaceDE w:val="0"/>
        <w:autoSpaceDN w:val="0"/>
        <w:adjustRightInd w:val="0"/>
        <w:spacing w:after="0" w:line="360" w:lineRule="auto"/>
        <w:jc w:val="both"/>
        <w:rPr>
          <w:rFonts w:ascii="Times New Roman" w:hAnsi="Times New Roman"/>
          <w:b/>
          <w:bCs/>
          <w:sz w:val="24"/>
          <w:szCs w:val="24"/>
          <w:lang w:val="bg-BG" w:eastAsia="bg-BG"/>
        </w:rPr>
      </w:pPr>
    </w:p>
    <w:p w:rsidR="00804836" w:rsidRDefault="00804836" w:rsidP="00804836">
      <w:pPr>
        <w:widowControl w:val="0"/>
        <w:autoSpaceDE w:val="0"/>
        <w:autoSpaceDN w:val="0"/>
        <w:adjustRightInd w:val="0"/>
        <w:spacing w:before="240" w:after="0" w:line="360" w:lineRule="auto"/>
        <w:rPr>
          <w:rFonts w:ascii="Times New Roman" w:hAnsi="Times New Roman"/>
          <w:b/>
          <w:bCs/>
          <w:sz w:val="24"/>
          <w:szCs w:val="24"/>
          <w:lang w:val="bg-BG" w:eastAsia="bg-BG"/>
        </w:rPr>
      </w:pPr>
      <w:r>
        <w:rPr>
          <w:rFonts w:ascii="Times New Roman" w:hAnsi="Times New Roman"/>
          <w:b/>
          <w:bCs/>
          <w:sz w:val="24"/>
          <w:szCs w:val="24"/>
          <w:lang w:val="bg-BG" w:eastAsia="bg-BG"/>
        </w:rPr>
        <w:br w:type="page"/>
      </w:r>
    </w:p>
    <w:p w:rsidR="00AC7993" w:rsidRPr="000E4044" w:rsidRDefault="00AC7993" w:rsidP="00804836">
      <w:pPr>
        <w:widowControl w:val="0"/>
        <w:autoSpaceDE w:val="0"/>
        <w:autoSpaceDN w:val="0"/>
        <w:adjustRightInd w:val="0"/>
        <w:spacing w:before="240" w:after="0" w:line="360" w:lineRule="auto"/>
        <w:rPr>
          <w:rFonts w:ascii="Times New Roman" w:hAnsi="Times New Roman"/>
          <w:b/>
          <w:bCs/>
          <w:sz w:val="24"/>
          <w:szCs w:val="24"/>
          <w:lang w:val="bg-BG" w:eastAsia="bg-BG"/>
        </w:rPr>
      </w:pPr>
      <w:r w:rsidRPr="000E4044">
        <w:rPr>
          <w:rFonts w:ascii="Times New Roman" w:hAnsi="Times New Roman"/>
          <w:b/>
          <w:bCs/>
          <w:sz w:val="24"/>
          <w:szCs w:val="24"/>
          <w:lang w:val="bg-BG" w:eastAsia="bg-BG"/>
        </w:rPr>
        <w:lastRenderedPageBreak/>
        <w:t>УВАЖАЕМИ ГОСПОДИН МИНИСТЪР-ПРЕДСЕДАТЕЛ,</w:t>
      </w:r>
    </w:p>
    <w:p w:rsidR="00AC7993" w:rsidRPr="000E4044" w:rsidRDefault="00AC7993" w:rsidP="00804836">
      <w:pPr>
        <w:widowControl w:val="0"/>
        <w:autoSpaceDE w:val="0"/>
        <w:autoSpaceDN w:val="0"/>
        <w:adjustRightInd w:val="0"/>
        <w:spacing w:after="120" w:line="360" w:lineRule="auto"/>
        <w:rPr>
          <w:rFonts w:ascii="Times New Roman" w:hAnsi="Times New Roman"/>
          <w:b/>
          <w:bCs/>
          <w:sz w:val="24"/>
          <w:szCs w:val="24"/>
          <w:lang w:val="bg-BG" w:eastAsia="bg-BG"/>
        </w:rPr>
      </w:pPr>
      <w:r w:rsidRPr="000E4044">
        <w:rPr>
          <w:rFonts w:ascii="Times New Roman" w:hAnsi="Times New Roman"/>
          <w:b/>
          <w:bCs/>
          <w:sz w:val="24"/>
          <w:szCs w:val="24"/>
          <w:lang w:val="bg-BG" w:eastAsia="bg-BG"/>
        </w:rPr>
        <w:t>УВАЖАЕМИ ГОСПОЖИ И ГОСПОДА МИНИСТРИ,</w:t>
      </w:r>
    </w:p>
    <w:p w:rsidR="00AC7993" w:rsidRPr="00452CC0" w:rsidRDefault="00AC7993" w:rsidP="00804836">
      <w:pPr>
        <w:autoSpaceDE w:val="0"/>
        <w:autoSpaceDN w:val="0"/>
        <w:adjustRightInd w:val="0"/>
        <w:spacing w:after="0" w:line="360" w:lineRule="auto"/>
        <w:ind w:firstLine="709"/>
        <w:jc w:val="both"/>
        <w:rPr>
          <w:rFonts w:ascii="Times New Roman" w:hAnsi="Times New Roman"/>
          <w:sz w:val="24"/>
          <w:szCs w:val="24"/>
          <w:lang w:val="bg-BG" w:eastAsia="bg-BG"/>
        </w:rPr>
      </w:pPr>
      <w:r w:rsidRPr="00452CC0">
        <w:rPr>
          <w:rFonts w:ascii="Times New Roman" w:hAnsi="Times New Roman"/>
          <w:sz w:val="24"/>
          <w:szCs w:val="24"/>
          <w:lang w:val="bg-BG" w:eastAsia="bg-BG"/>
        </w:rPr>
        <w:t xml:space="preserve">Във връзка с гореизложеното и на основание чл. 8, ал. 1 от </w:t>
      </w:r>
      <w:proofErr w:type="spellStart"/>
      <w:r w:rsidRPr="00452CC0">
        <w:rPr>
          <w:rFonts w:ascii="Times New Roman" w:hAnsi="Times New Roman"/>
          <w:sz w:val="24"/>
          <w:szCs w:val="24"/>
          <w:lang w:val="bg-BG" w:eastAsia="bg-BG"/>
        </w:rPr>
        <w:t>Устройствения</w:t>
      </w:r>
      <w:proofErr w:type="spellEnd"/>
      <w:r w:rsidRPr="00452CC0">
        <w:rPr>
          <w:rFonts w:ascii="Times New Roman" w:hAnsi="Times New Roman"/>
          <w:sz w:val="24"/>
          <w:szCs w:val="24"/>
          <w:lang w:val="bg-BG" w:eastAsia="bg-BG"/>
        </w:rPr>
        <w:t xml:space="preserve"> правилник на Министерския съвет и на неговата администрация предлагам Министерския съвет д</w:t>
      </w:r>
      <w:r w:rsidR="00C6775C" w:rsidRPr="00452CC0">
        <w:rPr>
          <w:rFonts w:ascii="Times New Roman" w:hAnsi="Times New Roman"/>
          <w:sz w:val="24"/>
          <w:szCs w:val="24"/>
          <w:lang w:val="bg-BG" w:eastAsia="bg-BG"/>
        </w:rPr>
        <w:t>а приеме предложения проект на п</w:t>
      </w:r>
      <w:r w:rsidRPr="00452CC0">
        <w:rPr>
          <w:rFonts w:ascii="Times New Roman" w:hAnsi="Times New Roman"/>
          <w:sz w:val="24"/>
          <w:szCs w:val="24"/>
          <w:lang w:val="bg-BG" w:eastAsia="bg-BG"/>
        </w:rPr>
        <w:t xml:space="preserve">остановление за </w:t>
      </w:r>
      <w:r w:rsidR="00C6775C" w:rsidRPr="00452CC0">
        <w:rPr>
          <w:rFonts w:ascii="Times New Roman" w:hAnsi="Times New Roman"/>
          <w:sz w:val="24"/>
          <w:szCs w:val="24"/>
          <w:lang w:val="bg-BG" w:eastAsia="bg-BG"/>
        </w:rPr>
        <w:t>изменение и допълнение на нормативни актове.</w:t>
      </w:r>
    </w:p>
    <w:p w:rsidR="00804836" w:rsidRPr="00452CC0" w:rsidRDefault="00804836" w:rsidP="00804836">
      <w:pPr>
        <w:widowControl w:val="0"/>
        <w:autoSpaceDE w:val="0"/>
        <w:autoSpaceDN w:val="0"/>
        <w:adjustRightInd w:val="0"/>
        <w:spacing w:after="0" w:line="360" w:lineRule="auto"/>
        <w:rPr>
          <w:rFonts w:ascii="Times New Roman" w:hAnsi="Times New Roman"/>
          <w:sz w:val="24"/>
          <w:szCs w:val="24"/>
          <w:lang w:val="bg-BG" w:eastAsia="bg-BG"/>
        </w:rPr>
      </w:pPr>
    </w:p>
    <w:tbl>
      <w:tblPr>
        <w:tblW w:w="9079" w:type="dxa"/>
        <w:tblInd w:w="668" w:type="dxa"/>
        <w:tblLook w:val="01E0" w:firstRow="1" w:lastRow="1" w:firstColumn="1" w:lastColumn="1" w:noHBand="0" w:noVBand="0"/>
      </w:tblPr>
      <w:tblGrid>
        <w:gridCol w:w="1781"/>
        <w:gridCol w:w="7298"/>
      </w:tblGrid>
      <w:tr w:rsidR="00804836" w:rsidRPr="00452CC0" w:rsidTr="00CC1D75">
        <w:tc>
          <w:tcPr>
            <w:tcW w:w="1781" w:type="dxa"/>
          </w:tcPr>
          <w:p w:rsidR="00804836" w:rsidRPr="00452CC0" w:rsidRDefault="00804836" w:rsidP="00804836">
            <w:pPr>
              <w:spacing w:line="360" w:lineRule="auto"/>
              <w:rPr>
                <w:rFonts w:ascii="Times New Roman" w:hAnsi="Times New Roman"/>
                <w:b/>
                <w:bCs/>
                <w:sz w:val="24"/>
                <w:szCs w:val="24"/>
                <w:lang w:val="bg-BG"/>
              </w:rPr>
            </w:pPr>
            <w:proofErr w:type="spellStart"/>
            <w:r w:rsidRPr="00452CC0">
              <w:rPr>
                <w:rFonts w:ascii="Times New Roman" w:hAnsi="Times New Roman"/>
                <w:b/>
                <w:bCs/>
                <w:sz w:val="24"/>
                <w:szCs w:val="24"/>
                <w:lang w:val="bg-BG"/>
              </w:rPr>
              <w:t>Приложениe</w:t>
            </w:r>
            <w:proofErr w:type="spellEnd"/>
            <w:r w:rsidRPr="00452CC0">
              <w:rPr>
                <w:rFonts w:ascii="Times New Roman" w:hAnsi="Times New Roman"/>
                <w:b/>
                <w:bCs/>
                <w:sz w:val="24"/>
                <w:szCs w:val="24"/>
                <w:lang w:val="bg-BG"/>
              </w:rPr>
              <w:t xml:space="preserve">: </w:t>
            </w:r>
          </w:p>
        </w:tc>
        <w:tc>
          <w:tcPr>
            <w:tcW w:w="7298" w:type="dxa"/>
          </w:tcPr>
          <w:p w:rsidR="00804836" w:rsidRPr="00452CC0" w:rsidRDefault="00804836" w:rsidP="00804836">
            <w:pPr>
              <w:pStyle w:val="ListParagraph"/>
              <w:numPr>
                <w:ilvl w:val="0"/>
                <w:numId w:val="1"/>
              </w:numPr>
              <w:spacing w:after="40" w:line="360" w:lineRule="auto"/>
              <w:jc w:val="both"/>
              <w:rPr>
                <w:rFonts w:ascii="Times New Roman" w:hAnsi="Times New Roman" w:cs="Times New Roman"/>
              </w:rPr>
            </w:pPr>
            <w:r w:rsidRPr="00452CC0">
              <w:rPr>
                <w:rFonts w:ascii="Times New Roman" w:hAnsi="Times New Roman" w:cs="Times New Roman"/>
              </w:rPr>
              <w:t xml:space="preserve">Проект на Постановление на Министерския съвет; </w:t>
            </w:r>
          </w:p>
          <w:p w:rsidR="00804836" w:rsidRPr="00452CC0" w:rsidRDefault="00804836" w:rsidP="00804836">
            <w:pPr>
              <w:pStyle w:val="ListParagraph"/>
              <w:numPr>
                <w:ilvl w:val="0"/>
                <w:numId w:val="1"/>
              </w:numPr>
              <w:spacing w:after="40" w:line="360" w:lineRule="auto"/>
              <w:jc w:val="both"/>
              <w:rPr>
                <w:rFonts w:ascii="Times New Roman" w:hAnsi="Times New Roman" w:cs="Times New Roman"/>
              </w:rPr>
            </w:pPr>
            <w:r w:rsidRPr="00452CC0">
              <w:rPr>
                <w:rFonts w:ascii="Times New Roman" w:hAnsi="Times New Roman" w:cs="Times New Roman"/>
              </w:rPr>
              <w:t>Финансова обосновка;</w:t>
            </w:r>
          </w:p>
          <w:p w:rsidR="00804836" w:rsidRPr="00452CC0" w:rsidRDefault="00804836" w:rsidP="00804836">
            <w:pPr>
              <w:pStyle w:val="ListParagraph"/>
              <w:numPr>
                <w:ilvl w:val="0"/>
                <w:numId w:val="1"/>
              </w:numPr>
              <w:spacing w:after="40" w:line="360" w:lineRule="auto"/>
              <w:jc w:val="both"/>
              <w:rPr>
                <w:rFonts w:ascii="Times New Roman" w:hAnsi="Times New Roman" w:cs="Times New Roman"/>
              </w:rPr>
            </w:pPr>
            <w:r w:rsidRPr="00452CC0">
              <w:rPr>
                <w:rFonts w:ascii="Times New Roman" w:hAnsi="Times New Roman" w:cs="Times New Roman"/>
              </w:rPr>
              <w:t>Частична предварителна оценка на въздействието;</w:t>
            </w:r>
          </w:p>
          <w:p w:rsidR="00804836" w:rsidRPr="00452CC0" w:rsidRDefault="00804836" w:rsidP="00804836">
            <w:pPr>
              <w:pStyle w:val="ListParagraph"/>
              <w:numPr>
                <w:ilvl w:val="0"/>
                <w:numId w:val="1"/>
              </w:numPr>
              <w:spacing w:after="40" w:line="360" w:lineRule="auto"/>
              <w:jc w:val="both"/>
              <w:rPr>
                <w:rFonts w:ascii="Times New Roman" w:hAnsi="Times New Roman" w:cs="Times New Roman"/>
              </w:rPr>
            </w:pPr>
            <w:r w:rsidRPr="00452CC0">
              <w:rPr>
                <w:rFonts w:ascii="Times New Roman" w:hAnsi="Times New Roman" w:cs="Times New Roman"/>
              </w:rPr>
              <w:t>Становище на дирекция „Модернизация на администрацията“, МС;</w:t>
            </w:r>
          </w:p>
          <w:p w:rsidR="00804836" w:rsidRPr="00452CC0" w:rsidRDefault="00804836" w:rsidP="00804836">
            <w:pPr>
              <w:pStyle w:val="ListParagraph"/>
              <w:numPr>
                <w:ilvl w:val="0"/>
                <w:numId w:val="1"/>
              </w:numPr>
              <w:spacing w:after="40" w:line="360" w:lineRule="auto"/>
              <w:jc w:val="both"/>
              <w:rPr>
                <w:rFonts w:ascii="Times New Roman" w:hAnsi="Times New Roman" w:cs="Times New Roman"/>
              </w:rPr>
            </w:pPr>
            <w:r w:rsidRPr="00452CC0">
              <w:rPr>
                <w:rFonts w:ascii="Times New Roman" w:hAnsi="Times New Roman" w:cs="Times New Roman"/>
              </w:rPr>
              <w:t>Справка за отразяване на постъпилите становища;</w:t>
            </w:r>
          </w:p>
          <w:p w:rsidR="00804836" w:rsidRPr="00452CC0" w:rsidRDefault="00804836" w:rsidP="00804836">
            <w:pPr>
              <w:pStyle w:val="ListParagraph"/>
              <w:numPr>
                <w:ilvl w:val="0"/>
                <w:numId w:val="1"/>
              </w:numPr>
              <w:spacing w:after="40" w:line="360" w:lineRule="auto"/>
              <w:jc w:val="both"/>
              <w:rPr>
                <w:rFonts w:ascii="Times New Roman" w:hAnsi="Times New Roman" w:cs="Times New Roman"/>
              </w:rPr>
            </w:pPr>
            <w:r w:rsidRPr="00452CC0">
              <w:rPr>
                <w:rFonts w:ascii="Times New Roman" w:hAnsi="Times New Roman" w:cs="Times New Roman"/>
              </w:rPr>
              <w:t>Получените становища;</w:t>
            </w:r>
          </w:p>
          <w:p w:rsidR="00804836" w:rsidRPr="00452CC0" w:rsidRDefault="00804836" w:rsidP="00804836">
            <w:pPr>
              <w:pStyle w:val="ListParagraph"/>
              <w:numPr>
                <w:ilvl w:val="0"/>
                <w:numId w:val="1"/>
              </w:numPr>
              <w:spacing w:after="40" w:line="360" w:lineRule="auto"/>
              <w:jc w:val="both"/>
              <w:rPr>
                <w:rFonts w:ascii="Times New Roman" w:hAnsi="Times New Roman" w:cs="Times New Roman"/>
              </w:rPr>
            </w:pPr>
            <w:r w:rsidRPr="00452CC0">
              <w:rPr>
                <w:rFonts w:ascii="Times New Roman" w:hAnsi="Times New Roman" w:cs="Times New Roman"/>
              </w:rPr>
              <w:t>Справка за отразяване на предложенията от обществената консултация;</w:t>
            </w:r>
          </w:p>
          <w:p w:rsidR="00804836" w:rsidRPr="00452CC0" w:rsidRDefault="00804836" w:rsidP="00804836">
            <w:pPr>
              <w:pStyle w:val="ListParagraph"/>
              <w:numPr>
                <w:ilvl w:val="0"/>
                <w:numId w:val="1"/>
              </w:numPr>
              <w:spacing w:after="40" w:line="360" w:lineRule="auto"/>
              <w:jc w:val="both"/>
              <w:rPr>
                <w:rFonts w:ascii="Times New Roman" w:hAnsi="Times New Roman" w:cs="Times New Roman"/>
              </w:rPr>
            </w:pPr>
            <w:r w:rsidRPr="00452CC0">
              <w:rPr>
                <w:rFonts w:ascii="Times New Roman" w:hAnsi="Times New Roman" w:cs="Times New Roman"/>
              </w:rPr>
              <w:t>Проект на съобщение за средствата за масово осведомяване.</w:t>
            </w:r>
          </w:p>
        </w:tc>
      </w:tr>
    </w:tbl>
    <w:p w:rsidR="00AC7993" w:rsidRPr="00452CC0" w:rsidRDefault="00AC7993" w:rsidP="00804836">
      <w:pPr>
        <w:widowControl w:val="0"/>
        <w:autoSpaceDE w:val="0"/>
        <w:autoSpaceDN w:val="0"/>
        <w:adjustRightInd w:val="0"/>
        <w:spacing w:after="0" w:line="360" w:lineRule="auto"/>
        <w:ind w:left="284"/>
        <w:jc w:val="both"/>
        <w:rPr>
          <w:rFonts w:ascii="Times New Roman" w:hAnsi="Times New Roman"/>
          <w:iCs/>
          <w:sz w:val="24"/>
          <w:szCs w:val="24"/>
          <w:lang w:val="bg-BG"/>
        </w:rPr>
      </w:pPr>
    </w:p>
    <w:p w:rsidR="00AC7993" w:rsidRPr="00452CC0" w:rsidRDefault="00AC7993" w:rsidP="00804836">
      <w:pPr>
        <w:widowControl w:val="0"/>
        <w:autoSpaceDE w:val="0"/>
        <w:autoSpaceDN w:val="0"/>
        <w:adjustRightInd w:val="0"/>
        <w:spacing w:after="0" w:line="360" w:lineRule="auto"/>
        <w:ind w:left="284"/>
        <w:rPr>
          <w:rFonts w:ascii="Times New Roman" w:hAnsi="Times New Roman"/>
          <w:sz w:val="24"/>
          <w:szCs w:val="24"/>
          <w:lang w:val="bg-BG" w:eastAsia="bg-BG"/>
        </w:rPr>
      </w:pPr>
    </w:p>
    <w:p w:rsidR="00AC7993" w:rsidRPr="00452CC0" w:rsidRDefault="00AC7993" w:rsidP="00804836">
      <w:pPr>
        <w:widowControl w:val="0"/>
        <w:autoSpaceDE w:val="0"/>
        <w:autoSpaceDN w:val="0"/>
        <w:adjustRightInd w:val="0"/>
        <w:spacing w:after="0" w:line="360" w:lineRule="auto"/>
        <w:ind w:left="284"/>
        <w:jc w:val="both"/>
        <w:rPr>
          <w:rFonts w:ascii="Times New Roman" w:hAnsi="Times New Roman"/>
          <w:sz w:val="24"/>
          <w:szCs w:val="24"/>
          <w:lang w:val="bg-BG" w:eastAsia="bg-BG"/>
        </w:rPr>
      </w:pPr>
      <w:r w:rsidRPr="00452CC0">
        <w:rPr>
          <w:rFonts w:ascii="Times New Roman" w:hAnsi="Times New Roman"/>
          <w:sz w:val="24"/>
          <w:szCs w:val="24"/>
          <w:lang w:val="bg-BG" w:eastAsia="bg-BG"/>
        </w:rPr>
        <w:t>С уважение,</w:t>
      </w:r>
    </w:p>
    <w:p w:rsidR="00AC7993" w:rsidRPr="00452CC0" w:rsidRDefault="00AC7993" w:rsidP="00804836">
      <w:pPr>
        <w:widowControl w:val="0"/>
        <w:autoSpaceDE w:val="0"/>
        <w:autoSpaceDN w:val="0"/>
        <w:adjustRightInd w:val="0"/>
        <w:spacing w:after="0" w:line="360" w:lineRule="auto"/>
        <w:ind w:left="284"/>
        <w:jc w:val="both"/>
        <w:rPr>
          <w:rFonts w:ascii="Times New Roman" w:hAnsi="Times New Roman"/>
          <w:b/>
          <w:bCs/>
          <w:sz w:val="24"/>
          <w:szCs w:val="24"/>
          <w:lang w:val="bg-BG" w:eastAsia="bg-BG"/>
        </w:rPr>
      </w:pPr>
    </w:p>
    <w:p w:rsidR="000E4044" w:rsidRPr="00452CC0" w:rsidRDefault="000E4044" w:rsidP="00804836">
      <w:pPr>
        <w:widowControl w:val="0"/>
        <w:autoSpaceDE w:val="0"/>
        <w:autoSpaceDN w:val="0"/>
        <w:adjustRightInd w:val="0"/>
        <w:spacing w:after="0" w:line="360" w:lineRule="auto"/>
        <w:ind w:left="284"/>
        <w:jc w:val="both"/>
        <w:rPr>
          <w:rFonts w:ascii="Times New Roman" w:hAnsi="Times New Roman"/>
          <w:b/>
          <w:bCs/>
          <w:sz w:val="24"/>
          <w:szCs w:val="24"/>
          <w:lang w:val="bg-BG" w:eastAsia="bg-BG"/>
        </w:rPr>
      </w:pPr>
    </w:p>
    <w:p w:rsidR="00AC7993" w:rsidRPr="00452CC0" w:rsidRDefault="00C74432" w:rsidP="00804836">
      <w:pPr>
        <w:widowControl w:val="0"/>
        <w:autoSpaceDE w:val="0"/>
        <w:autoSpaceDN w:val="0"/>
        <w:adjustRightInd w:val="0"/>
        <w:spacing w:after="0" w:line="360" w:lineRule="auto"/>
        <w:ind w:left="284"/>
        <w:rPr>
          <w:rFonts w:ascii="Times New Roman" w:hAnsi="Times New Roman"/>
          <w:b/>
          <w:bCs/>
          <w:caps/>
          <w:sz w:val="24"/>
          <w:szCs w:val="24"/>
          <w:lang w:val="bg-BG" w:eastAsia="bg-BG"/>
        </w:rPr>
      </w:pPr>
      <w:r w:rsidRPr="00452CC0">
        <w:rPr>
          <w:rFonts w:ascii="Times New Roman" w:hAnsi="Times New Roman"/>
          <w:b/>
          <w:bCs/>
          <w:caps/>
          <w:sz w:val="24"/>
          <w:szCs w:val="24"/>
          <w:lang w:val="bg-BG" w:eastAsia="bg-BG"/>
        </w:rPr>
        <w:t>ДЕСИСЛАВА ТАНЕВА</w:t>
      </w:r>
    </w:p>
    <w:p w:rsidR="00AC7993" w:rsidRPr="00452CC0" w:rsidRDefault="00AC7993" w:rsidP="00804836">
      <w:pPr>
        <w:widowControl w:val="0"/>
        <w:autoSpaceDE w:val="0"/>
        <w:autoSpaceDN w:val="0"/>
        <w:adjustRightInd w:val="0"/>
        <w:spacing w:after="0" w:line="360" w:lineRule="auto"/>
        <w:ind w:left="284"/>
        <w:jc w:val="both"/>
        <w:rPr>
          <w:rFonts w:ascii="Times New Roman" w:hAnsi="Times New Roman"/>
          <w:bCs/>
          <w:i/>
          <w:iCs/>
          <w:sz w:val="24"/>
          <w:szCs w:val="24"/>
          <w:lang w:val="bg-BG" w:eastAsia="bg-BG"/>
        </w:rPr>
      </w:pPr>
      <w:r w:rsidRPr="00452CC0">
        <w:rPr>
          <w:rFonts w:ascii="Times New Roman" w:hAnsi="Times New Roman"/>
          <w:bCs/>
          <w:i/>
          <w:iCs/>
          <w:sz w:val="24"/>
          <w:szCs w:val="24"/>
          <w:lang w:val="bg-BG" w:eastAsia="bg-BG"/>
        </w:rPr>
        <w:t>Министър на земеделието, храните и горите</w:t>
      </w:r>
      <w:bookmarkStart w:id="0" w:name="_GoBack"/>
      <w:bookmarkEnd w:id="0"/>
    </w:p>
    <w:sectPr w:rsidR="00AC7993" w:rsidRPr="00452CC0" w:rsidSect="00804836">
      <w:footerReference w:type="default" r:id="rId16"/>
      <w:pgSz w:w="11907" w:h="16840" w:code="9"/>
      <w:pgMar w:top="1134" w:right="102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034" w:rsidRDefault="00C83034">
      <w:r>
        <w:separator/>
      </w:r>
    </w:p>
  </w:endnote>
  <w:endnote w:type="continuationSeparator" w:id="0">
    <w:p w:rsidR="00C83034" w:rsidRDefault="00C8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648258"/>
      <w:docPartObj>
        <w:docPartGallery w:val="Page Numbers (Bottom of Page)"/>
        <w:docPartUnique/>
      </w:docPartObj>
    </w:sdtPr>
    <w:sdtEndPr>
      <w:rPr>
        <w:rFonts w:ascii="Times New Roman" w:hAnsi="Times New Roman"/>
        <w:noProof/>
        <w:sz w:val="20"/>
        <w:szCs w:val="20"/>
      </w:rPr>
    </w:sdtEndPr>
    <w:sdtContent>
      <w:p w:rsidR="00986C72" w:rsidRPr="00804836" w:rsidRDefault="00804836" w:rsidP="00804836">
        <w:pPr>
          <w:pStyle w:val="Footer"/>
          <w:jc w:val="right"/>
          <w:rPr>
            <w:rFonts w:ascii="Times New Roman" w:hAnsi="Times New Roman"/>
            <w:sz w:val="20"/>
            <w:szCs w:val="20"/>
          </w:rPr>
        </w:pPr>
        <w:r w:rsidRPr="00804836">
          <w:rPr>
            <w:rFonts w:ascii="Times New Roman" w:hAnsi="Times New Roman"/>
            <w:sz w:val="20"/>
            <w:szCs w:val="20"/>
          </w:rPr>
          <w:fldChar w:fldCharType="begin"/>
        </w:r>
        <w:r w:rsidRPr="00804836">
          <w:rPr>
            <w:rFonts w:ascii="Times New Roman" w:hAnsi="Times New Roman"/>
            <w:sz w:val="20"/>
            <w:szCs w:val="20"/>
          </w:rPr>
          <w:instrText xml:space="preserve"> PAGE   \* MERGEFORMAT </w:instrText>
        </w:r>
        <w:r w:rsidRPr="00804836">
          <w:rPr>
            <w:rFonts w:ascii="Times New Roman" w:hAnsi="Times New Roman"/>
            <w:sz w:val="20"/>
            <w:szCs w:val="20"/>
          </w:rPr>
          <w:fldChar w:fldCharType="separate"/>
        </w:r>
        <w:r w:rsidR="00AB78D9">
          <w:rPr>
            <w:rFonts w:ascii="Times New Roman" w:hAnsi="Times New Roman"/>
            <w:noProof/>
            <w:sz w:val="20"/>
            <w:szCs w:val="20"/>
          </w:rPr>
          <w:t>6</w:t>
        </w:r>
        <w:r w:rsidRPr="00804836">
          <w:rPr>
            <w:rFonts w:ascii="Times New Roman" w:hAnsi="Times New Roman"/>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034" w:rsidRDefault="00C83034">
      <w:r>
        <w:separator/>
      </w:r>
    </w:p>
  </w:footnote>
  <w:footnote w:type="continuationSeparator" w:id="0">
    <w:p w:rsidR="00C83034" w:rsidRDefault="00C830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E76E7"/>
    <w:multiLevelType w:val="multilevel"/>
    <w:tmpl w:val="FCA608E0"/>
    <w:lvl w:ilvl="0">
      <w:start w:val="1"/>
      <w:numFmt w:val="decimal"/>
      <w:suff w:val="space"/>
      <w:lvlText w:val="%1."/>
      <w:lvlJc w:val="right"/>
      <w:pPr>
        <w:ind w:left="340" w:firstLine="0"/>
      </w:pPr>
      <w:rPr>
        <w:rFonts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993"/>
    <w:rsid w:val="0008685D"/>
    <w:rsid w:val="000E4044"/>
    <w:rsid w:val="002C0ECD"/>
    <w:rsid w:val="002C641A"/>
    <w:rsid w:val="0032709D"/>
    <w:rsid w:val="003E16DC"/>
    <w:rsid w:val="00452CC0"/>
    <w:rsid w:val="005C1E04"/>
    <w:rsid w:val="00773738"/>
    <w:rsid w:val="00796F24"/>
    <w:rsid w:val="00804836"/>
    <w:rsid w:val="00932673"/>
    <w:rsid w:val="00940CF4"/>
    <w:rsid w:val="00986C72"/>
    <w:rsid w:val="009A7C24"/>
    <w:rsid w:val="009B5B86"/>
    <w:rsid w:val="00A00760"/>
    <w:rsid w:val="00A513CE"/>
    <w:rsid w:val="00AB78D9"/>
    <w:rsid w:val="00AC421B"/>
    <w:rsid w:val="00AC7993"/>
    <w:rsid w:val="00B90D7E"/>
    <w:rsid w:val="00BA7811"/>
    <w:rsid w:val="00C512AD"/>
    <w:rsid w:val="00C6775C"/>
    <w:rsid w:val="00C74432"/>
    <w:rsid w:val="00C83034"/>
    <w:rsid w:val="00CF1FC6"/>
    <w:rsid w:val="00CF51A0"/>
    <w:rsid w:val="00D11888"/>
    <w:rsid w:val="00D435E7"/>
    <w:rsid w:val="00E02ECA"/>
    <w:rsid w:val="00E348D8"/>
    <w:rsid w:val="00F11E90"/>
    <w:rsid w:val="00F52DDE"/>
    <w:rsid w:val="00FA0064"/>
    <w:rsid w:val="00FE26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7993"/>
    <w:pPr>
      <w:spacing w:after="200" w:line="276" w:lineRule="auto"/>
    </w:pPr>
    <w:rPr>
      <w:rFonts w:ascii="Calibri"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C7993"/>
    <w:pPr>
      <w:tabs>
        <w:tab w:val="center" w:pos="4703"/>
        <w:tab w:val="right" w:pos="9406"/>
      </w:tabs>
      <w:spacing w:after="0" w:line="240" w:lineRule="auto"/>
    </w:pPr>
  </w:style>
  <w:style w:type="character" w:customStyle="1" w:styleId="FooterChar">
    <w:name w:val="Footer Char"/>
    <w:basedOn w:val="DefaultParagraphFont"/>
    <w:link w:val="Footer"/>
    <w:uiPriority w:val="99"/>
    <w:locked/>
    <w:rsid w:val="00AC7993"/>
    <w:rPr>
      <w:rFonts w:ascii="Calibri" w:hAnsi="Calibri"/>
      <w:sz w:val="22"/>
      <w:szCs w:val="22"/>
      <w:lang w:val="en-US" w:eastAsia="en-US" w:bidi="ar-SA"/>
    </w:rPr>
  </w:style>
  <w:style w:type="character" w:styleId="Hyperlink">
    <w:name w:val="Hyperlink"/>
    <w:basedOn w:val="DefaultParagraphFont"/>
    <w:rsid w:val="00AC7993"/>
    <w:rPr>
      <w:color w:val="0000FF"/>
      <w:u w:val="single"/>
    </w:rPr>
  </w:style>
  <w:style w:type="character" w:customStyle="1" w:styleId="newdocreference1">
    <w:name w:val="newdocreference1"/>
    <w:basedOn w:val="DefaultParagraphFont"/>
    <w:rsid w:val="00AC7993"/>
    <w:rPr>
      <w:i w:val="0"/>
      <w:iCs w:val="0"/>
      <w:color w:val="0000FF"/>
      <w:u w:val="single"/>
    </w:rPr>
  </w:style>
  <w:style w:type="paragraph" w:styleId="BodyText">
    <w:name w:val="Body Text"/>
    <w:basedOn w:val="Normal"/>
    <w:link w:val="BodyTextChar"/>
    <w:rsid w:val="00C74432"/>
    <w:pPr>
      <w:spacing w:after="0" w:line="240" w:lineRule="auto"/>
      <w:jc w:val="center"/>
    </w:pPr>
    <w:rPr>
      <w:rFonts w:ascii="Times New Roman" w:eastAsia="Calibri" w:hAnsi="Times New Roman"/>
      <w:b/>
      <w:bCs/>
      <w:i/>
      <w:iCs/>
      <w:lang w:val="bg-BG"/>
    </w:rPr>
  </w:style>
  <w:style w:type="character" w:customStyle="1" w:styleId="BodyTextChar">
    <w:name w:val="Body Text Char"/>
    <w:basedOn w:val="DefaultParagraphFont"/>
    <w:link w:val="BodyText"/>
    <w:locked/>
    <w:rsid w:val="00C74432"/>
    <w:rPr>
      <w:rFonts w:eastAsia="Calibri"/>
      <w:b/>
      <w:bCs/>
      <w:i/>
      <w:iCs/>
      <w:sz w:val="22"/>
      <w:szCs w:val="22"/>
      <w:lang w:val="bg-BG" w:eastAsia="en-US" w:bidi="ar-SA"/>
    </w:rPr>
  </w:style>
  <w:style w:type="paragraph" w:styleId="BodyTextIndent2">
    <w:name w:val="Body Text Indent 2"/>
    <w:basedOn w:val="Normal"/>
    <w:link w:val="BodyTextIndent2Char"/>
    <w:rsid w:val="00C74432"/>
    <w:pPr>
      <w:spacing w:after="120" w:line="480" w:lineRule="auto"/>
      <w:ind w:left="283"/>
    </w:pPr>
    <w:rPr>
      <w:rFonts w:ascii="Times New Roman" w:eastAsia="Calibri" w:hAnsi="Times New Roman"/>
      <w:sz w:val="24"/>
      <w:szCs w:val="24"/>
      <w:lang w:val="bg-BG" w:eastAsia="bg-BG"/>
    </w:rPr>
  </w:style>
  <w:style w:type="character" w:customStyle="1" w:styleId="BodyTextIndent2Char">
    <w:name w:val="Body Text Indent 2 Char"/>
    <w:basedOn w:val="DefaultParagraphFont"/>
    <w:link w:val="BodyTextIndent2"/>
    <w:locked/>
    <w:rsid w:val="00C74432"/>
    <w:rPr>
      <w:rFonts w:eastAsia="Calibri"/>
      <w:sz w:val="24"/>
      <w:szCs w:val="24"/>
      <w:lang w:val="bg-BG" w:eastAsia="bg-BG" w:bidi="ar-SA"/>
    </w:rPr>
  </w:style>
  <w:style w:type="paragraph" w:styleId="ListParagraph">
    <w:name w:val="List Paragraph"/>
    <w:basedOn w:val="Normal"/>
    <w:uiPriority w:val="99"/>
    <w:qFormat/>
    <w:rsid w:val="00804836"/>
    <w:pPr>
      <w:widowControl w:val="0"/>
      <w:autoSpaceDE w:val="0"/>
      <w:autoSpaceDN w:val="0"/>
      <w:adjustRightInd w:val="0"/>
      <w:spacing w:after="0" w:line="240" w:lineRule="auto"/>
      <w:ind w:left="720"/>
      <w:contextualSpacing/>
    </w:pPr>
    <w:rPr>
      <w:rFonts w:ascii="Verdana" w:hAnsi="Verdana" w:cs="Verdana"/>
      <w:sz w:val="24"/>
      <w:szCs w:val="24"/>
      <w:lang w:val="bg-BG" w:eastAsia="bg-BG"/>
    </w:rPr>
  </w:style>
  <w:style w:type="paragraph" w:styleId="Header">
    <w:name w:val="header"/>
    <w:basedOn w:val="Normal"/>
    <w:link w:val="HeaderChar"/>
    <w:rsid w:val="00804836"/>
    <w:pPr>
      <w:tabs>
        <w:tab w:val="center" w:pos="4536"/>
        <w:tab w:val="right" w:pos="9072"/>
      </w:tabs>
      <w:spacing w:after="0" w:line="240" w:lineRule="auto"/>
    </w:pPr>
  </w:style>
  <w:style w:type="character" w:customStyle="1" w:styleId="HeaderChar">
    <w:name w:val="Header Char"/>
    <w:basedOn w:val="DefaultParagraphFont"/>
    <w:link w:val="Header"/>
    <w:rsid w:val="00804836"/>
    <w:rPr>
      <w:rFonts w:ascii="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7993"/>
    <w:pPr>
      <w:spacing w:after="200" w:line="276" w:lineRule="auto"/>
    </w:pPr>
    <w:rPr>
      <w:rFonts w:ascii="Calibri"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C7993"/>
    <w:pPr>
      <w:tabs>
        <w:tab w:val="center" w:pos="4703"/>
        <w:tab w:val="right" w:pos="9406"/>
      </w:tabs>
      <w:spacing w:after="0" w:line="240" w:lineRule="auto"/>
    </w:pPr>
  </w:style>
  <w:style w:type="character" w:customStyle="1" w:styleId="FooterChar">
    <w:name w:val="Footer Char"/>
    <w:basedOn w:val="DefaultParagraphFont"/>
    <w:link w:val="Footer"/>
    <w:uiPriority w:val="99"/>
    <w:locked/>
    <w:rsid w:val="00AC7993"/>
    <w:rPr>
      <w:rFonts w:ascii="Calibri" w:hAnsi="Calibri"/>
      <w:sz w:val="22"/>
      <w:szCs w:val="22"/>
      <w:lang w:val="en-US" w:eastAsia="en-US" w:bidi="ar-SA"/>
    </w:rPr>
  </w:style>
  <w:style w:type="character" w:styleId="Hyperlink">
    <w:name w:val="Hyperlink"/>
    <w:basedOn w:val="DefaultParagraphFont"/>
    <w:rsid w:val="00AC7993"/>
    <w:rPr>
      <w:color w:val="0000FF"/>
      <w:u w:val="single"/>
    </w:rPr>
  </w:style>
  <w:style w:type="character" w:customStyle="1" w:styleId="newdocreference1">
    <w:name w:val="newdocreference1"/>
    <w:basedOn w:val="DefaultParagraphFont"/>
    <w:rsid w:val="00AC7993"/>
    <w:rPr>
      <w:i w:val="0"/>
      <w:iCs w:val="0"/>
      <w:color w:val="0000FF"/>
      <w:u w:val="single"/>
    </w:rPr>
  </w:style>
  <w:style w:type="paragraph" w:styleId="BodyText">
    <w:name w:val="Body Text"/>
    <w:basedOn w:val="Normal"/>
    <w:link w:val="BodyTextChar"/>
    <w:rsid w:val="00C74432"/>
    <w:pPr>
      <w:spacing w:after="0" w:line="240" w:lineRule="auto"/>
      <w:jc w:val="center"/>
    </w:pPr>
    <w:rPr>
      <w:rFonts w:ascii="Times New Roman" w:eastAsia="Calibri" w:hAnsi="Times New Roman"/>
      <w:b/>
      <w:bCs/>
      <w:i/>
      <w:iCs/>
      <w:lang w:val="bg-BG"/>
    </w:rPr>
  </w:style>
  <w:style w:type="character" w:customStyle="1" w:styleId="BodyTextChar">
    <w:name w:val="Body Text Char"/>
    <w:basedOn w:val="DefaultParagraphFont"/>
    <w:link w:val="BodyText"/>
    <w:locked/>
    <w:rsid w:val="00C74432"/>
    <w:rPr>
      <w:rFonts w:eastAsia="Calibri"/>
      <w:b/>
      <w:bCs/>
      <w:i/>
      <w:iCs/>
      <w:sz w:val="22"/>
      <w:szCs w:val="22"/>
      <w:lang w:val="bg-BG" w:eastAsia="en-US" w:bidi="ar-SA"/>
    </w:rPr>
  </w:style>
  <w:style w:type="paragraph" w:styleId="BodyTextIndent2">
    <w:name w:val="Body Text Indent 2"/>
    <w:basedOn w:val="Normal"/>
    <w:link w:val="BodyTextIndent2Char"/>
    <w:rsid w:val="00C74432"/>
    <w:pPr>
      <w:spacing w:after="120" w:line="480" w:lineRule="auto"/>
      <w:ind w:left="283"/>
    </w:pPr>
    <w:rPr>
      <w:rFonts w:ascii="Times New Roman" w:eastAsia="Calibri" w:hAnsi="Times New Roman"/>
      <w:sz w:val="24"/>
      <w:szCs w:val="24"/>
      <w:lang w:val="bg-BG" w:eastAsia="bg-BG"/>
    </w:rPr>
  </w:style>
  <w:style w:type="character" w:customStyle="1" w:styleId="BodyTextIndent2Char">
    <w:name w:val="Body Text Indent 2 Char"/>
    <w:basedOn w:val="DefaultParagraphFont"/>
    <w:link w:val="BodyTextIndent2"/>
    <w:locked/>
    <w:rsid w:val="00C74432"/>
    <w:rPr>
      <w:rFonts w:eastAsia="Calibri"/>
      <w:sz w:val="24"/>
      <w:szCs w:val="24"/>
      <w:lang w:val="bg-BG" w:eastAsia="bg-BG" w:bidi="ar-SA"/>
    </w:rPr>
  </w:style>
  <w:style w:type="paragraph" w:styleId="ListParagraph">
    <w:name w:val="List Paragraph"/>
    <w:basedOn w:val="Normal"/>
    <w:uiPriority w:val="99"/>
    <w:qFormat/>
    <w:rsid w:val="00804836"/>
    <w:pPr>
      <w:widowControl w:val="0"/>
      <w:autoSpaceDE w:val="0"/>
      <w:autoSpaceDN w:val="0"/>
      <w:adjustRightInd w:val="0"/>
      <w:spacing w:after="0" w:line="240" w:lineRule="auto"/>
      <w:ind w:left="720"/>
      <w:contextualSpacing/>
    </w:pPr>
    <w:rPr>
      <w:rFonts w:ascii="Verdana" w:hAnsi="Verdana" w:cs="Verdana"/>
      <w:sz w:val="24"/>
      <w:szCs w:val="24"/>
      <w:lang w:val="bg-BG" w:eastAsia="bg-BG"/>
    </w:rPr>
  </w:style>
  <w:style w:type="paragraph" w:styleId="Header">
    <w:name w:val="header"/>
    <w:basedOn w:val="Normal"/>
    <w:link w:val="HeaderChar"/>
    <w:rsid w:val="00804836"/>
    <w:pPr>
      <w:tabs>
        <w:tab w:val="center" w:pos="4536"/>
        <w:tab w:val="right" w:pos="9072"/>
      </w:tabs>
      <w:spacing w:after="0" w:line="240" w:lineRule="auto"/>
    </w:pPr>
  </w:style>
  <w:style w:type="character" w:customStyle="1" w:styleId="HeaderChar">
    <w:name w:val="Header Char"/>
    <w:basedOn w:val="DefaultParagraphFont"/>
    <w:link w:val="Header"/>
    <w:rsid w:val="00804836"/>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pis://Base=NARH&amp;DocCode=10900518002&amp;Type=2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pis://Base=NARH&amp;DocCode=10900516034&amp;Type=20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pis://Base=NARH&amp;DocCode=10900515030&amp;Type=201" TargetMode="External"/><Relationship Id="rId5" Type="http://schemas.openxmlformats.org/officeDocument/2006/relationships/settings" Target="settings.xml"/><Relationship Id="rId15" Type="http://schemas.openxmlformats.org/officeDocument/2006/relationships/hyperlink" Target="http://www.mzh.government.bg" TargetMode="External"/><Relationship Id="rId10" Type="http://schemas.openxmlformats.org/officeDocument/2006/relationships/hyperlink" Target="apis://Base=NARH&amp;DocCode=10900514060&amp;Type=20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apis://Base=NARH&amp;DocCode=5384516071&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5ED4F-95BB-4BA3-905E-D1C8251FC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1721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lpstr>
    </vt:vector>
  </TitlesOfParts>
  <Company>mzh</Company>
  <LinksUpToDate>false</LinksUpToDate>
  <CharactersWithSpaces>11511</CharactersWithSpaces>
  <SharedDoc>false</SharedDoc>
  <HLinks>
    <vt:vector size="36" baseType="variant">
      <vt:variant>
        <vt:i4>458771</vt:i4>
      </vt:variant>
      <vt:variant>
        <vt:i4>15</vt:i4>
      </vt:variant>
      <vt:variant>
        <vt:i4>0</vt:i4>
      </vt:variant>
      <vt:variant>
        <vt:i4>5</vt:i4>
      </vt:variant>
      <vt:variant>
        <vt:lpwstr>http://www.mzh.government.bg/</vt:lpwstr>
      </vt:variant>
      <vt:variant>
        <vt:lpwstr/>
      </vt:variant>
      <vt:variant>
        <vt:i4>262216</vt:i4>
      </vt:variant>
      <vt:variant>
        <vt:i4>12</vt:i4>
      </vt:variant>
      <vt:variant>
        <vt:i4>0</vt:i4>
      </vt:variant>
      <vt:variant>
        <vt:i4>5</vt:i4>
      </vt:variant>
      <vt:variant>
        <vt:lpwstr>apis://Base=NARH&amp;DocCode=5384516071&amp;Type=201/</vt:lpwstr>
      </vt:variant>
      <vt:variant>
        <vt:lpwstr/>
      </vt:variant>
      <vt:variant>
        <vt:i4>2687090</vt:i4>
      </vt:variant>
      <vt:variant>
        <vt:i4>9</vt:i4>
      </vt:variant>
      <vt:variant>
        <vt:i4>0</vt:i4>
      </vt:variant>
      <vt:variant>
        <vt:i4>5</vt:i4>
      </vt:variant>
      <vt:variant>
        <vt:lpwstr>apis://Base=NARH&amp;DocCode=10900518002&amp;Type=201/</vt:lpwstr>
      </vt:variant>
      <vt:variant>
        <vt:lpwstr/>
      </vt:variant>
      <vt:variant>
        <vt:i4>3080319</vt:i4>
      </vt:variant>
      <vt:variant>
        <vt:i4>6</vt:i4>
      </vt:variant>
      <vt:variant>
        <vt:i4>0</vt:i4>
      </vt:variant>
      <vt:variant>
        <vt:i4>5</vt:i4>
      </vt:variant>
      <vt:variant>
        <vt:lpwstr>apis://Base=NARH&amp;DocCode=10900516034&amp;Type=201/</vt:lpwstr>
      </vt:variant>
      <vt:variant>
        <vt:lpwstr/>
      </vt:variant>
      <vt:variant>
        <vt:i4>2818172</vt:i4>
      </vt:variant>
      <vt:variant>
        <vt:i4>3</vt:i4>
      </vt:variant>
      <vt:variant>
        <vt:i4>0</vt:i4>
      </vt:variant>
      <vt:variant>
        <vt:i4>5</vt:i4>
      </vt:variant>
      <vt:variant>
        <vt:lpwstr>apis://Base=NARH&amp;DocCode=10900515030&amp;Type=201/</vt:lpwstr>
      </vt:variant>
      <vt:variant>
        <vt:lpwstr/>
      </vt:variant>
      <vt:variant>
        <vt:i4>2818168</vt:i4>
      </vt:variant>
      <vt:variant>
        <vt:i4>0</vt:i4>
      </vt:variant>
      <vt:variant>
        <vt:i4>0</vt:i4>
      </vt:variant>
      <vt:variant>
        <vt:i4>5</vt:i4>
      </vt:variant>
      <vt:variant>
        <vt:lpwstr>apis://Base=NARH&amp;DocCode=10900514060&amp;Type=201/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dfileva</dc:creator>
  <cp:lastModifiedBy>Aleksandar Angelov</cp:lastModifiedBy>
  <cp:revision>5</cp:revision>
  <dcterms:created xsi:type="dcterms:W3CDTF">2019-12-27T14:18:00Z</dcterms:created>
  <dcterms:modified xsi:type="dcterms:W3CDTF">2019-12-27T15:06:00Z</dcterms:modified>
</cp:coreProperties>
</file>