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3B92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РИБАРСТВОТО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АКВАКУЛТУРИТЕ</w:t>
      </w:r>
    </w:p>
    <w:p w:rsidR="00000000" w:rsidRDefault="005D3B92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.,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равновесие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обогатяване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континенталният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шелф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крайдунавските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изравнителите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баластриерните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хидропарковете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индустриални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крайдунавските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баластриерните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изравнителит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хидропарковете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АКВАКУЛТУРИТЕ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тенденциите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маркетинга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биоразнообразието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преструктуриране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модернизация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1860/2004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Бургас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2007 - 2013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1198/2006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2007 - 2013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горестоящ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недължимо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2007 - 2013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2007 - 2013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2007 - 2013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сериозността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5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ГДГП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континенталния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шелф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НТСРА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16.10.2009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25.01.2011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НТСРА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НТСРА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асоциации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1379/2013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1184/2006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1224/2009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104/2000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354/1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1379/2013"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1379/2013.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Асоциация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1379/2013.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Асоциацията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асоциация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асоциаци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1379/2013.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оттегля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асоциацията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асоциацията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асоциацията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1379/2013;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асоциацията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1379/2013.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оттегли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1379/2013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1379/2013.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Междубраншовата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междубранш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оттегля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междубраншова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1379/2013;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1379/2013.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асоциации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асоциации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hyperlink r:id="rId6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Министерството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на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земеделието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,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храните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горите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7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Изпълнителната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агенция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по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рибарство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акв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акултури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асоциациите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популяризиране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обогатяване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обогатяване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непарична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разселване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риболов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благоприятства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биоразнообразието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хладилни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общественополезна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питейнобитово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размножаване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риболов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корабопритежателя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корабопритежателя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повиквателен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английски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1224/2009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847/96,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2371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/2002,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811/2004,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768/2005,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2115/2005,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2166/2005,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388/2006,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509/2007,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676/2007,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1098/2007,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1300/2008,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1342/2008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2847/93,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1627/94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1966/200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(OB, L 343/1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1224/2009",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404/2011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1224/2009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(OB, L 112/1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1005/2008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недеклариран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2847/93,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1936/2001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601/2004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1093/94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1447/1999 (OB, L 286/1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1005/2008";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нулев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Освободеният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1224/2009.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1224/2009.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калкана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есетровите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НТСРА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кораба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акостир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далянът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Далянът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стационарен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привързване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корабоплаване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трикратния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8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непогасени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просрочени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реабилитиран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прокурист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корупцията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идобитото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корупцият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отечественото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непрозрачен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корупцията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реквизитите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нерегламентиран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нечетен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корупцията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корупцията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автентичността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зяснения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умножава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- 0,8;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- 0,2.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умножен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1/10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9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риболов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зарибяване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зарибяване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зарибяване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пожизнено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мъжете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стимулиране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НТСРА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чепаре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крайдунавските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примамки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мъртва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празнични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себе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пъстървови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пъстървова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състезания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състезанието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състезания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хидробионти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лимити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лимити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лимит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обезсилване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30.12.2016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30.12.2016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30.12.2016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30.12.2016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зарибителен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субсидии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зарибителен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30.12.2016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препарати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25.01.2011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лимит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30.12.2016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Формулярът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субсидии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25.01.2011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РЕСУРСИ</w:t>
      </w: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разпоредба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ресурси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зарибяване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заболявания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заболяванията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рифове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плитководните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нетипични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атмосферни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разселване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размножаване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нетипични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надморската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развлекателен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упойващи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лъчения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тралиращи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драгиращи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бийм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огнестрелно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харпун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кърмаци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парашут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харпун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бийм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10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бийм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сателитно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проследяване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калкан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търмъчене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(TL)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сантиметри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схемите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(TL)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сантиметри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черупката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възлизащ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есетрови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(Astacus astacus L.)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(Austropotamobius torrentius);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водосбори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зоологията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очакваното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музейни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сбирки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(15)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(Astacus astacus L.)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(Austropo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tamobius torrentius).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бозайници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бозайници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пресушаването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затрудняв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размножителния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хвърления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хайвер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сателитно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проследяване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задвижваща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 KW,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задвижващ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претърпял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40 - 41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1224/2009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25.01.2011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организаторът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свежест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живи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суровината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25.01.2011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a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разселване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есетрови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разселване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зарибяване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АКВАКУЛТУРИТЕ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рибопроизво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спонсорство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разселване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обогатяване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разселването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правонарушител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правонарушител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внезапно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обстановка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17.09.2010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униформено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огнестрелно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боеприпас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пиротехническите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претърпели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патрулни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неустановена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6, 8,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хладилни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прикрепени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опознавателни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6,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30.12.2016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2012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74. (1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ксперимент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бозайници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размножителната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водноелектрическите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размножителния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32;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35;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бозайници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43;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6,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3,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56 - 78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80 - 88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62, 64, 65,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67, 67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,68,69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,70,71,72, 73 - 77, 81,82, 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85, 85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приспособленията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неизвестен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надзиратели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Баластриерни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бряг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абразия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рушене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Генофонд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геномите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бетон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укритията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приятни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биоразнообразието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съединява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търмъчене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малоразмерни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пробождат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закачват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подхранване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отрицателно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съпътстващ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замразена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сладк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състезателен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мореплаване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поколения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родителското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размножителния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Хавлия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перпендикулярно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Чепаре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оплоден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хайвер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зарибителен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разплодници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Кърмак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тралиращо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грунтроп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стържещи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охлюви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темии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дафнии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водорасли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скариди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2371/2002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2930/86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Бийм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закрепени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Парашут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малоразмерен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влакното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закрепена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умъртвяват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белезници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вътрешн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52.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1380/2013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1954/2003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1224/2009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2371/2002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639/2004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2004/585/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денонощието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18,30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06,30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20,30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9.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26,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рибовъдство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захаропреработвателната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рибодобивната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рибопреработвателната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тържищата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фишове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§ 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-------------------------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ХХХ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VIII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ДАЛЕКОСЪОБЩЕНИЯТА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АКВАКУЛТУРИТЕ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правопораждащото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потопяеми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лимити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КС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§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88,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15, §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§ 78, § 79, §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§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107, §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125, § 128,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§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ВОДИТЕ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ПАЗАРИТЕ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СЪЮЗ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АКВАКУЛТУРИТЕ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усвояване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2007 - 2013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01.05.2009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65,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2 - 10, §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13 - 22, § 24 - 35, §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§ 37 - 51, § 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53 - 64,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88,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65, 82,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16.10.2009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ОРЪЖИЯТА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БОЕПРИПАСИТЕ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ПИРОТЕХНИЧЕСКИТЕ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ИЗДЕЛИЯ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17.09.2010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15, 16,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33, 34, 44, 72, 107, 110,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162, 163, 164,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88,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65, 82,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32, 42,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СЛУЖИТЕЛ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84.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18.05.2012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извънбюджетната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здравноосигурителна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отработеното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АКВАКУЛТУРИТЕ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119.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развъждан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25 - 25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НАКАЗАНИЯ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18, § 114, § 120, § 121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АКВАКУЛТУРИТЕ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0.12.2013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91.</w:t>
      </w:r>
    </w:p>
    <w:p w:rsidR="00000000" w:rsidRDefault="005D3B92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АКВАКУЛТУРИТЕ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30.12.2016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88,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65, 82,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32, 42,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59,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04.08.2017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72 - 82,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4 - 9, §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§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ПРОТИВОДЕЙСТВИЕ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КОРУПЦИЯТА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ПРИДОБИТОТО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ИМУЩЕСТВО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88,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65, 82,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32, 42,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59,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58,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корупцията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ПОСЕВНИЯ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ПОСАДЪЧНИЯ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АКВАКУЛТУРИТЕ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156.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4, 11, 14, 16, 20, 30, 31, 74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3, 5,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§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§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5, 6, §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8, 10 - 12, §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16, 17, 21 - 26,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13.12.2019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"/>
        <w:gridCol w:w="555"/>
        <w:gridCol w:w="116"/>
        <w:gridCol w:w="4530"/>
        <w:gridCol w:w="116"/>
        <w:gridCol w:w="1980"/>
        <w:gridCol w:w="1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Срокове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забрани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улов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водни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организми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през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периода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размножаване</w:t>
            </w: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/>
        </w:trPr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 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ред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идове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водни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организми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Рибностопански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зони</w:t>
            </w:r>
          </w:p>
        </w:tc>
        <w:tc>
          <w:tcPr>
            <w:tcW w:w="2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период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забраната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7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Зимно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пролетно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размножаващи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пъстървови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студенолюбиви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риби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Речна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балканска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пъстърва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сивен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сиг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пелед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езерна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сьомга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октомври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31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януари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4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Липан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януари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31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март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3.</w:t>
            </w:r>
          </w:p>
        </w:tc>
        <w:tc>
          <w:tcPr>
            <w:tcW w:w="4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Щука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февруари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30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април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4.</w:t>
            </w:r>
          </w:p>
        </w:tc>
        <w:tc>
          <w:tcPr>
            <w:tcW w:w="4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Распер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март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4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30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април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7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Пролетно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лятно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размножаващи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шаранови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сомови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топлолюбиви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риби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5.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Пролетно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лятно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размножаващи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риби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ъгласно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надморската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височина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сроковете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определени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точка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6.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Бяла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риба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март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май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7.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Есетрови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водите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Дунав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Черно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море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съответствие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международните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договори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риболова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реката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60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дни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8.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Карагьоз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дунавска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скум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водите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Дунав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съответствие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международните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договори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риболова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реката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30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дни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9.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Калкан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водите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Черно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море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всякакъв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вид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риболовни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уреди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60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считано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април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10.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Попчета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водите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Черно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море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само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мрежени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рибол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овни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уреди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април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май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11.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Попчета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водите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Черно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море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мрежени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риболовни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уреди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акваториите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пристанищата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буните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отдалеченост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бреговата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линия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целогодишно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изключение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уловите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даляните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разположени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тези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зони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водни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организми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12.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Голяма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водна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жаба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(Pelophylax ridibundus)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април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31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май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13.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Езерен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(Astacus leptodactilus)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октомври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май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14.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Пагур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(Eriphia verrucosa)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април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31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май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15.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Обикновен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зелен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крив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(Carci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nus maenas)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април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31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май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Рибностопански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зависимост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надморската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височина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16.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рибностопански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намиращи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над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1500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надморска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височина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октомври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31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януари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17.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рибностопански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намиращи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500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1500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надморска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височина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май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юни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18.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водни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намиращи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500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надморска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височина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април</w:t>
            </w:r>
          </w:p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31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май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"/>
        <w:gridCol w:w="555"/>
        <w:gridCol w:w="116"/>
        <w:gridCol w:w="4530"/>
        <w:gridCol w:w="116"/>
        <w:gridCol w:w="1125"/>
        <w:gridCol w:w="1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Списък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минимално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допустимите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размери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улов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водни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организми</w:t>
            </w: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"/>
        </w:trPr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№</w:t>
            </w:r>
          </w:p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</w:t>
            </w:r>
          </w:p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ред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Общоприети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местни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наименования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научно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наименование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латински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Размери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)/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тегло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 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Сладководни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риби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етрови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(Acipenseridae)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Чига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(Acipenser ruthenus)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50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Пъстървови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(Salmonidae)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Речна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балканска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пъстърва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(Salmo trutta fario)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23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Македонска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пъстърва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(Salmo macedonicus)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23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Дъгова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пъстърва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(Oncorhynchus mykiss/ S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almo gairdneri irideus)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22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5.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Сивен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(Salvelinus fontinalis)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Корегонусови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oregonidae)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6.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Чудски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сиг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(Coregonus lavaretus)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22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7.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Пелед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(Coregonus peled)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Липанови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(Thymallidae)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8.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Липан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(Thymallus thymal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lus)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Щукови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socidae)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9.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Щука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(Esox lucius)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35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Шаранови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(Cyprinidae)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10.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Речен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кефал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(Squalius cephalus)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22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11.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Егейски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речен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кефал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(Squalius orpheus)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22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12.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Мъздруга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(Leuciscus idus)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22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13.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Распер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spius aspius)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14.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Лин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(Tinca tinca)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15.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Брияна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облез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уклей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) (Chalcalburnus chalcoides)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16.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Уклей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(Alburnus alburnus)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17.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Платика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(Abramis brama)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18.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Немски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косат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(Abramis sapa)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19.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Чил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косат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(Abrami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s ballerus)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20.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Морунаш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(Vimba vimba)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21.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Маришки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морунаш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карабалък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) (Vimba melanops)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22.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Сабица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(Pelecus cultratus)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23.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Скобар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(Chondrostoma nasus)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24.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Вардарски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скобар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(Chondrostoma vardarense)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25.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яла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мряна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(Barbus barbus)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26.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Черна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балканска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мряна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(Barbus petenyi)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17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27.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Маришка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мряна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(Barbus cyclolepis)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17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28.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Крайморска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мряна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(Barbus bergi)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17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29.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Шаран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(Cyprinus carpio)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30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30.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Златиста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каракуда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(Carassius caras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sius)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31.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Сребриста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каракуда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(Carassius gibelio)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32.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Бял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толстолоб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(Hypophthalmichthys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molitrix)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 xml:space="preserve">40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33.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Пъстър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толстолоб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(Aristhichthys nobilis)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40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34.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Бял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амур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(Ctenopharyngodon idella)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40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35.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Черен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амур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(Mylopharyngodo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n piceus)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40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Буфалови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(Catostomidae)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36.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Буфало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(Ictiobus spp.)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30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Сомови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(Siluridae)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37.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Сом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(Silurus glanis)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65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Американски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сомове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(Ictaluridae)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38.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Канален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американски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сом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(Ictalurus punctatus)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Трескови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(Gadidae)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39.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Михалца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(Lota lota)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Костурови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(Percidae)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40.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Бяла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сулка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) (Sander lucioperca/ Stizostedion lucioperca)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45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41.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Речен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костур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(Perca fluviatilis)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12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42.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Голяма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вретенарка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(Zingel z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ingel)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Проходни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Есетрови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(Acipenseridae)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43.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Моруна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(Huso huso)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180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44.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Пъструга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(Acipenser stellatus)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120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45.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Руска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есетра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(Acipenser gu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ldenstaedti)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120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Речни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змиорки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(Anguillidae)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46.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опейска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речна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змиорка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(Anguilla anguilla)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50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Селдови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(Clupeidae)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47.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Карагьоз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дунавска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скумрия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(Alosa immaculata)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22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Морски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риби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Бодливи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акули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(Squalidae)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48.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Черноморска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бодлива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акула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(Squalus acanthias)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90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Селдови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(Clupeidae)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49.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Цаца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копърка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трицона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шпрот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) (Sprattus sprattus sulinus)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7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Хамсиеви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ngraulidae)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50.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Хамсия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(Engraulis encrasicholus ponticus)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8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Зарганови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(Belonidae)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51.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Зарган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(Belone belone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Трескови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(Gadidae)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52.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Черноморски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меджид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(Merlangius merlangus euxinus)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8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Кефалови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(Mugilidae)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53.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Морски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кефал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(Mugil cephalus)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54.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Кефал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пелингас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(Mugil soiuy)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30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55.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Платерина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(Liza aurata)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56.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Илария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(Liza saliens)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22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Атеринови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(Atherinidae)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57.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Атерина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(Atherina spp.)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Морски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костури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(Serranidae)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58.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Лаврак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(Dicentrachus labrax/Morone labrax)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28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Сафридови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(Carangidae)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59.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Сафрид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(Tr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achurus mediterraneus ponticus)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12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Смаридови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(Centracanthidae)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60.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Смарид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(Spicara spp.)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12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Барбунови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(Mullidae)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61.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Барбуня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(Mullus barbatus ponticus)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8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62.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Черноморска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скумрия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(Scomber scombrus)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22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63.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Пала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муд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(Sarda sarda)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28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Попчета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(Gobiidae)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64.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Тревно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попче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(Zosterisessor ophiocephalus)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12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65.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Голямоглаво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попче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(Neogobius cephalargoides)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12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66.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Стронгил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(Neogobius melanostomus)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12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67.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Лихнус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(Mesogobius batrachocephal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us)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68.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Широкоглаво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попче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(Neogobius euricephalus)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12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Калканови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(Scophthalmidae)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69.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Калкан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(Psetta maxima)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45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Писиеви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(Pleuronectidae)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70.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Писия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(Platichthys flesus luscus)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Водни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животни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Кл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Земноводни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(Amphibia)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71.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Голяма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водна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жаба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(Pelophylax ridibundus)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30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Клас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Ракообразни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(Crustacea)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72.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Обикновени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скариди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(Leander spp.)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73.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Пясъчна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скарида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(Crangon sp.)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5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74.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Езерен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(Astacus leptodactylus)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8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5.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Пагур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(Eriphia verrucosa)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8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76.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Обикновен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зелен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крив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рак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(Carcinus maenas)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4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Клас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Миди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(Bivalvia)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77.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Миди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речни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седефки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(Unio spp.)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8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78.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Миди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речни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беззъбки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(Anodonta spp.)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10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79.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Черна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морска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мида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(Mytilus galloprov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incialis)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7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80.</w:t>
            </w:r>
          </w:p>
        </w:tc>
        <w:tc>
          <w:tcPr>
            <w:tcW w:w="4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Бяла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пясъчна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мида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(Mya arenaria)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см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6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5D3B9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5D3B92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Релевантни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законодателство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Директиви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2004/41/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e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89/662/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92/118/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95/408/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92/43/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местообитания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фауна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91/492/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двучерупчести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молюски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90/425/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зоотехническите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Регламенти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2017/1130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2016/1139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херинга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Балтийско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2187/2005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1098/2007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508/2014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2328/2003,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861/2006,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1198/2006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791/2007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1255/2011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1420/2013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347/96,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1924/2000,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1925/2000,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2508/2000,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2509/2000,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13/2000,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2814/2000,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150/2001,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939/2001,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1813/2001,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2065/2001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2183/2001,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2318/2001,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2493/2001,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2306/2002,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802/2006,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2003/2006,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696/2008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248/2009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1379/2013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1380/2013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1954/2003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1224/2009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2371/2002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639/2004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2004/585/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1379/2013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1184/2006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1224/2009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104/2000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404/2011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1224/2009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1224/2009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847/96,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2371/2002,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811/2004,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768/2005,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2115/2005,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2166/2005,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388/2006,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509/2007,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676/2007,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1098/2007,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1300/2008,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1342/2008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2847/93,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7/94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1966/2006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492/2009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остарели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a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сферата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216/2009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Атлантическия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океан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1005/2008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недеклариран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2847/93,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1936/2001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601/2004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1093/94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1447/1999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762/2008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a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788/96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696/2008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104/2000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нечленуващи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1535/2007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de minimis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Дата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изтичане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валидността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: 31.12.2013 </w:t>
      </w:r>
      <w:r>
        <w:rPr>
          <w:rFonts w:eastAsia="Times New Roman"/>
          <w:color w:val="FF0000"/>
          <w:highlight w:val="white"/>
          <w:shd w:val="clear" w:color="auto" w:fill="FEFEFE"/>
        </w:rPr>
        <w:t>г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1098/2007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тийско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2847/93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779/97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676/2007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1966/2006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дистанционно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1921/2006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1382/91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1198/2006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388/2006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o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Бискайския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залив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(EO)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2166/2005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o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норвежки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Карибско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иберийски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полуостров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(EO)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850/98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организми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(EO)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2115/2005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o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северозападната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Атлантическия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океан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768/2005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2847/93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1860/2004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</w:t>
      </w:r>
      <w:r>
        <w:rPr>
          <w:rFonts w:eastAsia="Times New Roman"/>
          <w:color w:val="FF0000"/>
          <w:highlight w:val="white"/>
          <w:shd w:val="clear" w:color="auto" w:fill="FEFEFE"/>
        </w:rPr>
        <w:t>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811/2004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мерлуза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601/2004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Антарктика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3943/90,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66/98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1721/1999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26/2004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флот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2244/2003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сателит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2371/2002/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2318/2001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104/2000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1936/2001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далекомигриращи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1813/2001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104/2000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1812/2001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1886/2000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нечленуващи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Дата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изтичане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валидността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: 12.08.2008 </w:t>
      </w:r>
      <w:r>
        <w:rPr>
          <w:rFonts w:eastAsia="Times New Roman"/>
          <w:color w:val="FF0000"/>
          <w:highlight w:val="white"/>
          <w:shd w:val="clear" w:color="auto" w:fill="FEFEFE"/>
        </w:rPr>
        <w:t>г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1924/2000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104/2000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1886/2000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104/2000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нечленуващи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104/2000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1447/1999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сериозно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2846/98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2847/93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1449/98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2847/83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усилие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1239/98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894/97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2268/97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адаптиране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усилие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2205/97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2847/93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Дата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изтичане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валидността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: 31.12.2009 </w:t>
      </w:r>
      <w:r>
        <w:rPr>
          <w:rFonts w:eastAsia="Times New Roman"/>
          <w:color w:val="FF0000"/>
          <w:highlight w:val="white"/>
          <w:shd w:val="clear" w:color="auto" w:fill="FEFEFE"/>
        </w:rPr>
        <w:t>г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1059/97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адаптиране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усилие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894/97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686/97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2847/93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847/96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квотите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788/96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аквакултури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2943/95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1627/94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2597/95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Атлантическия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кеан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3259/94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2930/86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1627/94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1093/94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търгуват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2847/93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Дата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изтичане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валидността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: 31.12.2010 </w:t>
      </w:r>
      <w:r>
        <w:rPr>
          <w:rFonts w:eastAsia="Times New Roman"/>
          <w:color w:val="FF0000"/>
          <w:highlight w:val="white"/>
          <w:shd w:val="clear" w:color="auto" w:fill="FEFEFE"/>
        </w:rPr>
        <w:t>г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2104/93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1382/91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1382/91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разтоварването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3252/87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изследователската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1382/8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1381/87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493/87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2930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/86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3703/85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3561/85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3440/84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прикрепването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шотландски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грибове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2807/83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Решения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5D3B9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95/84/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2930/86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риболовните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кораби</w:t>
      </w:r>
    </w:p>
    <w:p w:rsidR="005D3B92" w:rsidRDefault="005D3B9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93/619/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sectPr w:rsidR="005D3B92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CA"/>
    <w:rsid w:val="005D3B92"/>
    <w:rsid w:val="008872CA"/>
    <w:rsid w:val="00BA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ra.government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ara.government.bg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b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ara.government.bg/" TargetMode="External"/><Relationship Id="rId10" Type="http://schemas.openxmlformats.org/officeDocument/2006/relationships/hyperlink" Target="http://iara.government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ara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35680</Words>
  <Characters>203380</Characters>
  <Application>Microsoft Office Word</Application>
  <DocSecurity>0</DocSecurity>
  <Lines>1694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 V. Petkov</dc:creator>
  <cp:lastModifiedBy>Plamen V. Petkov</cp:lastModifiedBy>
  <cp:revision>2</cp:revision>
  <dcterms:created xsi:type="dcterms:W3CDTF">2019-12-16T07:16:00Z</dcterms:created>
  <dcterms:modified xsi:type="dcterms:W3CDTF">2019-12-16T07:16:00Z</dcterms:modified>
</cp:coreProperties>
</file>