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9D0924" w:rsidRDefault="009D0924" w:rsidP="00403CB9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CE5E69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90317" w:rsidRDefault="00B90317" w:rsidP="00C00F88">
      <w:pPr>
        <w:jc w:val="both"/>
        <w:rPr>
          <w:rFonts w:ascii="Arial" w:hAnsi="Arial" w:cs="Arial"/>
          <w:b/>
          <w:sz w:val="20"/>
          <w:lang w:val="en-US"/>
        </w:rPr>
      </w:pPr>
    </w:p>
    <w:p w:rsidR="006D183F" w:rsidRPr="004D45D3" w:rsidRDefault="00186654" w:rsidP="006D183F">
      <w:pPr>
        <w:contextualSpacing/>
        <w:jc w:val="both"/>
        <w:rPr>
          <w:rFonts w:ascii="Arial" w:hAnsi="Arial" w:cs="Arial"/>
          <w:sz w:val="20"/>
          <w:lang w:val="bg-BG"/>
        </w:rPr>
      </w:pPr>
      <w:r w:rsidRPr="00186654">
        <w:rPr>
          <w:rStyle w:val="tlid-translation"/>
          <w:rFonts w:ascii="Arial" w:hAnsi="Arial" w:cs="Arial"/>
          <w:b/>
          <w:sz w:val="20"/>
          <w:lang w:val="bg-BG"/>
        </w:rPr>
        <w:t>3</w:t>
      </w:r>
      <w:r w:rsidRPr="00416504">
        <w:rPr>
          <w:rStyle w:val="tlid-translation"/>
          <w:rFonts w:ascii="Arial" w:hAnsi="Arial" w:cs="Arial"/>
          <w:b/>
          <w:sz w:val="20"/>
          <w:lang w:val="bg-BG"/>
        </w:rPr>
        <w:t>.</w:t>
      </w:r>
      <w:r w:rsidR="00CC1BDB" w:rsidRPr="00416504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6D183F" w:rsidRPr="00416504">
        <w:rPr>
          <w:rFonts w:ascii="Arial" w:hAnsi="Arial" w:cs="Arial"/>
          <w:b/>
          <w:sz w:val="20"/>
          <w:lang w:val="bg-BG"/>
        </w:rPr>
        <w:t xml:space="preserve">Министрите на земеделието на ЕС широко подкрепиха предложението на </w:t>
      </w:r>
      <w:r w:rsidR="003835C2">
        <w:rPr>
          <w:rFonts w:ascii="Arial" w:hAnsi="Arial" w:cs="Arial"/>
          <w:b/>
          <w:sz w:val="20"/>
          <w:lang w:val="bg-BG"/>
        </w:rPr>
        <w:t>финландското председателство</w:t>
      </w:r>
      <w:r w:rsidR="006D183F" w:rsidRPr="00416504">
        <w:rPr>
          <w:rFonts w:ascii="Arial" w:hAnsi="Arial" w:cs="Arial"/>
          <w:b/>
          <w:sz w:val="20"/>
          <w:lang w:val="bg-BG"/>
        </w:rPr>
        <w:t xml:space="preserve"> за единен общ </w:t>
      </w:r>
      <w:r w:rsidR="003835C2">
        <w:rPr>
          <w:rFonts w:ascii="Arial" w:hAnsi="Arial" w:cs="Arial"/>
          <w:b/>
          <w:sz w:val="20"/>
          <w:lang w:val="bg-BG"/>
        </w:rPr>
        <w:t>процент</w:t>
      </w:r>
      <w:r w:rsidR="006D183F" w:rsidRPr="00416504">
        <w:rPr>
          <w:rFonts w:ascii="Arial" w:hAnsi="Arial" w:cs="Arial"/>
          <w:b/>
          <w:sz w:val="20"/>
          <w:lang w:val="bg-BG"/>
        </w:rPr>
        <w:t xml:space="preserve"> на финансиране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за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целите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,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свързани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с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околната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среда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и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климата</w:t>
      </w:r>
      <w:r w:rsidR="003835C2">
        <w:rPr>
          <w:rFonts w:ascii="Arial" w:hAnsi="Arial" w:cs="Arial"/>
          <w:b/>
          <w:sz w:val="20"/>
          <w:lang w:val="bg-BG"/>
        </w:rPr>
        <w:t xml:space="preserve">,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който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да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обхваща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и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двата</w:t>
      </w:r>
      <w:r w:rsidR="003835C2" w:rsidRPr="003835C2">
        <w:rPr>
          <w:rFonts w:ascii="Arial" w:hAnsi="Arial" w:cs="Arial"/>
          <w:b/>
          <w:sz w:val="20"/>
          <w:lang w:val="bg-BG"/>
        </w:rPr>
        <w:t xml:space="preserve"> </w:t>
      </w:r>
      <w:r w:rsidR="003835C2" w:rsidRPr="003835C2">
        <w:rPr>
          <w:rFonts w:ascii="Arial" w:hAnsi="Arial" w:cs="Arial" w:hint="eastAsia"/>
          <w:b/>
          <w:sz w:val="20"/>
          <w:lang w:val="bg-BG"/>
        </w:rPr>
        <w:t>стълба</w:t>
      </w:r>
      <w:r w:rsidR="003835C2">
        <w:rPr>
          <w:rFonts w:ascii="Arial" w:hAnsi="Arial" w:cs="Arial"/>
          <w:b/>
          <w:sz w:val="20"/>
          <w:lang w:val="bg-BG"/>
        </w:rPr>
        <w:t xml:space="preserve"> </w:t>
      </w:r>
      <w:r w:rsidR="00A76189">
        <w:rPr>
          <w:rFonts w:ascii="Arial" w:hAnsi="Arial" w:cs="Arial"/>
          <w:b/>
          <w:sz w:val="20"/>
          <w:lang w:val="bg-BG"/>
        </w:rPr>
        <w:t>по време на</w:t>
      </w:r>
      <w:r w:rsidR="003835C2">
        <w:rPr>
          <w:rFonts w:ascii="Arial" w:hAnsi="Arial" w:cs="Arial"/>
          <w:b/>
          <w:sz w:val="20"/>
          <w:lang w:val="bg-BG"/>
        </w:rPr>
        <w:t xml:space="preserve"> заседанието на</w:t>
      </w:r>
      <w:r w:rsidR="006D183F" w:rsidRPr="00416504">
        <w:rPr>
          <w:rFonts w:ascii="Arial" w:hAnsi="Arial" w:cs="Arial"/>
          <w:b/>
          <w:sz w:val="20"/>
          <w:lang w:val="bg-BG"/>
        </w:rPr>
        <w:t xml:space="preserve"> </w:t>
      </w:r>
      <w:proofErr w:type="spellStart"/>
      <w:r w:rsidR="006D183F" w:rsidRPr="00416504">
        <w:rPr>
          <w:rFonts w:ascii="Arial" w:hAnsi="Arial" w:cs="Arial"/>
          <w:b/>
          <w:sz w:val="20"/>
          <w:lang w:val="bg-BG"/>
        </w:rPr>
        <w:t>Съветa</w:t>
      </w:r>
      <w:proofErr w:type="spellEnd"/>
      <w:r w:rsidR="006D183F" w:rsidRPr="00416504">
        <w:rPr>
          <w:rFonts w:ascii="Arial" w:hAnsi="Arial" w:cs="Arial"/>
          <w:b/>
          <w:sz w:val="20"/>
          <w:lang w:val="bg-BG"/>
        </w:rPr>
        <w:t xml:space="preserve"> по селско стопанство</w:t>
      </w:r>
      <w:r w:rsidR="003835C2">
        <w:rPr>
          <w:rFonts w:ascii="Arial" w:hAnsi="Arial" w:cs="Arial"/>
          <w:b/>
          <w:sz w:val="20"/>
          <w:lang w:val="bg-BG"/>
        </w:rPr>
        <w:t xml:space="preserve">, проведен </w:t>
      </w:r>
      <w:r w:rsidR="006D183F" w:rsidRPr="00416504">
        <w:rPr>
          <w:rFonts w:ascii="Arial" w:hAnsi="Arial" w:cs="Arial"/>
          <w:b/>
          <w:sz w:val="20"/>
          <w:lang w:val="bg-BG"/>
        </w:rPr>
        <w:t>в Брюксел, на 18 ноември</w:t>
      </w:r>
      <w:r w:rsidR="003835C2">
        <w:rPr>
          <w:rFonts w:ascii="Arial" w:hAnsi="Arial" w:cs="Arial"/>
          <w:b/>
          <w:sz w:val="20"/>
          <w:lang w:val="bg-BG"/>
        </w:rPr>
        <w:t xml:space="preserve">. </w:t>
      </w:r>
      <w:r w:rsidR="00D871AB">
        <w:rPr>
          <w:rFonts w:ascii="Arial" w:hAnsi="Arial" w:cs="Arial"/>
          <w:sz w:val="20"/>
          <w:lang w:val="bg-BG"/>
        </w:rPr>
        <w:t>Комисарят по</w:t>
      </w:r>
      <w:r w:rsidR="006D183F" w:rsidRPr="004D45D3">
        <w:rPr>
          <w:rFonts w:ascii="Arial" w:hAnsi="Arial" w:cs="Arial"/>
          <w:sz w:val="20"/>
          <w:lang w:val="bg-BG"/>
        </w:rPr>
        <w:t xml:space="preserve"> земеделие </w:t>
      </w:r>
      <w:proofErr w:type="spellStart"/>
      <w:r w:rsidR="006D183F" w:rsidRPr="004D45D3">
        <w:rPr>
          <w:rFonts w:ascii="Arial" w:hAnsi="Arial" w:cs="Arial"/>
          <w:sz w:val="20"/>
          <w:lang w:val="bg-BG"/>
        </w:rPr>
        <w:t>Фил</w:t>
      </w:r>
      <w:proofErr w:type="spellEnd"/>
      <w:r w:rsidR="006D183F" w:rsidRPr="004D45D3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6D183F" w:rsidRPr="004D45D3">
        <w:rPr>
          <w:rFonts w:ascii="Arial" w:hAnsi="Arial" w:cs="Arial"/>
          <w:sz w:val="20"/>
          <w:lang w:val="bg-BG"/>
        </w:rPr>
        <w:t>Хоган</w:t>
      </w:r>
      <w:proofErr w:type="spellEnd"/>
      <w:r w:rsidR="006D183F" w:rsidRPr="004D45D3">
        <w:rPr>
          <w:rFonts w:ascii="Arial" w:hAnsi="Arial" w:cs="Arial"/>
          <w:sz w:val="20"/>
          <w:lang w:val="bg-BG"/>
        </w:rPr>
        <w:t xml:space="preserve"> заяви, че може да има „непредвидени последици от намаляване</w:t>
      </w:r>
      <w:r w:rsidR="004C461D">
        <w:rPr>
          <w:rFonts w:ascii="Arial" w:hAnsi="Arial" w:cs="Arial"/>
          <w:sz w:val="20"/>
          <w:lang w:val="bg-BG"/>
        </w:rPr>
        <w:t>то</w:t>
      </w:r>
      <w:r w:rsidR="006D183F" w:rsidRPr="004D45D3">
        <w:rPr>
          <w:rFonts w:ascii="Arial" w:hAnsi="Arial" w:cs="Arial"/>
          <w:sz w:val="20"/>
          <w:lang w:val="bg-BG"/>
        </w:rPr>
        <w:t xml:space="preserve"> на общото ниво на амбиция“, описвайки го като „стъпка назад, а не напред“. Вместо да отделя 30% от втория стълб за целите, свързани с околната среда и климата, Председателството предлага държавите членки да отделят определен </w:t>
      </w:r>
      <w:r w:rsidR="004C461D">
        <w:rPr>
          <w:rFonts w:ascii="Arial" w:hAnsi="Arial" w:cs="Arial"/>
          <w:sz w:val="20"/>
          <w:lang w:val="bg-BG"/>
        </w:rPr>
        <w:t>процент</w:t>
      </w:r>
      <w:r w:rsidR="006D183F" w:rsidRPr="004D45D3">
        <w:rPr>
          <w:rFonts w:ascii="Arial" w:hAnsi="Arial" w:cs="Arial"/>
          <w:sz w:val="20"/>
          <w:lang w:val="bg-BG"/>
        </w:rPr>
        <w:t xml:space="preserve"> от общия си пакет </w:t>
      </w:r>
      <w:r w:rsidR="004C461D">
        <w:rPr>
          <w:rFonts w:ascii="Arial" w:hAnsi="Arial" w:cs="Arial"/>
          <w:sz w:val="20"/>
          <w:lang w:val="bg-BG"/>
        </w:rPr>
        <w:t>за</w:t>
      </w:r>
      <w:r w:rsidR="006D183F" w:rsidRPr="004D45D3">
        <w:rPr>
          <w:rFonts w:ascii="Arial" w:hAnsi="Arial" w:cs="Arial"/>
          <w:sz w:val="20"/>
          <w:lang w:val="bg-BG"/>
        </w:rPr>
        <w:t xml:space="preserve"> ОСП (първи и втори стълб) за тези цели. Общият процент ще обхване целия стратегически план на ОСП, еднакво приложим за всички държави. След това </w:t>
      </w:r>
      <w:r w:rsidR="009A75C9">
        <w:rPr>
          <w:rFonts w:ascii="Arial" w:hAnsi="Arial" w:cs="Arial"/>
          <w:sz w:val="20"/>
          <w:lang w:val="bg-BG"/>
        </w:rPr>
        <w:t xml:space="preserve">държавите </w:t>
      </w:r>
      <w:r w:rsidR="004C461D">
        <w:rPr>
          <w:rFonts w:ascii="Arial" w:hAnsi="Arial" w:cs="Arial"/>
          <w:sz w:val="20"/>
          <w:lang w:val="bg-BG"/>
        </w:rPr>
        <w:t>членки</w:t>
      </w:r>
      <w:r w:rsidR="006D183F" w:rsidRPr="004D45D3">
        <w:rPr>
          <w:rFonts w:ascii="Arial" w:hAnsi="Arial" w:cs="Arial"/>
          <w:sz w:val="20"/>
          <w:lang w:val="bg-BG"/>
        </w:rPr>
        <w:t xml:space="preserve"> </w:t>
      </w:r>
      <w:r w:rsidR="004C461D">
        <w:rPr>
          <w:rFonts w:ascii="Arial" w:hAnsi="Arial" w:cs="Arial"/>
          <w:sz w:val="20"/>
          <w:lang w:val="bg-BG"/>
        </w:rPr>
        <w:t xml:space="preserve">ще </w:t>
      </w:r>
      <w:r w:rsidR="006D183F" w:rsidRPr="004D45D3">
        <w:rPr>
          <w:rFonts w:ascii="Arial" w:hAnsi="Arial" w:cs="Arial"/>
          <w:sz w:val="20"/>
          <w:lang w:val="bg-BG"/>
        </w:rPr>
        <w:t xml:space="preserve">избират една или повече интервенции по стълб I и </w:t>
      </w:r>
      <w:r w:rsidR="004C461D">
        <w:rPr>
          <w:rFonts w:ascii="Arial" w:hAnsi="Arial" w:cs="Arial"/>
          <w:sz w:val="20"/>
          <w:lang w:val="bg-BG"/>
        </w:rPr>
        <w:t xml:space="preserve">стълб </w:t>
      </w:r>
      <w:r w:rsidR="006D183F" w:rsidRPr="004D45D3">
        <w:rPr>
          <w:rFonts w:ascii="Arial" w:hAnsi="Arial" w:cs="Arial"/>
          <w:sz w:val="20"/>
          <w:lang w:val="bg-BG"/>
        </w:rPr>
        <w:t>II или и дв</w:t>
      </w:r>
      <w:r w:rsidR="004C461D">
        <w:rPr>
          <w:rFonts w:ascii="Arial" w:hAnsi="Arial" w:cs="Arial"/>
          <w:sz w:val="20"/>
          <w:lang w:val="bg-BG"/>
        </w:rPr>
        <w:t>ата</w:t>
      </w:r>
      <w:r w:rsidR="006D183F" w:rsidRPr="004D45D3">
        <w:rPr>
          <w:rFonts w:ascii="Arial" w:hAnsi="Arial" w:cs="Arial"/>
          <w:sz w:val="20"/>
          <w:lang w:val="bg-BG"/>
        </w:rPr>
        <w:t xml:space="preserve">, което </w:t>
      </w:r>
      <w:r w:rsidR="004C461D">
        <w:rPr>
          <w:rFonts w:ascii="Arial" w:hAnsi="Arial" w:cs="Arial"/>
          <w:sz w:val="20"/>
          <w:lang w:val="bg-BG"/>
        </w:rPr>
        <w:t>ще</w:t>
      </w:r>
      <w:r w:rsidR="006D183F" w:rsidRPr="004D45D3">
        <w:rPr>
          <w:rFonts w:ascii="Arial" w:hAnsi="Arial" w:cs="Arial"/>
          <w:sz w:val="20"/>
          <w:lang w:val="bg-BG"/>
        </w:rPr>
        <w:t xml:space="preserve"> доприне</w:t>
      </w:r>
      <w:r w:rsidR="004C461D">
        <w:rPr>
          <w:rFonts w:ascii="Arial" w:hAnsi="Arial" w:cs="Arial"/>
          <w:sz w:val="20"/>
          <w:lang w:val="bg-BG"/>
        </w:rPr>
        <w:t>се</w:t>
      </w:r>
      <w:r w:rsidR="006D183F" w:rsidRPr="004D45D3">
        <w:rPr>
          <w:rFonts w:ascii="Arial" w:hAnsi="Arial" w:cs="Arial"/>
          <w:sz w:val="20"/>
          <w:lang w:val="bg-BG"/>
        </w:rPr>
        <w:t xml:space="preserve"> за достигане на този процент от фиксираната сума. </w:t>
      </w:r>
      <w:r w:rsidR="009A75C9">
        <w:rPr>
          <w:rFonts w:ascii="Arial" w:hAnsi="Arial" w:cs="Arial"/>
          <w:sz w:val="20"/>
          <w:lang w:val="bg-BG"/>
        </w:rPr>
        <w:t xml:space="preserve">Те </w:t>
      </w:r>
      <w:r w:rsidR="004C461D">
        <w:rPr>
          <w:rFonts w:ascii="Arial" w:hAnsi="Arial" w:cs="Arial"/>
          <w:sz w:val="20"/>
          <w:lang w:val="bg-BG"/>
        </w:rPr>
        <w:t xml:space="preserve">включват </w:t>
      </w:r>
      <w:r w:rsidR="009A75C9">
        <w:rPr>
          <w:rFonts w:ascii="Arial" w:hAnsi="Arial" w:cs="Arial"/>
          <w:sz w:val="20"/>
          <w:lang w:val="bg-BG"/>
        </w:rPr>
        <w:t xml:space="preserve">схеми за околна среда и </w:t>
      </w:r>
      <w:proofErr w:type="spellStart"/>
      <w:r w:rsidR="009A75C9">
        <w:rPr>
          <w:rFonts w:ascii="Arial" w:hAnsi="Arial" w:cs="Arial"/>
          <w:sz w:val="20"/>
          <w:lang w:val="bg-BG"/>
        </w:rPr>
        <w:t>климаа</w:t>
      </w:r>
      <w:proofErr w:type="spellEnd"/>
      <w:r w:rsidR="009A75C9">
        <w:rPr>
          <w:rFonts w:ascii="Arial" w:hAnsi="Arial" w:cs="Arial"/>
          <w:sz w:val="20"/>
          <w:lang w:val="bg-BG"/>
        </w:rPr>
        <w:t xml:space="preserve"> (</w:t>
      </w:r>
      <w:proofErr w:type="spellStart"/>
      <w:r w:rsidR="006D183F" w:rsidRPr="004D45D3">
        <w:rPr>
          <w:rFonts w:ascii="Arial" w:hAnsi="Arial" w:cs="Arial"/>
          <w:sz w:val="20"/>
          <w:lang w:val="bg-BG"/>
        </w:rPr>
        <w:t>еко-схеми</w:t>
      </w:r>
      <w:proofErr w:type="spellEnd"/>
      <w:r w:rsidR="009A75C9">
        <w:rPr>
          <w:rFonts w:ascii="Arial" w:hAnsi="Arial" w:cs="Arial"/>
          <w:sz w:val="20"/>
          <w:lang w:val="bg-BG"/>
        </w:rPr>
        <w:t>)</w:t>
      </w:r>
      <w:r w:rsidR="004C461D">
        <w:rPr>
          <w:rFonts w:ascii="Arial" w:hAnsi="Arial" w:cs="Arial"/>
          <w:sz w:val="20"/>
          <w:lang w:val="bg-BG"/>
        </w:rPr>
        <w:t xml:space="preserve"> по стълб І</w:t>
      </w:r>
      <w:r w:rsidR="006D183F" w:rsidRPr="004D45D3">
        <w:rPr>
          <w:rFonts w:ascii="Arial" w:hAnsi="Arial" w:cs="Arial"/>
          <w:sz w:val="20"/>
          <w:lang w:val="bg-BG"/>
        </w:rPr>
        <w:t xml:space="preserve">, ангажименти за управление, допринасящи за околната среда и климата </w:t>
      </w:r>
      <w:r w:rsidR="004C461D">
        <w:rPr>
          <w:rFonts w:ascii="Arial" w:hAnsi="Arial" w:cs="Arial"/>
          <w:sz w:val="20"/>
          <w:lang w:val="bg-BG"/>
        </w:rPr>
        <w:t>по</w:t>
      </w:r>
      <w:r w:rsidR="006D183F" w:rsidRPr="004D45D3">
        <w:rPr>
          <w:rFonts w:ascii="Arial" w:hAnsi="Arial" w:cs="Arial"/>
          <w:sz w:val="20"/>
          <w:lang w:val="bg-BG"/>
        </w:rPr>
        <w:t xml:space="preserve"> стълб II, определен процент на финансиране за компенсиране на естествени или други специфични за района ограничения, инвестиции, консултантски услуги и трансфер на знания и сътрудничество, свързани с околна среда и </w:t>
      </w:r>
      <w:r w:rsidR="009A75C9">
        <w:rPr>
          <w:rFonts w:ascii="Arial" w:hAnsi="Arial" w:cs="Arial"/>
          <w:sz w:val="20"/>
          <w:lang w:val="bg-BG"/>
        </w:rPr>
        <w:t>климатични цели. Общият процент,</w:t>
      </w:r>
      <w:r w:rsidR="006D183F" w:rsidRPr="004D45D3">
        <w:rPr>
          <w:rFonts w:ascii="Arial" w:hAnsi="Arial" w:cs="Arial"/>
          <w:sz w:val="20"/>
          <w:lang w:val="bg-BG"/>
        </w:rPr>
        <w:t xml:space="preserve"> заместващ предложената 30% цел</w:t>
      </w:r>
      <w:r w:rsidR="009A75C9">
        <w:rPr>
          <w:rFonts w:ascii="Arial" w:hAnsi="Arial" w:cs="Arial"/>
          <w:sz w:val="20"/>
          <w:lang w:val="bg-BG"/>
        </w:rPr>
        <w:t>,</w:t>
      </w:r>
      <w:r w:rsidR="006D183F" w:rsidRPr="004D45D3">
        <w:rPr>
          <w:rFonts w:ascii="Arial" w:hAnsi="Arial" w:cs="Arial"/>
          <w:sz w:val="20"/>
          <w:lang w:val="bg-BG"/>
        </w:rPr>
        <w:t xml:space="preserve"> може да бъде определен по-късно, след решението за дългосрочния бюджет 2021-2027. Финландският министър на земеделието </w:t>
      </w:r>
      <w:proofErr w:type="spellStart"/>
      <w:r w:rsidR="006D183F" w:rsidRPr="004D45D3">
        <w:rPr>
          <w:rFonts w:ascii="Arial" w:hAnsi="Arial" w:cs="Arial"/>
          <w:sz w:val="20"/>
          <w:lang w:val="bg-BG"/>
        </w:rPr>
        <w:t>Яри</w:t>
      </w:r>
      <w:proofErr w:type="spellEnd"/>
      <w:r w:rsidR="006D183F" w:rsidRPr="004D45D3">
        <w:rPr>
          <w:rFonts w:ascii="Arial" w:hAnsi="Arial" w:cs="Arial"/>
          <w:sz w:val="20"/>
          <w:lang w:val="bg-BG"/>
        </w:rPr>
        <w:t xml:space="preserve"> </w:t>
      </w:r>
      <w:proofErr w:type="spellStart"/>
      <w:r w:rsidR="006D183F" w:rsidRPr="004D45D3">
        <w:rPr>
          <w:rFonts w:ascii="Arial" w:hAnsi="Arial" w:cs="Arial"/>
          <w:sz w:val="20"/>
          <w:lang w:val="bg-BG"/>
        </w:rPr>
        <w:t>Леппа</w:t>
      </w:r>
      <w:proofErr w:type="spellEnd"/>
      <w:r w:rsidR="006D183F" w:rsidRPr="004D45D3">
        <w:rPr>
          <w:rFonts w:ascii="Arial" w:hAnsi="Arial" w:cs="Arial"/>
          <w:sz w:val="20"/>
          <w:lang w:val="bg-BG"/>
        </w:rPr>
        <w:t xml:space="preserve"> приветства „принципно споразумението“ относно общия процент, като подчерта, че повече подробности ще бъдат обобщени на по-късен етап</w:t>
      </w:r>
      <w:r w:rsidR="009A75C9">
        <w:rPr>
          <w:rFonts w:ascii="Arial" w:hAnsi="Arial" w:cs="Arial"/>
          <w:sz w:val="20"/>
          <w:lang w:val="bg-BG"/>
        </w:rPr>
        <w:t>,</w:t>
      </w:r>
      <w:r w:rsidR="006D183F" w:rsidRPr="004D45D3">
        <w:rPr>
          <w:rFonts w:ascii="Arial" w:hAnsi="Arial" w:cs="Arial"/>
          <w:sz w:val="20"/>
          <w:lang w:val="bg-BG"/>
        </w:rPr>
        <w:t xml:space="preserve"> след решение</w:t>
      </w:r>
      <w:r w:rsidR="009A75C9">
        <w:rPr>
          <w:rFonts w:ascii="Arial" w:hAnsi="Arial" w:cs="Arial"/>
          <w:sz w:val="20"/>
          <w:lang w:val="bg-BG"/>
        </w:rPr>
        <w:t>то</w:t>
      </w:r>
      <w:r w:rsidR="006D183F" w:rsidRPr="004D45D3">
        <w:rPr>
          <w:rFonts w:ascii="Arial" w:hAnsi="Arial" w:cs="Arial"/>
          <w:sz w:val="20"/>
          <w:lang w:val="bg-BG"/>
        </w:rPr>
        <w:t xml:space="preserve"> на лидерите на ЕС относно многогодишната финансова рамка (МФР). На </w:t>
      </w:r>
      <w:proofErr w:type="spellStart"/>
      <w:r w:rsidR="006D183F" w:rsidRPr="004D45D3">
        <w:rPr>
          <w:rFonts w:ascii="Arial" w:hAnsi="Arial" w:cs="Arial"/>
          <w:sz w:val="20"/>
          <w:lang w:val="bg-BG"/>
        </w:rPr>
        <w:t>Съветa</w:t>
      </w:r>
      <w:proofErr w:type="spellEnd"/>
      <w:r w:rsidR="006D183F" w:rsidRPr="004D45D3">
        <w:rPr>
          <w:rFonts w:ascii="Arial" w:hAnsi="Arial" w:cs="Arial"/>
          <w:sz w:val="20"/>
          <w:lang w:val="bg-BG"/>
        </w:rPr>
        <w:t xml:space="preserve"> по селско стопанство в Брюксел министрите </w:t>
      </w:r>
      <w:r w:rsidR="009A75C9">
        <w:rPr>
          <w:rFonts w:ascii="Arial" w:hAnsi="Arial" w:cs="Arial"/>
          <w:sz w:val="20"/>
          <w:lang w:val="bg-BG"/>
        </w:rPr>
        <w:t>обсъдиха</w:t>
      </w:r>
      <w:r w:rsidR="006D183F" w:rsidRPr="004D45D3">
        <w:rPr>
          <w:rFonts w:ascii="Arial" w:hAnsi="Arial" w:cs="Arial"/>
          <w:sz w:val="20"/>
          <w:lang w:val="bg-BG"/>
        </w:rPr>
        <w:t xml:space="preserve"> </w:t>
      </w:r>
      <w:r w:rsidR="009A75C9" w:rsidRPr="00023623">
        <w:rPr>
          <w:rStyle w:val="tlid-translation"/>
          <w:rFonts w:ascii="Arial" w:hAnsi="Arial" w:cs="Arial"/>
          <w:noProof/>
          <w:sz w:val="20"/>
          <w:lang w:val="bg-BG"/>
        </w:rPr>
        <w:t>така наречения преходен пакет, включващ техническо предложение за актуализиране на правилата за финансова дисциплина и гъвкавост между стълбовете и преходните разпоредби за 2021 г. (изменение на законодателни актове).</w:t>
      </w:r>
      <w:r w:rsidR="009A75C9" w:rsidRPr="00CC1BDB">
        <w:rPr>
          <w:rStyle w:val="tlid-translation"/>
          <w:rFonts w:ascii="Arial" w:hAnsi="Arial" w:cs="Arial"/>
          <w:b/>
          <w:noProof/>
          <w:sz w:val="20"/>
          <w:lang w:val="bg-BG"/>
        </w:rPr>
        <w:t xml:space="preserve"> </w:t>
      </w:r>
      <w:r w:rsidR="009A75C9" w:rsidRPr="00023623">
        <w:rPr>
          <w:rStyle w:val="tlid-translation"/>
          <w:rFonts w:ascii="Arial" w:hAnsi="Arial" w:cs="Arial"/>
          <w:noProof/>
          <w:sz w:val="20"/>
          <w:lang w:val="bg-BG"/>
        </w:rPr>
        <w:t>Целта на този пакет е</w:t>
      </w:r>
      <w:r w:rsidR="009A75C9">
        <w:rPr>
          <w:rStyle w:val="tlid-translation"/>
          <w:rFonts w:ascii="Arial" w:hAnsi="Arial" w:cs="Arial"/>
          <w:noProof/>
          <w:sz w:val="20"/>
          <w:lang w:val="bg-BG"/>
        </w:rPr>
        <w:t xml:space="preserve"> да се </w:t>
      </w:r>
      <w:r w:rsidR="009A75C9" w:rsidRPr="00CC1BDB">
        <w:rPr>
          <w:rStyle w:val="tlid-translation"/>
          <w:rFonts w:ascii="Arial" w:hAnsi="Arial" w:cs="Arial"/>
          <w:noProof/>
          <w:sz w:val="20"/>
          <w:lang w:val="bg-BG"/>
        </w:rPr>
        <w:t>осигур</w:t>
      </w:r>
      <w:r w:rsidR="009A75C9">
        <w:rPr>
          <w:rStyle w:val="tlid-translation"/>
          <w:rFonts w:ascii="Arial" w:hAnsi="Arial" w:cs="Arial"/>
          <w:noProof/>
          <w:sz w:val="20"/>
          <w:lang w:val="bg-BG"/>
        </w:rPr>
        <w:t>и</w:t>
      </w:r>
      <w:r w:rsidR="009A75C9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 непрекъснатост на подкрепата по ОСП въз основа на действащите правила (само за една година) и плавен преход до въвеждането на стратегическите планове. </w:t>
      </w:r>
      <w:r w:rsidR="009A75C9">
        <w:rPr>
          <w:rStyle w:val="tlid-translation"/>
          <w:rFonts w:ascii="Arial" w:hAnsi="Arial" w:cs="Arial"/>
          <w:noProof/>
          <w:sz w:val="20"/>
          <w:lang w:val="bg-BG"/>
        </w:rPr>
        <w:t>Комисар Х</w:t>
      </w:r>
      <w:r w:rsidR="009A75C9" w:rsidRPr="00CC1BDB">
        <w:rPr>
          <w:rStyle w:val="tlid-translation"/>
          <w:rFonts w:ascii="Arial" w:hAnsi="Arial" w:cs="Arial"/>
          <w:noProof/>
          <w:sz w:val="20"/>
          <w:lang w:val="bg-BG"/>
        </w:rPr>
        <w:t>оган призова съзаконодателите да завършат процеса възможно най-бързо, като „основният“ преходен регламент трябва да бъде приет „за предпочитане до лятото на 2020 г.“. Някои ДЧ предложиха 2-годишен преходен период като „по-реалистичен вариант“, тъй като считат, че една година е „твърде кратко време“ за цялата административна подготовка и привежане в съответствие на системите с новата правна рамка. Комисар Хоган не подкрепи по-дълъг преход, заявявайки, че "така съществува риск да се намалят средствата в развитие на селските райони ... и в този случай държавите</w:t>
      </w:r>
      <w:r w:rsidR="009A75C9">
        <w:rPr>
          <w:rStyle w:val="tlid-translation"/>
          <w:rFonts w:ascii="Arial" w:hAnsi="Arial" w:cs="Arial"/>
          <w:noProof/>
          <w:sz w:val="20"/>
          <w:lang w:val="bg-BG"/>
        </w:rPr>
        <w:t xml:space="preserve"> </w:t>
      </w:r>
      <w:r w:rsidR="009A75C9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членки ще трябва да осигурят средства за запълване на празнината." </w:t>
      </w:r>
    </w:p>
    <w:p w:rsidR="006D183F" w:rsidRDefault="006D183F" w:rsidP="00CC1BDB">
      <w:pPr>
        <w:contextualSpacing/>
        <w:jc w:val="both"/>
        <w:rPr>
          <w:rStyle w:val="tlid-translation"/>
          <w:rFonts w:ascii="Arial" w:hAnsi="Arial" w:cs="Arial"/>
          <w:b/>
          <w:sz w:val="20"/>
          <w:lang w:val="en-US"/>
        </w:rPr>
      </w:pPr>
    </w:p>
    <w:p w:rsidR="006A094F" w:rsidRPr="00CC1BDB" w:rsidRDefault="006D183F" w:rsidP="00DA4860">
      <w:pPr>
        <w:contextualSpacing/>
        <w:jc w:val="both"/>
        <w:rPr>
          <w:rStyle w:val="tlid-translation"/>
          <w:rFonts w:ascii="Arial" w:hAnsi="Arial" w:cs="Arial"/>
          <w:sz w:val="20"/>
          <w:lang w:val="en-US"/>
        </w:rPr>
      </w:pPr>
      <w:r>
        <w:rPr>
          <w:rStyle w:val="tlid-translation"/>
          <w:rFonts w:ascii="Arial" w:hAnsi="Arial" w:cs="Arial"/>
          <w:b/>
          <w:sz w:val="20"/>
          <w:lang w:val="en-US"/>
        </w:rPr>
        <w:t xml:space="preserve">4.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С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обща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декларация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по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инициатива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България</w:t>
      </w:r>
      <w:proofErr w:type="gramStart"/>
      <w:r w:rsidR="006E41FE">
        <w:rPr>
          <w:rStyle w:val="tlid-translation"/>
          <w:rFonts w:ascii="Arial" w:hAnsi="Arial" w:cs="Arial"/>
          <w:b/>
          <w:sz w:val="20"/>
          <w:lang w:val="bg-BG"/>
        </w:rPr>
        <w:t xml:space="preserve">, 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подкрепена</w:t>
      </w:r>
      <w:proofErr w:type="gramEnd"/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от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Кипър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,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Чехия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,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Унгария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,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Полша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и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Румъния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,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Европейската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комисия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беше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призована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да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продължи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прилагането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на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преходната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национална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помощ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,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като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я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включи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в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преходния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пакет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ОСП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(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за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 2021 </w:t>
      </w:r>
      <w:r w:rsidR="00023623" w:rsidRPr="00023623">
        <w:rPr>
          <w:rStyle w:val="tlid-translation"/>
          <w:rFonts w:ascii="Arial" w:hAnsi="Arial" w:cs="Arial" w:hint="eastAsia"/>
          <w:b/>
          <w:sz w:val="20"/>
          <w:lang w:val="bg-BG"/>
        </w:rPr>
        <w:t>г</w:t>
      </w:r>
      <w:r w:rsidR="00023623" w:rsidRPr="00023623">
        <w:rPr>
          <w:rStyle w:val="tlid-translation"/>
          <w:rFonts w:ascii="Arial" w:hAnsi="Arial" w:cs="Arial"/>
          <w:b/>
          <w:sz w:val="20"/>
          <w:lang w:val="bg-BG"/>
        </w:rPr>
        <w:t xml:space="preserve">.). 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С декларацията, включена в протокола </w:t>
      </w:r>
      <w:r w:rsidR="00C545FD">
        <w:rPr>
          <w:rStyle w:val="tlid-translation"/>
          <w:rFonts w:ascii="Arial" w:hAnsi="Arial" w:cs="Arial"/>
          <w:noProof/>
          <w:sz w:val="20"/>
          <w:lang w:val="bg-BG"/>
        </w:rPr>
        <w:t xml:space="preserve">на 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заседанието на Съвета на министрите, шестте държави-членки </w:t>
      </w:r>
      <w:r w:rsidR="00023623">
        <w:rPr>
          <w:rStyle w:val="tlid-translation"/>
          <w:rFonts w:ascii="Arial" w:hAnsi="Arial" w:cs="Arial"/>
          <w:noProof/>
          <w:sz w:val="20"/>
          <w:lang w:val="bg-BG"/>
        </w:rPr>
        <w:t xml:space="preserve">заявиха, че 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>не приемат приключването на тези допълнителни плащания, идващи от националните бюджети, тъй като средствата са „неутрални по отношение на бюджета за ЕС.“ Предложените преходни разпоредби „с</w:t>
      </w:r>
      <w:r w:rsidR="00C545FD">
        <w:rPr>
          <w:rStyle w:val="tlid-translation"/>
          <w:rFonts w:ascii="Arial" w:hAnsi="Arial" w:cs="Arial"/>
          <w:noProof/>
          <w:sz w:val="20"/>
          <w:lang w:val="bg-BG"/>
        </w:rPr>
        <w:t>е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 основа</w:t>
      </w:r>
      <w:r w:rsidR="00C545FD">
        <w:rPr>
          <w:rStyle w:val="tlid-translation"/>
          <w:rFonts w:ascii="Arial" w:hAnsi="Arial" w:cs="Arial"/>
          <w:noProof/>
          <w:sz w:val="20"/>
          <w:lang w:val="bg-BG"/>
        </w:rPr>
        <w:t>ват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 на съществуващите приложими правила и схеми “ и е</w:t>
      </w:r>
      <w:r w:rsidR="00023623">
        <w:rPr>
          <w:rStyle w:val="tlid-translation"/>
          <w:rFonts w:ascii="Arial" w:hAnsi="Arial" w:cs="Arial"/>
          <w:noProof/>
          <w:sz w:val="20"/>
          <w:lang w:val="bg-BG"/>
        </w:rPr>
        <w:t xml:space="preserve"> 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логично  </w:t>
      </w:r>
      <w:r w:rsidR="00023623">
        <w:rPr>
          <w:rStyle w:val="tlid-translation"/>
          <w:rFonts w:ascii="Arial" w:hAnsi="Arial" w:cs="Arial"/>
          <w:noProof/>
          <w:sz w:val="20"/>
          <w:lang w:val="bg-BG"/>
        </w:rPr>
        <w:t>преходната</w:t>
      </w:r>
      <w:r w:rsidR="00C545FD">
        <w:rPr>
          <w:rStyle w:val="tlid-translation"/>
          <w:rFonts w:ascii="Arial" w:hAnsi="Arial" w:cs="Arial"/>
          <w:noProof/>
          <w:sz w:val="20"/>
          <w:lang w:val="bg-BG"/>
        </w:rPr>
        <w:t xml:space="preserve"> национална помощ също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 </w:t>
      </w:r>
      <w:r w:rsidR="00023623">
        <w:rPr>
          <w:rStyle w:val="tlid-translation"/>
          <w:rFonts w:ascii="Arial" w:hAnsi="Arial" w:cs="Arial"/>
          <w:noProof/>
          <w:sz w:val="20"/>
          <w:lang w:val="bg-BG"/>
        </w:rPr>
        <w:t>да бъде включена, защото е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 „част от съществуващата правна рамка“. Продължаването на преходната национална помощ на същото ниво от 2020 г.“ ще даде сигурност и приемственост на засегнатите земеделски стопани</w:t>
      </w:r>
      <w:r w:rsidR="00023623">
        <w:rPr>
          <w:rStyle w:val="tlid-translation"/>
          <w:rFonts w:ascii="Arial" w:hAnsi="Arial" w:cs="Arial"/>
          <w:noProof/>
          <w:sz w:val="20"/>
          <w:lang w:val="bg-BG"/>
        </w:rPr>
        <w:t xml:space="preserve"> 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>и ще се избегне внезапно и съществено намаляване на подкрепата. „Споразумението за реформа на ОСП остава приоритет и изключването на преходната национална помощ от преходните правила би засегнало дискусията по този въпрос в рамките на Реформата на ОСП</w:t>
      </w:r>
      <w:r w:rsidR="00C545FD">
        <w:rPr>
          <w:rStyle w:val="tlid-translation"/>
          <w:rFonts w:ascii="Arial" w:hAnsi="Arial" w:cs="Arial"/>
          <w:noProof/>
          <w:sz w:val="20"/>
          <w:lang w:val="bg-BG"/>
        </w:rPr>
        <w:t>“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. Комисарят по земеделие Фил Хоган заяви, че „няма предложение за удължаване на преходната национална помощ, тъй като инструментът е създаден да </w:t>
      </w:r>
      <w:r w:rsidR="00023623">
        <w:rPr>
          <w:rStyle w:val="tlid-translation"/>
          <w:rFonts w:ascii="Arial" w:hAnsi="Arial" w:cs="Arial"/>
          <w:noProof/>
          <w:sz w:val="20"/>
          <w:lang w:val="bg-BG"/>
        </w:rPr>
        <w:t>работи</w:t>
      </w:r>
      <w:r w:rsidR="00023623" w:rsidRPr="00CC1BDB">
        <w:rPr>
          <w:rStyle w:val="tlid-translation"/>
          <w:rFonts w:ascii="Arial" w:hAnsi="Arial" w:cs="Arial"/>
          <w:noProof/>
          <w:sz w:val="20"/>
          <w:lang w:val="bg-BG"/>
        </w:rPr>
        <w:t xml:space="preserve"> до 2020 г. и няма планове за удължаването му след 2020 г.“.</w:t>
      </w:r>
      <w:r w:rsidR="00023623">
        <w:rPr>
          <w:rStyle w:val="tlid-translation"/>
          <w:rFonts w:ascii="Arial" w:hAnsi="Arial" w:cs="Arial"/>
          <w:noProof/>
          <w:sz w:val="20"/>
          <w:lang w:val="bg-BG"/>
        </w:rPr>
        <w:t xml:space="preserve"> </w:t>
      </w:r>
    </w:p>
    <w:p w:rsidR="00DC5A8E" w:rsidRPr="001777B2" w:rsidRDefault="00186654" w:rsidP="00DA4860">
      <w:pPr>
        <w:contextualSpacing/>
        <w:jc w:val="both"/>
        <w:rPr>
          <w:rFonts w:ascii="Arial" w:hAnsi="Arial" w:cs="Arial"/>
          <w:color w:val="000000"/>
          <w:sz w:val="20"/>
        </w:rPr>
      </w:pPr>
      <w:r w:rsidRPr="00186654">
        <w:rPr>
          <w:rStyle w:val="tlid-translation"/>
          <w:rFonts w:ascii="Arial" w:hAnsi="Arial" w:cs="Arial"/>
          <w:b/>
          <w:sz w:val="20"/>
          <w:lang w:val="bg-BG"/>
        </w:rPr>
        <w:t xml:space="preserve"> </w:t>
      </w:r>
    </w:p>
    <w:tbl>
      <w:tblPr>
        <w:tblW w:w="236" w:type="dxa"/>
        <w:tblInd w:w="108" w:type="dxa"/>
        <w:tblLook w:val="01E0" w:firstRow="1" w:lastRow="1" w:firstColumn="1" w:lastColumn="1" w:noHBand="0" w:noVBand="0"/>
      </w:tblPr>
      <w:tblGrid>
        <w:gridCol w:w="236"/>
      </w:tblGrid>
      <w:tr w:rsidR="007F18DC" w:rsidRPr="00CE5E69" w:rsidTr="007F18DC">
        <w:tc>
          <w:tcPr>
            <w:tcW w:w="236" w:type="dxa"/>
          </w:tcPr>
          <w:p w:rsidR="007F18DC" w:rsidRPr="00CE5E69" w:rsidRDefault="007F18DC" w:rsidP="00DF42CC">
            <w:pPr>
              <w:jc w:val="both"/>
              <w:rPr>
                <w:rStyle w:val="longtext"/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CE5E69" w:rsidRDefault="00403CB9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</w:p>
    <w:p w:rsidR="00A917FB" w:rsidRDefault="00A917FB" w:rsidP="003A2FF8">
      <w:pPr>
        <w:pStyle w:val="Default"/>
        <w:jc w:val="both"/>
        <w:rPr>
          <w:sz w:val="20"/>
          <w:szCs w:val="20"/>
          <w:lang w:val="bg-BG"/>
        </w:rPr>
      </w:pPr>
      <w:bookmarkStart w:id="0" w:name="_GoBack"/>
      <w:bookmarkEnd w:id="0"/>
    </w:p>
    <w:sectPr w:rsidR="00A917FB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EF" w:rsidRDefault="00A149EF">
      <w:r>
        <w:separator/>
      </w:r>
    </w:p>
  </w:endnote>
  <w:endnote w:type="continuationSeparator" w:id="0">
    <w:p w:rsidR="00A149EF" w:rsidRDefault="00A1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A149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A149EF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A02094">
    <w:pPr>
      <w:pStyle w:val="Footer"/>
      <w:ind w:right="-23"/>
      <w:jc w:val="center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Дирекции „Директни плащания” и „Пазарни мерки и организации на производители“, МЗХГ</w:t>
    </w:r>
  </w:p>
  <w:p w:rsidR="005618E1" w:rsidRPr="004B3CB3" w:rsidRDefault="00A149EF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EF" w:rsidRDefault="00A149EF">
      <w:r>
        <w:separator/>
      </w:r>
    </w:p>
  </w:footnote>
  <w:footnote w:type="continuationSeparator" w:id="0">
    <w:p w:rsidR="00A149EF" w:rsidRDefault="00A1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595F027A" wp14:editId="2CEEDCAF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A149EF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A149EF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750FB4">
      <w:rPr>
        <w:rFonts w:ascii="Arial" w:hAnsi="Arial"/>
        <w:b/>
        <w:bCs/>
        <w:color w:val="800080"/>
        <w:sz w:val="20"/>
        <w:lang w:val="en-US"/>
      </w:rPr>
      <w:t>9</w:t>
    </w:r>
    <w:r w:rsidR="00D74AA1">
      <w:rPr>
        <w:rFonts w:ascii="Arial" w:hAnsi="Arial"/>
        <w:b/>
        <w:bCs/>
        <w:color w:val="800080"/>
        <w:sz w:val="20"/>
        <w:lang w:val="en-US"/>
      </w:rPr>
      <w:t>7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D74AA1">
      <w:rPr>
        <w:rFonts w:ascii="Arial" w:hAnsi="Arial"/>
        <w:b/>
        <w:bCs/>
        <w:color w:val="800080"/>
        <w:sz w:val="20"/>
        <w:lang w:val="en-US"/>
      </w:rPr>
      <w:t>25</w:t>
    </w:r>
    <w:r w:rsidR="00750FB4">
      <w:rPr>
        <w:rFonts w:ascii="Arial" w:hAnsi="Arial"/>
        <w:b/>
        <w:bCs/>
        <w:color w:val="800080"/>
        <w:sz w:val="20"/>
        <w:lang w:val="en-US"/>
      </w:rPr>
      <w:t>.11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BA0"/>
    <w:multiLevelType w:val="hybridMultilevel"/>
    <w:tmpl w:val="15FCDA66"/>
    <w:lvl w:ilvl="0" w:tplc="C3927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23623"/>
    <w:rsid w:val="0002497A"/>
    <w:rsid w:val="00046D50"/>
    <w:rsid w:val="00081DAE"/>
    <w:rsid w:val="00091CD4"/>
    <w:rsid w:val="000A31F0"/>
    <w:rsid w:val="000B2026"/>
    <w:rsid w:val="000C1373"/>
    <w:rsid w:val="00102353"/>
    <w:rsid w:val="001048A8"/>
    <w:rsid w:val="001179B6"/>
    <w:rsid w:val="00131A6D"/>
    <w:rsid w:val="00134872"/>
    <w:rsid w:val="0013606E"/>
    <w:rsid w:val="00137F06"/>
    <w:rsid w:val="0014608C"/>
    <w:rsid w:val="001639CC"/>
    <w:rsid w:val="00173E25"/>
    <w:rsid w:val="00180441"/>
    <w:rsid w:val="00186654"/>
    <w:rsid w:val="001E1EAA"/>
    <w:rsid w:val="001E4C01"/>
    <w:rsid w:val="001F2EC7"/>
    <w:rsid w:val="00221CDF"/>
    <w:rsid w:val="00222A87"/>
    <w:rsid w:val="002610A9"/>
    <w:rsid w:val="00274F4E"/>
    <w:rsid w:val="00285183"/>
    <w:rsid w:val="0029220D"/>
    <w:rsid w:val="002A5150"/>
    <w:rsid w:val="002A6A4C"/>
    <w:rsid w:val="002D25F9"/>
    <w:rsid w:val="002F1104"/>
    <w:rsid w:val="002F450E"/>
    <w:rsid w:val="002F6211"/>
    <w:rsid w:val="00300FA3"/>
    <w:rsid w:val="00304D05"/>
    <w:rsid w:val="00313FBA"/>
    <w:rsid w:val="00320AF0"/>
    <w:rsid w:val="00353ACF"/>
    <w:rsid w:val="00360A0D"/>
    <w:rsid w:val="003835C2"/>
    <w:rsid w:val="003877CA"/>
    <w:rsid w:val="003952CE"/>
    <w:rsid w:val="003A2FF8"/>
    <w:rsid w:val="003A56BA"/>
    <w:rsid w:val="003B7AAB"/>
    <w:rsid w:val="003C0E47"/>
    <w:rsid w:val="003C1BFF"/>
    <w:rsid w:val="003E118D"/>
    <w:rsid w:val="003E5CB2"/>
    <w:rsid w:val="003F1404"/>
    <w:rsid w:val="00403CB9"/>
    <w:rsid w:val="004133A8"/>
    <w:rsid w:val="00416504"/>
    <w:rsid w:val="00422311"/>
    <w:rsid w:val="0044148C"/>
    <w:rsid w:val="00442CE5"/>
    <w:rsid w:val="00446398"/>
    <w:rsid w:val="004923C1"/>
    <w:rsid w:val="004C461D"/>
    <w:rsid w:val="004D25FE"/>
    <w:rsid w:val="004D45D3"/>
    <w:rsid w:val="00502A0A"/>
    <w:rsid w:val="005247A5"/>
    <w:rsid w:val="00537A32"/>
    <w:rsid w:val="005A0184"/>
    <w:rsid w:val="005B4574"/>
    <w:rsid w:val="005C1BB7"/>
    <w:rsid w:val="005C4EE8"/>
    <w:rsid w:val="005F6E40"/>
    <w:rsid w:val="006367A9"/>
    <w:rsid w:val="0067091A"/>
    <w:rsid w:val="00682667"/>
    <w:rsid w:val="006961F0"/>
    <w:rsid w:val="006A094F"/>
    <w:rsid w:val="006A739D"/>
    <w:rsid w:val="006D183F"/>
    <w:rsid w:val="006E41FE"/>
    <w:rsid w:val="00705B40"/>
    <w:rsid w:val="007276F0"/>
    <w:rsid w:val="00734448"/>
    <w:rsid w:val="00750FB4"/>
    <w:rsid w:val="007846E5"/>
    <w:rsid w:val="0078732A"/>
    <w:rsid w:val="007A388B"/>
    <w:rsid w:val="007A70E6"/>
    <w:rsid w:val="007B03F2"/>
    <w:rsid w:val="007D62B8"/>
    <w:rsid w:val="007D7438"/>
    <w:rsid w:val="007F18DC"/>
    <w:rsid w:val="007F4E89"/>
    <w:rsid w:val="008030C3"/>
    <w:rsid w:val="00816686"/>
    <w:rsid w:val="0082007C"/>
    <w:rsid w:val="008206C1"/>
    <w:rsid w:val="0083232B"/>
    <w:rsid w:val="00845489"/>
    <w:rsid w:val="00852DE4"/>
    <w:rsid w:val="00861450"/>
    <w:rsid w:val="0087702E"/>
    <w:rsid w:val="0087763E"/>
    <w:rsid w:val="008836F2"/>
    <w:rsid w:val="008E0F81"/>
    <w:rsid w:val="00910462"/>
    <w:rsid w:val="00934FA6"/>
    <w:rsid w:val="009355BA"/>
    <w:rsid w:val="009704A2"/>
    <w:rsid w:val="0099695D"/>
    <w:rsid w:val="009A5D09"/>
    <w:rsid w:val="009A75C9"/>
    <w:rsid w:val="009D0924"/>
    <w:rsid w:val="009D6F1E"/>
    <w:rsid w:val="009F2552"/>
    <w:rsid w:val="009F4E95"/>
    <w:rsid w:val="009F7022"/>
    <w:rsid w:val="00A02094"/>
    <w:rsid w:val="00A1170C"/>
    <w:rsid w:val="00A149EF"/>
    <w:rsid w:val="00A447C0"/>
    <w:rsid w:val="00A56825"/>
    <w:rsid w:val="00A673EB"/>
    <w:rsid w:val="00A76189"/>
    <w:rsid w:val="00A917FB"/>
    <w:rsid w:val="00AA513C"/>
    <w:rsid w:val="00AB1841"/>
    <w:rsid w:val="00AC73DE"/>
    <w:rsid w:val="00AE14FF"/>
    <w:rsid w:val="00AE2FF4"/>
    <w:rsid w:val="00B16835"/>
    <w:rsid w:val="00B34793"/>
    <w:rsid w:val="00B64ABE"/>
    <w:rsid w:val="00B64F87"/>
    <w:rsid w:val="00B73DA3"/>
    <w:rsid w:val="00B74F21"/>
    <w:rsid w:val="00B8112B"/>
    <w:rsid w:val="00B853D4"/>
    <w:rsid w:val="00B90317"/>
    <w:rsid w:val="00B93F21"/>
    <w:rsid w:val="00B94172"/>
    <w:rsid w:val="00BC70E2"/>
    <w:rsid w:val="00BE55CA"/>
    <w:rsid w:val="00BF118B"/>
    <w:rsid w:val="00BF28EC"/>
    <w:rsid w:val="00C00F88"/>
    <w:rsid w:val="00C20809"/>
    <w:rsid w:val="00C3643A"/>
    <w:rsid w:val="00C37B23"/>
    <w:rsid w:val="00C545FD"/>
    <w:rsid w:val="00C60D17"/>
    <w:rsid w:val="00C6312D"/>
    <w:rsid w:val="00C718EB"/>
    <w:rsid w:val="00C81225"/>
    <w:rsid w:val="00CB196D"/>
    <w:rsid w:val="00CC1BDB"/>
    <w:rsid w:val="00CE5E69"/>
    <w:rsid w:val="00D1195A"/>
    <w:rsid w:val="00D167B1"/>
    <w:rsid w:val="00D3159B"/>
    <w:rsid w:val="00D32B06"/>
    <w:rsid w:val="00D43BBD"/>
    <w:rsid w:val="00D61B59"/>
    <w:rsid w:val="00D74AA1"/>
    <w:rsid w:val="00D80D84"/>
    <w:rsid w:val="00D8519B"/>
    <w:rsid w:val="00D871AB"/>
    <w:rsid w:val="00DA4860"/>
    <w:rsid w:val="00DC5A8E"/>
    <w:rsid w:val="00DF7E91"/>
    <w:rsid w:val="00E02B6A"/>
    <w:rsid w:val="00E05F7D"/>
    <w:rsid w:val="00E17E07"/>
    <w:rsid w:val="00E2125A"/>
    <w:rsid w:val="00E23670"/>
    <w:rsid w:val="00E24FA2"/>
    <w:rsid w:val="00E256E7"/>
    <w:rsid w:val="00E44DF1"/>
    <w:rsid w:val="00E6099A"/>
    <w:rsid w:val="00E74ABE"/>
    <w:rsid w:val="00EA4B29"/>
    <w:rsid w:val="00EA4B99"/>
    <w:rsid w:val="00EB0F17"/>
    <w:rsid w:val="00EB783C"/>
    <w:rsid w:val="00EC0DDC"/>
    <w:rsid w:val="00EE38E7"/>
    <w:rsid w:val="00EE7B1B"/>
    <w:rsid w:val="00F0360F"/>
    <w:rsid w:val="00F23EFD"/>
    <w:rsid w:val="00F4416D"/>
    <w:rsid w:val="00F531AD"/>
    <w:rsid w:val="00FD4196"/>
    <w:rsid w:val="00FE14C1"/>
    <w:rsid w:val="00FF3C8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character" w:styleId="CommentReference">
    <w:name w:val="annotation reference"/>
    <w:basedOn w:val="DefaultParagraphFont"/>
    <w:uiPriority w:val="99"/>
    <w:semiHidden/>
    <w:unhideWhenUsed/>
    <w:rsid w:val="003A2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F8"/>
    <w:rPr>
      <w:rFonts w:ascii="Hebar" w:eastAsia="Times New Roman" w:hAnsi="Heba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F8"/>
    <w:rPr>
      <w:rFonts w:ascii="Hebar" w:eastAsia="Times New Roman" w:hAnsi="Hebar" w:cs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64ABE"/>
    <w:rPr>
      <w:b/>
      <w:bCs/>
    </w:rPr>
  </w:style>
  <w:style w:type="paragraph" w:styleId="ListParagraph">
    <w:name w:val="List Paragraph"/>
    <w:basedOn w:val="Normal"/>
    <w:uiPriority w:val="34"/>
    <w:qFormat/>
    <w:rsid w:val="00B6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character" w:styleId="CommentReference">
    <w:name w:val="annotation reference"/>
    <w:basedOn w:val="DefaultParagraphFont"/>
    <w:uiPriority w:val="99"/>
    <w:semiHidden/>
    <w:unhideWhenUsed/>
    <w:rsid w:val="003A2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F8"/>
    <w:rPr>
      <w:rFonts w:ascii="Hebar" w:eastAsia="Times New Roman" w:hAnsi="Hebar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F8"/>
    <w:rPr>
      <w:rFonts w:ascii="Hebar" w:eastAsia="Times New Roman" w:hAnsi="Hebar" w:cs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64ABE"/>
    <w:rPr>
      <w:b/>
      <w:bCs/>
    </w:rPr>
  </w:style>
  <w:style w:type="paragraph" w:styleId="ListParagraph">
    <w:name w:val="List Paragraph"/>
    <w:basedOn w:val="Normal"/>
    <w:uiPriority w:val="34"/>
    <w:qFormat/>
    <w:rsid w:val="00B6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23</cp:revision>
  <dcterms:created xsi:type="dcterms:W3CDTF">2019-11-25T11:55:00Z</dcterms:created>
  <dcterms:modified xsi:type="dcterms:W3CDTF">2019-11-26T08:07:00Z</dcterms:modified>
</cp:coreProperties>
</file>