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22"/>
          <w:szCs w:val="20"/>
          <w:lang w:eastAsia="en-US"/>
        </w:rPr>
      </w:pPr>
      <w:r w:rsidRPr="00081C6B">
        <w:rPr>
          <w:rFonts w:ascii="Bookman Old Style" w:hAnsi="Bookman Old Style"/>
          <w:b/>
          <w:noProof/>
          <w:spacing w:val="3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B4FB2E" wp14:editId="2914DAAB">
            <wp:simplePos x="0" y="0"/>
            <wp:positionH relativeFrom="column">
              <wp:posOffset>2131489</wp:posOffset>
            </wp:positionH>
            <wp:positionV relativeFrom="paragraph">
              <wp:posOffset>-173355</wp:posOffset>
            </wp:positionV>
            <wp:extent cx="1343025" cy="1333500"/>
            <wp:effectExtent l="0" t="0" r="9525" b="0"/>
            <wp:wrapNone/>
            <wp:docPr id="4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40"/>
          <w:szCs w:val="40"/>
          <w:lang w:eastAsia="en-US"/>
        </w:rPr>
      </w:pP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081C6B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</w:p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</w:p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</w:p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</w:p>
    <w:p w:rsidR="0057634E" w:rsidRPr="00081C6B" w:rsidRDefault="0057634E" w:rsidP="0057634E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  <w:r w:rsidRPr="00081C6B">
        <w:rPr>
          <w:rFonts w:ascii="Platinum Bg" w:hAnsi="Platinum Bg"/>
          <w:spacing w:val="40"/>
          <w:sz w:val="36"/>
          <w:szCs w:val="36"/>
          <w:lang w:eastAsia="en-US"/>
        </w:rPr>
        <w:t>РЕПУБЛИКА БЪЛГАРИЯ</w:t>
      </w:r>
    </w:p>
    <w:p w:rsidR="0057634E" w:rsidRPr="00081C6B" w:rsidRDefault="0057634E" w:rsidP="0057634E">
      <w:pPr>
        <w:keepNext/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outlineLvl w:val="1"/>
        <w:rPr>
          <w:i/>
          <w:iCs/>
          <w:spacing w:val="24"/>
          <w:sz w:val="2"/>
          <w:szCs w:val="2"/>
          <w:lang w:eastAsia="en-US"/>
        </w:rPr>
      </w:pPr>
      <w:r w:rsidRPr="00081C6B">
        <w:rPr>
          <w:rFonts w:ascii="Platinum Bg" w:hAnsi="Platinum Bg"/>
          <w:spacing w:val="24"/>
          <w:sz w:val="32"/>
          <w:szCs w:val="32"/>
          <w:lang w:eastAsia="en-US"/>
        </w:rPr>
        <w:t>Заместник-министър на земеделието, храните и горите</w:t>
      </w:r>
    </w:p>
    <w:p w:rsidR="00B47004" w:rsidRPr="00081C6B" w:rsidRDefault="00B47004" w:rsidP="00B47004">
      <w:pPr>
        <w:pStyle w:val="Header"/>
        <w:spacing w:before="120"/>
        <w:rPr>
          <w:rFonts w:ascii="Verdana" w:hAnsi="Verdana"/>
          <w:lang w:val="bg-BG"/>
        </w:rPr>
      </w:pPr>
    </w:p>
    <w:p w:rsidR="00B47004" w:rsidRPr="00081C6B" w:rsidRDefault="00B47004" w:rsidP="00B47004">
      <w:pPr>
        <w:pStyle w:val="Header"/>
        <w:spacing w:before="120"/>
        <w:rPr>
          <w:rFonts w:ascii="Verdana" w:hAnsi="Verdana"/>
          <w:lang w:val="bg-BG"/>
        </w:rPr>
      </w:pPr>
      <w:r w:rsidRPr="00081C6B">
        <w:rPr>
          <w:rFonts w:ascii="Verdana" w:hAnsi="Verdana"/>
          <w:lang w:val="bg-BG"/>
        </w:rPr>
        <w:t>………………………………</w:t>
      </w:r>
    </w:p>
    <w:p w:rsidR="00B47004" w:rsidRPr="00081C6B" w:rsidRDefault="0057634E" w:rsidP="00B47004">
      <w:pPr>
        <w:pStyle w:val="Header"/>
        <w:spacing w:before="120"/>
        <w:rPr>
          <w:rFonts w:ascii="Verdana" w:hAnsi="Verdana"/>
          <w:lang w:val="bg-BG"/>
        </w:rPr>
      </w:pPr>
      <w:r w:rsidRPr="00081C6B">
        <w:rPr>
          <w:rFonts w:ascii="Verdana" w:hAnsi="Verdana"/>
          <w:lang w:val="bg-BG"/>
        </w:rPr>
        <w:t xml:space="preserve">……………………………… </w:t>
      </w:r>
      <w:r w:rsidR="00B47004" w:rsidRPr="00081C6B">
        <w:rPr>
          <w:rFonts w:ascii="Verdana" w:hAnsi="Verdana"/>
          <w:lang w:val="bg-BG"/>
        </w:rPr>
        <w:t>г.</w:t>
      </w:r>
    </w:p>
    <w:p w:rsidR="00A40ADA" w:rsidRPr="00081C6B" w:rsidRDefault="00A40ADA" w:rsidP="00A40ADA">
      <w:pPr>
        <w:pStyle w:val="Header"/>
        <w:spacing w:before="120"/>
        <w:rPr>
          <w:rFonts w:ascii="Verdana" w:hAnsi="Verdana"/>
          <w:lang w:val="bg-BG"/>
        </w:rPr>
      </w:pPr>
    </w:p>
    <w:p w:rsidR="00B47004" w:rsidRPr="00081C6B" w:rsidRDefault="00B47004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47004" w:rsidRPr="00081C6B" w:rsidTr="00CB23C6">
        <w:tc>
          <w:tcPr>
            <w:tcW w:w="4503" w:type="dxa"/>
            <w:shd w:val="clear" w:color="auto" w:fill="auto"/>
          </w:tcPr>
          <w:p w:rsidR="00B47004" w:rsidRPr="00081C6B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081C6B">
              <w:rPr>
                <w:rFonts w:ascii="Verdana" w:hAnsi="Verdana"/>
                <w:b/>
                <w:sz w:val="20"/>
                <w:szCs w:val="20"/>
              </w:rPr>
              <w:t>ДО</w:t>
            </w:r>
          </w:p>
          <w:p w:rsidR="00B47004" w:rsidRPr="00081C6B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081C6B">
              <w:rPr>
                <w:rFonts w:ascii="Verdana" w:hAnsi="Verdana"/>
                <w:b/>
                <w:sz w:val="20"/>
                <w:szCs w:val="20"/>
              </w:rPr>
              <w:t>МИНИСТЪРА НА ЗЕМЕДЕЛИЕТО, ХРАНИТЕ И ГОРИТЕ</w:t>
            </w:r>
          </w:p>
          <w:p w:rsidR="00B47004" w:rsidRPr="00081C6B" w:rsidRDefault="009B0F57" w:rsidP="009B0F5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081C6B">
              <w:rPr>
                <w:rFonts w:ascii="Verdana" w:hAnsi="Verdana"/>
                <w:b/>
                <w:sz w:val="20"/>
                <w:szCs w:val="20"/>
              </w:rPr>
              <w:t>Г-ЖА</w:t>
            </w:r>
            <w:r w:rsidR="00B47004" w:rsidRPr="00081C6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81C6B">
              <w:rPr>
                <w:rFonts w:ascii="Verdana" w:hAnsi="Verdana"/>
                <w:b/>
                <w:sz w:val="20"/>
                <w:szCs w:val="20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B47004" w:rsidRPr="00081C6B" w:rsidRDefault="00B47004" w:rsidP="00CB2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081C6B">
              <w:rPr>
                <w:rFonts w:ascii="Verdana" w:hAnsi="Verdana" w:cs="Verdana"/>
                <w:b/>
                <w:sz w:val="20"/>
                <w:szCs w:val="20"/>
              </w:rPr>
              <w:t>ОДОБРИЛ,</w:t>
            </w:r>
          </w:p>
          <w:p w:rsidR="00B47004" w:rsidRPr="00081C6B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081C6B">
              <w:rPr>
                <w:rFonts w:ascii="Verdana" w:hAnsi="Verdana" w:cs="Verdana"/>
                <w:b/>
                <w:sz w:val="20"/>
                <w:szCs w:val="20"/>
              </w:rPr>
              <w:t xml:space="preserve">МИНИСТЪР </w:t>
            </w:r>
            <w:r w:rsidRPr="00081C6B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НА ЗЕМЕДЕЛИЕТО, </w:t>
            </w:r>
          </w:p>
          <w:p w:rsidR="00B47004" w:rsidRPr="00081C6B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081C6B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ХРАНИТЕ И ГОРИТЕ:</w:t>
            </w:r>
          </w:p>
          <w:p w:rsidR="00B47004" w:rsidRPr="00081C6B" w:rsidRDefault="009B0F57" w:rsidP="0057634E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081C6B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ДЕСИСЛАВА ТАНЕВА</w:t>
            </w:r>
          </w:p>
        </w:tc>
      </w:tr>
    </w:tbl>
    <w:p w:rsidR="00B47004" w:rsidRPr="00081C6B" w:rsidRDefault="00B47004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E2800" w:rsidRPr="00081C6B" w:rsidRDefault="008E2800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0ADA" w:rsidRPr="00081C6B" w:rsidRDefault="00A40ADA" w:rsidP="00A40ADA">
      <w:pPr>
        <w:spacing w:line="360" w:lineRule="auto"/>
        <w:jc w:val="center"/>
        <w:rPr>
          <w:rFonts w:ascii="Verdana" w:hAnsi="Verdana"/>
          <w:b/>
          <w:spacing w:val="60"/>
        </w:rPr>
      </w:pPr>
      <w:r w:rsidRPr="00081C6B">
        <w:rPr>
          <w:rFonts w:ascii="Verdana" w:hAnsi="Verdana"/>
          <w:b/>
          <w:spacing w:val="60"/>
        </w:rPr>
        <w:t>ДОКЛАД</w:t>
      </w:r>
    </w:p>
    <w:p w:rsidR="00A40ADA" w:rsidRPr="00081C6B" w:rsidRDefault="008E2800" w:rsidP="0057634E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mallCaps/>
          <w:color w:val="000000"/>
          <w:sz w:val="20"/>
          <w:szCs w:val="20"/>
          <w:lang w:eastAsia="en-US"/>
        </w:rPr>
      </w:pPr>
      <w:r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 xml:space="preserve">от </w:t>
      </w:r>
      <w:r w:rsidR="00332D36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>д</w:t>
      </w:r>
      <w:r w:rsidR="00A40ADA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 xml:space="preserve">-р Лозана Василева </w:t>
      </w:r>
      <w:r w:rsidR="004922F0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>-</w:t>
      </w:r>
      <w:r w:rsidR="00A40ADA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 xml:space="preserve"> зам</w:t>
      </w:r>
      <w:r w:rsidR="00332D36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>естник</w:t>
      </w:r>
      <w:r w:rsidR="00A40ADA" w:rsidRPr="00081C6B">
        <w:rPr>
          <w:rFonts w:ascii="Verdana" w:hAnsi="Verdana"/>
          <w:b/>
          <w:smallCaps/>
          <w:color w:val="000000"/>
          <w:sz w:val="20"/>
          <w:szCs w:val="20"/>
          <w:lang w:eastAsia="en-US"/>
        </w:rPr>
        <w:t>-министър на земеделието, храните и горите</w:t>
      </w:r>
    </w:p>
    <w:p w:rsidR="00A40ADA" w:rsidRPr="00081C6B" w:rsidRDefault="00A40ADA" w:rsidP="0057634E">
      <w:pPr>
        <w:tabs>
          <w:tab w:val="left" w:pos="622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mallCaps/>
          <w:color w:val="000000"/>
          <w:sz w:val="20"/>
          <w:szCs w:val="20"/>
          <w:lang w:eastAsia="en-US"/>
        </w:rPr>
      </w:pPr>
    </w:p>
    <w:p w:rsidR="008E2800" w:rsidRPr="00081C6B" w:rsidRDefault="008E2800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40ADA" w:rsidRPr="00081C6B" w:rsidRDefault="00A40ADA" w:rsidP="00AF44D0">
      <w:pPr>
        <w:spacing w:line="360" w:lineRule="auto"/>
        <w:ind w:left="1191" w:hanging="1191"/>
        <w:jc w:val="both"/>
        <w:rPr>
          <w:bCs/>
          <w:sz w:val="20"/>
          <w:szCs w:val="20"/>
        </w:rPr>
      </w:pPr>
      <w:r w:rsidRPr="00081C6B">
        <w:rPr>
          <w:rFonts w:ascii="Verdana" w:hAnsi="Verdana"/>
          <w:b/>
          <w:sz w:val="20"/>
          <w:szCs w:val="20"/>
        </w:rPr>
        <w:t>Относно:</w:t>
      </w:r>
      <w:r w:rsidRPr="00081C6B">
        <w:rPr>
          <w:rFonts w:ascii="Verdana" w:hAnsi="Verdana"/>
          <w:sz w:val="20"/>
          <w:szCs w:val="20"/>
        </w:rPr>
        <w:t xml:space="preserve"> </w:t>
      </w:r>
      <w:r w:rsidR="00E330AD" w:rsidRPr="00081C6B">
        <w:rPr>
          <w:rFonts w:ascii="Verdana" w:hAnsi="Verdana"/>
          <w:sz w:val="20"/>
          <w:szCs w:val="20"/>
        </w:rPr>
        <w:t xml:space="preserve">Наредба за изменение и допълнение на </w:t>
      </w:r>
      <w:r w:rsidRPr="00081C6B">
        <w:rPr>
          <w:rFonts w:ascii="Verdana" w:hAnsi="Verdana"/>
          <w:sz w:val="20"/>
          <w:szCs w:val="20"/>
        </w:rPr>
        <w:t xml:space="preserve">Наредба </w:t>
      </w:r>
      <w:r w:rsidR="00B57FC9" w:rsidRPr="00081C6B">
        <w:rPr>
          <w:rFonts w:ascii="Verdana" w:hAnsi="Verdana"/>
          <w:sz w:val="20"/>
          <w:szCs w:val="20"/>
        </w:rPr>
        <w:t xml:space="preserve">№ 6 от 2018 г. </w:t>
      </w:r>
      <w:r w:rsidRPr="00081C6B">
        <w:rPr>
          <w:rFonts w:ascii="Verdana" w:hAnsi="Verdana"/>
          <w:sz w:val="20"/>
          <w:szCs w:val="20"/>
        </w:rPr>
        <w:t xml:space="preserve">за условията и реда за предоставяне на финансова помощ по Национална програма за подпомагане на </w:t>
      </w:r>
      <w:proofErr w:type="spellStart"/>
      <w:r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81C6B">
        <w:rPr>
          <w:rFonts w:ascii="Verdana" w:hAnsi="Verdana"/>
          <w:sz w:val="20"/>
          <w:szCs w:val="20"/>
        </w:rPr>
        <w:t xml:space="preserve"> сектор за периода 2019 </w:t>
      </w:r>
      <w:r w:rsidR="00AF44D0" w:rsidRPr="00081C6B">
        <w:rPr>
          <w:rFonts w:ascii="Verdana" w:hAnsi="Verdana"/>
          <w:sz w:val="20"/>
          <w:szCs w:val="20"/>
        </w:rPr>
        <w:t>–</w:t>
      </w:r>
      <w:r w:rsidRPr="00081C6B">
        <w:rPr>
          <w:rFonts w:ascii="Verdana" w:hAnsi="Verdana"/>
          <w:sz w:val="20"/>
          <w:szCs w:val="20"/>
        </w:rPr>
        <w:t xml:space="preserve"> 2023 г.</w:t>
      </w:r>
      <w:r w:rsidR="00DA722E" w:rsidRPr="00081C6B">
        <w:rPr>
          <w:rFonts w:ascii="Verdana" w:hAnsi="Verdana"/>
          <w:sz w:val="20"/>
          <w:szCs w:val="20"/>
        </w:rPr>
        <w:t xml:space="preserve"> </w:t>
      </w:r>
    </w:p>
    <w:p w:rsidR="00A40ADA" w:rsidRPr="00081C6B" w:rsidRDefault="00A40ADA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E2800" w:rsidRPr="00081C6B" w:rsidRDefault="008E2800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40ADA" w:rsidRPr="00081C6B" w:rsidRDefault="009B0F57" w:rsidP="0057634E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081C6B">
        <w:rPr>
          <w:rFonts w:ascii="Verdana" w:hAnsi="Verdana"/>
          <w:b/>
          <w:sz w:val="20"/>
          <w:szCs w:val="20"/>
        </w:rPr>
        <w:t>УВАЖАЕМА</w:t>
      </w:r>
      <w:r w:rsidR="00A40ADA" w:rsidRPr="00081C6B">
        <w:rPr>
          <w:rFonts w:ascii="Verdana" w:hAnsi="Verdana"/>
          <w:b/>
          <w:sz w:val="20"/>
          <w:szCs w:val="20"/>
        </w:rPr>
        <w:t xml:space="preserve"> ГОСПО</w:t>
      </w:r>
      <w:r w:rsidRPr="00081C6B">
        <w:rPr>
          <w:rFonts w:ascii="Verdana" w:hAnsi="Verdana"/>
          <w:b/>
          <w:sz w:val="20"/>
          <w:szCs w:val="20"/>
        </w:rPr>
        <w:t>ЖО</w:t>
      </w:r>
      <w:r w:rsidR="0057634E" w:rsidRPr="00081C6B">
        <w:rPr>
          <w:rFonts w:ascii="Verdana" w:hAnsi="Verdana"/>
          <w:b/>
          <w:sz w:val="20"/>
          <w:szCs w:val="20"/>
        </w:rPr>
        <w:t xml:space="preserve"> МИНИСТЪР</w:t>
      </w:r>
      <w:r w:rsidR="00A40ADA" w:rsidRPr="00081C6B">
        <w:rPr>
          <w:rFonts w:ascii="Verdana" w:hAnsi="Verdana"/>
          <w:b/>
          <w:sz w:val="20"/>
          <w:szCs w:val="20"/>
        </w:rPr>
        <w:t>,</w:t>
      </w:r>
    </w:p>
    <w:p w:rsidR="00FB4759" w:rsidRPr="00081C6B" w:rsidRDefault="00FB4759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 </w:t>
      </w:r>
      <w:r w:rsidR="00B26DBE" w:rsidRPr="00081C6B">
        <w:rPr>
          <w:rFonts w:ascii="Verdana" w:hAnsi="Verdana"/>
          <w:sz w:val="20"/>
          <w:szCs w:val="20"/>
        </w:rPr>
        <w:t xml:space="preserve">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="00B26DBE"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="00B26DBE" w:rsidRPr="00081C6B">
        <w:rPr>
          <w:rFonts w:ascii="Verdana" w:hAnsi="Verdana"/>
          <w:sz w:val="20"/>
          <w:szCs w:val="20"/>
        </w:rPr>
        <w:t xml:space="preserve"> сек</w:t>
      </w:r>
      <w:r w:rsidR="002E0BCB" w:rsidRPr="00081C6B">
        <w:rPr>
          <w:rFonts w:ascii="Verdana" w:hAnsi="Verdana"/>
          <w:sz w:val="20"/>
          <w:szCs w:val="20"/>
        </w:rPr>
        <w:t xml:space="preserve">тор за периода 2019–2023 г. </w:t>
      </w:r>
      <w:r w:rsidR="00B26DBE" w:rsidRPr="00081C6B">
        <w:rPr>
          <w:rFonts w:ascii="Verdana" w:hAnsi="Verdana"/>
          <w:sz w:val="20"/>
          <w:szCs w:val="20"/>
        </w:rPr>
        <w:t xml:space="preserve">урежда прилагането на </w:t>
      </w:r>
      <w:r w:rsidR="00023A7F" w:rsidRPr="00081C6B">
        <w:rPr>
          <w:rFonts w:ascii="Verdana" w:hAnsi="Verdana"/>
          <w:sz w:val="20"/>
          <w:szCs w:val="20"/>
        </w:rPr>
        <w:t xml:space="preserve">мерките за подпомагане на </w:t>
      </w:r>
      <w:proofErr w:type="spellStart"/>
      <w:r w:rsidR="00023A7F"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="00023A7F" w:rsidRPr="00081C6B">
        <w:rPr>
          <w:rFonts w:ascii="Verdana" w:hAnsi="Verdana"/>
          <w:sz w:val="20"/>
          <w:szCs w:val="20"/>
        </w:rPr>
        <w:t xml:space="preserve"> сектор</w:t>
      </w:r>
      <w:r w:rsidR="004A34F0" w:rsidRPr="00081C6B">
        <w:rPr>
          <w:rFonts w:ascii="Verdana" w:hAnsi="Verdana"/>
          <w:sz w:val="20"/>
          <w:szCs w:val="20"/>
        </w:rPr>
        <w:t xml:space="preserve">. </w:t>
      </w:r>
      <w:r w:rsidR="00023A7F" w:rsidRPr="00081C6B">
        <w:rPr>
          <w:rFonts w:ascii="Verdana" w:hAnsi="Verdana"/>
          <w:sz w:val="20"/>
          <w:szCs w:val="20"/>
        </w:rPr>
        <w:t>Към настоящия мом</w:t>
      </w:r>
      <w:r w:rsidR="001D2246" w:rsidRPr="00081C6B">
        <w:rPr>
          <w:rFonts w:ascii="Verdana" w:hAnsi="Verdana"/>
          <w:sz w:val="20"/>
          <w:szCs w:val="20"/>
        </w:rPr>
        <w:t>е</w:t>
      </w:r>
      <w:r w:rsidR="00023A7F" w:rsidRPr="00081C6B">
        <w:rPr>
          <w:rFonts w:ascii="Verdana" w:hAnsi="Verdana"/>
          <w:sz w:val="20"/>
          <w:szCs w:val="20"/>
        </w:rPr>
        <w:t>нт в</w:t>
      </w:r>
      <w:r w:rsidR="00B26DBE" w:rsidRPr="00081C6B">
        <w:rPr>
          <w:rFonts w:ascii="Verdana" w:hAnsi="Verdana"/>
          <w:sz w:val="20"/>
          <w:szCs w:val="20"/>
        </w:rPr>
        <w:t xml:space="preserve"> програмата </w:t>
      </w:r>
      <w:r w:rsidR="00023A7F" w:rsidRPr="00081C6B">
        <w:rPr>
          <w:rFonts w:ascii="Verdana" w:hAnsi="Verdana"/>
          <w:sz w:val="20"/>
          <w:szCs w:val="20"/>
        </w:rPr>
        <w:t>са</w:t>
      </w:r>
      <w:r w:rsidR="00B26DBE" w:rsidRPr="00081C6B">
        <w:rPr>
          <w:rFonts w:ascii="Verdana" w:hAnsi="Verdana"/>
          <w:sz w:val="20"/>
          <w:szCs w:val="20"/>
        </w:rPr>
        <w:t xml:space="preserve"> заложен</w:t>
      </w:r>
      <w:r w:rsidR="008A3D10" w:rsidRPr="00081C6B">
        <w:rPr>
          <w:rFonts w:ascii="Verdana" w:hAnsi="Verdana"/>
          <w:sz w:val="20"/>
          <w:szCs w:val="20"/>
        </w:rPr>
        <w:t>и</w:t>
      </w:r>
      <w:r w:rsidR="00B26DBE" w:rsidRPr="00081C6B">
        <w:rPr>
          <w:rFonts w:ascii="Verdana" w:hAnsi="Verdana"/>
          <w:sz w:val="20"/>
          <w:szCs w:val="20"/>
        </w:rPr>
        <w:t xml:space="preserve"> 4 мерки - „Популяризиране в трети държави“, „Преструктуриране и конверсия на лозя“, „Застраховане на реколтата“ и „Инвестиции в предприятия“.</w:t>
      </w:r>
    </w:p>
    <w:p w:rsidR="00B26DBE" w:rsidRPr="00081C6B" w:rsidRDefault="00B26DBE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В резултат на проведените приеми и на практическия опит по мерките възникна необходимост от някои промени в текстовете на НППЛВС 2019-2023 г.</w:t>
      </w:r>
      <w:r w:rsidR="00CC7E14" w:rsidRPr="00081C6B">
        <w:rPr>
          <w:rFonts w:ascii="Verdana" w:hAnsi="Verdana"/>
          <w:sz w:val="20"/>
          <w:szCs w:val="20"/>
        </w:rPr>
        <w:t>, от които следва да бъдат извършени изменения и допълнения в приложимата нормативна уредба.</w:t>
      </w:r>
      <w:r w:rsidR="00AC2284" w:rsidRPr="00081C6B">
        <w:rPr>
          <w:rFonts w:ascii="Verdana" w:hAnsi="Verdana"/>
          <w:sz w:val="20"/>
          <w:szCs w:val="20"/>
        </w:rPr>
        <w:t xml:space="preserve"> Във връзка с утежнената пазарна ситуация в сектора през последните две години възникна необходимост </w:t>
      </w:r>
      <w:r w:rsidR="008A3D10" w:rsidRPr="00081C6B">
        <w:rPr>
          <w:rFonts w:ascii="Verdana" w:hAnsi="Verdana"/>
          <w:sz w:val="20"/>
          <w:szCs w:val="20"/>
        </w:rPr>
        <w:t>да бъде предвидена</w:t>
      </w:r>
      <w:r w:rsidR="00AC2284" w:rsidRPr="00081C6B">
        <w:rPr>
          <w:rFonts w:ascii="Verdana" w:hAnsi="Verdana"/>
          <w:sz w:val="20"/>
          <w:szCs w:val="20"/>
        </w:rPr>
        <w:t xml:space="preserve"> и  мярка „Събиране на реколтата на зелено“.</w:t>
      </w:r>
    </w:p>
    <w:p w:rsidR="008D1433" w:rsidRPr="00081C6B" w:rsidRDefault="008D1433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lastRenderedPageBreak/>
        <w:t xml:space="preserve">За целта предлагам на Вашето внимание 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81C6B">
        <w:rPr>
          <w:rFonts w:ascii="Verdana" w:hAnsi="Verdana"/>
          <w:sz w:val="20"/>
          <w:szCs w:val="20"/>
        </w:rPr>
        <w:t xml:space="preserve"> сектор за периода 2019 – 2023 г.</w:t>
      </w:r>
    </w:p>
    <w:p w:rsidR="00CC7E14" w:rsidRPr="00081C6B" w:rsidRDefault="00CC7E14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По мярка „Популяризиране в трети държави“ е предвидено изискването за пазарен дял </w:t>
      </w:r>
      <w:r w:rsidR="00FD1A3E" w:rsidRPr="00081C6B">
        <w:rPr>
          <w:rFonts w:ascii="Verdana" w:hAnsi="Verdana"/>
          <w:sz w:val="20"/>
          <w:szCs w:val="20"/>
        </w:rPr>
        <w:t xml:space="preserve">да бъде </w:t>
      </w:r>
      <w:proofErr w:type="spellStart"/>
      <w:r w:rsidR="00FD1A3E" w:rsidRPr="00081C6B">
        <w:rPr>
          <w:rFonts w:ascii="Verdana" w:hAnsi="Verdana"/>
          <w:sz w:val="20"/>
          <w:szCs w:val="20"/>
        </w:rPr>
        <w:t>относимо</w:t>
      </w:r>
      <w:proofErr w:type="spellEnd"/>
      <w:r w:rsidR="00FD1A3E" w:rsidRPr="00081C6B">
        <w:rPr>
          <w:rFonts w:ascii="Verdana" w:hAnsi="Verdana"/>
          <w:sz w:val="20"/>
          <w:szCs w:val="20"/>
        </w:rPr>
        <w:t xml:space="preserve"> само към</w:t>
      </w:r>
      <w:r w:rsidRPr="00081C6B">
        <w:rPr>
          <w:rFonts w:ascii="Verdana" w:hAnsi="Verdana"/>
          <w:sz w:val="20"/>
          <w:szCs w:val="20"/>
        </w:rPr>
        <w:t xml:space="preserve"> </w:t>
      </w:r>
      <w:r w:rsidR="00FD1A3E" w:rsidRPr="00081C6B">
        <w:rPr>
          <w:rFonts w:ascii="Verdana" w:hAnsi="Verdana"/>
          <w:sz w:val="20"/>
          <w:szCs w:val="20"/>
        </w:rPr>
        <w:t xml:space="preserve">професионалните организации, </w:t>
      </w:r>
      <w:r w:rsidRPr="00081C6B">
        <w:rPr>
          <w:rFonts w:ascii="Verdana" w:hAnsi="Verdana"/>
          <w:sz w:val="20"/>
          <w:szCs w:val="20"/>
        </w:rPr>
        <w:t>организациите</w:t>
      </w:r>
      <w:r w:rsidR="00C5693B" w:rsidRPr="00081C6B">
        <w:rPr>
          <w:rFonts w:ascii="Verdana" w:hAnsi="Verdana"/>
          <w:sz w:val="20"/>
          <w:szCs w:val="20"/>
        </w:rPr>
        <w:t xml:space="preserve"> на производители</w:t>
      </w:r>
      <w:r w:rsidRPr="00081C6B">
        <w:rPr>
          <w:rFonts w:ascii="Verdana" w:hAnsi="Verdana"/>
          <w:sz w:val="20"/>
          <w:szCs w:val="20"/>
        </w:rPr>
        <w:t xml:space="preserve"> и асоциациите </w:t>
      </w:r>
      <w:r w:rsidR="00C5693B" w:rsidRPr="00081C6B">
        <w:rPr>
          <w:rFonts w:ascii="Verdana" w:hAnsi="Verdana"/>
          <w:sz w:val="20"/>
          <w:szCs w:val="20"/>
        </w:rPr>
        <w:t xml:space="preserve">на организации </w:t>
      </w:r>
      <w:r w:rsidR="00FD1A3E" w:rsidRPr="00081C6B">
        <w:rPr>
          <w:rFonts w:ascii="Verdana" w:hAnsi="Verdana"/>
          <w:sz w:val="20"/>
          <w:szCs w:val="20"/>
        </w:rPr>
        <w:t xml:space="preserve">на производители, </w:t>
      </w:r>
      <w:r w:rsidRPr="00081C6B">
        <w:rPr>
          <w:rFonts w:ascii="Verdana" w:hAnsi="Verdana"/>
          <w:sz w:val="20"/>
          <w:szCs w:val="20"/>
        </w:rPr>
        <w:t xml:space="preserve">да бъде намалено от 10% на 6% и да бъде </w:t>
      </w:r>
      <w:r w:rsidR="00FC39D5">
        <w:rPr>
          <w:rFonts w:ascii="Verdana" w:hAnsi="Verdana"/>
          <w:sz w:val="20"/>
          <w:szCs w:val="20"/>
        </w:rPr>
        <w:t>условие</w:t>
      </w:r>
      <w:r w:rsidRPr="00081C6B">
        <w:rPr>
          <w:rFonts w:ascii="Verdana" w:hAnsi="Verdana"/>
          <w:sz w:val="20"/>
          <w:szCs w:val="20"/>
        </w:rPr>
        <w:t xml:space="preserve"> за допустимост по мярката.</w:t>
      </w:r>
      <w:r w:rsidR="00FC39D5">
        <w:rPr>
          <w:rFonts w:ascii="Verdana" w:hAnsi="Verdana"/>
          <w:sz w:val="20"/>
          <w:szCs w:val="20"/>
        </w:rPr>
        <w:t xml:space="preserve"> </w:t>
      </w:r>
      <w:r w:rsidRPr="00081C6B">
        <w:rPr>
          <w:rFonts w:ascii="Verdana" w:hAnsi="Verdana"/>
          <w:sz w:val="20"/>
          <w:szCs w:val="20"/>
        </w:rPr>
        <w:t xml:space="preserve">За търговските дружества е предвидено като условие за допустимост делът на приходите им от дейността в </w:t>
      </w:r>
      <w:proofErr w:type="spellStart"/>
      <w:r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81C6B">
        <w:rPr>
          <w:rFonts w:ascii="Verdana" w:hAnsi="Verdana"/>
          <w:sz w:val="20"/>
          <w:szCs w:val="20"/>
        </w:rPr>
        <w:t xml:space="preserve"> сектор да бъде минимум 50% от общите приходи на фирмата. </w:t>
      </w:r>
      <w:r w:rsidR="00FA36A8" w:rsidRPr="00081C6B">
        <w:rPr>
          <w:rFonts w:ascii="Verdana" w:hAnsi="Verdana"/>
          <w:sz w:val="20"/>
          <w:szCs w:val="20"/>
        </w:rPr>
        <w:t xml:space="preserve">В тази връзка от критериите за оценка на проектите по мярката е премахнат критерият за „Представителност на кандидата - Пазарен дял от произведените вина ЗНП, ЗГУ и сортови без ЗНП, ЗГУ на участниците в </w:t>
      </w:r>
      <w:proofErr w:type="spellStart"/>
      <w:r w:rsidR="00FA36A8" w:rsidRPr="00081C6B">
        <w:rPr>
          <w:rFonts w:ascii="Verdana" w:hAnsi="Verdana"/>
          <w:sz w:val="20"/>
          <w:szCs w:val="20"/>
        </w:rPr>
        <w:t>промоционалния</w:t>
      </w:r>
      <w:proofErr w:type="spellEnd"/>
      <w:r w:rsidR="00FA36A8" w:rsidRPr="00081C6B">
        <w:rPr>
          <w:rFonts w:ascii="Verdana" w:hAnsi="Verdana"/>
          <w:sz w:val="20"/>
          <w:szCs w:val="20"/>
        </w:rPr>
        <w:t xml:space="preserve"> проект  спрямо общото производство за страната ЗНП, ЗГУ и сортови без ЗНП, ЗГУ“. Променена е и тежестта на критерий „Разнообразен асортимент на </w:t>
      </w:r>
      <w:proofErr w:type="spellStart"/>
      <w:r w:rsidR="00FA36A8" w:rsidRPr="00081C6B">
        <w:rPr>
          <w:rFonts w:ascii="Verdana" w:hAnsi="Verdana"/>
          <w:sz w:val="20"/>
          <w:szCs w:val="20"/>
        </w:rPr>
        <w:t>промотираните</w:t>
      </w:r>
      <w:proofErr w:type="spellEnd"/>
      <w:r w:rsidR="00FA36A8" w:rsidRPr="00081C6B">
        <w:rPr>
          <w:rFonts w:ascii="Verdana" w:hAnsi="Verdana"/>
          <w:sz w:val="20"/>
          <w:szCs w:val="20"/>
        </w:rPr>
        <w:t xml:space="preserve"> вина - (</w:t>
      </w:r>
      <w:proofErr w:type="spellStart"/>
      <w:r w:rsidR="00FA36A8" w:rsidRPr="00081C6B">
        <w:rPr>
          <w:rFonts w:ascii="Verdana" w:hAnsi="Verdana"/>
          <w:sz w:val="20"/>
          <w:szCs w:val="20"/>
        </w:rPr>
        <w:t>промотираните</w:t>
      </w:r>
      <w:proofErr w:type="spellEnd"/>
      <w:r w:rsidR="00FA36A8" w:rsidRPr="00081C6B">
        <w:rPr>
          <w:rFonts w:ascii="Verdana" w:hAnsi="Verdana"/>
          <w:sz w:val="20"/>
          <w:szCs w:val="20"/>
        </w:rPr>
        <w:t xml:space="preserve"> вина ЗНП, ЗГУ и сортови без ЗНП и ЗГУ от участниците в </w:t>
      </w:r>
      <w:proofErr w:type="spellStart"/>
      <w:r w:rsidR="00FA36A8" w:rsidRPr="00081C6B">
        <w:rPr>
          <w:rFonts w:ascii="Verdana" w:hAnsi="Verdana"/>
          <w:sz w:val="20"/>
          <w:szCs w:val="20"/>
        </w:rPr>
        <w:t>промоционалния</w:t>
      </w:r>
      <w:proofErr w:type="spellEnd"/>
      <w:r w:rsidR="00FA36A8" w:rsidRPr="00081C6B">
        <w:rPr>
          <w:rFonts w:ascii="Verdana" w:hAnsi="Verdana"/>
          <w:sz w:val="20"/>
          <w:szCs w:val="20"/>
        </w:rPr>
        <w:t xml:space="preserve"> проект)“, като точките за вина със ЗНП стават от 1 на 5, а приоритетът за сортови вина без ЗНП/ЗГУ се премахва. Причина за</w:t>
      </w:r>
      <w:r w:rsidR="00276A31" w:rsidRPr="00081C6B">
        <w:rPr>
          <w:rFonts w:ascii="Verdana" w:hAnsi="Verdana"/>
          <w:sz w:val="20"/>
          <w:szCs w:val="20"/>
        </w:rPr>
        <w:t xml:space="preserve"> </w:t>
      </w:r>
      <w:r w:rsidR="00FA36A8" w:rsidRPr="00081C6B">
        <w:rPr>
          <w:rFonts w:ascii="Verdana" w:hAnsi="Verdana"/>
          <w:sz w:val="20"/>
          <w:szCs w:val="20"/>
        </w:rPr>
        <w:t xml:space="preserve">това </w:t>
      </w:r>
      <w:r w:rsidR="00C513EA" w:rsidRPr="00081C6B">
        <w:rPr>
          <w:rFonts w:ascii="Verdana" w:hAnsi="Verdana"/>
          <w:sz w:val="20"/>
          <w:szCs w:val="20"/>
        </w:rPr>
        <w:t>е фактът</w:t>
      </w:r>
      <w:r w:rsidR="00FA36A8" w:rsidRPr="00081C6B">
        <w:rPr>
          <w:rFonts w:ascii="Verdana" w:hAnsi="Verdana"/>
          <w:sz w:val="20"/>
          <w:szCs w:val="20"/>
        </w:rPr>
        <w:t xml:space="preserve">, че проекти, финансирани с държавна помощ, не могат да </w:t>
      </w:r>
      <w:proofErr w:type="spellStart"/>
      <w:r w:rsidR="00FA36A8" w:rsidRPr="00081C6B">
        <w:rPr>
          <w:rFonts w:ascii="Verdana" w:hAnsi="Verdana"/>
          <w:sz w:val="20"/>
          <w:szCs w:val="20"/>
        </w:rPr>
        <w:t>промотират</w:t>
      </w:r>
      <w:proofErr w:type="spellEnd"/>
      <w:r w:rsidR="00FA36A8" w:rsidRPr="00081C6B">
        <w:rPr>
          <w:rFonts w:ascii="Verdana" w:hAnsi="Verdana"/>
          <w:sz w:val="20"/>
          <w:szCs w:val="20"/>
        </w:rPr>
        <w:t xml:space="preserve"> сортови вина без ЗНП/ЗГУ.</w:t>
      </w:r>
    </w:p>
    <w:p w:rsidR="00FA36A8" w:rsidRPr="00081C6B" w:rsidRDefault="00276A31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Облекчена е цялостната процедура по оценяване</w:t>
      </w:r>
      <w:r w:rsidR="00FA36A8" w:rsidRPr="00081C6B">
        <w:rPr>
          <w:rFonts w:ascii="Verdana" w:hAnsi="Verdana"/>
          <w:sz w:val="20"/>
          <w:szCs w:val="20"/>
        </w:rPr>
        <w:t xml:space="preserve"> на проектите по мярка „Популяризиране в трети държави“, като </w:t>
      </w:r>
      <w:r w:rsidRPr="00081C6B">
        <w:rPr>
          <w:rFonts w:ascii="Verdana" w:hAnsi="Verdana"/>
          <w:sz w:val="20"/>
          <w:szCs w:val="20"/>
        </w:rPr>
        <w:t xml:space="preserve">е </w:t>
      </w:r>
      <w:r w:rsidR="003703B9" w:rsidRPr="00081C6B">
        <w:rPr>
          <w:rFonts w:ascii="Verdana" w:hAnsi="Verdana"/>
          <w:sz w:val="20"/>
          <w:szCs w:val="20"/>
        </w:rPr>
        <w:t>заличено</w:t>
      </w:r>
      <w:r w:rsidRPr="00081C6B">
        <w:rPr>
          <w:rFonts w:ascii="Verdana" w:hAnsi="Verdana"/>
          <w:sz w:val="20"/>
          <w:szCs w:val="20"/>
        </w:rPr>
        <w:t xml:space="preserve"> изискването за </w:t>
      </w:r>
      <w:r w:rsidR="003703B9" w:rsidRPr="00081C6B">
        <w:rPr>
          <w:rFonts w:ascii="Verdana" w:hAnsi="Verdana"/>
          <w:sz w:val="20"/>
          <w:szCs w:val="20"/>
        </w:rPr>
        <w:t>разглеждане на проектите от К</w:t>
      </w:r>
      <w:r w:rsidR="00FA36A8" w:rsidRPr="00081C6B">
        <w:rPr>
          <w:rFonts w:ascii="Verdana" w:hAnsi="Verdana"/>
          <w:sz w:val="20"/>
          <w:szCs w:val="20"/>
        </w:rPr>
        <w:t>омисия</w:t>
      </w:r>
      <w:r w:rsidR="003703B9" w:rsidRPr="00081C6B">
        <w:rPr>
          <w:rFonts w:ascii="Verdana" w:hAnsi="Verdana"/>
          <w:sz w:val="20"/>
          <w:szCs w:val="20"/>
        </w:rPr>
        <w:t xml:space="preserve"> за оценка</w:t>
      </w:r>
      <w:r w:rsidR="00FA36A8" w:rsidRPr="00081C6B">
        <w:rPr>
          <w:rFonts w:ascii="Verdana" w:hAnsi="Verdana"/>
          <w:sz w:val="20"/>
          <w:szCs w:val="20"/>
        </w:rPr>
        <w:t>.</w:t>
      </w:r>
    </w:p>
    <w:p w:rsidR="00FA36A8" w:rsidRPr="00081C6B" w:rsidRDefault="00FA36A8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По мярка „Преструктуриране и конверсия на лозя“ е намален максималният размер на всички разходи по проекти, подадени от един кандидат в рамките на един прием - от 3 000 </w:t>
      </w:r>
      <w:proofErr w:type="spellStart"/>
      <w:r w:rsidRPr="00081C6B">
        <w:rPr>
          <w:rFonts w:ascii="Verdana" w:hAnsi="Verdana"/>
          <w:sz w:val="20"/>
          <w:szCs w:val="20"/>
        </w:rPr>
        <w:t>000</w:t>
      </w:r>
      <w:proofErr w:type="spellEnd"/>
      <w:r w:rsidRPr="00081C6B">
        <w:rPr>
          <w:rFonts w:ascii="Verdana" w:hAnsi="Verdana"/>
          <w:sz w:val="20"/>
          <w:szCs w:val="20"/>
        </w:rPr>
        <w:t xml:space="preserve"> лв. на  1 500 000 лева, респекти</w:t>
      </w:r>
      <w:r w:rsidR="00C513EA" w:rsidRPr="00081C6B">
        <w:rPr>
          <w:rFonts w:ascii="Verdana" w:hAnsi="Verdana"/>
          <w:sz w:val="20"/>
          <w:szCs w:val="20"/>
        </w:rPr>
        <w:t>вно и максималният размер на по</w:t>
      </w:r>
      <w:r w:rsidRPr="00081C6B">
        <w:rPr>
          <w:rFonts w:ascii="Verdana" w:hAnsi="Verdana"/>
          <w:sz w:val="20"/>
          <w:szCs w:val="20"/>
        </w:rPr>
        <w:t>д</w:t>
      </w:r>
      <w:r w:rsidR="00C513EA" w:rsidRPr="00081C6B">
        <w:rPr>
          <w:rFonts w:ascii="Verdana" w:hAnsi="Verdana"/>
          <w:sz w:val="20"/>
          <w:szCs w:val="20"/>
        </w:rPr>
        <w:t>п</w:t>
      </w:r>
      <w:r w:rsidRPr="00081C6B">
        <w:rPr>
          <w:rFonts w:ascii="Verdana" w:hAnsi="Verdana"/>
          <w:sz w:val="20"/>
          <w:szCs w:val="20"/>
        </w:rPr>
        <w:t>омагането за един кандидат в рамките на целия програмен период – от 6 000 000 лв. на 4 500 000 лв. Така</w:t>
      </w:r>
      <w:r w:rsidR="00204C96" w:rsidRPr="00081C6B">
        <w:rPr>
          <w:rFonts w:ascii="Verdana" w:hAnsi="Verdana"/>
          <w:sz w:val="20"/>
          <w:szCs w:val="20"/>
        </w:rPr>
        <w:t xml:space="preserve"> се дава възможност</w:t>
      </w:r>
      <w:r w:rsidRPr="00081C6B">
        <w:rPr>
          <w:rFonts w:ascii="Verdana" w:hAnsi="Verdana"/>
          <w:sz w:val="20"/>
          <w:szCs w:val="20"/>
        </w:rPr>
        <w:t xml:space="preserve"> по-голям брой проекти да се възползват от финансова помощ по мярката.</w:t>
      </w:r>
    </w:p>
    <w:p w:rsidR="00FA36A8" w:rsidRPr="00081C6B" w:rsidRDefault="00FA36A8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Във връзка с </w:t>
      </w:r>
      <w:r w:rsidR="00204C96" w:rsidRPr="00081C6B">
        <w:rPr>
          <w:rFonts w:ascii="Verdana" w:hAnsi="Verdana"/>
          <w:sz w:val="20"/>
          <w:szCs w:val="20"/>
        </w:rPr>
        <w:t xml:space="preserve">констатациите </w:t>
      </w:r>
      <w:r w:rsidRPr="00081C6B">
        <w:rPr>
          <w:rFonts w:ascii="Verdana" w:hAnsi="Verdana"/>
          <w:sz w:val="20"/>
          <w:szCs w:val="20"/>
        </w:rPr>
        <w:t xml:space="preserve">от </w:t>
      </w:r>
      <w:proofErr w:type="spellStart"/>
      <w:r w:rsidRPr="00081C6B">
        <w:rPr>
          <w:rFonts w:ascii="Verdana" w:hAnsi="Verdana"/>
          <w:sz w:val="20"/>
          <w:szCs w:val="20"/>
        </w:rPr>
        <w:t>одитна</w:t>
      </w:r>
      <w:proofErr w:type="spellEnd"/>
      <w:r w:rsidRPr="00081C6B">
        <w:rPr>
          <w:rFonts w:ascii="Verdana" w:hAnsi="Verdana"/>
          <w:sz w:val="20"/>
          <w:szCs w:val="20"/>
        </w:rPr>
        <w:t xml:space="preserve"> мисия на Европейската комисия</w:t>
      </w:r>
      <w:r w:rsidR="000D7CE4" w:rsidRPr="00081C6B">
        <w:rPr>
          <w:rFonts w:ascii="Verdana" w:hAnsi="Verdana"/>
          <w:sz w:val="20"/>
          <w:szCs w:val="20"/>
        </w:rPr>
        <w:t>,</w:t>
      </w:r>
      <w:r w:rsidRPr="00081C6B">
        <w:rPr>
          <w:rFonts w:ascii="Verdana" w:hAnsi="Verdana"/>
          <w:sz w:val="20"/>
          <w:szCs w:val="20"/>
        </w:rPr>
        <w:t xml:space="preserve"> </w:t>
      </w:r>
      <w:r w:rsidR="00204C96" w:rsidRPr="00081C6B">
        <w:rPr>
          <w:rFonts w:ascii="Verdana" w:hAnsi="Verdana"/>
          <w:sz w:val="20"/>
          <w:szCs w:val="20"/>
        </w:rPr>
        <w:t xml:space="preserve">проведена </w:t>
      </w:r>
      <w:r w:rsidRPr="00081C6B">
        <w:rPr>
          <w:rFonts w:ascii="Verdana" w:hAnsi="Verdana"/>
          <w:sz w:val="20"/>
          <w:szCs w:val="20"/>
        </w:rPr>
        <w:t>през 2019 г., по</w:t>
      </w:r>
      <w:r w:rsidRPr="00081C6B">
        <w:t xml:space="preserve"> </w:t>
      </w:r>
      <w:r w:rsidRPr="00081C6B">
        <w:rPr>
          <w:rFonts w:ascii="Verdana" w:hAnsi="Verdana"/>
          <w:sz w:val="20"/>
          <w:szCs w:val="20"/>
        </w:rPr>
        <w:t xml:space="preserve">мярка „Преструктуриране и конверсия на лозя“ е въведен допълнителен контрол от страна на ДФЗ по отношение допустимостта на разходите </w:t>
      </w:r>
      <w:r w:rsidR="007E6BC7" w:rsidRPr="00081C6B">
        <w:rPr>
          <w:rFonts w:ascii="Verdana" w:hAnsi="Verdana"/>
          <w:sz w:val="20"/>
          <w:szCs w:val="20"/>
        </w:rPr>
        <w:t>за извършване на дейности</w:t>
      </w:r>
      <w:r w:rsidRPr="00081C6B">
        <w:rPr>
          <w:rFonts w:ascii="Verdana" w:hAnsi="Verdana"/>
          <w:sz w:val="20"/>
          <w:szCs w:val="20"/>
        </w:rPr>
        <w:t xml:space="preserve">. Предвидено е изискване бенефициентите </w:t>
      </w:r>
      <w:r w:rsidR="006B6B36" w:rsidRPr="00081C6B">
        <w:rPr>
          <w:rFonts w:ascii="Verdana" w:hAnsi="Verdana"/>
          <w:sz w:val="20"/>
          <w:szCs w:val="20"/>
        </w:rPr>
        <w:t>д</w:t>
      </w:r>
      <w:r w:rsidRPr="00081C6B">
        <w:rPr>
          <w:rFonts w:ascii="Verdana" w:hAnsi="Verdana"/>
          <w:sz w:val="20"/>
          <w:szCs w:val="20"/>
        </w:rPr>
        <w:t>а предоставя</w:t>
      </w:r>
      <w:r w:rsidR="006B6B36" w:rsidRPr="00081C6B">
        <w:rPr>
          <w:rFonts w:ascii="Verdana" w:hAnsi="Verdana"/>
          <w:sz w:val="20"/>
          <w:szCs w:val="20"/>
        </w:rPr>
        <w:t>т</w:t>
      </w:r>
      <w:r w:rsidRPr="00081C6B">
        <w:rPr>
          <w:rFonts w:ascii="Verdana" w:hAnsi="Verdana"/>
          <w:sz w:val="20"/>
          <w:szCs w:val="20"/>
        </w:rPr>
        <w:t xml:space="preserve"> технологична карта по образец към инвестиционния проект по мярката</w:t>
      </w:r>
      <w:r w:rsidR="00B643B8" w:rsidRPr="00081C6B">
        <w:rPr>
          <w:rFonts w:ascii="Verdana" w:hAnsi="Verdana"/>
          <w:sz w:val="20"/>
          <w:szCs w:val="20"/>
        </w:rPr>
        <w:t>, от която д</w:t>
      </w:r>
      <w:r w:rsidR="007E6BC7" w:rsidRPr="00081C6B">
        <w:rPr>
          <w:rFonts w:ascii="Verdana" w:hAnsi="Verdana"/>
          <w:sz w:val="20"/>
          <w:szCs w:val="20"/>
        </w:rPr>
        <w:t>а е видно какви точно операции с</w:t>
      </w:r>
      <w:r w:rsidR="00B643B8" w:rsidRPr="00081C6B">
        <w:rPr>
          <w:rFonts w:ascii="Verdana" w:hAnsi="Verdana"/>
          <w:sz w:val="20"/>
          <w:szCs w:val="20"/>
        </w:rPr>
        <w:t>а извършени и на каква стойност е всяка една от тях. Това изискване е въведено</w:t>
      </w:r>
      <w:r w:rsidRPr="00081C6B">
        <w:rPr>
          <w:rFonts w:ascii="Verdana" w:hAnsi="Verdana"/>
          <w:sz w:val="20"/>
          <w:szCs w:val="20"/>
        </w:rPr>
        <w:t xml:space="preserve"> </w:t>
      </w:r>
      <w:r w:rsidR="00B643B8" w:rsidRPr="00081C6B">
        <w:rPr>
          <w:rFonts w:ascii="Verdana" w:hAnsi="Verdana"/>
          <w:sz w:val="20"/>
          <w:szCs w:val="20"/>
        </w:rPr>
        <w:t>за</w:t>
      </w:r>
      <w:r w:rsidRPr="00081C6B">
        <w:rPr>
          <w:rFonts w:ascii="Verdana" w:hAnsi="Verdana"/>
          <w:sz w:val="20"/>
          <w:szCs w:val="20"/>
        </w:rPr>
        <w:t xml:space="preserve"> да се гарантира, че възстановяването на разходите за дейностите ще бъде съобразено с подхода за пределни цени</w:t>
      </w:r>
      <w:r w:rsidR="00B643B8" w:rsidRPr="00081C6B">
        <w:rPr>
          <w:rFonts w:ascii="Verdana" w:hAnsi="Verdana"/>
          <w:sz w:val="20"/>
          <w:szCs w:val="20"/>
        </w:rPr>
        <w:t xml:space="preserve"> и изискването за ефективно разходване на европейски средства</w:t>
      </w:r>
      <w:r w:rsidRPr="00081C6B">
        <w:rPr>
          <w:rFonts w:ascii="Verdana" w:hAnsi="Verdana"/>
          <w:sz w:val="20"/>
          <w:szCs w:val="20"/>
        </w:rPr>
        <w:t>.</w:t>
      </w:r>
      <w:r w:rsidR="006B6B36" w:rsidRPr="00081C6B">
        <w:rPr>
          <w:rFonts w:ascii="Verdana" w:hAnsi="Verdana"/>
          <w:sz w:val="20"/>
          <w:szCs w:val="20"/>
        </w:rPr>
        <w:t xml:space="preserve"> Към настоящия момент всички одобрени заявители по мярката предоставят технологични карти, но те не са по образец.</w:t>
      </w:r>
      <w:r w:rsidR="00B643B8" w:rsidRPr="00081C6B">
        <w:rPr>
          <w:rFonts w:ascii="Verdana" w:hAnsi="Verdana"/>
          <w:sz w:val="20"/>
          <w:szCs w:val="20"/>
        </w:rPr>
        <w:t xml:space="preserve"> За целта е разписана и дефиниция за понятието „операция“.</w:t>
      </w:r>
    </w:p>
    <w:p w:rsidR="006B6B36" w:rsidRPr="00081C6B" w:rsidRDefault="006B6B36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lastRenderedPageBreak/>
        <w:t>По мярка „Инвестиции в предприятия“</w:t>
      </w:r>
      <w:r w:rsidR="007E6BC7" w:rsidRPr="00081C6B">
        <w:rPr>
          <w:rFonts w:ascii="Verdana" w:hAnsi="Verdana"/>
          <w:sz w:val="20"/>
          <w:szCs w:val="20"/>
        </w:rPr>
        <w:t>,</w:t>
      </w:r>
      <w:r w:rsidRPr="00081C6B">
        <w:rPr>
          <w:rFonts w:ascii="Verdana" w:hAnsi="Verdana"/>
          <w:sz w:val="20"/>
          <w:szCs w:val="20"/>
        </w:rPr>
        <w:t xml:space="preserve"> с цел недвусмислено да бъде преценено какъв интензитет на помощта е релевантен за заявения проект</w:t>
      </w:r>
      <w:r w:rsidR="007E6BC7" w:rsidRPr="00081C6B">
        <w:rPr>
          <w:rFonts w:ascii="Verdana" w:hAnsi="Verdana"/>
          <w:sz w:val="20"/>
          <w:szCs w:val="20"/>
        </w:rPr>
        <w:t>,</w:t>
      </w:r>
      <w:r w:rsidRPr="00081C6B">
        <w:rPr>
          <w:rFonts w:ascii="Verdana" w:hAnsi="Verdana"/>
          <w:sz w:val="20"/>
          <w:szCs w:val="20"/>
        </w:rPr>
        <w:t xml:space="preserve"> е предвидено броят служители и годишните обороти на кандидатите да се доказват на база Годишен финансов отчет. За </w:t>
      </w:r>
      <w:proofErr w:type="spellStart"/>
      <w:r w:rsidRPr="00081C6B">
        <w:rPr>
          <w:rFonts w:ascii="Verdana" w:hAnsi="Verdana"/>
          <w:sz w:val="20"/>
          <w:szCs w:val="20"/>
        </w:rPr>
        <w:t>новорегистрираните</w:t>
      </w:r>
      <w:proofErr w:type="spellEnd"/>
      <w:r w:rsidRPr="00081C6B">
        <w:rPr>
          <w:rFonts w:ascii="Verdana" w:hAnsi="Verdana"/>
          <w:sz w:val="20"/>
          <w:szCs w:val="20"/>
        </w:rPr>
        <w:t xml:space="preserve"> винопроизводители е заложено да се взима предвид само броят на служителите.</w:t>
      </w:r>
    </w:p>
    <w:p w:rsidR="00856306" w:rsidRPr="00B61419" w:rsidRDefault="00856306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  <w:r w:rsidRPr="00081C6B">
        <w:rPr>
          <w:rFonts w:ascii="Verdana" w:hAnsi="Verdana"/>
          <w:sz w:val="20"/>
          <w:szCs w:val="20"/>
        </w:rPr>
        <w:t>Предвидено е и включването на дейности по строително-монтажни работи за изграждане, надстрояване</w:t>
      </w:r>
      <w:r w:rsidR="005D31D0" w:rsidRPr="00081C6B">
        <w:rPr>
          <w:rFonts w:ascii="Verdana" w:hAnsi="Verdana"/>
          <w:sz w:val="20"/>
          <w:szCs w:val="20"/>
        </w:rPr>
        <w:t>,</w:t>
      </w:r>
      <w:r w:rsidRPr="00081C6B">
        <w:rPr>
          <w:rFonts w:ascii="Verdana" w:hAnsi="Verdana"/>
          <w:sz w:val="20"/>
          <w:szCs w:val="20"/>
        </w:rPr>
        <w:t xml:space="preserve"> пристрояване </w:t>
      </w:r>
      <w:r w:rsidR="005D31D0" w:rsidRPr="00081C6B">
        <w:rPr>
          <w:rFonts w:ascii="Verdana" w:hAnsi="Verdana"/>
          <w:sz w:val="20"/>
          <w:szCs w:val="20"/>
        </w:rPr>
        <w:t xml:space="preserve">и/или реконструкция </w:t>
      </w:r>
      <w:r w:rsidRPr="00081C6B">
        <w:rPr>
          <w:rFonts w:ascii="Verdana" w:hAnsi="Verdana"/>
          <w:sz w:val="20"/>
          <w:szCs w:val="20"/>
        </w:rPr>
        <w:t xml:space="preserve">на </w:t>
      </w:r>
      <w:r w:rsidR="005D31D0" w:rsidRPr="00081C6B">
        <w:rPr>
          <w:rFonts w:ascii="Verdana" w:hAnsi="Verdana"/>
          <w:sz w:val="20"/>
          <w:szCs w:val="20"/>
        </w:rPr>
        <w:t>сграда</w:t>
      </w:r>
      <w:r w:rsidRPr="00081C6B">
        <w:rPr>
          <w:rFonts w:ascii="Verdana" w:hAnsi="Verdana"/>
          <w:sz w:val="20"/>
          <w:szCs w:val="20"/>
        </w:rPr>
        <w:t>, предназначен</w:t>
      </w:r>
      <w:r w:rsidR="005D31D0" w:rsidRPr="00081C6B">
        <w:rPr>
          <w:rFonts w:ascii="Verdana" w:hAnsi="Verdana"/>
          <w:sz w:val="20"/>
          <w:szCs w:val="20"/>
        </w:rPr>
        <w:t>а</w:t>
      </w:r>
      <w:r w:rsidRPr="00081C6B">
        <w:rPr>
          <w:rFonts w:ascii="Verdana" w:hAnsi="Verdana"/>
          <w:sz w:val="20"/>
          <w:szCs w:val="20"/>
        </w:rPr>
        <w:t xml:space="preserve"> за: производство на вино (от обработка на гроздето до бутилиране и етикетиране на виното в изба), контрол на качеството на виното – анализиращи лаборатории, съхранение на виното</w:t>
      </w:r>
      <w:r w:rsidR="00E97EA3" w:rsidRPr="00081C6B">
        <w:rPr>
          <w:rFonts w:ascii="Verdana" w:hAnsi="Verdana"/>
          <w:sz w:val="20"/>
          <w:szCs w:val="20"/>
        </w:rPr>
        <w:t>, предлагане на виното</w:t>
      </w:r>
      <w:r w:rsidRPr="00081C6B">
        <w:rPr>
          <w:rFonts w:ascii="Verdana" w:hAnsi="Verdana"/>
          <w:sz w:val="20"/>
          <w:szCs w:val="20"/>
        </w:rPr>
        <w:t xml:space="preserve"> и подобряване на и</w:t>
      </w:r>
      <w:r w:rsidR="00AD2794">
        <w:rPr>
          <w:rFonts w:ascii="Verdana" w:hAnsi="Verdana"/>
          <w:sz w:val="20"/>
          <w:szCs w:val="20"/>
        </w:rPr>
        <w:t xml:space="preserve">нфраструктурата в предприятието, </w:t>
      </w:r>
      <w:r w:rsidR="00AD2794" w:rsidRPr="00D051C8">
        <w:rPr>
          <w:rFonts w:ascii="Verdana" w:hAnsi="Verdana"/>
          <w:sz w:val="20"/>
          <w:szCs w:val="20"/>
        </w:rPr>
        <w:t>като създаването на изцяло нови предприятия не е обект на подпомагане по мярката.</w:t>
      </w:r>
      <w:r w:rsidRPr="00D051C8">
        <w:rPr>
          <w:rFonts w:ascii="Verdana" w:hAnsi="Verdana"/>
          <w:sz w:val="20"/>
          <w:szCs w:val="20"/>
        </w:rPr>
        <w:t xml:space="preserve"> По този начин обхватът на мярка „Инвестиции в предприятия“ ще се разшири и </w:t>
      </w:r>
      <w:r w:rsidR="00F1055A" w:rsidRPr="00D051C8">
        <w:rPr>
          <w:rFonts w:ascii="Verdana" w:hAnsi="Verdana"/>
          <w:sz w:val="20"/>
          <w:szCs w:val="20"/>
        </w:rPr>
        <w:t xml:space="preserve">ще </w:t>
      </w:r>
      <w:r w:rsidRPr="00D051C8">
        <w:rPr>
          <w:rFonts w:ascii="Verdana" w:hAnsi="Verdana"/>
          <w:sz w:val="20"/>
          <w:szCs w:val="20"/>
        </w:rPr>
        <w:t>се осигури допълнителна възможност за винопроизводителите да повишат своята конкурентоспособност от гледна точка на производството и предлагането на пазара на вин</w:t>
      </w:r>
      <w:r w:rsidR="00AD2794" w:rsidRPr="00D051C8">
        <w:rPr>
          <w:rFonts w:ascii="Verdana" w:hAnsi="Verdana"/>
          <w:sz w:val="20"/>
          <w:szCs w:val="20"/>
        </w:rPr>
        <w:t>о, като подобрят или разширят своята производствена база</w:t>
      </w:r>
      <w:r w:rsidRPr="00D051C8">
        <w:rPr>
          <w:rFonts w:ascii="Verdana" w:hAnsi="Verdana"/>
          <w:sz w:val="20"/>
          <w:szCs w:val="20"/>
        </w:rPr>
        <w:t>.</w:t>
      </w:r>
    </w:p>
    <w:p w:rsidR="00856306" w:rsidRPr="00081C6B" w:rsidRDefault="00856306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Задължително изискване по отношение на дейностите свързани със строително-монтажни работи</w:t>
      </w:r>
      <w:r w:rsidR="00F1055A" w:rsidRPr="00081C6B">
        <w:rPr>
          <w:rFonts w:ascii="Verdana" w:hAnsi="Verdana"/>
          <w:sz w:val="20"/>
          <w:szCs w:val="20"/>
        </w:rPr>
        <w:t xml:space="preserve"> (СМР)</w:t>
      </w:r>
      <w:r w:rsidRPr="00081C6B">
        <w:rPr>
          <w:rFonts w:ascii="Verdana" w:hAnsi="Verdana"/>
          <w:sz w:val="20"/>
          <w:szCs w:val="20"/>
        </w:rPr>
        <w:t xml:space="preserve"> е към проектното предложение да бъдат приложени Технически проект или Работен план (работни чертежи и детайли), влязло в сила разрешение за строеж или становище от главен архитект, когато разрешение не се изисква съгласн</w:t>
      </w:r>
      <w:r w:rsidR="00F1055A" w:rsidRPr="00081C6B">
        <w:rPr>
          <w:rFonts w:ascii="Verdana" w:hAnsi="Verdana"/>
          <w:sz w:val="20"/>
          <w:szCs w:val="20"/>
        </w:rPr>
        <w:t>о</w:t>
      </w:r>
      <w:r w:rsidRPr="00081C6B">
        <w:rPr>
          <w:rFonts w:ascii="Verdana" w:hAnsi="Verdana"/>
          <w:sz w:val="20"/>
          <w:szCs w:val="20"/>
        </w:rPr>
        <w:t xml:space="preserve"> Закона за устройството на територията</w:t>
      </w:r>
      <w:r w:rsidR="00F1055A" w:rsidRPr="00081C6B">
        <w:rPr>
          <w:rFonts w:ascii="Verdana" w:hAnsi="Verdana"/>
          <w:sz w:val="20"/>
          <w:szCs w:val="20"/>
        </w:rPr>
        <w:t xml:space="preserve"> (ЗУТ)</w:t>
      </w:r>
      <w:r w:rsidRPr="00081C6B">
        <w:rPr>
          <w:rFonts w:ascii="Verdana" w:hAnsi="Verdana"/>
          <w:sz w:val="20"/>
          <w:szCs w:val="20"/>
        </w:rPr>
        <w:t xml:space="preserve">. Не се допуска промяна в договорените дейности със СМР, тъй като цялата документация, издадена от компетентните органи за строежа, включително разрешението за строеж, е базирана на Техническия проект или на Работния план, промените в които ще доведат до повторна процедура по издаване на разрешението за строеж. </w:t>
      </w:r>
      <w:r w:rsidR="00320FCE" w:rsidRPr="00081C6B">
        <w:rPr>
          <w:rFonts w:ascii="Verdana" w:hAnsi="Verdana"/>
          <w:sz w:val="20"/>
          <w:szCs w:val="20"/>
        </w:rPr>
        <w:t>При отчитане на приключили дейности по СМР е необходимо представянето на разрешение за ползване</w:t>
      </w:r>
      <w:r w:rsidR="002B46E7" w:rsidRPr="00081C6B">
        <w:rPr>
          <w:rFonts w:ascii="Verdana" w:hAnsi="Verdana"/>
          <w:sz w:val="20"/>
          <w:szCs w:val="20"/>
        </w:rPr>
        <w:t xml:space="preserve"> (удостоверение за въвеждане в експлоатация)</w:t>
      </w:r>
      <w:r w:rsidR="00320FCE" w:rsidRPr="00081C6B">
        <w:rPr>
          <w:rFonts w:ascii="Verdana" w:hAnsi="Verdana"/>
          <w:sz w:val="20"/>
          <w:szCs w:val="20"/>
        </w:rPr>
        <w:t xml:space="preserve"> съгласно ЗУТ и Наредба № 3 от 2003 г. за съставяне на актове и протоколи по време на строителството (</w:t>
      </w:r>
      <w:proofErr w:type="spellStart"/>
      <w:r w:rsidR="00320FCE" w:rsidRPr="00081C6B">
        <w:rPr>
          <w:rFonts w:ascii="Verdana" w:hAnsi="Verdana"/>
          <w:sz w:val="20"/>
          <w:szCs w:val="20"/>
        </w:rPr>
        <w:t>Обн</w:t>
      </w:r>
      <w:proofErr w:type="spellEnd"/>
      <w:r w:rsidR="00320FCE" w:rsidRPr="00081C6B">
        <w:rPr>
          <w:rFonts w:ascii="Verdana" w:hAnsi="Verdana"/>
          <w:sz w:val="20"/>
          <w:szCs w:val="20"/>
        </w:rPr>
        <w:t>.</w:t>
      </w:r>
      <w:r w:rsidR="005D3C2D">
        <w:rPr>
          <w:rFonts w:ascii="Verdana" w:hAnsi="Verdana"/>
          <w:sz w:val="20"/>
          <w:szCs w:val="20"/>
        </w:rPr>
        <w:t>,</w:t>
      </w:r>
      <w:r w:rsidR="00320FCE" w:rsidRPr="00081C6B">
        <w:rPr>
          <w:rFonts w:ascii="Verdana" w:hAnsi="Verdana"/>
          <w:sz w:val="20"/>
          <w:szCs w:val="20"/>
        </w:rPr>
        <w:t xml:space="preserve"> ДВ</w:t>
      </w:r>
      <w:r w:rsidR="005D3C2D">
        <w:rPr>
          <w:rFonts w:ascii="Verdana" w:hAnsi="Verdana"/>
          <w:sz w:val="20"/>
          <w:szCs w:val="20"/>
        </w:rPr>
        <w:t>,</w:t>
      </w:r>
      <w:r w:rsidR="00320FCE" w:rsidRPr="00081C6B">
        <w:rPr>
          <w:rFonts w:ascii="Verdana" w:hAnsi="Verdana"/>
          <w:sz w:val="20"/>
          <w:szCs w:val="20"/>
        </w:rPr>
        <w:t xml:space="preserve"> бр.</w:t>
      </w:r>
      <w:r w:rsidR="00FC39D5">
        <w:rPr>
          <w:rFonts w:ascii="Verdana" w:hAnsi="Verdana"/>
          <w:sz w:val="20"/>
          <w:szCs w:val="20"/>
        </w:rPr>
        <w:t xml:space="preserve"> </w:t>
      </w:r>
      <w:r w:rsidR="00320FCE" w:rsidRPr="00081C6B">
        <w:rPr>
          <w:rFonts w:ascii="Verdana" w:hAnsi="Verdana"/>
          <w:sz w:val="20"/>
          <w:szCs w:val="20"/>
        </w:rPr>
        <w:t>72 от 2003г</w:t>
      </w:r>
      <w:r w:rsidR="00FC39D5">
        <w:rPr>
          <w:rFonts w:ascii="Verdana" w:hAnsi="Verdana"/>
          <w:sz w:val="20"/>
          <w:szCs w:val="20"/>
        </w:rPr>
        <w:t>.</w:t>
      </w:r>
      <w:r w:rsidR="00320FCE" w:rsidRPr="00081C6B">
        <w:rPr>
          <w:rFonts w:ascii="Verdana" w:hAnsi="Verdana"/>
          <w:sz w:val="20"/>
          <w:szCs w:val="20"/>
        </w:rPr>
        <w:t>).</w:t>
      </w:r>
    </w:p>
    <w:p w:rsidR="008A15AF" w:rsidRPr="00081C6B" w:rsidRDefault="008A15AF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Поради разширения обхват на допустимите дейности по мярка „Инвестиции в предприятия“ е увеличен и максималният размер на помощта по един проект от 600 000 евро на 800 000 евро</w:t>
      </w:r>
      <w:r w:rsidR="0061103F" w:rsidRPr="00081C6B">
        <w:rPr>
          <w:rFonts w:ascii="Verdana" w:hAnsi="Verdana"/>
          <w:sz w:val="20"/>
          <w:szCs w:val="20"/>
        </w:rPr>
        <w:t>, а максималният размер на всички разходи по проекти, подадени от един кандидат за целия период на Националната програма от 1 500 000 на  2 000 000 евро.</w:t>
      </w:r>
    </w:p>
    <w:p w:rsidR="002A53B1" w:rsidRPr="00081C6B" w:rsidRDefault="000D7CE4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П</w:t>
      </w:r>
      <w:r w:rsidR="00F1055A" w:rsidRPr="00081C6B">
        <w:rPr>
          <w:rFonts w:ascii="Verdana" w:hAnsi="Verdana"/>
          <w:sz w:val="20"/>
          <w:szCs w:val="20"/>
        </w:rPr>
        <w:t>о мярка „Инвестиции в предприятия“</w:t>
      </w:r>
      <w:r w:rsidR="005D3C2D">
        <w:rPr>
          <w:rFonts w:ascii="Verdana" w:hAnsi="Verdana"/>
          <w:sz w:val="20"/>
          <w:szCs w:val="20"/>
        </w:rPr>
        <w:t xml:space="preserve"> </w:t>
      </w:r>
      <w:r w:rsidR="00F1055A" w:rsidRPr="00081C6B">
        <w:rPr>
          <w:rFonts w:ascii="Verdana" w:hAnsi="Verdana"/>
          <w:sz w:val="20"/>
          <w:szCs w:val="20"/>
        </w:rPr>
        <w:t xml:space="preserve">са </w:t>
      </w:r>
      <w:r w:rsidR="00B57C37" w:rsidRPr="00081C6B">
        <w:rPr>
          <w:rFonts w:ascii="Verdana" w:hAnsi="Verdana"/>
          <w:sz w:val="20"/>
          <w:szCs w:val="20"/>
        </w:rPr>
        <w:t>н</w:t>
      </w:r>
      <w:r w:rsidR="002A53B1" w:rsidRPr="00081C6B">
        <w:rPr>
          <w:rFonts w:ascii="Verdana" w:hAnsi="Verdana"/>
          <w:sz w:val="20"/>
          <w:szCs w:val="20"/>
        </w:rPr>
        <w:t>аправени</w:t>
      </w:r>
      <w:r w:rsidR="007E6BC7" w:rsidRPr="00081C6B">
        <w:rPr>
          <w:rFonts w:ascii="Verdana" w:hAnsi="Verdana"/>
          <w:sz w:val="20"/>
          <w:szCs w:val="20"/>
        </w:rPr>
        <w:t xml:space="preserve"> и</w:t>
      </w:r>
      <w:r w:rsidR="002A53B1" w:rsidRPr="00081C6B">
        <w:rPr>
          <w:rFonts w:ascii="Verdana" w:hAnsi="Verdana"/>
          <w:sz w:val="20"/>
          <w:szCs w:val="20"/>
        </w:rPr>
        <w:t xml:space="preserve"> някои корекции в критериите за приоритет и тяхната тежест. Намалена е тежестта на критерий „Проекти, насочени към подобряване на енергийната ефективност на предприятието“ от 20 на 10 точки, а тежестта на критерия „Предприятия, преработващи над 30% собствена суровина“ е увеличена от 15 на 20 точки. Тези промени водят до намаляване на общия брой точки от 80 на 75.</w:t>
      </w:r>
    </w:p>
    <w:p w:rsidR="002A53B1" w:rsidRPr="00081C6B" w:rsidRDefault="002A53B1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lastRenderedPageBreak/>
        <w:t>Променен е и критерият „Над 70% от произвежданите вина в предприятието са със ЗГУ и ЗНП„, като е предвидена алтернатив</w:t>
      </w:r>
      <w:r w:rsidR="00B57C37" w:rsidRPr="00081C6B">
        <w:rPr>
          <w:rFonts w:ascii="Verdana" w:hAnsi="Verdana"/>
          <w:sz w:val="20"/>
          <w:szCs w:val="20"/>
        </w:rPr>
        <w:t>а</w:t>
      </w:r>
      <w:r w:rsidRPr="00081C6B">
        <w:rPr>
          <w:rFonts w:ascii="Verdana" w:hAnsi="Verdana"/>
          <w:sz w:val="20"/>
          <w:szCs w:val="20"/>
        </w:rPr>
        <w:t xml:space="preserve"> произвежда</w:t>
      </w:r>
      <w:r w:rsidR="00B57C37" w:rsidRPr="00081C6B">
        <w:rPr>
          <w:rFonts w:ascii="Verdana" w:hAnsi="Verdana"/>
          <w:sz w:val="20"/>
          <w:szCs w:val="20"/>
        </w:rPr>
        <w:t>ните вина да бъдат</w:t>
      </w:r>
      <w:r w:rsidRPr="00081C6B">
        <w:rPr>
          <w:rFonts w:ascii="Verdana" w:hAnsi="Verdana"/>
          <w:sz w:val="20"/>
          <w:szCs w:val="20"/>
        </w:rPr>
        <w:t xml:space="preserve"> ЗГУ и/или ЗНП.</w:t>
      </w:r>
    </w:p>
    <w:p w:rsidR="002A53B1" w:rsidRPr="00081C6B" w:rsidRDefault="002A53B1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По мярка „Застраховане на реколтата“ е </w:t>
      </w:r>
      <w:r w:rsidR="00B57C37" w:rsidRPr="00081C6B">
        <w:rPr>
          <w:rFonts w:ascii="Verdana" w:hAnsi="Verdana"/>
          <w:sz w:val="20"/>
          <w:szCs w:val="20"/>
        </w:rPr>
        <w:t>определен</w:t>
      </w:r>
      <w:r w:rsidRPr="00081C6B">
        <w:rPr>
          <w:rFonts w:ascii="Verdana" w:hAnsi="Verdana"/>
          <w:sz w:val="20"/>
          <w:szCs w:val="20"/>
        </w:rPr>
        <w:t xml:space="preserve"> период </w:t>
      </w:r>
      <w:r w:rsidR="00A37EFF" w:rsidRPr="00081C6B">
        <w:rPr>
          <w:rFonts w:ascii="Verdana" w:hAnsi="Verdana"/>
          <w:sz w:val="20"/>
          <w:szCs w:val="20"/>
        </w:rPr>
        <w:t>н</w:t>
      </w:r>
      <w:r w:rsidRPr="00081C6B">
        <w:rPr>
          <w:rFonts w:ascii="Verdana" w:hAnsi="Verdana"/>
          <w:sz w:val="20"/>
          <w:szCs w:val="20"/>
        </w:rPr>
        <w:t xml:space="preserve">а прием </w:t>
      </w:r>
      <w:r w:rsidR="002D1888" w:rsidRPr="00081C6B">
        <w:rPr>
          <w:rFonts w:ascii="Verdana" w:hAnsi="Verdana"/>
          <w:sz w:val="20"/>
          <w:szCs w:val="20"/>
        </w:rPr>
        <w:t xml:space="preserve">от </w:t>
      </w:r>
      <w:r w:rsidR="001D1D05">
        <w:rPr>
          <w:rFonts w:ascii="Verdana" w:hAnsi="Verdana"/>
          <w:sz w:val="20"/>
          <w:szCs w:val="20"/>
        </w:rPr>
        <w:t>1 май</w:t>
      </w:r>
      <w:r w:rsidR="002D1888" w:rsidRPr="00081C6B">
        <w:rPr>
          <w:rFonts w:ascii="Verdana" w:hAnsi="Verdana"/>
          <w:sz w:val="20"/>
          <w:szCs w:val="20"/>
        </w:rPr>
        <w:t xml:space="preserve"> до 30 юни</w:t>
      </w:r>
      <w:r w:rsidR="00A37EFF" w:rsidRPr="00081C6B">
        <w:rPr>
          <w:rFonts w:ascii="Verdana" w:hAnsi="Verdana"/>
          <w:sz w:val="20"/>
          <w:szCs w:val="20"/>
        </w:rPr>
        <w:t xml:space="preserve"> всяка година</w:t>
      </w:r>
      <w:r w:rsidRPr="00081C6B">
        <w:rPr>
          <w:rFonts w:ascii="Verdana" w:hAnsi="Verdana"/>
          <w:sz w:val="20"/>
          <w:szCs w:val="20"/>
        </w:rPr>
        <w:t xml:space="preserve">, като този период е съобразен със застрахователната практика в </w:t>
      </w:r>
      <w:proofErr w:type="spellStart"/>
      <w:r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81C6B">
        <w:rPr>
          <w:rFonts w:ascii="Verdana" w:hAnsi="Verdana"/>
          <w:sz w:val="20"/>
          <w:szCs w:val="20"/>
        </w:rPr>
        <w:t xml:space="preserve"> сектор. От наредбата е премахнато изискването за предоставяне на цифрови географски данни за застрахованите площи, тъй като тази процедура утежнява прилагането и не е задължителна за тази мярка съгласно приложимото европейско законодателство. </w:t>
      </w:r>
      <w:r w:rsidR="00A37EFF" w:rsidRPr="00081C6B">
        <w:rPr>
          <w:rFonts w:ascii="Verdana" w:hAnsi="Verdana"/>
          <w:sz w:val="20"/>
          <w:szCs w:val="20"/>
        </w:rPr>
        <w:t>Съкратени са</w:t>
      </w:r>
      <w:r w:rsidRPr="00081C6B">
        <w:rPr>
          <w:rFonts w:ascii="Verdana" w:hAnsi="Verdana"/>
          <w:sz w:val="20"/>
          <w:szCs w:val="20"/>
        </w:rPr>
        <w:t xml:space="preserve"> срокове</w:t>
      </w:r>
      <w:r w:rsidR="000D7CE4" w:rsidRPr="00081C6B">
        <w:rPr>
          <w:rFonts w:ascii="Verdana" w:hAnsi="Verdana"/>
          <w:sz w:val="20"/>
          <w:szCs w:val="20"/>
        </w:rPr>
        <w:t>те</w:t>
      </w:r>
      <w:r w:rsidRPr="00081C6B">
        <w:rPr>
          <w:rFonts w:ascii="Verdana" w:hAnsi="Verdana"/>
          <w:sz w:val="20"/>
          <w:szCs w:val="20"/>
        </w:rPr>
        <w:t xml:space="preserve"> за обработка на подадените заявления по мярка</w:t>
      </w:r>
      <w:r w:rsidR="00A37EFF" w:rsidRPr="00081C6B">
        <w:rPr>
          <w:rFonts w:ascii="Verdana" w:hAnsi="Verdana"/>
          <w:sz w:val="20"/>
          <w:szCs w:val="20"/>
        </w:rPr>
        <w:t>та</w:t>
      </w:r>
      <w:r w:rsidR="000D7CE4" w:rsidRPr="00081C6B">
        <w:rPr>
          <w:rFonts w:ascii="Verdana" w:hAnsi="Verdana"/>
          <w:sz w:val="20"/>
          <w:szCs w:val="20"/>
        </w:rPr>
        <w:t xml:space="preserve"> поради</w:t>
      </w:r>
      <w:r w:rsidR="002C17B5" w:rsidRPr="00081C6B">
        <w:rPr>
          <w:rFonts w:ascii="Verdana" w:hAnsi="Verdana"/>
          <w:sz w:val="20"/>
          <w:szCs w:val="20"/>
        </w:rPr>
        <w:t xml:space="preserve"> </w:t>
      </w:r>
      <w:r w:rsidRPr="00081C6B">
        <w:rPr>
          <w:rFonts w:ascii="Verdana" w:hAnsi="Verdana"/>
          <w:sz w:val="20"/>
          <w:szCs w:val="20"/>
        </w:rPr>
        <w:t>необходимостта плащанията да бъдат извършени в периода от юли до 15 октомври на съответната година.</w:t>
      </w:r>
      <w:r w:rsidR="00B643B8" w:rsidRPr="00081C6B">
        <w:rPr>
          <w:rFonts w:ascii="Verdana" w:hAnsi="Verdana"/>
          <w:sz w:val="20"/>
          <w:szCs w:val="20"/>
        </w:rPr>
        <w:t xml:space="preserve"> Определен е и подходът за разпредел</w:t>
      </w:r>
      <w:r w:rsidR="007E6BC7" w:rsidRPr="00081C6B">
        <w:rPr>
          <w:rFonts w:ascii="Verdana" w:hAnsi="Verdana"/>
          <w:sz w:val="20"/>
          <w:szCs w:val="20"/>
        </w:rPr>
        <w:t>яне</w:t>
      </w:r>
      <w:r w:rsidR="00B643B8" w:rsidRPr="00081C6B">
        <w:rPr>
          <w:rFonts w:ascii="Verdana" w:hAnsi="Verdana"/>
          <w:sz w:val="20"/>
          <w:szCs w:val="20"/>
        </w:rPr>
        <w:t xml:space="preserve"> на наличния бюджет между подадените заявления по мярката – пропорционално между всички заявления.</w:t>
      </w:r>
    </w:p>
    <w:p w:rsidR="004C14BD" w:rsidRPr="00081C6B" w:rsidRDefault="00DA1C55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В проекта на наредбата е предвидена и нова глава пета, която включва разпоредби за прилагането на мярка „Събиране на реколтата на зелено“. </w:t>
      </w:r>
      <w:r w:rsidR="004C14BD" w:rsidRPr="00081C6B">
        <w:rPr>
          <w:rFonts w:ascii="Verdana" w:hAnsi="Verdana"/>
          <w:sz w:val="20"/>
          <w:szCs w:val="20"/>
        </w:rPr>
        <w:t xml:space="preserve">Събиране на реколтата на зелено представлява пълното отстраняване на гроздовете, докато все още не са узрели, като по този начин добивът от съответната площ се намалява до нула. </w:t>
      </w:r>
      <w:r w:rsidRPr="00081C6B">
        <w:rPr>
          <w:rFonts w:ascii="Verdana" w:hAnsi="Verdana"/>
          <w:sz w:val="20"/>
          <w:szCs w:val="20"/>
        </w:rPr>
        <w:t xml:space="preserve">Това е кризисна мярка, чиято цел е стабилизиране на пазара в сектора в случай на възникнали кризисни ситуации, които водят до дисбаланс между търсенето и предлагането и предполагат краткотраен или дълготраен негативен ефект върху икономическата жизнеспособност на </w:t>
      </w:r>
      <w:proofErr w:type="spellStart"/>
      <w:r w:rsidRPr="00081C6B">
        <w:rPr>
          <w:rFonts w:ascii="Verdana" w:hAnsi="Verdana"/>
          <w:sz w:val="20"/>
          <w:szCs w:val="20"/>
        </w:rPr>
        <w:t>гроздопроизводителите</w:t>
      </w:r>
      <w:proofErr w:type="spellEnd"/>
      <w:r w:rsidRPr="00081C6B">
        <w:rPr>
          <w:rFonts w:ascii="Verdana" w:hAnsi="Verdana"/>
          <w:sz w:val="20"/>
          <w:szCs w:val="20"/>
        </w:rPr>
        <w:t xml:space="preserve">. Най-често такива сътресения са резултат от невъзможността на земеделските стопани да </w:t>
      </w:r>
      <w:r w:rsidR="00EB644A" w:rsidRPr="00081C6B">
        <w:rPr>
          <w:rFonts w:ascii="Verdana" w:hAnsi="Verdana"/>
          <w:sz w:val="20"/>
          <w:szCs w:val="20"/>
        </w:rPr>
        <w:t>реализират</w:t>
      </w:r>
      <w:r w:rsidRPr="00081C6B">
        <w:rPr>
          <w:rFonts w:ascii="Verdana" w:hAnsi="Verdana"/>
          <w:sz w:val="20"/>
          <w:szCs w:val="20"/>
        </w:rPr>
        <w:t xml:space="preserve"> своята продукция, което води до </w:t>
      </w:r>
      <w:proofErr w:type="spellStart"/>
      <w:r w:rsidRPr="00081C6B">
        <w:rPr>
          <w:rFonts w:ascii="Verdana" w:hAnsi="Verdana"/>
          <w:sz w:val="20"/>
          <w:szCs w:val="20"/>
        </w:rPr>
        <w:t>пренасищане</w:t>
      </w:r>
      <w:proofErr w:type="spellEnd"/>
      <w:r w:rsidRPr="00081C6B">
        <w:rPr>
          <w:rFonts w:ascii="Verdana" w:hAnsi="Verdana"/>
          <w:sz w:val="20"/>
          <w:szCs w:val="20"/>
        </w:rPr>
        <w:t xml:space="preserve"> на пазара със суровина за преработвателните предприятия в </w:t>
      </w:r>
      <w:proofErr w:type="spellStart"/>
      <w:r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81C6B">
        <w:rPr>
          <w:rFonts w:ascii="Verdana" w:hAnsi="Verdana"/>
          <w:sz w:val="20"/>
          <w:szCs w:val="20"/>
        </w:rPr>
        <w:t xml:space="preserve"> сектор и спад в изкупните цени на винено</w:t>
      </w:r>
      <w:r w:rsidR="00EB644A" w:rsidRPr="00081C6B">
        <w:rPr>
          <w:rFonts w:ascii="Verdana" w:hAnsi="Verdana"/>
          <w:sz w:val="20"/>
          <w:szCs w:val="20"/>
        </w:rPr>
        <w:t>то</w:t>
      </w:r>
      <w:r w:rsidRPr="00081C6B">
        <w:rPr>
          <w:rFonts w:ascii="Verdana" w:hAnsi="Verdana"/>
          <w:sz w:val="20"/>
          <w:szCs w:val="20"/>
        </w:rPr>
        <w:t xml:space="preserve"> грозде. През </w:t>
      </w:r>
      <w:proofErr w:type="spellStart"/>
      <w:r w:rsidRPr="00081C6B">
        <w:rPr>
          <w:rFonts w:ascii="Verdana" w:hAnsi="Verdana"/>
          <w:sz w:val="20"/>
          <w:szCs w:val="20"/>
        </w:rPr>
        <w:t>гроздоберна</w:t>
      </w:r>
      <w:proofErr w:type="spellEnd"/>
      <w:r w:rsidRPr="00081C6B">
        <w:rPr>
          <w:rFonts w:ascii="Verdana" w:hAnsi="Verdana"/>
          <w:sz w:val="20"/>
          <w:szCs w:val="20"/>
        </w:rPr>
        <w:t xml:space="preserve"> кампания 2019 г. беше регистрирана сходна ситуация и </w:t>
      </w:r>
      <w:proofErr w:type="spellStart"/>
      <w:r w:rsidRPr="00081C6B">
        <w:rPr>
          <w:rFonts w:ascii="Verdana" w:hAnsi="Verdana"/>
          <w:sz w:val="20"/>
          <w:szCs w:val="20"/>
        </w:rPr>
        <w:t>гроздопроизводителите</w:t>
      </w:r>
      <w:proofErr w:type="spellEnd"/>
      <w:r w:rsidRPr="00081C6B">
        <w:rPr>
          <w:rFonts w:ascii="Verdana" w:hAnsi="Verdana"/>
          <w:sz w:val="20"/>
          <w:szCs w:val="20"/>
        </w:rPr>
        <w:t xml:space="preserve"> без собствени преработвателни мощности бяха поставени в условията на </w:t>
      </w:r>
      <w:r w:rsidR="00EB644A" w:rsidRPr="00081C6B">
        <w:rPr>
          <w:rFonts w:ascii="Verdana" w:hAnsi="Verdana"/>
          <w:sz w:val="20"/>
          <w:szCs w:val="20"/>
        </w:rPr>
        <w:t xml:space="preserve">извънредно </w:t>
      </w:r>
      <w:r w:rsidRPr="00081C6B">
        <w:rPr>
          <w:rFonts w:ascii="Verdana" w:hAnsi="Verdana"/>
          <w:sz w:val="20"/>
          <w:szCs w:val="20"/>
        </w:rPr>
        <w:t xml:space="preserve">ниски </w:t>
      </w:r>
      <w:r w:rsidR="00EB644A" w:rsidRPr="00081C6B">
        <w:rPr>
          <w:rFonts w:ascii="Verdana" w:hAnsi="Verdana"/>
          <w:sz w:val="20"/>
          <w:szCs w:val="20"/>
        </w:rPr>
        <w:t>изкупни цени</w:t>
      </w:r>
      <w:r w:rsidRPr="00081C6B">
        <w:rPr>
          <w:rFonts w:ascii="Verdana" w:hAnsi="Verdana"/>
          <w:sz w:val="20"/>
          <w:szCs w:val="20"/>
        </w:rPr>
        <w:t xml:space="preserve"> на винено</w:t>
      </w:r>
      <w:r w:rsidR="00EB644A" w:rsidRPr="00081C6B">
        <w:rPr>
          <w:rFonts w:ascii="Verdana" w:hAnsi="Verdana"/>
          <w:sz w:val="20"/>
          <w:szCs w:val="20"/>
        </w:rPr>
        <w:t>то</w:t>
      </w:r>
      <w:r w:rsidRPr="00081C6B">
        <w:rPr>
          <w:rFonts w:ascii="Verdana" w:hAnsi="Verdana"/>
          <w:sz w:val="20"/>
          <w:szCs w:val="20"/>
        </w:rPr>
        <w:t xml:space="preserve"> грозде. </w:t>
      </w:r>
      <w:r w:rsidR="00EB644A" w:rsidRPr="00081C6B">
        <w:rPr>
          <w:rFonts w:ascii="Verdana" w:hAnsi="Verdana"/>
          <w:sz w:val="20"/>
          <w:szCs w:val="20"/>
        </w:rPr>
        <w:t>Т</w:t>
      </w:r>
      <w:r w:rsidRPr="00081C6B">
        <w:rPr>
          <w:rFonts w:ascii="Verdana" w:hAnsi="Verdana"/>
          <w:sz w:val="20"/>
          <w:szCs w:val="20"/>
        </w:rPr>
        <w:t>ова доведе до необходимост</w:t>
      </w:r>
      <w:r w:rsidR="0075285C" w:rsidRPr="00081C6B">
        <w:rPr>
          <w:rFonts w:ascii="Verdana" w:hAnsi="Verdana"/>
          <w:sz w:val="20"/>
          <w:szCs w:val="20"/>
        </w:rPr>
        <w:t xml:space="preserve"> от </w:t>
      </w:r>
      <w:r w:rsidRPr="00081C6B">
        <w:rPr>
          <w:rFonts w:ascii="Verdana" w:hAnsi="Verdana"/>
          <w:sz w:val="20"/>
          <w:szCs w:val="20"/>
        </w:rPr>
        <w:t xml:space="preserve"> инструмент за справяне с кризисните ситуации на пазара в </w:t>
      </w:r>
      <w:proofErr w:type="spellStart"/>
      <w:r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81C6B">
        <w:rPr>
          <w:rFonts w:ascii="Verdana" w:hAnsi="Verdana"/>
          <w:sz w:val="20"/>
          <w:szCs w:val="20"/>
        </w:rPr>
        <w:t xml:space="preserve"> сектор и осигур</w:t>
      </w:r>
      <w:r w:rsidR="0075285C" w:rsidRPr="00081C6B">
        <w:rPr>
          <w:rFonts w:ascii="Verdana" w:hAnsi="Verdana"/>
          <w:sz w:val="20"/>
          <w:szCs w:val="20"/>
        </w:rPr>
        <w:t>яване на</w:t>
      </w:r>
      <w:r w:rsidRPr="00081C6B">
        <w:rPr>
          <w:rFonts w:ascii="Verdana" w:hAnsi="Verdana"/>
          <w:sz w:val="20"/>
          <w:szCs w:val="20"/>
        </w:rPr>
        <w:t xml:space="preserve"> ресурсна подкрепа за най-уязвимата икономическа единица – земеделския стопанин. </w:t>
      </w:r>
    </w:p>
    <w:p w:rsidR="00DA1C55" w:rsidRPr="00081C6B" w:rsidRDefault="0075285C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М</w:t>
      </w:r>
      <w:r w:rsidR="00DA1C55" w:rsidRPr="00081C6B">
        <w:rPr>
          <w:rFonts w:ascii="Verdana" w:hAnsi="Verdana"/>
          <w:sz w:val="20"/>
          <w:szCs w:val="20"/>
        </w:rPr>
        <w:t xml:space="preserve">ярка „Събиране на реколтата на зелено“ </w:t>
      </w:r>
      <w:r w:rsidRPr="00081C6B">
        <w:rPr>
          <w:rFonts w:ascii="Verdana" w:hAnsi="Verdana"/>
          <w:sz w:val="20"/>
          <w:szCs w:val="20"/>
        </w:rPr>
        <w:t xml:space="preserve">ще </w:t>
      </w:r>
      <w:r w:rsidR="00DA1C55" w:rsidRPr="00081C6B">
        <w:rPr>
          <w:rFonts w:ascii="Verdana" w:hAnsi="Verdana"/>
          <w:sz w:val="20"/>
          <w:szCs w:val="20"/>
        </w:rPr>
        <w:t xml:space="preserve">се </w:t>
      </w:r>
      <w:r w:rsidR="000965DF" w:rsidRPr="00081C6B">
        <w:rPr>
          <w:rFonts w:ascii="Verdana" w:hAnsi="Verdana"/>
          <w:sz w:val="20"/>
          <w:szCs w:val="20"/>
        </w:rPr>
        <w:t xml:space="preserve">прилага </w:t>
      </w:r>
      <w:r w:rsidRPr="00081C6B">
        <w:rPr>
          <w:rFonts w:ascii="Verdana" w:hAnsi="Verdana"/>
          <w:sz w:val="20"/>
          <w:szCs w:val="20"/>
        </w:rPr>
        <w:t>само</w:t>
      </w:r>
      <w:r w:rsidR="00DA1C55" w:rsidRPr="00081C6B">
        <w:rPr>
          <w:rFonts w:ascii="Verdana" w:hAnsi="Verdana"/>
          <w:sz w:val="20"/>
          <w:szCs w:val="20"/>
        </w:rPr>
        <w:t xml:space="preserve"> в случай че до </w:t>
      </w:r>
      <w:r w:rsidR="00EB4571">
        <w:rPr>
          <w:rFonts w:ascii="Verdana" w:hAnsi="Verdana"/>
          <w:sz w:val="20"/>
          <w:szCs w:val="20"/>
        </w:rPr>
        <w:t>25</w:t>
      </w:r>
      <w:r w:rsidR="00DA1C55" w:rsidRPr="00081C6B">
        <w:rPr>
          <w:rFonts w:ascii="Verdana" w:hAnsi="Verdana"/>
          <w:sz w:val="20"/>
          <w:szCs w:val="20"/>
        </w:rPr>
        <w:t xml:space="preserve"> </w:t>
      </w:r>
      <w:r w:rsidR="00EB4571">
        <w:rPr>
          <w:rFonts w:ascii="Verdana" w:hAnsi="Verdana"/>
          <w:sz w:val="20"/>
          <w:szCs w:val="20"/>
        </w:rPr>
        <w:t>април</w:t>
      </w:r>
      <w:r w:rsidR="00DA1C55" w:rsidRPr="00081C6B">
        <w:rPr>
          <w:rFonts w:ascii="Verdana" w:hAnsi="Verdana"/>
          <w:sz w:val="20"/>
          <w:szCs w:val="20"/>
        </w:rPr>
        <w:t xml:space="preserve"> на </w:t>
      </w:r>
      <w:r w:rsidRPr="00081C6B">
        <w:rPr>
          <w:rFonts w:ascii="Verdana" w:hAnsi="Verdana"/>
          <w:sz w:val="20"/>
          <w:szCs w:val="20"/>
        </w:rPr>
        <w:t>съответната</w:t>
      </w:r>
      <w:r w:rsidR="00DA1C55" w:rsidRPr="00081C6B">
        <w:rPr>
          <w:rFonts w:ascii="Verdana" w:hAnsi="Verdana"/>
          <w:sz w:val="20"/>
          <w:szCs w:val="20"/>
        </w:rPr>
        <w:t xml:space="preserve"> година се прогнозира ситуация на пазара, обосноваваща събиране на реколтата на зелено за възстановяване на баланса на пазара и за предотвратяване на криза с дълготраен и  дестабилизиращ ефект. Заложени са стриктни срокове, в които администрацията и кандидатите са задължени да осъществят своите действия по мярката, така че да се гарантира нейната целесъобразност. Определен е и редът, по който </w:t>
      </w:r>
      <w:proofErr w:type="spellStart"/>
      <w:r w:rsidR="00DA1C55" w:rsidRPr="00081C6B">
        <w:rPr>
          <w:rFonts w:ascii="Verdana" w:hAnsi="Verdana"/>
          <w:sz w:val="20"/>
          <w:szCs w:val="20"/>
        </w:rPr>
        <w:t>гроздопроизводителите</w:t>
      </w:r>
      <w:proofErr w:type="spellEnd"/>
      <w:r w:rsidR="00DA1C55" w:rsidRPr="00081C6B">
        <w:rPr>
          <w:rFonts w:ascii="Verdana" w:hAnsi="Verdana"/>
          <w:sz w:val="20"/>
          <w:szCs w:val="20"/>
        </w:rPr>
        <w:t xml:space="preserve"> трябва да заявят участие и да приложат операциите по събиране на зеленото грозде.</w:t>
      </w:r>
    </w:p>
    <w:p w:rsidR="00DA1C55" w:rsidRPr="00081C6B" w:rsidRDefault="004C14BD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Финансовата помощ по мярка „Събиране на реколтата на зелено“ </w:t>
      </w:r>
      <w:r w:rsidR="00EB4571">
        <w:rPr>
          <w:rFonts w:ascii="Verdana" w:hAnsi="Verdana"/>
          <w:sz w:val="20"/>
          <w:szCs w:val="20"/>
        </w:rPr>
        <w:t xml:space="preserve">ще </w:t>
      </w:r>
      <w:r w:rsidRPr="00081C6B">
        <w:rPr>
          <w:rFonts w:ascii="Verdana" w:hAnsi="Verdana"/>
          <w:sz w:val="20"/>
          <w:szCs w:val="20"/>
        </w:rPr>
        <w:t>се предоставя като обезщетен</w:t>
      </w:r>
      <w:r w:rsidR="00EB4571">
        <w:rPr>
          <w:rFonts w:ascii="Verdana" w:hAnsi="Verdana"/>
          <w:sz w:val="20"/>
          <w:szCs w:val="20"/>
        </w:rPr>
        <w:t xml:space="preserve">ие с фиксиран размер за хектар и </w:t>
      </w:r>
      <w:r w:rsidRPr="00081C6B">
        <w:rPr>
          <w:rFonts w:ascii="Verdana" w:hAnsi="Verdana"/>
          <w:sz w:val="20"/>
          <w:szCs w:val="20"/>
        </w:rPr>
        <w:t xml:space="preserve">не надвишава 50 на сто </w:t>
      </w:r>
      <w:r w:rsidRPr="00081C6B">
        <w:rPr>
          <w:rFonts w:ascii="Verdana" w:hAnsi="Verdana"/>
          <w:sz w:val="20"/>
          <w:szCs w:val="20"/>
        </w:rPr>
        <w:lastRenderedPageBreak/>
        <w:t>от сумата на преките разходи за операциите по отстраняването на гроздовете и на загубата на приходи, произтичаща от отстраняването.</w:t>
      </w:r>
    </w:p>
    <w:p w:rsidR="00B643B8" w:rsidRDefault="00B643B8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С проекта на наредбата за изменение и допълнение е въведено и определение на понятието „сходна дейност“.</w:t>
      </w:r>
    </w:p>
    <w:p w:rsidR="00037038" w:rsidRPr="00081C6B" w:rsidRDefault="00037038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Предложените изменения и допълнения на </w:t>
      </w:r>
      <w:r w:rsidRPr="00037038">
        <w:rPr>
          <w:rFonts w:ascii="Verdana" w:hAnsi="Verdana"/>
          <w:sz w:val="20"/>
          <w:szCs w:val="20"/>
        </w:rPr>
        <w:t xml:space="preserve">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037038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37038">
        <w:rPr>
          <w:rFonts w:ascii="Verdana" w:hAnsi="Verdana"/>
          <w:sz w:val="20"/>
          <w:szCs w:val="20"/>
        </w:rPr>
        <w:t xml:space="preserve"> сектор за периода 2019 – 2023 г.</w:t>
      </w:r>
      <w:r>
        <w:rPr>
          <w:rFonts w:ascii="Verdana" w:hAnsi="Verdana"/>
          <w:sz w:val="20"/>
          <w:szCs w:val="20"/>
        </w:rPr>
        <w:t xml:space="preserve"> са съобразени с извършените промени в Националната програма, утвърдени от министъра на земеделието, храните и горите на 15.11.2019 г.</w:t>
      </w:r>
    </w:p>
    <w:p w:rsidR="00AA0440" w:rsidRPr="00081C6B" w:rsidRDefault="00AA0440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Предложените изменения и допълнения на приложимата нормативна</w:t>
      </w:r>
      <w:r w:rsidRPr="00081C6B">
        <w:rPr>
          <w:rFonts w:ascii="Verdana" w:hAnsi="Verdana"/>
          <w:color w:val="FF0000"/>
          <w:sz w:val="20"/>
          <w:szCs w:val="20"/>
        </w:rPr>
        <w:t xml:space="preserve"> </w:t>
      </w:r>
      <w:r w:rsidRPr="00081C6B">
        <w:rPr>
          <w:rFonts w:ascii="Verdana" w:hAnsi="Verdana"/>
          <w:sz w:val="20"/>
          <w:szCs w:val="20"/>
        </w:rPr>
        <w:t>уредба не променят изискванията към кандидатите и не поставят допълнителни услови</w:t>
      </w:r>
      <w:r w:rsidR="007E6BC7" w:rsidRPr="00081C6B">
        <w:rPr>
          <w:rFonts w:ascii="Verdana" w:hAnsi="Verdana"/>
          <w:sz w:val="20"/>
          <w:szCs w:val="20"/>
        </w:rPr>
        <w:t>я за тяхното участие по ме</w:t>
      </w:r>
      <w:r w:rsidR="00B643B8" w:rsidRPr="00081C6B">
        <w:rPr>
          <w:rFonts w:ascii="Verdana" w:hAnsi="Verdana"/>
          <w:sz w:val="20"/>
          <w:szCs w:val="20"/>
        </w:rPr>
        <w:t>рките</w:t>
      </w:r>
      <w:r w:rsidR="007E6BC7" w:rsidRPr="00081C6B">
        <w:rPr>
          <w:rFonts w:ascii="Verdana" w:hAnsi="Verdana"/>
          <w:sz w:val="20"/>
          <w:szCs w:val="20"/>
        </w:rPr>
        <w:t>.</w:t>
      </w:r>
    </w:p>
    <w:p w:rsidR="0087459E" w:rsidRPr="00081C6B" w:rsidRDefault="00112AE5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Промените</w:t>
      </w:r>
      <w:r w:rsidR="0087459E" w:rsidRPr="00081C6B">
        <w:rPr>
          <w:rFonts w:ascii="Verdana" w:hAnsi="Verdana"/>
          <w:sz w:val="20"/>
          <w:szCs w:val="20"/>
        </w:rPr>
        <w:t xml:space="preserve"> на наредба</w:t>
      </w:r>
      <w:r w:rsidRPr="00081C6B">
        <w:rPr>
          <w:rFonts w:ascii="Verdana" w:hAnsi="Verdana"/>
          <w:sz w:val="20"/>
          <w:szCs w:val="20"/>
        </w:rPr>
        <w:t>та</w:t>
      </w:r>
      <w:r w:rsidR="0087459E" w:rsidRPr="00081C6B">
        <w:rPr>
          <w:rFonts w:ascii="Verdana" w:hAnsi="Verdana"/>
          <w:sz w:val="20"/>
          <w:szCs w:val="20"/>
        </w:rPr>
        <w:t xml:space="preserve"> </w:t>
      </w:r>
      <w:r w:rsidRPr="00081C6B">
        <w:rPr>
          <w:rFonts w:ascii="Verdana" w:hAnsi="Verdana"/>
          <w:sz w:val="20"/>
          <w:szCs w:val="20"/>
        </w:rPr>
        <w:t>са</w:t>
      </w:r>
      <w:r w:rsidR="0087459E" w:rsidRPr="00081C6B">
        <w:rPr>
          <w:rFonts w:ascii="Verdana" w:hAnsi="Verdana"/>
          <w:sz w:val="20"/>
          <w:szCs w:val="20"/>
        </w:rPr>
        <w:t xml:space="preserve"> насочен</w:t>
      </w:r>
      <w:r w:rsidRPr="00081C6B">
        <w:rPr>
          <w:rFonts w:ascii="Verdana" w:hAnsi="Verdana"/>
          <w:sz w:val="20"/>
          <w:szCs w:val="20"/>
        </w:rPr>
        <w:t>и</w:t>
      </w:r>
      <w:r w:rsidR="0087459E" w:rsidRPr="00081C6B">
        <w:rPr>
          <w:rFonts w:ascii="Verdana" w:hAnsi="Verdana"/>
          <w:sz w:val="20"/>
          <w:szCs w:val="20"/>
        </w:rPr>
        <w:t xml:space="preserve"> към постигане на следните цели:</w:t>
      </w:r>
    </w:p>
    <w:p w:rsidR="0087459E" w:rsidRPr="00081C6B" w:rsidRDefault="00DD5ED7" w:rsidP="004F10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Ефективно прилагане на </w:t>
      </w:r>
      <w:r w:rsidR="0008593D" w:rsidRPr="00081C6B">
        <w:rPr>
          <w:rFonts w:ascii="Verdana" w:hAnsi="Verdana"/>
          <w:sz w:val="20"/>
          <w:szCs w:val="20"/>
        </w:rPr>
        <w:t>Н</w:t>
      </w:r>
      <w:r w:rsidRPr="00081C6B">
        <w:rPr>
          <w:rFonts w:ascii="Verdana" w:hAnsi="Verdana"/>
          <w:sz w:val="20"/>
          <w:szCs w:val="20"/>
        </w:rPr>
        <w:t>ационална</w:t>
      </w:r>
      <w:r w:rsidR="00377A39" w:rsidRPr="00081C6B">
        <w:rPr>
          <w:rFonts w:ascii="Verdana" w:hAnsi="Verdana"/>
          <w:sz w:val="20"/>
          <w:szCs w:val="20"/>
        </w:rPr>
        <w:t>та</w:t>
      </w:r>
      <w:r w:rsidRPr="00081C6B">
        <w:rPr>
          <w:rFonts w:ascii="Verdana" w:hAnsi="Verdana"/>
          <w:sz w:val="20"/>
          <w:szCs w:val="20"/>
        </w:rPr>
        <w:t xml:space="preserve"> програма </w:t>
      </w:r>
      <w:r w:rsidR="00D02E27" w:rsidRPr="00081C6B">
        <w:rPr>
          <w:rFonts w:ascii="Verdana" w:hAnsi="Verdana"/>
          <w:sz w:val="20"/>
          <w:szCs w:val="20"/>
        </w:rPr>
        <w:t xml:space="preserve">за подпомагане на </w:t>
      </w:r>
      <w:proofErr w:type="spellStart"/>
      <w:r w:rsidR="00D02E27"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="00D02E27" w:rsidRPr="00081C6B">
        <w:rPr>
          <w:rFonts w:ascii="Verdana" w:hAnsi="Verdana"/>
          <w:sz w:val="20"/>
          <w:szCs w:val="20"/>
        </w:rPr>
        <w:t xml:space="preserve"> сектор </w:t>
      </w:r>
      <w:r w:rsidRPr="00081C6B">
        <w:rPr>
          <w:rFonts w:ascii="Verdana" w:hAnsi="Verdana"/>
          <w:sz w:val="20"/>
          <w:szCs w:val="20"/>
        </w:rPr>
        <w:t>за периода 2019</w:t>
      </w:r>
      <w:r w:rsidR="00860C5E" w:rsidRPr="00081C6B">
        <w:rPr>
          <w:rFonts w:ascii="Verdana" w:hAnsi="Verdana"/>
          <w:sz w:val="20"/>
          <w:szCs w:val="20"/>
        </w:rPr>
        <w:t xml:space="preserve"> – </w:t>
      </w:r>
      <w:r w:rsidRPr="00081C6B">
        <w:rPr>
          <w:rFonts w:ascii="Verdana" w:hAnsi="Verdana"/>
          <w:sz w:val="20"/>
          <w:szCs w:val="20"/>
        </w:rPr>
        <w:t>2023 година</w:t>
      </w:r>
      <w:r w:rsidR="00C66979" w:rsidRPr="00081C6B">
        <w:rPr>
          <w:rFonts w:ascii="Verdana" w:hAnsi="Verdana"/>
          <w:sz w:val="20"/>
          <w:szCs w:val="20"/>
        </w:rPr>
        <w:t>;</w:t>
      </w:r>
    </w:p>
    <w:p w:rsidR="00DD5ED7" w:rsidRPr="00081C6B" w:rsidRDefault="00AA0440" w:rsidP="004F10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Осигуряване на </w:t>
      </w:r>
      <w:r w:rsidR="00B643B8" w:rsidRPr="00081C6B">
        <w:rPr>
          <w:rFonts w:ascii="Verdana" w:hAnsi="Verdana"/>
          <w:sz w:val="20"/>
          <w:szCs w:val="20"/>
        </w:rPr>
        <w:t>ефективен контрол по разходването на средствата от Европейския фонд за гарантиране в земеделието;</w:t>
      </w:r>
    </w:p>
    <w:p w:rsidR="005E309F" w:rsidRPr="00081C6B" w:rsidRDefault="005E309F" w:rsidP="004F10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Осигуряване на инструмент за въздействие в случай на кризисни ситуации на пазара в </w:t>
      </w:r>
      <w:proofErr w:type="spellStart"/>
      <w:r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81C6B">
        <w:rPr>
          <w:rFonts w:ascii="Verdana" w:hAnsi="Verdana"/>
          <w:sz w:val="20"/>
          <w:szCs w:val="20"/>
        </w:rPr>
        <w:t xml:space="preserve"> сектор.</w:t>
      </w:r>
    </w:p>
    <w:p w:rsidR="009614D1" w:rsidRPr="00081C6B" w:rsidRDefault="002C4B42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Оценката на въздействието показва, че потенциално заинтересовани страни от приемането на наредбата са </w:t>
      </w:r>
      <w:proofErr w:type="spellStart"/>
      <w:r w:rsidR="00047DF6" w:rsidRPr="00081C6B">
        <w:rPr>
          <w:rFonts w:ascii="Verdana" w:hAnsi="Verdana"/>
          <w:sz w:val="20"/>
          <w:szCs w:val="20"/>
        </w:rPr>
        <w:t>гроздопроизводители</w:t>
      </w:r>
      <w:proofErr w:type="spellEnd"/>
      <w:r w:rsidR="00047DF6" w:rsidRPr="00081C6B">
        <w:rPr>
          <w:rFonts w:ascii="Verdana" w:hAnsi="Verdana"/>
          <w:sz w:val="20"/>
          <w:szCs w:val="20"/>
        </w:rPr>
        <w:t xml:space="preserve">, асоциации, организации и </w:t>
      </w:r>
      <w:r w:rsidR="009E798A" w:rsidRPr="00081C6B">
        <w:rPr>
          <w:rFonts w:ascii="Verdana" w:hAnsi="Verdana"/>
          <w:sz w:val="20"/>
          <w:szCs w:val="20"/>
        </w:rPr>
        <w:t>предприятия</w:t>
      </w:r>
      <w:r w:rsidR="0046119D" w:rsidRPr="00081C6B">
        <w:rPr>
          <w:rFonts w:ascii="Verdana" w:hAnsi="Verdana"/>
          <w:sz w:val="20"/>
          <w:szCs w:val="20"/>
        </w:rPr>
        <w:t xml:space="preserve">, които </w:t>
      </w:r>
      <w:r w:rsidR="009E798A" w:rsidRPr="00081C6B">
        <w:rPr>
          <w:rFonts w:ascii="Verdana" w:hAnsi="Verdana"/>
          <w:sz w:val="20"/>
          <w:szCs w:val="20"/>
        </w:rPr>
        <w:t xml:space="preserve">произвеждат </w:t>
      </w:r>
      <w:r w:rsidR="00047DF6" w:rsidRPr="00081C6B">
        <w:rPr>
          <w:rFonts w:ascii="Verdana" w:hAnsi="Verdana"/>
          <w:sz w:val="20"/>
          <w:szCs w:val="20"/>
        </w:rPr>
        <w:t xml:space="preserve">винено грозде и/или </w:t>
      </w:r>
      <w:r w:rsidR="009E798A" w:rsidRPr="00081C6B">
        <w:rPr>
          <w:rFonts w:ascii="Verdana" w:hAnsi="Verdana"/>
          <w:sz w:val="20"/>
          <w:szCs w:val="20"/>
        </w:rPr>
        <w:t>вино</w:t>
      </w:r>
      <w:r w:rsidR="0046119D" w:rsidRPr="00081C6B">
        <w:rPr>
          <w:rFonts w:ascii="Verdana" w:hAnsi="Verdana"/>
          <w:sz w:val="20"/>
          <w:szCs w:val="20"/>
        </w:rPr>
        <w:t xml:space="preserve">. </w:t>
      </w:r>
      <w:r w:rsidR="00B053C2" w:rsidRPr="00081C6B">
        <w:rPr>
          <w:rFonts w:ascii="Verdana" w:hAnsi="Verdana"/>
          <w:sz w:val="20"/>
          <w:szCs w:val="20"/>
        </w:rPr>
        <w:t>Очаквания</w:t>
      </w:r>
      <w:r w:rsidR="00047DF6" w:rsidRPr="00081C6B">
        <w:rPr>
          <w:rFonts w:ascii="Verdana" w:hAnsi="Verdana"/>
          <w:sz w:val="20"/>
          <w:szCs w:val="20"/>
        </w:rPr>
        <w:t>т брой на бенефициентите по мерките е около 200</w:t>
      </w:r>
      <w:r w:rsidR="009E798A" w:rsidRPr="00081C6B">
        <w:rPr>
          <w:rFonts w:ascii="Verdana" w:hAnsi="Verdana"/>
          <w:sz w:val="20"/>
          <w:szCs w:val="20"/>
        </w:rPr>
        <w:t xml:space="preserve"> </w:t>
      </w:r>
      <w:proofErr w:type="spellStart"/>
      <w:r w:rsidR="00047DF6" w:rsidRPr="00081C6B">
        <w:rPr>
          <w:rFonts w:ascii="Verdana" w:hAnsi="Verdana"/>
          <w:sz w:val="20"/>
          <w:szCs w:val="20"/>
        </w:rPr>
        <w:t>гроздо</w:t>
      </w:r>
      <w:proofErr w:type="spellEnd"/>
      <w:r w:rsidR="00047DF6" w:rsidRPr="00081C6B">
        <w:rPr>
          <w:rFonts w:ascii="Verdana" w:hAnsi="Verdana"/>
          <w:sz w:val="20"/>
          <w:szCs w:val="20"/>
        </w:rPr>
        <w:t>- и вино-производители</w:t>
      </w:r>
      <w:r w:rsidR="00C513EA" w:rsidRPr="00081C6B">
        <w:rPr>
          <w:rFonts w:ascii="Verdana" w:hAnsi="Verdana"/>
          <w:sz w:val="20"/>
          <w:szCs w:val="20"/>
        </w:rPr>
        <w:t xml:space="preserve"> </w:t>
      </w:r>
      <w:r w:rsidR="00AC3950" w:rsidRPr="00081C6B">
        <w:rPr>
          <w:rFonts w:ascii="Verdana" w:hAnsi="Verdana"/>
          <w:sz w:val="20"/>
          <w:szCs w:val="20"/>
        </w:rPr>
        <w:t>и организации.</w:t>
      </w:r>
      <w:r w:rsidR="00B053C2" w:rsidRPr="00081C6B">
        <w:rPr>
          <w:rFonts w:ascii="Verdana" w:hAnsi="Verdana"/>
          <w:sz w:val="20"/>
          <w:szCs w:val="20"/>
        </w:rPr>
        <w:t xml:space="preserve"> </w:t>
      </w:r>
      <w:r w:rsidR="00AC3950" w:rsidRPr="00081C6B">
        <w:rPr>
          <w:rFonts w:ascii="Verdana" w:hAnsi="Verdana"/>
          <w:sz w:val="20"/>
          <w:szCs w:val="20"/>
        </w:rPr>
        <w:t>З</w:t>
      </w:r>
      <w:r w:rsidR="00BE0F87" w:rsidRPr="00081C6B">
        <w:rPr>
          <w:rFonts w:ascii="Verdana" w:hAnsi="Verdana"/>
          <w:sz w:val="20"/>
          <w:szCs w:val="20"/>
        </w:rPr>
        <w:t>аинтересованите</w:t>
      </w:r>
      <w:r w:rsidR="00C66979" w:rsidRPr="00081C6B">
        <w:rPr>
          <w:rFonts w:ascii="Verdana" w:hAnsi="Verdana"/>
          <w:sz w:val="20"/>
          <w:szCs w:val="20"/>
        </w:rPr>
        <w:t xml:space="preserve"> институции са Министерството на земеделието, храните и горите, </w:t>
      </w:r>
      <w:r w:rsidR="00BE0F87" w:rsidRPr="00081C6B">
        <w:rPr>
          <w:rFonts w:ascii="Verdana" w:hAnsi="Verdana"/>
          <w:sz w:val="20"/>
          <w:szCs w:val="20"/>
        </w:rPr>
        <w:t>Държавен фонд „Земеделие“ и Изпълнителната агенция по лозата и виното.</w:t>
      </w:r>
    </w:p>
    <w:p w:rsidR="00B053C2" w:rsidRPr="00081C6B" w:rsidRDefault="00B053C2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Потенциалните рискове от неприемането или ненавременното приемане на </w:t>
      </w:r>
      <w:r w:rsidR="00AC3950" w:rsidRPr="00081C6B">
        <w:rPr>
          <w:rFonts w:ascii="Verdana" w:hAnsi="Verdana"/>
          <w:sz w:val="20"/>
          <w:szCs w:val="20"/>
        </w:rPr>
        <w:t>измененията и допълненията на</w:t>
      </w:r>
      <w:r w:rsidR="0071674F" w:rsidRPr="00081C6B">
        <w:rPr>
          <w:rFonts w:ascii="Verdana" w:hAnsi="Verdana"/>
          <w:sz w:val="20"/>
          <w:szCs w:val="20"/>
        </w:rPr>
        <w:t xml:space="preserve"> </w:t>
      </w:r>
      <w:r w:rsidRPr="00081C6B">
        <w:rPr>
          <w:rFonts w:ascii="Verdana" w:hAnsi="Verdana"/>
          <w:sz w:val="20"/>
          <w:szCs w:val="20"/>
        </w:rPr>
        <w:t xml:space="preserve">наредбата са: </w:t>
      </w:r>
      <w:r w:rsidR="00C513EA" w:rsidRPr="00081C6B">
        <w:rPr>
          <w:rFonts w:ascii="Verdana" w:hAnsi="Verdana"/>
          <w:sz w:val="20"/>
          <w:szCs w:val="20"/>
        </w:rPr>
        <w:t xml:space="preserve">повтарящи се </w:t>
      </w:r>
      <w:r w:rsidR="007E6BC7" w:rsidRPr="00081C6B">
        <w:rPr>
          <w:rFonts w:ascii="Verdana" w:hAnsi="Verdana"/>
          <w:sz w:val="20"/>
          <w:szCs w:val="20"/>
        </w:rPr>
        <w:t>затруднения</w:t>
      </w:r>
      <w:r w:rsidR="00C513EA" w:rsidRPr="00081C6B">
        <w:rPr>
          <w:rFonts w:ascii="Verdana" w:hAnsi="Verdana"/>
          <w:sz w:val="20"/>
          <w:szCs w:val="20"/>
        </w:rPr>
        <w:t xml:space="preserve"> при прилагането на мерките от НППЛВС 2019-2023;</w:t>
      </w:r>
      <w:r w:rsidR="005E309F" w:rsidRPr="00081C6B">
        <w:rPr>
          <w:rFonts w:ascii="Verdana" w:hAnsi="Verdana"/>
          <w:sz w:val="20"/>
          <w:szCs w:val="20"/>
        </w:rPr>
        <w:t xml:space="preserve"> негативно отражение на пазарните </w:t>
      </w:r>
      <w:proofErr w:type="spellStart"/>
      <w:r w:rsidR="005E309F" w:rsidRPr="00081C6B">
        <w:rPr>
          <w:rFonts w:ascii="Verdana" w:hAnsi="Verdana"/>
          <w:sz w:val="20"/>
          <w:szCs w:val="20"/>
        </w:rPr>
        <w:t>флуктуации</w:t>
      </w:r>
      <w:proofErr w:type="spellEnd"/>
      <w:r w:rsidR="005E309F" w:rsidRPr="00081C6B">
        <w:rPr>
          <w:rFonts w:ascii="Verdana" w:hAnsi="Verdana"/>
          <w:sz w:val="20"/>
          <w:szCs w:val="20"/>
        </w:rPr>
        <w:t xml:space="preserve"> върху земеделските стопани в </w:t>
      </w:r>
      <w:proofErr w:type="spellStart"/>
      <w:r w:rsidR="005E309F"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="005E309F" w:rsidRPr="00081C6B">
        <w:rPr>
          <w:rFonts w:ascii="Verdana" w:hAnsi="Verdana"/>
          <w:sz w:val="20"/>
          <w:szCs w:val="20"/>
        </w:rPr>
        <w:t xml:space="preserve"> сектор.</w:t>
      </w:r>
      <w:r w:rsidR="009614D1" w:rsidRPr="00081C6B">
        <w:rPr>
          <w:rFonts w:ascii="Verdana" w:hAnsi="Verdana"/>
          <w:sz w:val="20"/>
          <w:szCs w:val="20"/>
        </w:rPr>
        <w:t xml:space="preserve"> </w:t>
      </w:r>
    </w:p>
    <w:p w:rsidR="00F8663B" w:rsidRPr="00081C6B" w:rsidRDefault="00BE0F87" w:rsidP="004F1055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С наредбата не се въвеждат нови и не се изменят съществуващи регулаторни режими и такси и не се създават нови регистри. </w:t>
      </w:r>
      <w:r w:rsidR="00AF5FC3" w:rsidRPr="00081C6B">
        <w:rPr>
          <w:rFonts w:ascii="Verdana" w:hAnsi="Verdana"/>
          <w:sz w:val="20"/>
          <w:szCs w:val="20"/>
        </w:rPr>
        <w:t xml:space="preserve">Наредбата не изисква от бенефициентите да представят документи и информация, които администрацията може да получи по служебен път. </w:t>
      </w:r>
      <w:r w:rsidRPr="00081C6B">
        <w:rPr>
          <w:rFonts w:ascii="Verdana" w:hAnsi="Verdana"/>
          <w:sz w:val="20"/>
          <w:szCs w:val="20"/>
        </w:rPr>
        <w:t>Нормативният</w:t>
      </w:r>
      <w:r w:rsidR="00AC3950" w:rsidRPr="00081C6B">
        <w:rPr>
          <w:rFonts w:ascii="Verdana" w:hAnsi="Verdana"/>
          <w:sz w:val="20"/>
          <w:szCs w:val="20"/>
        </w:rPr>
        <w:t xml:space="preserve"> акт</w:t>
      </w:r>
      <w:r w:rsidRPr="00081C6B">
        <w:rPr>
          <w:rFonts w:ascii="Verdana" w:hAnsi="Verdana"/>
          <w:sz w:val="20"/>
          <w:szCs w:val="20"/>
        </w:rPr>
        <w:t xml:space="preserve"> ще има положително въздействие върху </w:t>
      </w:r>
      <w:r w:rsidR="00C513EA" w:rsidRPr="00081C6B">
        <w:rPr>
          <w:rFonts w:ascii="Verdana" w:hAnsi="Verdana"/>
          <w:sz w:val="20"/>
          <w:szCs w:val="20"/>
        </w:rPr>
        <w:t>процеса по прилагане на мерките от националната програма</w:t>
      </w:r>
      <w:r w:rsidR="00AC3950" w:rsidRPr="00081C6B">
        <w:rPr>
          <w:rFonts w:ascii="Verdana" w:hAnsi="Verdana"/>
          <w:sz w:val="20"/>
          <w:szCs w:val="20"/>
        </w:rPr>
        <w:t>.</w:t>
      </w:r>
    </w:p>
    <w:p w:rsidR="00F614FD" w:rsidRPr="00081C6B" w:rsidRDefault="006E2F6D" w:rsidP="00F614FD">
      <w:pPr>
        <w:spacing w:line="360" w:lineRule="auto"/>
        <w:ind w:firstLine="720"/>
        <w:jc w:val="both"/>
        <w:rPr>
          <w:rFonts w:ascii="Verdana" w:hAnsi="Verdana"/>
          <w:color w:val="FF0000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Н</w:t>
      </w:r>
      <w:r w:rsidR="0087459E" w:rsidRPr="00081C6B">
        <w:rPr>
          <w:rFonts w:ascii="Verdana" w:hAnsi="Verdana"/>
          <w:sz w:val="20"/>
          <w:szCs w:val="20"/>
        </w:rPr>
        <w:t>аредба</w:t>
      </w:r>
      <w:r w:rsidRPr="00081C6B">
        <w:rPr>
          <w:rFonts w:ascii="Verdana" w:hAnsi="Verdana"/>
          <w:sz w:val="20"/>
          <w:szCs w:val="20"/>
        </w:rPr>
        <w:t>та</w:t>
      </w:r>
      <w:r w:rsidR="0087459E" w:rsidRPr="00081C6B">
        <w:rPr>
          <w:rFonts w:ascii="Verdana" w:hAnsi="Verdana"/>
          <w:sz w:val="20"/>
          <w:szCs w:val="20"/>
        </w:rPr>
        <w:t xml:space="preserve"> </w:t>
      </w:r>
      <w:r w:rsidR="00B57FC9" w:rsidRPr="00081C6B">
        <w:rPr>
          <w:rFonts w:ascii="Verdana" w:hAnsi="Verdana"/>
          <w:sz w:val="20"/>
          <w:szCs w:val="20"/>
        </w:rPr>
        <w:t>з</w:t>
      </w:r>
      <w:r w:rsidR="00AC3950" w:rsidRPr="00081C6B">
        <w:rPr>
          <w:rFonts w:ascii="Verdana" w:hAnsi="Verdana"/>
          <w:sz w:val="20"/>
          <w:szCs w:val="20"/>
        </w:rPr>
        <w:t xml:space="preserve">а изменение и допълнение </w:t>
      </w:r>
      <w:r w:rsidR="00860C5E" w:rsidRPr="00081C6B">
        <w:rPr>
          <w:rFonts w:ascii="Verdana" w:hAnsi="Verdana"/>
          <w:sz w:val="20"/>
          <w:szCs w:val="20"/>
        </w:rPr>
        <w:t xml:space="preserve">не </w:t>
      </w:r>
      <w:r w:rsidR="00276A36" w:rsidRPr="00081C6B">
        <w:rPr>
          <w:rFonts w:ascii="Verdana" w:hAnsi="Verdana"/>
          <w:sz w:val="20"/>
          <w:szCs w:val="20"/>
        </w:rPr>
        <w:t>води до</w:t>
      </w:r>
      <w:r w:rsidR="00B57FC9" w:rsidRPr="00081C6B">
        <w:rPr>
          <w:rFonts w:ascii="Verdana" w:hAnsi="Verdana"/>
          <w:sz w:val="20"/>
          <w:szCs w:val="20"/>
        </w:rPr>
        <w:t xml:space="preserve"> </w:t>
      </w:r>
      <w:r w:rsidR="0087459E" w:rsidRPr="00081C6B">
        <w:rPr>
          <w:rFonts w:ascii="Verdana" w:hAnsi="Verdana"/>
          <w:sz w:val="20"/>
          <w:szCs w:val="20"/>
        </w:rPr>
        <w:t>въздействие върху държавния бюджет</w:t>
      </w:r>
      <w:r w:rsidR="00C513EA" w:rsidRPr="00081C6B">
        <w:rPr>
          <w:rFonts w:ascii="Verdana" w:hAnsi="Verdana"/>
          <w:sz w:val="20"/>
          <w:szCs w:val="20"/>
        </w:rPr>
        <w:t>.</w:t>
      </w:r>
      <w:r w:rsidR="00781956" w:rsidRPr="00081C6B">
        <w:rPr>
          <w:rFonts w:ascii="Verdana" w:hAnsi="Verdana"/>
          <w:sz w:val="20"/>
          <w:szCs w:val="20"/>
        </w:rPr>
        <w:t xml:space="preserve"> </w:t>
      </w:r>
      <w:r w:rsidR="00F614FD" w:rsidRPr="0007779F">
        <w:rPr>
          <w:rFonts w:ascii="Verdana" w:hAnsi="Verdana"/>
          <w:sz w:val="20"/>
          <w:szCs w:val="20"/>
        </w:rPr>
        <w:t>За приемането на проекта на акт не са необходими допълнителни разходи/трансфери и други плащания.</w:t>
      </w:r>
    </w:p>
    <w:p w:rsidR="00276A36" w:rsidRPr="00081C6B" w:rsidRDefault="00276A36" w:rsidP="004F1055">
      <w:pPr>
        <w:pStyle w:val="Style"/>
        <w:spacing w:line="360" w:lineRule="auto"/>
        <w:ind w:left="0" w:right="0" w:firstLine="709"/>
        <w:rPr>
          <w:rFonts w:ascii="Verdana" w:hAnsi="Verdana"/>
          <w:sz w:val="20"/>
          <w:szCs w:val="20"/>
          <w:shd w:val="clear" w:color="auto" w:fill="FEFEFE"/>
          <w:lang w:val="bg-BG"/>
        </w:rPr>
      </w:pPr>
      <w:r w:rsidRPr="00081C6B">
        <w:rPr>
          <w:rFonts w:ascii="Verdana" w:hAnsi="Verdana"/>
          <w:sz w:val="20"/>
          <w:szCs w:val="20"/>
          <w:shd w:val="clear" w:color="auto" w:fill="FEFEFE"/>
          <w:lang w:val="bg-BG"/>
        </w:rPr>
        <w:lastRenderedPageBreak/>
        <w:t>Наредбата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  <w:r w:rsidRPr="00081C6B">
        <w:rPr>
          <w:rFonts w:ascii="Verdana" w:hAnsi="Verdana"/>
          <w:sz w:val="20"/>
          <w:szCs w:val="20"/>
          <w:lang w:val="bg-BG"/>
        </w:rPr>
        <w:t xml:space="preserve">     </w:t>
      </w:r>
    </w:p>
    <w:p w:rsidR="00860C5E" w:rsidRPr="00081C6B" w:rsidRDefault="00860C5E" w:rsidP="004F1055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81C6B">
        <w:rPr>
          <w:rFonts w:ascii="Verdana" w:hAnsi="Verdana"/>
          <w:color w:val="000000" w:themeColor="text1"/>
          <w:sz w:val="20"/>
          <w:szCs w:val="20"/>
        </w:rPr>
        <w:t xml:space="preserve">Съгласно чл. 26, ал. 3 и 4 от Закона за нормативните актове проектът на доклад (мотиви) и проектът на наредба </w:t>
      </w:r>
      <w:r w:rsidR="005E5A62" w:rsidRPr="00081C6B">
        <w:rPr>
          <w:rFonts w:ascii="Verdana" w:hAnsi="Verdana"/>
          <w:color w:val="000000" w:themeColor="text1"/>
          <w:sz w:val="20"/>
          <w:szCs w:val="20"/>
        </w:rPr>
        <w:t>са</w:t>
      </w:r>
      <w:r w:rsidRPr="00081C6B">
        <w:rPr>
          <w:rFonts w:ascii="Verdana" w:hAnsi="Verdana"/>
          <w:color w:val="000000" w:themeColor="text1"/>
          <w:sz w:val="20"/>
          <w:szCs w:val="20"/>
        </w:rPr>
        <w:t xml:space="preserve"> публикувани на интернет страницата на Министерството на земеделието, храните и горите и на Портала за обществени консултации</w:t>
      </w:r>
      <w:r w:rsidR="00276A36" w:rsidRPr="00081C6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81C6B">
        <w:rPr>
          <w:rFonts w:ascii="Verdana" w:hAnsi="Verdana"/>
          <w:color w:val="000000" w:themeColor="text1"/>
          <w:sz w:val="20"/>
          <w:szCs w:val="20"/>
        </w:rPr>
        <w:t xml:space="preserve">с </w:t>
      </w:r>
      <w:r w:rsidR="00C513EA" w:rsidRPr="00081C6B">
        <w:rPr>
          <w:rFonts w:ascii="Verdana" w:hAnsi="Verdana"/>
          <w:color w:val="000000" w:themeColor="text1"/>
          <w:sz w:val="20"/>
          <w:szCs w:val="20"/>
        </w:rPr>
        <w:t>30</w:t>
      </w:r>
      <w:r w:rsidRPr="00081C6B">
        <w:rPr>
          <w:rFonts w:ascii="Verdana" w:hAnsi="Verdana"/>
          <w:color w:val="000000" w:themeColor="text1"/>
          <w:sz w:val="20"/>
          <w:szCs w:val="20"/>
        </w:rPr>
        <w:t>-дневен срок за предложения и становища.</w:t>
      </w:r>
      <w:r w:rsidR="00B817DC" w:rsidRPr="00081C6B">
        <w:t xml:space="preserve"> </w:t>
      </w:r>
    </w:p>
    <w:p w:rsidR="00C513EA" w:rsidRPr="00081C6B" w:rsidRDefault="00C513EA" w:rsidP="004F1055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81C6B">
        <w:rPr>
          <w:rFonts w:ascii="Verdana" w:hAnsi="Verdana"/>
          <w:color w:val="000000" w:themeColor="text1"/>
          <w:sz w:val="20"/>
          <w:szCs w:val="20"/>
        </w:rPr>
        <w:t>Съгласно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C513EA" w:rsidRPr="00081C6B" w:rsidRDefault="00C513EA" w:rsidP="004F1055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81C6B">
        <w:rPr>
          <w:rFonts w:ascii="Verdana" w:hAnsi="Verdana"/>
          <w:color w:val="000000" w:themeColor="text1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4F1055" w:rsidRPr="00081C6B" w:rsidRDefault="004F1055" w:rsidP="0057634E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</w:p>
    <w:p w:rsidR="00177C44" w:rsidRPr="00081C6B" w:rsidRDefault="009B0F57" w:rsidP="0057634E">
      <w:pPr>
        <w:spacing w:after="120" w:line="360" w:lineRule="auto"/>
        <w:jc w:val="both"/>
        <w:rPr>
          <w:rFonts w:ascii="Verdana" w:hAnsi="Verdana"/>
          <w:b/>
          <w:caps/>
          <w:sz w:val="20"/>
          <w:szCs w:val="20"/>
        </w:rPr>
      </w:pPr>
      <w:r w:rsidRPr="00081C6B">
        <w:rPr>
          <w:rFonts w:ascii="Verdana" w:hAnsi="Verdana"/>
          <w:b/>
          <w:caps/>
          <w:sz w:val="20"/>
          <w:szCs w:val="20"/>
        </w:rPr>
        <w:t>УВАЖАЕМА</w:t>
      </w:r>
      <w:r w:rsidR="00177C44" w:rsidRPr="00081C6B">
        <w:rPr>
          <w:rFonts w:ascii="Verdana" w:hAnsi="Verdana"/>
          <w:b/>
          <w:caps/>
          <w:sz w:val="20"/>
          <w:szCs w:val="20"/>
        </w:rPr>
        <w:t xml:space="preserve"> ГОСПО</w:t>
      </w:r>
      <w:r w:rsidRPr="00081C6B">
        <w:rPr>
          <w:rFonts w:ascii="Verdana" w:hAnsi="Verdana"/>
          <w:b/>
          <w:caps/>
          <w:sz w:val="20"/>
          <w:szCs w:val="20"/>
        </w:rPr>
        <w:t>ЖО</w:t>
      </w:r>
      <w:r w:rsidR="00177C44" w:rsidRPr="00081C6B">
        <w:rPr>
          <w:rFonts w:ascii="Verdana" w:hAnsi="Verdana"/>
          <w:b/>
          <w:caps/>
          <w:sz w:val="20"/>
          <w:szCs w:val="20"/>
        </w:rPr>
        <w:t xml:space="preserve"> </w:t>
      </w:r>
      <w:r w:rsidR="00081C6B" w:rsidRPr="00081C6B">
        <w:rPr>
          <w:rFonts w:ascii="Verdana" w:hAnsi="Verdana"/>
          <w:b/>
          <w:caps/>
          <w:sz w:val="20"/>
          <w:szCs w:val="20"/>
        </w:rPr>
        <w:t>Министър</w:t>
      </w:r>
      <w:r w:rsidR="00177C44" w:rsidRPr="00081C6B">
        <w:rPr>
          <w:rFonts w:ascii="Verdana" w:hAnsi="Verdana"/>
          <w:b/>
          <w:caps/>
          <w:sz w:val="20"/>
          <w:szCs w:val="20"/>
        </w:rPr>
        <w:t>,</w:t>
      </w:r>
    </w:p>
    <w:p w:rsidR="008704ED" w:rsidRPr="00081C6B" w:rsidRDefault="00177C44" w:rsidP="004F10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 xml:space="preserve">Във връзка с гореизложеното и на основание чл. 56, ал. 3 от Закона за прилагане на Общата организация на пазарите на земеделски продукти на Европейския съюз, предлагам да </w:t>
      </w:r>
      <w:r w:rsidR="00643E53" w:rsidRPr="00081C6B">
        <w:rPr>
          <w:rFonts w:ascii="Verdana" w:hAnsi="Verdana"/>
          <w:sz w:val="20"/>
          <w:szCs w:val="20"/>
        </w:rPr>
        <w:t>одобрите Наредба</w:t>
      </w:r>
      <w:r w:rsidR="006E2F6D" w:rsidRPr="00081C6B">
        <w:rPr>
          <w:rFonts w:ascii="Verdana" w:hAnsi="Verdana"/>
          <w:sz w:val="20"/>
          <w:szCs w:val="20"/>
        </w:rPr>
        <w:t>та</w:t>
      </w:r>
      <w:r w:rsidR="00643E53" w:rsidRPr="00081C6B">
        <w:rPr>
          <w:rFonts w:ascii="Verdana" w:hAnsi="Verdana"/>
          <w:sz w:val="20"/>
          <w:szCs w:val="20"/>
        </w:rPr>
        <w:t xml:space="preserve"> </w:t>
      </w:r>
      <w:r w:rsidR="00B57FC9" w:rsidRPr="00081C6B">
        <w:rPr>
          <w:rFonts w:ascii="Verdana" w:hAnsi="Verdana"/>
          <w:sz w:val="20"/>
          <w:szCs w:val="20"/>
        </w:rPr>
        <w:t>з</w:t>
      </w:r>
      <w:r w:rsidR="00643E53" w:rsidRPr="00081C6B">
        <w:rPr>
          <w:rFonts w:ascii="Verdana" w:hAnsi="Verdana"/>
          <w:sz w:val="20"/>
          <w:szCs w:val="20"/>
        </w:rPr>
        <w:t>а изменение и допълнение на</w:t>
      </w:r>
      <w:r w:rsidRPr="00081C6B">
        <w:rPr>
          <w:rFonts w:ascii="Verdana" w:hAnsi="Verdana"/>
          <w:sz w:val="20"/>
          <w:szCs w:val="20"/>
        </w:rPr>
        <w:t xml:space="preserve"> Наредба </w:t>
      </w:r>
      <w:r w:rsidR="00B57FC9" w:rsidRPr="00081C6B">
        <w:rPr>
          <w:rFonts w:ascii="Verdana" w:hAnsi="Verdana"/>
          <w:sz w:val="20"/>
          <w:szCs w:val="20"/>
        </w:rPr>
        <w:t xml:space="preserve">№ 6 от 2018 г. </w:t>
      </w:r>
      <w:r w:rsidRPr="00081C6B">
        <w:rPr>
          <w:rFonts w:ascii="Verdana" w:hAnsi="Verdana"/>
          <w:sz w:val="20"/>
          <w:szCs w:val="20"/>
        </w:rPr>
        <w:t xml:space="preserve">за условията и реда за предоставяне на финансова помощ по национална програма за подпомагане на </w:t>
      </w:r>
      <w:proofErr w:type="spellStart"/>
      <w:r w:rsidRPr="00081C6B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081C6B">
        <w:rPr>
          <w:rFonts w:ascii="Verdana" w:hAnsi="Verdana"/>
          <w:sz w:val="20"/>
          <w:szCs w:val="20"/>
        </w:rPr>
        <w:t xml:space="preserve"> сектор за периода 2019 </w:t>
      </w:r>
      <w:r w:rsidR="00860C5E" w:rsidRPr="00081C6B">
        <w:rPr>
          <w:rFonts w:ascii="Verdana" w:hAnsi="Verdana"/>
          <w:sz w:val="20"/>
          <w:szCs w:val="20"/>
        </w:rPr>
        <w:t>–</w:t>
      </w:r>
      <w:r w:rsidRPr="00081C6B">
        <w:rPr>
          <w:rFonts w:ascii="Verdana" w:hAnsi="Verdana"/>
          <w:sz w:val="20"/>
          <w:szCs w:val="20"/>
        </w:rPr>
        <w:t xml:space="preserve"> 2023 г.</w:t>
      </w:r>
      <w:r w:rsidR="00DA722E" w:rsidRPr="00081C6B">
        <w:rPr>
          <w:rFonts w:ascii="Verdana" w:hAnsi="Verdana"/>
          <w:sz w:val="20"/>
          <w:szCs w:val="20"/>
        </w:rPr>
        <w:t xml:space="preserve"> </w:t>
      </w:r>
    </w:p>
    <w:p w:rsidR="00BB2B17" w:rsidRPr="00081C6B" w:rsidRDefault="00BB2B17" w:rsidP="004F10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8087" w:type="dxa"/>
        <w:tblInd w:w="668" w:type="dxa"/>
        <w:tblLook w:val="01E0" w:firstRow="1" w:lastRow="1" w:firstColumn="1" w:lastColumn="1" w:noHBand="0" w:noVBand="0"/>
      </w:tblPr>
      <w:tblGrid>
        <w:gridCol w:w="2094"/>
        <w:gridCol w:w="5993"/>
      </w:tblGrid>
      <w:tr w:rsidR="0057634E" w:rsidRPr="00081C6B" w:rsidTr="0057634E">
        <w:tc>
          <w:tcPr>
            <w:tcW w:w="2094" w:type="dxa"/>
          </w:tcPr>
          <w:p w:rsidR="0057634E" w:rsidRPr="00081C6B" w:rsidRDefault="0057634E" w:rsidP="004F1055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081C6B">
              <w:rPr>
                <w:rFonts w:ascii="Verdana" w:hAnsi="Verdana"/>
                <w:b/>
                <w:bCs/>
                <w:sz w:val="20"/>
                <w:szCs w:val="20"/>
              </w:rPr>
              <w:t>Приложениe</w:t>
            </w:r>
            <w:proofErr w:type="spellEnd"/>
            <w:r w:rsidRPr="00081C6B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993" w:type="dxa"/>
          </w:tcPr>
          <w:p w:rsidR="0057634E" w:rsidRPr="00081C6B" w:rsidRDefault="0057634E" w:rsidP="004F1055"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081C6B">
              <w:rPr>
                <w:rFonts w:ascii="Verdana" w:hAnsi="Verdana"/>
                <w:spacing w:val="-2"/>
                <w:sz w:val="20"/>
                <w:szCs w:val="20"/>
              </w:rPr>
              <w:t>Проект на Наредба за изменение и допълнение на Наредба № 6 от 2018 г.;</w:t>
            </w:r>
          </w:p>
          <w:p w:rsidR="0057634E" w:rsidRPr="00081C6B" w:rsidRDefault="0057634E" w:rsidP="004F1055"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081C6B">
              <w:rPr>
                <w:rFonts w:ascii="Verdana" w:hAnsi="Verdana"/>
                <w:spacing w:val="-2"/>
                <w:sz w:val="20"/>
                <w:szCs w:val="20"/>
              </w:rPr>
              <w:t>Справка за отразяване на постъпилите становища;</w:t>
            </w:r>
          </w:p>
          <w:p w:rsidR="0057634E" w:rsidRPr="00081C6B" w:rsidRDefault="0057634E" w:rsidP="004F1055"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081C6B">
              <w:rPr>
                <w:rFonts w:ascii="Verdana" w:hAnsi="Verdana"/>
                <w:spacing w:val="-2"/>
                <w:sz w:val="20"/>
                <w:szCs w:val="20"/>
              </w:rPr>
              <w:t>Справка за отразяване на постъпилите предложения от обществената консултация;</w:t>
            </w:r>
          </w:p>
          <w:p w:rsidR="0057634E" w:rsidRPr="00081C6B" w:rsidRDefault="0057634E" w:rsidP="004F1055"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pacing w:val="-2"/>
                <w:sz w:val="20"/>
                <w:szCs w:val="20"/>
              </w:rPr>
            </w:pPr>
            <w:r w:rsidRPr="00081C6B">
              <w:rPr>
                <w:rFonts w:ascii="Verdana" w:hAnsi="Verdana"/>
                <w:spacing w:val="-2"/>
                <w:sz w:val="20"/>
                <w:szCs w:val="20"/>
              </w:rPr>
              <w:t>Постъпили становища.</w:t>
            </w:r>
          </w:p>
        </w:tc>
      </w:tr>
    </w:tbl>
    <w:p w:rsidR="008704ED" w:rsidRPr="00081C6B" w:rsidRDefault="008704ED" w:rsidP="004F10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177C44" w:rsidRPr="00081C6B" w:rsidRDefault="00177C44" w:rsidP="004F1055">
      <w:pPr>
        <w:spacing w:line="360" w:lineRule="auto"/>
        <w:ind w:right="-468"/>
        <w:jc w:val="both"/>
        <w:rPr>
          <w:rFonts w:ascii="Verdana" w:hAnsi="Verdana"/>
          <w:sz w:val="20"/>
          <w:szCs w:val="20"/>
        </w:rPr>
      </w:pPr>
      <w:r w:rsidRPr="00081C6B">
        <w:rPr>
          <w:rFonts w:ascii="Verdana" w:hAnsi="Verdana"/>
          <w:sz w:val="20"/>
          <w:szCs w:val="20"/>
        </w:rPr>
        <w:t>С уважение,</w:t>
      </w:r>
    </w:p>
    <w:p w:rsidR="0057634E" w:rsidRPr="00081C6B" w:rsidRDefault="0057634E" w:rsidP="004F1055">
      <w:pPr>
        <w:spacing w:line="360" w:lineRule="auto"/>
        <w:ind w:right="-468"/>
        <w:jc w:val="both"/>
        <w:rPr>
          <w:rFonts w:ascii="Verdana" w:hAnsi="Verdana"/>
          <w:b/>
          <w:caps/>
          <w:sz w:val="20"/>
          <w:szCs w:val="20"/>
        </w:rPr>
      </w:pPr>
    </w:p>
    <w:p w:rsidR="00177C44" w:rsidRPr="00081C6B" w:rsidRDefault="00177C44" w:rsidP="004F1055">
      <w:pPr>
        <w:spacing w:line="360" w:lineRule="auto"/>
        <w:ind w:right="-468"/>
        <w:jc w:val="both"/>
        <w:rPr>
          <w:rFonts w:ascii="Verdana" w:hAnsi="Verdana"/>
          <w:b/>
          <w:caps/>
          <w:sz w:val="20"/>
          <w:szCs w:val="20"/>
        </w:rPr>
      </w:pPr>
      <w:r w:rsidRPr="00081C6B">
        <w:rPr>
          <w:rFonts w:ascii="Verdana" w:hAnsi="Verdana"/>
          <w:b/>
          <w:caps/>
          <w:sz w:val="20"/>
          <w:szCs w:val="20"/>
        </w:rPr>
        <w:t xml:space="preserve">д-р </w:t>
      </w:r>
      <w:r w:rsidR="00AE1198" w:rsidRPr="00081C6B">
        <w:rPr>
          <w:rFonts w:ascii="Verdana" w:hAnsi="Verdana"/>
          <w:b/>
          <w:caps/>
          <w:sz w:val="20"/>
          <w:szCs w:val="20"/>
        </w:rPr>
        <w:t>ЛОЗАНА ВАСИЛЕВА</w:t>
      </w:r>
      <w:r w:rsidRPr="00081C6B">
        <w:rPr>
          <w:rFonts w:ascii="Verdana" w:hAnsi="Verdana"/>
          <w:b/>
          <w:i/>
          <w:caps/>
          <w:sz w:val="20"/>
        </w:rPr>
        <w:t xml:space="preserve"> </w:t>
      </w:r>
    </w:p>
    <w:p w:rsidR="00177C44" w:rsidRPr="00081C6B" w:rsidRDefault="00177C44" w:rsidP="004F1055">
      <w:pPr>
        <w:spacing w:line="360" w:lineRule="auto"/>
        <w:rPr>
          <w:rFonts w:ascii="Verdana" w:hAnsi="Verdana" w:cs="Verdana"/>
          <w:i/>
          <w:caps/>
          <w:sz w:val="20"/>
          <w:szCs w:val="20"/>
          <w:lang w:eastAsia="en-US"/>
        </w:rPr>
      </w:pPr>
      <w:r w:rsidRPr="00081C6B">
        <w:rPr>
          <w:rFonts w:ascii="Verdana" w:hAnsi="Verdana"/>
          <w:i/>
          <w:sz w:val="20"/>
        </w:rPr>
        <w:t>Заместник-министър</w:t>
      </w:r>
      <w:r w:rsidRPr="00081C6B">
        <w:rPr>
          <w:rFonts w:ascii="Verdana" w:hAnsi="Verdana"/>
          <w:smallCaps/>
          <w:sz w:val="18"/>
          <w:szCs w:val="18"/>
        </w:rPr>
        <w:t xml:space="preserve"> </w:t>
      </w:r>
      <w:r w:rsidRPr="00081C6B">
        <w:rPr>
          <w:rFonts w:ascii="Verdana" w:hAnsi="Verdana"/>
          <w:sz w:val="18"/>
          <w:szCs w:val="18"/>
          <w:vertAlign w:val="superscript"/>
        </w:rPr>
        <w:t xml:space="preserve"> </w:t>
      </w:r>
      <w:r w:rsidRPr="00081C6B">
        <w:rPr>
          <w:rFonts w:ascii="Verdana" w:hAnsi="Verdana" w:cs="Verdana"/>
          <w:i/>
          <w:caps/>
          <w:sz w:val="20"/>
          <w:szCs w:val="20"/>
          <w:lang w:eastAsia="en-US"/>
        </w:rPr>
        <w:tab/>
      </w:r>
    </w:p>
    <w:p w:rsidR="00177C44" w:rsidRPr="00081C6B" w:rsidRDefault="00177C44" w:rsidP="00124AD0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mallCaps/>
          <w:sz w:val="18"/>
          <w:szCs w:val="18"/>
        </w:rPr>
      </w:pPr>
    </w:p>
    <w:p w:rsidR="004F1055" w:rsidRPr="00081C6B" w:rsidRDefault="004F1055" w:rsidP="009F0B0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mallCaps/>
          <w:sz w:val="18"/>
          <w:szCs w:val="18"/>
          <w:u w:val="single"/>
        </w:rPr>
      </w:pPr>
      <w:bookmarkStart w:id="0" w:name="_GoBack"/>
      <w:bookmarkEnd w:id="0"/>
    </w:p>
    <w:sectPr w:rsidR="004F1055" w:rsidRPr="00081C6B" w:rsidSect="0057634E"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4F" w:rsidRDefault="0003004F" w:rsidP="00C9774E">
      <w:r>
        <w:separator/>
      </w:r>
    </w:p>
  </w:endnote>
  <w:endnote w:type="continuationSeparator" w:id="0">
    <w:p w:rsidR="0003004F" w:rsidRDefault="0003004F" w:rsidP="00C9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96672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C9774E" w:rsidRPr="00C9774E" w:rsidRDefault="00C9774E" w:rsidP="00C9774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C9774E">
          <w:rPr>
            <w:rFonts w:ascii="Verdana" w:hAnsi="Verdana"/>
            <w:sz w:val="16"/>
            <w:szCs w:val="16"/>
          </w:rPr>
          <w:fldChar w:fldCharType="begin"/>
        </w:r>
        <w:r w:rsidRPr="00C9774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9774E">
          <w:rPr>
            <w:rFonts w:ascii="Verdana" w:hAnsi="Verdana"/>
            <w:sz w:val="16"/>
            <w:szCs w:val="16"/>
          </w:rPr>
          <w:fldChar w:fldCharType="separate"/>
        </w:r>
        <w:r w:rsidR="00D55D9D">
          <w:rPr>
            <w:rFonts w:ascii="Verdana" w:hAnsi="Verdana"/>
            <w:noProof/>
            <w:sz w:val="16"/>
            <w:szCs w:val="16"/>
          </w:rPr>
          <w:t>6</w:t>
        </w:r>
        <w:r w:rsidRPr="00C9774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4F" w:rsidRDefault="0003004F" w:rsidP="00C9774E">
      <w:r>
        <w:separator/>
      </w:r>
    </w:p>
  </w:footnote>
  <w:footnote w:type="continuationSeparator" w:id="0">
    <w:p w:rsidR="0003004F" w:rsidRDefault="0003004F" w:rsidP="00C9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907"/>
    <w:multiLevelType w:val="hybridMultilevel"/>
    <w:tmpl w:val="0A8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813"/>
    <w:multiLevelType w:val="hybridMultilevel"/>
    <w:tmpl w:val="1FD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3"/>
    <w:rsid w:val="00001029"/>
    <w:rsid w:val="000043C3"/>
    <w:rsid w:val="00016A69"/>
    <w:rsid w:val="00023A7F"/>
    <w:rsid w:val="00027493"/>
    <w:rsid w:val="0003004F"/>
    <w:rsid w:val="00037038"/>
    <w:rsid w:val="00047DF6"/>
    <w:rsid w:val="00050B09"/>
    <w:rsid w:val="000573A1"/>
    <w:rsid w:val="000714BD"/>
    <w:rsid w:val="00071C8A"/>
    <w:rsid w:val="00072789"/>
    <w:rsid w:val="00073653"/>
    <w:rsid w:val="000764A9"/>
    <w:rsid w:val="0007779F"/>
    <w:rsid w:val="00081C6B"/>
    <w:rsid w:val="0008212C"/>
    <w:rsid w:val="00084E21"/>
    <w:rsid w:val="0008593D"/>
    <w:rsid w:val="000876A4"/>
    <w:rsid w:val="00092E31"/>
    <w:rsid w:val="000965DF"/>
    <w:rsid w:val="000B00E6"/>
    <w:rsid w:val="000B181B"/>
    <w:rsid w:val="000B32EC"/>
    <w:rsid w:val="000B50AA"/>
    <w:rsid w:val="000D7CE4"/>
    <w:rsid w:val="000F5981"/>
    <w:rsid w:val="00112AE5"/>
    <w:rsid w:val="0012236C"/>
    <w:rsid w:val="00124AD0"/>
    <w:rsid w:val="00140186"/>
    <w:rsid w:val="00142500"/>
    <w:rsid w:val="00177C44"/>
    <w:rsid w:val="00182183"/>
    <w:rsid w:val="001A02A6"/>
    <w:rsid w:val="001A22E8"/>
    <w:rsid w:val="001B1ECC"/>
    <w:rsid w:val="001D1D05"/>
    <w:rsid w:val="001D2246"/>
    <w:rsid w:val="001D5059"/>
    <w:rsid w:val="001D5870"/>
    <w:rsid w:val="001E4933"/>
    <w:rsid w:val="001F0AF8"/>
    <w:rsid w:val="002016B1"/>
    <w:rsid w:val="00204C96"/>
    <w:rsid w:val="002145B5"/>
    <w:rsid w:val="0022355E"/>
    <w:rsid w:val="00276A31"/>
    <w:rsid w:val="00276A36"/>
    <w:rsid w:val="002848A3"/>
    <w:rsid w:val="00285BE3"/>
    <w:rsid w:val="00292CB5"/>
    <w:rsid w:val="002A4122"/>
    <w:rsid w:val="002A53B1"/>
    <w:rsid w:val="002B46E7"/>
    <w:rsid w:val="002B706D"/>
    <w:rsid w:val="002B7813"/>
    <w:rsid w:val="002C17B5"/>
    <w:rsid w:val="002C4B42"/>
    <w:rsid w:val="002C5987"/>
    <w:rsid w:val="002C614D"/>
    <w:rsid w:val="002C7878"/>
    <w:rsid w:val="002D1888"/>
    <w:rsid w:val="002E0A7C"/>
    <w:rsid w:val="002E0BCB"/>
    <w:rsid w:val="002E1221"/>
    <w:rsid w:val="002E6F5C"/>
    <w:rsid w:val="00302DD2"/>
    <w:rsid w:val="00307D69"/>
    <w:rsid w:val="00320FCE"/>
    <w:rsid w:val="003214CF"/>
    <w:rsid w:val="00332D36"/>
    <w:rsid w:val="0035168C"/>
    <w:rsid w:val="003703B9"/>
    <w:rsid w:val="00377A39"/>
    <w:rsid w:val="00382AB0"/>
    <w:rsid w:val="0039299A"/>
    <w:rsid w:val="00393D1A"/>
    <w:rsid w:val="003A29E4"/>
    <w:rsid w:val="003A319F"/>
    <w:rsid w:val="003C7824"/>
    <w:rsid w:val="003F64CE"/>
    <w:rsid w:val="0043074E"/>
    <w:rsid w:val="00433FC9"/>
    <w:rsid w:val="00434419"/>
    <w:rsid w:val="0045273B"/>
    <w:rsid w:val="0045574A"/>
    <w:rsid w:val="0046119D"/>
    <w:rsid w:val="0046152C"/>
    <w:rsid w:val="004751B4"/>
    <w:rsid w:val="00490DC6"/>
    <w:rsid w:val="004922F0"/>
    <w:rsid w:val="004A0A4A"/>
    <w:rsid w:val="004A34F0"/>
    <w:rsid w:val="004B740A"/>
    <w:rsid w:val="004C09FD"/>
    <w:rsid w:val="004C14BD"/>
    <w:rsid w:val="004C1AAB"/>
    <w:rsid w:val="004C4DE9"/>
    <w:rsid w:val="004C7D39"/>
    <w:rsid w:val="004D621C"/>
    <w:rsid w:val="004E0ADF"/>
    <w:rsid w:val="004E4EDD"/>
    <w:rsid w:val="004F1055"/>
    <w:rsid w:val="004F41FF"/>
    <w:rsid w:val="00516BA5"/>
    <w:rsid w:val="0052757C"/>
    <w:rsid w:val="00534F0A"/>
    <w:rsid w:val="00534F40"/>
    <w:rsid w:val="0057634E"/>
    <w:rsid w:val="005773F4"/>
    <w:rsid w:val="00590FC1"/>
    <w:rsid w:val="00596DD9"/>
    <w:rsid w:val="005A72C7"/>
    <w:rsid w:val="005B3532"/>
    <w:rsid w:val="005C5B0A"/>
    <w:rsid w:val="005D31D0"/>
    <w:rsid w:val="005D3C2D"/>
    <w:rsid w:val="005E309F"/>
    <w:rsid w:val="005E5A62"/>
    <w:rsid w:val="005F3FE0"/>
    <w:rsid w:val="005F53F6"/>
    <w:rsid w:val="005F5C99"/>
    <w:rsid w:val="00607D93"/>
    <w:rsid w:val="0061103F"/>
    <w:rsid w:val="006163CC"/>
    <w:rsid w:val="00620156"/>
    <w:rsid w:val="00643E53"/>
    <w:rsid w:val="00661C86"/>
    <w:rsid w:val="006811AE"/>
    <w:rsid w:val="006A5C3D"/>
    <w:rsid w:val="006B5AC7"/>
    <w:rsid w:val="006B6B36"/>
    <w:rsid w:val="006E24DE"/>
    <w:rsid w:val="006E2F6D"/>
    <w:rsid w:val="007070E7"/>
    <w:rsid w:val="0071674F"/>
    <w:rsid w:val="00740952"/>
    <w:rsid w:val="0075285C"/>
    <w:rsid w:val="007568F2"/>
    <w:rsid w:val="00781956"/>
    <w:rsid w:val="007A3C43"/>
    <w:rsid w:val="007E6BC7"/>
    <w:rsid w:val="00807604"/>
    <w:rsid w:val="00827340"/>
    <w:rsid w:val="008517B4"/>
    <w:rsid w:val="00855C74"/>
    <w:rsid w:val="00856306"/>
    <w:rsid w:val="00860C5E"/>
    <w:rsid w:val="0086385A"/>
    <w:rsid w:val="00866109"/>
    <w:rsid w:val="00866BA1"/>
    <w:rsid w:val="00866F09"/>
    <w:rsid w:val="008704ED"/>
    <w:rsid w:val="0087459E"/>
    <w:rsid w:val="0088172B"/>
    <w:rsid w:val="008A15AF"/>
    <w:rsid w:val="008A3D10"/>
    <w:rsid w:val="008B462F"/>
    <w:rsid w:val="008B7BD0"/>
    <w:rsid w:val="008C127A"/>
    <w:rsid w:val="008D0B40"/>
    <w:rsid w:val="008D1433"/>
    <w:rsid w:val="008D16FB"/>
    <w:rsid w:val="008E2800"/>
    <w:rsid w:val="008E6D00"/>
    <w:rsid w:val="00900D16"/>
    <w:rsid w:val="0091195F"/>
    <w:rsid w:val="009614D1"/>
    <w:rsid w:val="00985F58"/>
    <w:rsid w:val="009B0A65"/>
    <w:rsid w:val="009B0F57"/>
    <w:rsid w:val="009C0A96"/>
    <w:rsid w:val="009C6D3F"/>
    <w:rsid w:val="009D3F99"/>
    <w:rsid w:val="009E2172"/>
    <w:rsid w:val="009E798A"/>
    <w:rsid w:val="009F0B02"/>
    <w:rsid w:val="00A07FA0"/>
    <w:rsid w:val="00A15A4F"/>
    <w:rsid w:val="00A30689"/>
    <w:rsid w:val="00A3475A"/>
    <w:rsid w:val="00A37EFF"/>
    <w:rsid w:val="00A40ADA"/>
    <w:rsid w:val="00A46B3E"/>
    <w:rsid w:val="00A66370"/>
    <w:rsid w:val="00A71580"/>
    <w:rsid w:val="00A80CBA"/>
    <w:rsid w:val="00A95612"/>
    <w:rsid w:val="00AA0440"/>
    <w:rsid w:val="00AC2284"/>
    <w:rsid w:val="00AC3950"/>
    <w:rsid w:val="00AD2794"/>
    <w:rsid w:val="00AE1198"/>
    <w:rsid w:val="00AF44D0"/>
    <w:rsid w:val="00AF5FC3"/>
    <w:rsid w:val="00B053C2"/>
    <w:rsid w:val="00B14237"/>
    <w:rsid w:val="00B26DBE"/>
    <w:rsid w:val="00B47004"/>
    <w:rsid w:val="00B516C9"/>
    <w:rsid w:val="00B57C37"/>
    <w:rsid w:val="00B57FC9"/>
    <w:rsid w:val="00B61419"/>
    <w:rsid w:val="00B643B8"/>
    <w:rsid w:val="00B64BB3"/>
    <w:rsid w:val="00B72BC8"/>
    <w:rsid w:val="00B817DC"/>
    <w:rsid w:val="00B971DE"/>
    <w:rsid w:val="00BA0D02"/>
    <w:rsid w:val="00BB0436"/>
    <w:rsid w:val="00BB2B17"/>
    <w:rsid w:val="00BB5C2E"/>
    <w:rsid w:val="00BE0F87"/>
    <w:rsid w:val="00BF149D"/>
    <w:rsid w:val="00C01848"/>
    <w:rsid w:val="00C0205B"/>
    <w:rsid w:val="00C045BF"/>
    <w:rsid w:val="00C16B05"/>
    <w:rsid w:val="00C2342F"/>
    <w:rsid w:val="00C43165"/>
    <w:rsid w:val="00C513EA"/>
    <w:rsid w:val="00C5693B"/>
    <w:rsid w:val="00C575EA"/>
    <w:rsid w:val="00C63D82"/>
    <w:rsid w:val="00C66979"/>
    <w:rsid w:val="00C70FAA"/>
    <w:rsid w:val="00C871D5"/>
    <w:rsid w:val="00C93E2A"/>
    <w:rsid w:val="00C94C9E"/>
    <w:rsid w:val="00C9774E"/>
    <w:rsid w:val="00CA1101"/>
    <w:rsid w:val="00CB1CD3"/>
    <w:rsid w:val="00CB7394"/>
    <w:rsid w:val="00CC7B21"/>
    <w:rsid w:val="00CC7E14"/>
    <w:rsid w:val="00CE6430"/>
    <w:rsid w:val="00D00877"/>
    <w:rsid w:val="00D02E27"/>
    <w:rsid w:val="00D051C8"/>
    <w:rsid w:val="00D3250B"/>
    <w:rsid w:val="00D40F92"/>
    <w:rsid w:val="00D419F7"/>
    <w:rsid w:val="00D44B03"/>
    <w:rsid w:val="00D55D9D"/>
    <w:rsid w:val="00D7623E"/>
    <w:rsid w:val="00DA1C55"/>
    <w:rsid w:val="00DA3D8A"/>
    <w:rsid w:val="00DA423B"/>
    <w:rsid w:val="00DA5A3A"/>
    <w:rsid w:val="00DA722E"/>
    <w:rsid w:val="00DC6F5D"/>
    <w:rsid w:val="00DD18AD"/>
    <w:rsid w:val="00DD5ED7"/>
    <w:rsid w:val="00DE7457"/>
    <w:rsid w:val="00DF09B2"/>
    <w:rsid w:val="00DF5D1F"/>
    <w:rsid w:val="00E2461C"/>
    <w:rsid w:val="00E31306"/>
    <w:rsid w:val="00E328FD"/>
    <w:rsid w:val="00E330AD"/>
    <w:rsid w:val="00E97EA3"/>
    <w:rsid w:val="00EA3D96"/>
    <w:rsid w:val="00EA4F98"/>
    <w:rsid w:val="00EA7C96"/>
    <w:rsid w:val="00EB4571"/>
    <w:rsid w:val="00EB644A"/>
    <w:rsid w:val="00ED0428"/>
    <w:rsid w:val="00EE017D"/>
    <w:rsid w:val="00EF5000"/>
    <w:rsid w:val="00F035A7"/>
    <w:rsid w:val="00F06ECF"/>
    <w:rsid w:val="00F1055A"/>
    <w:rsid w:val="00F123AB"/>
    <w:rsid w:val="00F31297"/>
    <w:rsid w:val="00F3214E"/>
    <w:rsid w:val="00F44CB7"/>
    <w:rsid w:val="00F614FD"/>
    <w:rsid w:val="00F620AF"/>
    <w:rsid w:val="00F8663B"/>
    <w:rsid w:val="00F90B84"/>
    <w:rsid w:val="00FA36A8"/>
    <w:rsid w:val="00FA6B5F"/>
    <w:rsid w:val="00FB4759"/>
    <w:rsid w:val="00FC39D5"/>
    <w:rsid w:val="00FD1A3E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97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276A3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5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62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62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97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4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276A3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5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62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62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2218-3CC6-4820-AF89-1FF405E7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Mariya Voikova</cp:lastModifiedBy>
  <cp:revision>9</cp:revision>
  <cp:lastPrinted>2019-04-16T09:02:00Z</cp:lastPrinted>
  <dcterms:created xsi:type="dcterms:W3CDTF">2019-11-14T14:26:00Z</dcterms:created>
  <dcterms:modified xsi:type="dcterms:W3CDTF">2019-11-25T14:27:00Z</dcterms:modified>
</cp:coreProperties>
</file>