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F0" w:rsidRDefault="006961F0" w:rsidP="006961F0">
      <w:pPr>
        <w:tabs>
          <w:tab w:val="left" w:pos="4177"/>
        </w:tabs>
        <w:jc w:val="both"/>
        <w:rPr>
          <w:rFonts w:ascii="Arial" w:hAnsi="Arial" w:cs="Arial"/>
          <w:sz w:val="20"/>
          <w:lang w:val="en-US"/>
        </w:rPr>
      </w:pPr>
    </w:p>
    <w:p w:rsidR="002572AC" w:rsidRPr="002572AC" w:rsidRDefault="002572AC" w:rsidP="006961F0">
      <w:pPr>
        <w:tabs>
          <w:tab w:val="left" w:pos="4177"/>
        </w:tabs>
        <w:jc w:val="both"/>
        <w:rPr>
          <w:rFonts w:ascii="Arial" w:hAnsi="Arial" w:cs="Arial"/>
          <w:sz w:val="20"/>
          <w:lang w:val="en-US"/>
        </w:rPr>
      </w:pPr>
    </w:p>
    <w:tbl>
      <w:tblPr>
        <w:tblW w:w="10156" w:type="dxa"/>
        <w:tblInd w:w="108" w:type="dxa"/>
        <w:tblLook w:val="01E0" w:firstRow="1" w:lastRow="1" w:firstColumn="1" w:lastColumn="1" w:noHBand="0" w:noVBand="0"/>
      </w:tblPr>
      <w:tblGrid>
        <w:gridCol w:w="9900"/>
        <w:gridCol w:w="256"/>
      </w:tblGrid>
      <w:tr w:rsidR="00403CB9" w:rsidRPr="00CE5E69" w:rsidTr="00DF42CC">
        <w:tc>
          <w:tcPr>
            <w:tcW w:w="9900" w:type="dxa"/>
            <w:shd w:val="clear" w:color="auto" w:fill="C0C0C0"/>
            <w:hideMark/>
          </w:tcPr>
          <w:p w:rsidR="00403CB9" w:rsidRPr="00CE5E69" w:rsidRDefault="00403CB9" w:rsidP="00DF42CC">
            <w:p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0"/>
                <w:lang w:val="bg-BG"/>
              </w:rPr>
            </w:pPr>
            <w:r w:rsidRPr="00CE5E69">
              <w:rPr>
                <w:rFonts w:ascii="Arial" w:hAnsi="Arial" w:cs="Arial"/>
                <w:i/>
                <w:sz w:val="20"/>
                <w:lang w:val="bg-BG"/>
              </w:rPr>
              <w:t>Визия за ОСП след 2020 г.</w:t>
            </w:r>
          </w:p>
        </w:tc>
        <w:tc>
          <w:tcPr>
            <w:tcW w:w="256" w:type="dxa"/>
          </w:tcPr>
          <w:p w:rsidR="00403CB9" w:rsidRPr="00CE5E69" w:rsidRDefault="00403CB9" w:rsidP="00DF42CC">
            <w:pPr>
              <w:jc w:val="both"/>
              <w:rPr>
                <w:rFonts w:ascii="Arial" w:hAnsi="Arial" w:cs="Arial"/>
                <w:sz w:val="20"/>
                <w:lang w:val="bg-BG"/>
              </w:rPr>
            </w:pPr>
          </w:p>
        </w:tc>
      </w:tr>
    </w:tbl>
    <w:p w:rsidR="00B90317" w:rsidRDefault="00B90317" w:rsidP="00C00F88">
      <w:pPr>
        <w:jc w:val="both"/>
        <w:rPr>
          <w:rFonts w:ascii="Arial" w:hAnsi="Arial" w:cs="Arial"/>
          <w:b/>
          <w:sz w:val="20"/>
          <w:lang w:val="en-US"/>
        </w:rPr>
      </w:pPr>
    </w:p>
    <w:p w:rsidR="00A12E3F" w:rsidRPr="00E8633B" w:rsidRDefault="0029463A" w:rsidP="006057E2">
      <w:pPr>
        <w:spacing w:before="100" w:beforeAutospacing="1" w:after="100" w:afterAutospacing="1"/>
        <w:jc w:val="both"/>
        <w:rPr>
          <w:rStyle w:val="longtext"/>
          <w:b/>
          <w:noProof/>
          <w:sz w:val="20"/>
          <w:lang w:val="bg-BG"/>
        </w:rPr>
      </w:pPr>
      <w:r>
        <w:rPr>
          <w:rFonts w:ascii="Arial" w:hAnsi="Arial" w:cs="Arial"/>
          <w:b/>
          <w:bCs/>
          <w:noProof/>
          <w:color w:val="000000"/>
          <w:sz w:val="20"/>
          <w:lang w:val="en-US"/>
        </w:rPr>
        <w:t xml:space="preserve">2. </w:t>
      </w:r>
      <w:r>
        <w:rPr>
          <w:rFonts w:ascii="Arial" w:hAnsi="Arial" w:cs="Arial"/>
          <w:b/>
          <w:bCs/>
          <w:noProof/>
          <w:color w:val="000000"/>
          <w:sz w:val="20"/>
          <w:lang w:val="bg-BG"/>
        </w:rPr>
        <w:t xml:space="preserve">На заседанието на РГ по Хоризонтални </w:t>
      </w:r>
      <w:r w:rsidR="0004775C">
        <w:rPr>
          <w:rFonts w:ascii="Arial" w:hAnsi="Arial" w:cs="Arial"/>
          <w:b/>
          <w:bCs/>
          <w:noProof/>
          <w:color w:val="000000"/>
          <w:sz w:val="20"/>
          <w:lang w:val="bg-BG"/>
        </w:rPr>
        <w:t xml:space="preserve">земеделски </w:t>
      </w:r>
      <w:r>
        <w:rPr>
          <w:rFonts w:ascii="Arial" w:hAnsi="Arial" w:cs="Arial"/>
          <w:b/>
          <w:bCs/>
          <w:noProof/>
          <w:color w:val="000000"/>
          <w:sz w:val="20"/>
          <w:lang w:val="bg-BG"/>
        </w:rPr>
        <w:t xml:space="preserve">въпроси (Реформа в ОСП), проведено на 31 октомври 2019 г. в Брюксел Финландското председателство предложи за дискусия някои изменения в проекта на регламент за стратегическите планове в частта за </w:t>
      </w:r>
      <w:r w:rsidR="0004775C">
        <w:rPr>
          <w:rFonts w:ascii="Arial" w:hAnsi="Arial" w:cs="Arial"/>
          <w:b/>
          <w:bCs/>
          <w:noProof/>
          <w:color w:val="000000"/>
          <w:sz w:val="20"/>
          <w:lang w:val="bg-BG"/>
        </w:rPr>
        <w:t>условността и стандартите за добро земеделско и екологично състояние</w:t>
      </w:r>
      <w:r>
        <w:rPr>
          <w:rFonts w:ascii="Arial" w:hAnsi="Arial" w:cs="Arial"/>
          <w:b/>
          <w:bCs/>
          <w:noProof/>
          <w:color w:val="000000"/>
          <w:sz w:val="20"/>
          <w:lang w:val="bg-BG"/>
        </w:rPr>
        <w:t>,</w:t>
      </w:r>
      <w:r w:rsidR="0004775C">
        <w:rPr>
          <w:rFonts w:ascii="Arial" w:hAnsi="Arial" w:cs="Arial"/>
          <w:b/>
          <w:bCs/>
          <w:noProof/>
          <w:color w:val="000000"/>
          <w:sz w:val="20"/>
          <w:lang w:val="bg-BG"/>
        </w:rPr>
        <w:t xml:space="preserve"> както и някои разпоредби относно </w:t>
      </w:r>
      <w:r w:rsidR="0004775C" w:rsidRPr="0004775C">
        <w:rPr>
          <w:rFonts w:ascii="Arial" w:hAnsi="Arial" w:cs="Arial" w:hint="eastAsia"/>
          <w:b/>
          <w:bCs/>
          <w:noProof/>
          <w:color w:val="000000"/>
          <w:sz w:val="20"/>
          <w:lang w:val="bg-BG"/>
        </w:rPr>
        <w:t>контрол</w:t>
      </w:r>
      <w:r w:rsidR="00425D64">
        <w:rPr>
          <w:rFonts w:ascii="Arial" w:hAnsi="Arial" w:cs="Arial"/>
          <w:b/>
          <w:bCs/>
          <w:noProof/>
          <w:color w:val="000000"/>
          <w:sz w:val="20"/>
          <w:lang w:val="bg-BG"/>
        </w:rPr>
        <w:t>а</w:t>
      </w:r>
      <w:r w:rsidR="0004775C" w:rsidRPr="0004775C">
        <w:rPr>
          <w:rFonts w:ascii="Arial" w:hAnsi="Arial" w:cs="Arial"/>
          <w:b/>
          <w:bCs/>
          <w:noProof/>
          <w:color w:val="000000"/>
          <w:sz w:val="20"/>
          <w:lang w:val="bg-BG"/>
        </w:rPr>
        <w:t xml:space="preserve"> </w:t>
      </w:r>
      <w:r w:rsidR="0004775C" w:rsidRPr="0004775C">
        <w:rPr>
          <w:rFonts w:ascii="Arial" w:hAnsi="Arial" w:cs="Arial" w:hint="eastAsia"/>
          <w:b/>
          <w:bCs/>
          <w:noProof/>
          <w:color w:val="000000"/>
          <w:sz w:val="20"/>
          <w:lang w:val="bg-BG"/>
        </w:rPr>
        <w:t>и</w:t>
      </w:r>
      <w:r w:rsidR="0004775C" w:rsidRPr="0004775C">
        <w:rPr>
          <w:rFonts w:ascii="Arial" w:hAnsi="Arial" w:cs="Arial"/>
          <w:b/>
          <w:bCs/>
          <w:noProof/>
          <w:color w:val="000000"/>
          <w:sz w:val="20"/>
          <w:lang w:val="bg-BG"/>
        </w:rPr>
        <w:t xml:space="preserve"> </w:t>
      </w:r>
      <w:r w:rsidR="0004775C" w:rsidRPr="0004775C">
        <w:rPr>
          <w:rFonts w:ascii="Arial" w:hAnsi="Arial" w:cs="Arial" w:hint="eastAsia"/>
          <w:b/>
          <w:bCs/>
          <w:noProof/>
          <w:color w:val="000000"/>
          <w:sz w:val="20"/>
          <w:lang w:val="bg-BG"/>
        </w:rPr>
        <w:t>санкции</w:t>
      </w:r>
      <w:r w:rsidR="00425D64">
        <w:rPr>
          <w:rFonts w:ascii="Arial" w:hAnsi="Arial" w:cs="Arial"/>
          <w:b/>
          <w:bCs/>
          <w:noProof/>
          <w:color w:val="000000"/>
          <w:sz w:val="20"/>
          <w:lang w:val="bg-BG"/>
        </w:rPr>
        <w:t>те</w:t>
      </w:r>
      <w:r w:rsidR="0004775C" w:rsidRPr="0004775C">
        <w:rPr>
          <w:rFonts w:ascii="Arial" w:hAnsi="Arial" w:cs="Arial"/>
          <w:b/>
          <w:bCs/>
          <w:noProof/>
          <w:color w:val="000000"/>
          <w:sz w:val="20"/>
          <w:lang w:val="bg-BG"/>
        </w:rPr>
        <w:t xml:space="preserve"> </w:t>
      </w:r>
      <w:r w:rsidR="0004775C" w:rsidRPr="0004775C">
        <w:rPr>
          <w:rFonts w:ascii="Arial" w:hAnsi="Arial" w:cs="Arial" w:hint="eastAsia"/>
          <w:b/>
          <w:bCs/>
          <w:noProof/>
          <w:color w:val="000000"/>
          <w:sz w:val="20"/>
          <w:lang w:val="bg-BG"/>
        </w:rPr>
        <w:t>във</w:t>
      </w:r>
      <w:r w:rsidR="0004775C" w:rsidRPr="0004775C">
        <w:rPr>
          <w:rFonts w:ascii="Arial" w:hAnsi="Arial" w:cs="Arial"/>
          <w:b/>
          <w:bCs/>
          <w:noProof/>
          <w:color w:val="000000"/>
          <w:sz w:val="20"/>
          <w:lang w:val="bg-BG"/>
        </w:rPr>
        <w:t xml:space="preserve"> </w:t>
      </w:r>
      <w:r w:rsidR="0004775C" w:rsidRPr="0004775C">
        <w:rPr>
          <w:rFonts w:ascii="Arial" w:hAnsi="Arial" w:cs="Arial" w:hint="eastAsia"/>
          <w:b/>
          <w:bCs/>
          <w:noProof/>
          <w:color w:val="000000"/>
          <w:sz w:val="20"/>
          <w:lang w:val="bg-BG"/>
        </w:rPr>
        <w:t>връзка</w:t>
      </w:r>
      <w:r w:rsidR="0004775C" w:rsidRPr="0004775C">
        <w:rPr>
          <w:rFonts w:ascii="Arial" w:hAnsi="Arial" w:cs="Arial"/>
          <w:b/>
          <w:bCs/>
          <w:noProof/>
          <w:color w:val="000000"/>
          <w:sz w:val="20"/>
          <w:lang w:val="bg-BG"/>
        </w:rPr>
        <w:t xml:space="preserve"> </w:t>
      </w:r>
      <w:r w:rsidR="0004775C" w:rsidRPr="0004775C">
        <w:rPr>
          <w:rFonts w:ascii="Arial" w:hAnsi="Arial" w:cs="Arial" w:hint="eastAsia"/>
          <w:b/>
          <w:bCs/>
          <w:noProof/>
          <w:color w:val="000000"/>
          <w:sz w:val="20"/>
          <w:lang w:val="bg-BG"/>
        </w:rPr>
        <w:t>с</w:t>
      </w:r>
      <w:r w:rsidR="0004775C" w:rsidRPr="0004775C">
        <w:rPr>
          <w:rFonts w:ascii="Arial" w:hAnsi="Arial" w:cs="Arial"/>
          <w:b/>
          <w:bCs/>
          <w:noProof/>
          <w:color w:val="000000"/>
          <w:sz w:val="20"/>
          <w:lang w:val="bg-BG"/>
        </w:rPr>
        <w:t xml:space="preserve"> </w:t>
      </w:r>
      <w:r w:rsidR="0004775C" w:rsidRPr="0004775C">
        <w:rPr>
          <w:rFonts w:ascii="Arial" w:hAnsi="Arial" w:cs="Arial" w:hint="eastAsia"/>
          <w:b/>
          <w:bCs/>
          <w:noProof/>
          <w:color w:val="000000"/>
          <w:sz w:val="20"/>
          <w:lang w:val="bg-BG"/>
        </w:rPr>
        <w:t>условността</w:t>
      </w:r>
      <w:r w:rsidR="0004775C" w:rsidRPr="0004775C">
        <w:rPr>
          <w:rFonts w:ascii="Arial" w:hAnsi="Arial" w:cs="Arial"/>
          <w:b/>
          <w:bCs/>
          <w:noProof/>
          <w:color w:val="000000"/>
          <w:sz w:val="20"/>
          <w:lang w:val="bg-BG"/>
        </w:rPr>
        <w:t xml:space="preserve"> </w:t>
      </w:r>
      <w:r w:rsidR="0004775C" w:rsidRPr="0004775C">
        <w:rPr>
          <w:rFonts w:ascii="Arial" w:hAnsi="Arial" w:cs="Arial" w:hint="eastAsia"/>
          <w:b/>
          <w:bCs/>
          <w:noProof/>
          <w:color w:val="000000"/>
          <w:sz w:val="20"/>
          <w:lang w:val="bg-BG"/>
        </w:rPr>
        <w:t>от</w:t>
      </w:r>
      <w:r w:rsidR="0004775C" w:rsidRPr="0004775C">
        <w:rPr>
          <w:rFonts w:ascii="Arial" w:hAnsi="Arial" w:cs="Arial"/>
          <w:b/>
          <w:bCs/>
          <w:noProof/>
          <w:color w:val="000000"/>
          <w:sz w:val="20"/>
          <w:lang w:val="bg-BG"/>
        </w:rPr>
        <w:t xml:space="preserve"> </w:t>
      </w:r>
      <w:r w:rsidR="0004775C">
        <w:rPr>
          <w:rFonts w:ascii="Arial" w:hAnsi="Arial" w:cs="Arial"/>
          <w:b/>
          <w:bCs/>
          <w:noProof/>
          <w:color w:val="000000"/>
          <w:sz w:val="20"/>
          <w:lang w:val="bg-BG"/>
        </w:rPr>
        <w:t xml:space="preserve">предложението за </w:t>
      </w:r>
      <w:r w:rsidR="0004775C" w:rsidRPr="0004775C">
        <w:rPr>
          <w:rFonts w:ascii="Arial" w:hAnsi="Arial" w:cs="Arial" w:hint="eastAsia"/>
          <w:b/>
          <w:bCs/>
          <w:noProof/>
          <w:color w:val="000000"/>
          <w:sz w:val="20"/>
          <w:lang w:val="bg-BG"/>
        </w:rPr>
        <w:t>Хоризонтал</w:t>
      </w:r>
      <w:r w:rsidR="0004775C">
        <w:rPr>
          <w:rFonts w:ascii="Arial" w:hAnsi="Arial" w:cs="Arial"/>
          <w:b/>
          <w:bCs/>
          <w:noProof/>
          <w:color w:val="000000"/>
          <w:sz w:val="20"/>
          <w:lang w:val="bg-BG"/>
        </w:rPr>
        <w:t>е</w:t>
      </w:r>
      <w:r w:rsidR="0004775C" w:rsidRPr="0004775C">
        <w:rPr>
          <w:rFonts w:ascii="Arial" w:hAnsi="Arial" w:cs="Arial" w:hint="eastAsia"/>
          <w:b/>
          <w:bCs/>
          <w:noProof/>
          <w:color w:val="000000"/>
          <w:sz w:val="20"/>
          <w:lang w:val="bg-BG"/>
        </w:rPr>
        <w:t>н</w:t>
      </w:r>
      <w:r w:rsidR="0004775C" w:rsidRPr="0004775C">
        <w:rPr>
          <w:rFonts w:ascii="Arial" w:hAnsi="Arial" w:cs="Arial"/>
          <w:b/>
          <w:bCs/>
          <w:noProof/>
          <w:color w:val="000000"/>
          <w:sz w:val="20"/>
          <w:lang w:val="bg-BG"/>
        </w:rPr>
        <w:t xml:space="preserve"> </w:t>
      </w:r>
      <w:r w:rsidR="0004775C" w:rsidRPr="0004775C">
        <w:rPr>
          <w:rFonts w:ascii="Arial" w:hAnsi="Arial" w:cs="Arial" w:hint="eastAsia"/>
          <w:b/>
          <w:bCs/>
          <w:noProof/>
          <w:color w:val="000000"/>
          <w:sz w:val="20"/>
          <w:lang w:val="bg-BG"/>
        </w:rPr>
        <w:t>регламент</w:t>
      </w:r>
      <w:r w:rsidR="0004775C">
        <w:rPr>
          <w:rFonts w:ascii="Arial" w:hAnsi="Arial" w:cs="Arial"/>
          <w:b/>
          <w:bCs/>
          <w:noProof/>
          <w:color w:val="000000"/>
          <w:sz w:val="20"/>
          <w:lang w:val="bg-BG"/>
        </w:rPr>
        <w:t xml:space="preserve">. </w:t>
      </w:r>
      <w:r>
        <w:rPr>
          <w:rFonts w:ascii="Arial" w:hAnsi="Arial" w:cs="Arial"/>
          <w:noProof/>
          <w:color w:val="000000"/>
          <w:sz w:val="20"/>
          <w:lang w:val="bg-BG"/>
        </w:rPr>
        <w:t xml:space="preserve">Няколко ДЧ, включително България </w:t>
      </w:r>
      <w:r w:rsidR="00425D64">
        <w:rPr>
          <w:rFonts w:ascii="Arial" w:hAnsi="Arial" w:cs="Arial"/>
          <w:noProof/>
          <w:color w:val="000000"/>
          <w:sz w:val="20"/>
          <w:lang w:val="bg-BG"/>
        </w:rPr>
        <w:t xml:space="preserve">подкрепиха </w:t>
      </w:r>
      <w:r w:rsidR="00425D64" w:rsidRPr="00425D64">
        <w:rPr>
          <w:rFonts w:ascii="Arial" w:hAnsi="Arial" w:cs="Arial" w:hint="eastAsia"/>
          <w:noProof/>
          <w:color w:val="000000"/>
          <w:sz w:val="20"/>
          <w:lang w:val="bg-BG"/>
        </w:rPr>
        <w:t>съотношение</w:t>
      </w:r>
      <w:r w:rsidR="00425D64">
        <w:rPr>
          <w:rFonts w:ascii="Arial" w:hAnsi="Arial" w:cs="Arial"/>
          <w:noProof/>
          <w:color w:val="000000"/>
          <w:sz w:val="20"/>
          <w:lang w:val="bg-BG"/>
        </w:rPr>
        <w:t>то на</w:t>
      </w:r>
      <w:r w:rsidR="009D72AD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425D64">
        <w:rPr>
          <w:rFonts w:ascii="Arial" w:hAnsi="Arial" w:cs="Arial"/>
          <w:noProof/>
          <w:color w:val="000000"/>
          <w:sz w:val="20"/>
          <w:lang w:val="bg-BG"/>
        </w:rPr>
        <w:t xml:space="preserve">постоянно затревените площи спрямо земеделската площ на национално, регионално и под-регионално ниво да </w:t>
      </w:r>
      <w:r w:rsidR="00425D64" w:rsidRPr="00425D64">
        <w:rPr>
          <w:rFonts w:ascii="Arial" w:hAnsi="Arial" w:cs="Arial" w:hint="eastAsia"/>
          <w:noProof/>
          <w:color w:val="000000"/>
          <w:sz w:val="20"/>
          <w:lang w:val="bg-BG"/>
        </w:rPr>
        <w:t>не</w:t>
      </w:r>
      <w:r w:rsidR="00425D64" w:rsidRPr="00425D6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425D64" w:rsidRPr="00425D64">
        <w:rPr>
          <w:rFonts w:ascii="Arial" w:hAnsi="Arial" w:cs="Arial" w:hint="eastAsia"/>
          <w:noProof/>
          <w:color w:val="000000"/>
          <w:sz w:val="20"/>
          <w:lang w:val="bg-BG"/>
        </w:rPr>
        <w:t>намалява</w:t>
      </w:r>
      <w:r w:rsidR="00425D64" w:rsidRPr="00425D6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425D64" w:rsidRPr="00425D64">
        <w:rPr>
          <w:rFonts w:ascii="Arial" w:hAnsi="Arial" w:cs="Arial" w:hint="eastAsia"/>
          <w:noProof/>
          <w:color w:val="000000"/>
          <w:sz w:val="20"/>
          <w:lang w:val="bg-BG"/>
        </w:rPr>
        <w:t>с</w:t>
      </w:r>
      <w:r w:rsidR="00425D64" w:rsidRPr="00425D6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425D64" w:rsidRPr="00425D64">
        <w:rPr>
          <w:rFonts w:ascii="Arial" w:hAnsi="Arial" w:cs="Arial" w:hint="eastAsia"/>
          <w:noProof/>
          <w:color w:val="000000"/>
          <w:sz w:val="20"/>
          <w:lang w:val="bg-BG"/>
        </w:rPr>
        <w:t>повече</w:t>
      </w:r>
      <w:r w:rsidR="00425D64" w:rsidRPr="00425D6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425D64" w:rsidRPr="00425D64">
        <w:rPr>
          <w:rFonts w:ascii="Arial" w:hAnsi="Arial" w:cs="Arial" w:hint="eastAsia"/>
          <w:noProof/>
          <w:color w:val="000000"/>
          <w:sz w:val="20"/>
          <w:lang w:val="bg-BG"/>
        </w:rPr>
        <w:t>от</w:t>
      </w:r>
      <w:r w:rsidR="00425D64" w:rsidRPr="00425D64">
        <w:rPr>
          <w:rFonts w:ascii="Arial" w:hAnsi="Arial" w:cs="Arial"/>
          <w:noProof/>
          <w:color w:val="000000"/>
          <w:sz w:val="20"/>
          <w:lang w:val="bg-BG"/>
        </w:rPr>
        <w:t xml:space="preserve"> 5% </w:t>
      </w:r>
      <w:r w:rsidR="00425D64" w:rsidRPr="00425D64">
        <w:rPr>
          <w:rFonts w:ascii="Arial" w:hAnsi="Arial" w:cs="Arial" w:hint="eastAsia"/>
          <w:noProof/>
          <w:color w:val="000000"/>
          <w:sz w:val="20"/>
          <w:lang w:val="bg-BG"/>
        </w:rPr>
        <w:t>в</w:t>
      </w:r>
      <w:r w:rsidR="00425D64" w:rsidRPr="00425D6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425D64" w:rsidRPr="00425D64">
        <w:rPr>
          <w:rFonts w:ascii="Arial" w:hAnsi="Arial" w:cs="Arial" w:hint="eastAsia"/>
          <w:noProof/>
          <w:color w:val="000000"/>
          <w:sz w:val="20"/>
          <w:lang w:val="bg-BG"/>
        </w:rPr>
        <w:t>сравнение</w:t>
      </w:r>
      <w:r w:rsidR="00425D64" w:rsidRPr="00425D6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425D64" w:rsidRPr="00425D64">
        <w:rPr>
          <w:rFonts w:ascii="Arial" w:hAnsi="Arial" w:cs="Arial" w:hint="eastAsia"/>
          <w:noProof/>
          <w:color w:val="000000"/>
          <w:sz w:val="20"/>
          <w:lang w:val="bg-BG"/>
        </w:rPr>
        <w:t>с</w:t>
      </w:r>
      <w:r w:rsidR="00425D64" w:rsidRPr="00425D6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425D64" w:rsidRPr="00425D64">
        <w:rPr>
          <w:rFonts w:ascii="Arial" w:hAnsi="Arial" w:cs="Arial" w:hint="eastAsia"/>
          <w:noProof/>
          <w:color w:val="000000"/>
          <w:sz w:val="20"/>
          <w:lang w:val="bg-BG"/>
        </w:rPr>
        <w:t>референтната</w:t>
      </w:r>
      <w:r w:rsidR="00425D64" w:rsidRPr="00425D64">
        <w:rPr>
          <w:rFonts w:ascii="Arial" w:hAnsi="Arial" w:cs="Arial"/>
          <w:noProof/>
          <w:color w:val="000000"/>
          <w:sz w:val="20"/>
          <w:lang w:val="bg-BG"/>
        </w:rPr>
        <w:t xml:space="preserve"> 2015 </w:t>
      </w:r>
      <w:r w:rsidR="00425D64" w:rsidRPr="00425D64">
        <w:rPr>
          <w:rFonts w:ascii="Arial" w:hAnsi="Arial" w:cs="Arial" w:hint="eastAsia"/>
          <w:noProof/>
          <w:color w:val="000000"/>
          <w:sz w:val="20"/>
          <w:lang w:val="bg-BG"/>
        </w:rPr>
        <w:t>година</w:t>
      </w:r>
      <w:r w:rsidR="00425D64">
        <w:rPr>
          <w:rFonts w:ascii="Arial" w:hAnsi="Arial" w:cs="Arial"/>
          <w:noProof/>
          <w:color w:val="000000"/>
          <w:sz w:val="20"/>
          <w:lang w:val="bg-BG"/>
        </w:rPr>
        <w:t xml:space="preserve">, докато други ДЧ предпочитат референтната </w:t>
      </w:r>
      <w:r w:rsidR="009D72AD">
        <w:rPr>
          <w:rFonts w:ascii="Arial" w:hAnsi="Arial" w:cs="Arial"/>
          <w:noProof/>
          <w:color w:val="000000"/>
          <w:sz w:val="20"/>
          <w:lang w:val="bg-BG"/>
        </w:rPr>
        <w:t xml:space="preserve">година да е </w:t>
      </w:r>
      <w:r w:rsidR="00425D64">
        <w:rPr>
          <w:rFonts w:ascii="Arial" w:hAnsi="Arial" w:cs="Arial"/>
          <w:noProof/>
          <w:color w:val="000000"/>
          <w:sz w:val="20"/>
          <w:lang w:val="bg-BG"/>
        </w:rPr>
        <w:t>2018 г.</w:t>
      </w:r>
      <w:r w:rsidR="009D72AD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9C14F5">
        <w:rPr>
          <w:rFonts w:ascii="Arial" w:hAnsi="Arial" w:cs="Arial"/>
          <w:noProof/>
          <w:color w:val="000000"/>
          <w:sz w:val="20"/>
          <w:lang w:val="bg-BG"/>
        </w:rPr>
        <w:t>България и други ДЧ поискаха</w:t>
      </w:r>
      <w:r w:rsidR="009C14F5" w:rsidRPr="009C14F5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9C14F5" w:rsidRPr="009C14F5">
        <w:rPr>
          <w:rFonts w:ascii="Arial" w:hAnsi="Arial" w:cs="Arial" w:hint="eastAsia"/>
          <w:noProof/>
          <w:color w:val="000000"/>
          <w:sz w:val="20"/>
          <w:lang w:val="bg-BG"/>
        </w:rPr>
        <w:t>изключване</w:t>
      </w:r>
      <w:r w:rsidR="009C14F5">
        <w:rPr>
          <w:rFonts w:ascii="Arial" w:hAnsi="Arial" w:cs="Arial"/>
          <w:noProof/>
          <w:color w:val="000000"/>
          <w:sz w:val="20"/>
          <w:lang w:val="bg-BG"/>
        </w:rPr>
        <w:t>то</w:t>
      </w:r>
      <w:r w:rsidR="009C14F5" w:rsidRPr="009C14F5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9C14F5" w:rsidRPr="009C14F5">
        <w:rPr>
          <w:rFonts w:ascii="Arial" w:hAnsi="Arial" w:cs="Arial" w:hint="eastAsia"/>
          <w:noProof/>
          <w:color w:val="000000"/>
          <w:sz w:val="20"/>
          <w:lang w:val="bg-BG"/>
        </w:rPr>
        <w:t>на</w:t>
      </w:r>
      <w:r w:rsidR="009C14F5" w:rsidRPr="009C14F5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9C14F5" w:rsidRPr="009C14F5">
        <w:rPr>
          <w:rFonts w:ascii="Arial" w:hAnsi="Arial" w:cs="Arial" w:hint="eastAsia"/>
          <w:noProof/>
          <w:color w:val="000000"/>
          <w:sz w:val="20"/>
          <w:lang w:val="bg-BG"/>
        </w:rPr>
        <w:t>дребните</w:t>
      </w:r>
      <w:r w:rsidR="009C14F5" w:rsidRPr="009C14F5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9C14F5" w:rsidRPr="009C14F5">
        <w:rPr>
          <w:rFonts w:ascii="Arial" w:hAnsi="Arial" w:cs="Arial" w:hint="eastAsia"/>
          <w:noProof/>
          <w:color w:val="000000"/>
          <w:sz w:val="20"/>
          <w:lang w:val="bg-BG"/>
        </w:rPr>
        <w:t>земеделски</w:t>
      </w:r>
      <w:r w:rsidR="009C14F5" w:rsidRPr="009C14F5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9C14F5" w:rsidRPr="009C14F5">
        <w:rPr>
          <w:rFonts w:ascii="Arial" w:hAnsi="Arial" w:cs="Arial" w:hint="eastAsia"/>
          <w:noProof/>
          <w:color w:val="000000"/>
          <w:sz w:val="20"/>
          <w:lang w:val="bg-BG"/>
        </w:rPr>
        <w:t>стопани</w:t>
      </w:r>
      <w:r w:rsidR="009C14F5" w:rsidRPr="009C14F5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9C14F5" w:rsidRPr="009C14F5">
        <w:rPr>
          <w:rFonts w:ascii="Arial" w:hAnsi="Arial" w:cs="Arial" w:hint="eastAsia"/>
          <w:noProof/>
          <w:color w:val="000000"/>
          <w:sz w:val="20"/>
          <w:lang w:val="bg-BG"/>
        </w:rPr>
        <w:t>от</w:t>
      </w:r>
      <w:r w:rsidR="009C14F5" w:rsidRPr="009C14F5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9C14F5" w:rsidRPr="009C14F5">
        <w:rPr>
          <w:rFonts w:ascii="Arial" w:hAnsi="Arial" w:cs="Arial" w:hint="eastAsia"/>
          <w:noProof/>
          <w:color w:val="000000"/>
          <w:sz w:val="20"/>
          <w:lang w:val="bg-BG"/>
        </w:rPr>
        <w:t>контрола</w:t>
      </w:r>
      <w:r w:rsidR="009C14F5" w:rsidRPr="009C14F5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9C14F5" w:rsidRPr="009C14F5">
        <w:rPr>
          <w:rFonts w:ascii="Arial" w:hAnsi="Arial" w:cs="Arial" w:hint="eastAsia"/>
          <w:noProof/>
          <w:color w:val="000000"/>
          <w:sz w:val="20"/>
          <w:lang w:val="bg-BG"/>
        </w:rPr>
        <w:t>на</w:t>
      </w:r>
      <w:r w:rsidR="009C14F5" w:rsidRPr="009C14F5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9C14F5" w:rsidRPr="009C14F5">
        <w:rPr>
          <w:rFonts w:ascii="Arial" w:hAnsi="Arial" w:cs="Arial" w:hint="eastAsia"/>
          <w:noProof/>
          <w:color w:val="000000"/>
          <w:sz w:val="20"/>
          <w:lang w:val="bg-BG"/>
        </w:rPr>
        <w:t>условността</w:t>
      </w:r>
      <w:r w:rsidR="009C14F5">
        <w:rPr>
          <w:rFonts w:ascii="Arial" w:hAnsi="Arial" w:cs="Arial"/>
          <w:noProof/>
          <w:color w:val="000000"/>
          <w:sz w:val="20"/>
          <w:lang w:val="bg-BG"/>
        </w:rPr>
        <w:t>.</w:t>
      </w:r>
      <w:r w:rsidR="003A1C41">
        <w:rPr>
          <w:rFonts w:ascii="Arial" w:hAnsi="Arial" w:cs="Arial"/>
          <w:noProof/>
          <w:color w:val="000000"/>
          <w:sz w:val="20"/>
          <w:lang w:val="bg-BG"/>
        </w:rPr>
        <w:t xml:space="preserve"> В проекта на Хоризонтален регламент председателството предлага в Интегрираната система за администриране и контрол (</w:t>
      </w:r>
      <w:r w:rsidR="003A1C41" w:rsidRPr="003A1C41">
        <w:rPr>
          <w:rFonts w:ascii="Arial" w:hAnsi="Arial" w:cs="Arial" w:hint="eastAsia"/>
          <w:noProof/>
          <w:color w:val="000000"/>
          <w:sz w:val="20"/>
          <w:lang w:val="bg-BG"/>
        </w:rPr>
        <w:t>ИСАК</w:t>
      </w:r>
      <w:r w:rsidR="003A1C41">
        <w:rPr>
          <w:rFonts w:ascii="Arial" w:hAnsi="Arial" w:cs="Arial"/>
          <w:noProof/>
          <w:color w:val="000000"/>
          <w:sz w:val="20"/>
          <w:lang w:val="bg-BG"/>
        </w:rPr>
        <w:t>) да</w:t>
      </w:r>
      <w:r w:rsidR="003A1C41" w:rsidRPr="003A1C41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3A1C41" w:rsidRPr="003A1C41">
        <w:rPr>
          <w:rFonts w:ascii="Arial" w:hAnsi="Arial" w:cs="Arial" w:hint="eastAsia"/>
          <w:noProof/>
          <w:color w:val="000000"/>
          <w:sz w:val="20"/>
          <w:lang w:val="bg-BG"/>
        </w:rPr>
        <w:t>се</w:t>
      </w:r>
      <w:r w:rsidR="003A1C41" w:rsidRPr="003A1C41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3A1C41" w:rsidRPr="003A1C41">
        <w:rPr>
          <w:rFonts w:ascii="Arial" w:hAnsi="Arial" w:cs="Arial" w:hint="eastAsia"/>
          <w:noProof/>
          <w:color w:val="000000"/>
          <w:sz w:val="20"/>
          <w:lang w:val="bg-BG"/>
        </w:rPr>
        <w:t>съдържат</w:t>
      </w:r>
      <w:r w:rsidR="003A1C41" w:rsidRPr="003A1C41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3A1C41" w:rsidRPr="003A1C41">
        <w:rPr>
          <w:rFonts w:ascii="Arial" w:hAnsi="Arial" w:cs="Arial" w:hint="eastAsia"/>
          <w:noProof/>
          <w:color w:val="000000"/>
          <w:sz w:val="20"/>
          <w:lang w:val="bg-BG"/>
        </w:rPr>
        <w:t>всички</w:t>
      </w:r>
      <w:r w:rsidR="003A1C41" w:rsidRPr="003A1C41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3A1C41" w:rsidRPr="003A1C41">
        <w:rPr>
          <w:rFonts w:ascii="Arial" w:hAnsi="Arial" w:cs="Arial" w:hint="eastAsia"/>
          <w:noProof/>
          <w:color w:val="000000"/>
          <w:sz w:val="20"/>
          <w:lang w:val="bg-BG"/>
        </w:rPr>
        <w:t>данни</w:t>
      </w:r>
      <w:r w:rsidR="003A1C41" w:rsidRPr="003A1C41">
        <w:rPr>
          <w:rFonts w:ascii="Arial" w:hAnsi="Arial" w:cs="Arial"/>
          <w:noProof/>
          <w:color w:val="000000"/>
          <w:sz w:val="20"/>
          <w:lang w:val="bg-BG"/>
        </w:rPr>
        <w:t xml:space="preserve">, </w:t>
      </w:r>
      <w:r w:rsidR="003A1C41" w:rsidRPr="003A1C41">
        <w:rPr>
          <w:rFonts w:ascii="Arial" w:hAnsi="Arial" w:cs="Arial" w:hint="eastAsia"/>
          <w:noProof/>
          <w:color w:val="000000"/>
          <w:sz w:val="20"/>
          <w:lang w:val="bg-BG"/>
        </w:rPr>
        <w:t>необходими</w:t>
      </w:r>
      <w:r w:rsidR="003A1C41" w:rsidRPr="003A1C41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3A1C41" w:rsidRPr="003A1C41">
        <w:rPr>
          <w:rFonts w:ascii="Arial" w:hAnsi="Arial" w:cs="Arial" w:hint="eastAsia"/>
          <w:noProof/>
          <w:color w:val="000000"/>
          <w:sz w:val="20"/>
          <w:lang w:val="bg-BG"/>
        </w:rPr>
        <w:t>за</w:t>
      </w:r>
      <w:r w:rsidR="003A1C41" w:rsidRPr="003A1C41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3A1C41" w:rsidRPr="003A1C41">
        <w:rPr>
          <w:rFonts w:ascii="Arial" w:hAnsi="Arial" w:cs="Arial" w:hint="eastAsia"/>
          <w:noProof/>
          <w:color w:val="000000"/>
          <w:sz w:val="20"/>
          <w:lang w:val="bg-BG"/>
        </w:rPr>
        <w:t>индикаторите</w:t>
      </w:r>
      <w:r w:rsidR="003A1C41" w:rsidRPr="003A1C41">
        <w:rPr>
          <w:rFonts w:ascii="Arial" w:hAnsi="Arial" w:cs="Arial"/>
          <w:noProof/>
          <w:color w:val="000000"/>
          <w:sz w:val="20"/>
          <w:lang w:val="bg-BG"/>
        </w:rPr>
        <w:t xml:space="preserve">, </w:t>
      </w:r>
      <w:r w:rsidR="003A1C41" w:rsidRPr="003A1C41">
        <w:rPr>
          <w:rFonts w:ascii="Arial" w:hAnsi="Arial" w:cs="Arial" w:hint="eastAsia"/>
          <w:noProof/>
          <w:color w:val="000000"/>
          <w:sz w:val="20"/>
          <w:lang w:val="bg-BG"/>
        </w:rPr>
        <w:t>а</w:t>
      </w:r>
      <w:r w:rsidR="003A1C41" w:rsidRPr="003A1C41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3A1C41" w:rsidRPr="003A1C41">
        <w:rPr>
          <w:rFonts w:ascii="Arial" w:hAnsi="Arial" w:cs="Arial" w:hint="eastAsia"/>
          <w:noProof/>
          <w:color w:val="000000"/>
          <w:sz w:val="20"/>
          <w:lang w:val="bg-BG"/>
        </w:rPr>
        <w:t>не</w:t>
      </w:r>
      <w:r w:rsidR="003A1C41" w:rsidRPr="003A1C41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3A1C41" w:rsidRPr="003A1C41">
        <w:rPr>
          <w:rFonts w:ascii="Arial" w:hAnsi="Arial" w:cs="Arial" w:hint="eastAsia"/>
          <w:noProof/>
          <w:color w:val="000000"/>
          <w:sz w:val="20"/>
          <w:lang w:val="bg-BG"/>
        </w:rPr>
        <w:t>в</w:t>
      </w:r>
      <w:r w:rsidR="003A1C41" w:rsidRPr="003A1C41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3A1C41">
        <w:rPr>
          <w:rFonts w:ascii="Arial" w:hAnsi="Arial" w:cs="Arial"/>
          <w:noProof/>
          <w:color w:val="000000"/>
          <w:sz w:val="20"/>
          <w:lang w:val="bg-BG"/>
        </w:rPr>
        <w:t>Системата за идентификация на земеделските парцели (</w:t>
      </w:r>
      <w:r w:rsidR="003A1C41" w:rsidRPr="003A1C41">
        <w:rPr>
          <w:rFonts w:ascii="Arial" w:hAnsi="Arial" w:cs="Arial" w:hint="eastAsia"/>
          <w:noProof/>
          <w:color w:val="000000"/>
          <w:sz w:val="20"/>
          <w:lang w:val="bg-BG"/>
        </w:rPr>
        <w:t>СИЗП</w:t>
      </w:r>
      <w:r w:rsidR="003A1C41">
        <w:rPr>
          <w:rFonts w:ascii="Arial" w:hAnsi="Arial" w:cs="Arial"/>
          <w:noProof/>
          <w:color w:val="000000"/>
          <w:sz w:val="20"/>
          <w:lang w:val="bg-BG"/>
        </w:rPr>
        <w:t>).</w:t>
      </w:r>
      <w:r w:rsidR="005C7F34" w:rsidRPr="005C7F34">
        <w:rPr>
          <w:rFonts w:hint="eastAsia"/>
        </w:rPr>
        <w:t xml:space="preserve"> </w:t>
      </w:r>
      <w:r w:rsidR="00C517FB">
        <w:rPr>
          <w:rFonts w:asciiTheme="minorHAnsi" w:hAnsiTheme="minorHAnsi"/>
          <w:lang w:val="bg-BG"/>
        </w:rPr>
        <w:t xml:space="preserve">Обсъдено беше и </w:t>
      </w:r>
      <w:r w:rsidR="005C7F34">
        <w:rPr>
          <w:rFonts w:asciiTheme="minorHAnsi" w:hAnsiTheme="minorHAnsi"/>
          <w:lang w:val="bg-BG"/>
        </w:rPr>
        <w:t xml:space="preserve">предложение на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председателството</w:t>
      </w:r>
      <w:r w:rsidR="00C517FB">
        <w:rPr>
          <w:rFonts w:ascii="Arial" w:hAnsi="Arial" w:cs="Arial"/>
          <w:noProof/>
          <w:color w:val="000000"/>
          <w:sz w:val="20"/>
          <w:lang w:val="bg-BG"/>
        </w:rPr>
        <w:t>,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при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несъответствие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,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когато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има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минимални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последици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за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целта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на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стандарта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от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неспазването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,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да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не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се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прилагат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административни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наказания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и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бенефициентът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да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бъде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информиран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за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възможни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корективни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действия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,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които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да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предприеме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.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Когато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неспазването</w:t>
      </w:r>
      <w:r w:rsidR="005C7F34">
        <w:rPr>
          <w:rFonts w:ascii="Arial" w:hAnsi="Arial" w:cs="Arial"/>
          <w:noProof/>
          <w:color w:val="000000"/>
          <w:sz w:val="20"/>
          <w:lang w:val="bg-BG"/>
        </w:rPr>
        <w:t xml:space="preserve"> обаче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има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сериозни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последици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за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постигането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на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целта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на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стандарта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,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санкцията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да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бъде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по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>-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тежка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от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предвидените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санкции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от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1, 3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и</w:t>
      </w:r>
      <w:r w:rsidR="005C7F34">
        <w:rPr>
          <w:rFonts w:ascii="Arial" w:hAnsi="Arial" w:cs="Arial"/>
          <w:noProof/>
          <w:color w:val="000000"/>
          <w:sz w:val="20"/>
          <w:lang w:val="bg-BG"/>
        </w:rPr>
        <w:t xml:space="preserve"> 5 %. Част от държавите членки подкрепиха опростяването при малки несъответствия, но отбелязаха, че е </w:t>
      </w:r>
      <w:r w:rsidR="00C517FB">
        <w:rPr>
          <w:rFonts w:ascii="Arial" w:hAnsi="Arial" w:cs="Arial"/>
          <w:noProof/>
          <w:color w:val="000000"/>
          <w:sz w:val="20"/>
          <w:lang w:val="bg-BG"/>
        </w:rPr>
        <w:t>те трудно ще се дефинират</w:t>
      </w:r>
      <w:r w:rsidR="005C7F34">
        <w:rPr>
          <w:rFonts w:ascii="Arial" w:hAnsi="Arial" w:cs="Arial"/>
          <w:noProof/>
          <w:color w:val="000000"/>
          <w:sz w:val="20"/>
          <w:lang w:val="bg-BG"/>
        </w:rPr>
        <w:t>. Други ДЧ заявиха, че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подкрепят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предвиждането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за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по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>-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тежки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санкции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при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тежки</w:t>
      </w:r>
      <w:r w:rsidR="005C7F34" w:rsidRPr="005C7F34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5C7F34" w:rsidRPr="005C7F34">
        <w:rPr>
          <w:rFonts w:ascii="Arial" w:hAnsi="Arial" w:cs="Arial" w:hint="eastAsia"/>
          <w:noProof/>
          <w:color w:val="000000"/>
          <w:sz w:val="20"/>
          <w:lang w:val="bg-BG"/>
        </w:rPr>
        <w:t>нарушения</w:t>
      </w:r>
      <w:r w:rsidR="005C7F34">
        <w:rPr>
          <w:rFonts w:ascii="Arial" w:hAnsi="Arial" w:cs="Arial"/>
          <w:noProof/>
          <w:color w:val="000000"/>
          <w:sz w:val="20"/>
          <w:lang w:val="bg-BG"/>
        </w:rPr>
        <w:t xml:space="preserve"> и подкрепиха заличаването на „умисъл“, която трудно се доказва. Имаше и ДЧ, които наложиха резерва за проучване на това предложение.</w:t>
      </w:r>
      <w:r w:rsidR="00D73FF9">
        <w:rPr>
          <w:rFonts w:ascii="Arial" w:hAnsi="Arial" w:cs="Arial"/>
          <w:noProof/>
          <w:color w:val="000000"/>
          <w:sz w:val="20"/>
          <w:lang w:val="bg-BG"/>
        </w:rPr>
        <w:t xml:space="preserve"> Обсъден беше </w:t>
      </w:r>
      <w:r w:rsidR="00C517FB">
        <w:rPr>
          <w:rFonts w:ascii="Arial" w:hAnsi="Arial" w:cs="Arial"/>
          <w:noProof/>
          <w:color w:val="000000"/>
          <w:sz w:val="20"/>
          <w:lang w:val="bg-BG"/>
        </w:rPr>
        <w:t xml:space="preserve">също така </w:t>
      </w:r>
      <w:r w:rsidR="00D73FF9">
        <w:rPr>
          <w:rFonts w:ascii="Arial" w:hAnsi="Arial" w:cs="Arial"/>
          <w:noProof/>
          <w:color w:val="000000"/>
          <w:sz w:val="20"/>
          <w:lang w:val="bg-BG"/>
        </w:rPr>
        <w:t xml:space="preserve">общ документ на </w:t>
      </w:r>
      <w:r w:rsidR="00D73FF9" w:rsidRPr="00D73FF9">
        <w:rPr>
          <w:rFonts w:ascii="Arial" w:hAnsi="Arial" w:cs="Arial" w:hint="eastAsia"/>
          <w:noProof/>
          <w:color w:val="000000"/>
          <w:sz w:val="20"/>
          <w:lang w:val="bg-BG"/>
        </w:rPr>
        <w:t>Австрия</w:t>
      </w:r>
      <w:r w:rsidR="00D73FF9" w:rsidRPr="00D73FF9">
        <w:rPr>
          <w:rFonts w:ascii="Arial" w:hAnsi="Arial" w:cs="Arial"/>
          <w:noProof/>
          <w:color w:val="000000"/>
          <w:sz w:val="20"/>
          <w:lang w:val="bg-BG"/>
        </w:rPr>
        <w:t xml:space="preserve">, </w:t>
      </w:r>
      <w:r w:rsidR="00D73FF9" w:rsidRPr="00D73FF9">
        <w:rPr>
          <w:rFonts w:ascii="Arial" w:hAnsi="Arial" w:cs="Arial" w:hint="eastAsia"/>
          <w:noProof/>
          <w:color w:val="000000"/>
          <w:sz w:val="20"/>
          <w:lang w:val="bg-BG"/>
        </w:rPr>
        <w:t>Дания</w:t>
      </w:r>
      <w:r w:rsidR="00D73FF9" w:rsidRPr="00D73FF9">
        <w:rPr>
          <w:rFonts w:ascii="Arial" w:hAnsi="Arial" w:cs="Arial"/>
          <w:noProof/>
          <w:color w:val="000000"/>
          <w:sz w:val="20"/>
          <w:lang w:val="bg-BG"/>
        </w:rPr>
        <w:t xml:space="preserve">, </w:t>
      </w:r>
      <w:r w:rsidR="00D73FF9" w:rsidRPr="00D73FF9">
        <w:rPr>
          <w:rFonts w:ascii="Arial" w:hAnsi="Arial" w:cs="Arial" w:hint="eastAsia"/>
          <w:noProof/>
          <w:color w:val="000000"/>
          <w:sz w:val="20"/>
          <w:lang w:val="bg-BG"/>
        </w:rPr>
        <w:t>Ирландия</w:t>
      </w:r>
      <w:r w:rsidR="00D73FF9" w:rsidRPr="00D73FF9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D73FF9" w:rsidRPr="00D73FF9">
        <w:rPr>
          <w:rFonts w:ascii="Arial" w:hAnsi="Arial" w:cs="Arial" w:hint="eastAsia"/>
          <w:noProof/>
          <w:color w:val="000000"/>
          <w:sz w:val="20"/>
          <w:lang w:val="bg-BG"/>
        </w:rPr>
        <w:t>и</w:t>
      </w:r>
      <w:r w:rsidR="00D73FF9" w:rsidRPr="00D73FF9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D73FF9" w:rsidRPr="00D73FF9">
        <w:rPr>
          <w:rFonts w:ascii="Arial" w:hAnsi="Arial" w:cs="Arial" w:hint="eastAsia"/>
          <w:noProof/>
          <w:color w:val="000000"/>
          <w:sz w:val="20"/>
          <w:lang w:val="bg-BG"/>
        </w:rPr>
        <w:t>Швеция</w:t>
      </w:r>
      <w:r w:rsidR="00C517FB">
        <w:rPr>
          <w:rFonts w:ascii="Arial" w:hAnsi="Arial" w:cs="Arial"/>
          <w:noProof/>
          <w:color w:val="000000"/>
          <w:sz w:val="20"/>
          <w:lang w:val="bg-BG"/>
        </w:rPr>
        <w:t xml:space="preserve">, в който </w:t>
      </w:r>
      <w:r w:rsidR="00D73FF9" w:rsidRPr="00D73FF9">
        <w:rPr>
          <w:rFonts w:ascii="Arial" w:hAnsi="Arial" w:cs="Arial" w:hint="eastAsia"/>
          <w:noProof/>
          <w:color w:val="000000"/>
          <w:sz w:val="20"/>
          <w:lang w:val="bg-BG"/>
        </w:rPr>
        <w:t>предлагат</w:t>
      </w:r>
      <w:r w:rsidR="00D73FF9" w:rsidRPr="00D73FF9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D73FF9" w:rsidRPr="00D73FF9">
        <w:rPr>
          <w:rFonts w:ascii="Arial" w:hAnsi="Arial" w:cs="Arial" w:hint="eastAsia"/>
          <w:noProof/>
          <w:color w:val="000000"/>
          <w:sz w:val="20"/>
          <w:lang w:val="bg-BG"/>
        </w:rPr>
        <w:t>практически</w:t>
      </w:r>
      <w:r w:rsidR="00D73FF9" w:rsidRPr="00D73FF9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D73FF9" w:rsidRPr="00D73FF9">
        <w:rPr>
          <w:rFonts w:ascii="Arial" w:hAnsi="Arial" w:cs="Arial" w:hint="eastAsia"/>
          <w:noProof/>
          <w:color w:val="000000"/>
          <w:sz w:val="20"/>
          <w:lang w:val="bg-BG"/>
        </w:rPr>
        <w:t>приложим</w:t>
      </w:r>
      <w:r w:rsidR="00D73FF9" w:rsidRPr="00D73FF9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D73FF9" w:rsidRPr="00D73FF9">
        <w:rPr>
          <w:rFonts w:ascii="Arial" w:hAnsi="Arial" w:cs="Arial" w:hint="eastAsia"/>
          <w:noProof/>
          <w:color w:val="000000"/>
          <w:sz w:val="20"/>
          <w:lang w:val="bg-BG"/>
        </w:rPr>
        <w:t>модел</w:t>
      </w:r>
      <w:r w:rsidR="00D73FF9" w:rsidRPr="00D73FF9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D73FF9" w:rsidRPr="00D73FF9">
        <w:rPr>
          <w:rFonts w:ascii="Arial" w:hAnsi="Arial" w:cs="Arial" w:hint="eastAsia"/>
          <w:noProof/>
          <w:color w:val="000000"/>
          <w:sz w:val="20"/>
          <w:lang w:val="bg-BG"/>
        </w:rPr>
        <w:t>за</w:t>
      </w:r>
      <w:r w:rsidR="00D73FF9" w:rsidRPr="00D73FF9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D73FF9" w:rsidRPr="00D73FF9">
        <w:rPr>
          <w:rFonts w:ascii="Arial" w:hAnsi="Arial" w:cs="Arial" w:hint="eastAsia"/>
          <w:noProof/>
          <w:color w:val="000000"/>
          <w:sz w:val="20"/>
          <w:lang w:val="bg-BG"/>
        </w:rPr>
        <w:t>интервенции</w:t>
      </w:r>
      <w:r w:rsidR="00D73FF9" w:rsidRPr="00D73FF9">
        <w:rPr>
          <w:rFonts w:ascii="Arial" w:hAnsi="Arial" w:cs="Arial"/>
          <w:noProof/>
          <w:color w:val="000000"/>
          <w:sz w:val="20"/>
          <w:lang w:val="bg-BG"/>
        </w:rPr>
        <w:t xml:space="preserve">, </w:t>
      </w:r>
      <w:r w:rsidR="00D73FF9" w:rsidRPr="00D73FF9">
        <w:rPr>
          <w:rFonts w:ascii="Arial" w:hAnsi="Arial" w:cs="Arial" w:hint="eastAsia"/>
          <w:noProof/>
          <w:color w:val="000000"/>
          <w:sz w:val="20"/>
          <w:lang w:val="bg-BG"/>
        </w:rPr>
        <w:t>които</w:t>
      </w:r>
      <w:r w:rsidR="00D73FF9" w:rsidRPr="00D73FF9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D73FF9" w:rsidRPr="00D73FF9">
        <w:rPr>
          <w:rFonts w:ascii="Arial" w:hAnsi="Arial" w:cs="Arial" w:hint="eastAsia"/>
          <w:noProof/>
          <w:color w:val="000000"/>
          <w:sz w:val="20"/>
          <w:lang w:val="bg-BG"/>
        </w:rPr>
        <w:t>не</w:t>
      </w:r>
      <w:r w:rsidR="00D73FF9" w:rsidRPr="00D73FF9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D73FF9" w:rsidRPr="00D73FF9">
        <w:rPr>
          <w:rFonts w:ascii="Arial" w:hAnsi="Arial" w:cs="Arial" w:hint="eastAsia"/>
          <w:noProof/>
          <w:color w:val="000000"/>
          <w:sz w:val="20"/>
          <w:lang w:val="bg-BG"/>
        </w:rPr>
        <w:t>са</w:t>
      </w:r>
      <w:r w:rsidR="00D73FF9" w:rsidRPr="00D73FF9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D73FF9" w:rsidRPr="00D73FF9">
        <w:rPr>
          <w:rFonts w:ascii="Arial" w:hAnsi="Arial" w:cs="Arial" w:hint="eastAsia"/>
          <w:noProof/>
          <w:color w:val="000000"/>
          <w:sz w:val="20"/>
          <w:lang w:val="bg-BG"/>
        </w:rPr>
        <w:t>базирани</w:t>
      </w:r>
      <w:r w:rsidR="00D73FF9" w:rsidRPr="00D73FF9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D73FF9" w:rsidRPr="00D73FF9">
        <w:rPr>
          <w:rFonts w:ascii="Arial" w:hAnsi="Arial" w:cs="Arial" w:hint="eastAsia"/>
          <w:noProof/>
          <w:color w:val="000000"/>
          <w:sz w:val="20"/>
          <w:lang w:val="bg-BG"/>
        </w:rPr>
        <w:t>на</w:t>
      </w:r>
      <w:r w:rsidR="00D73FF9" w:rsidRPr="00D73FF9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D73FF9" w:rsidRPr="00D73FF9">
        <w:rPr>
          <w:rFonts w:ascii="Arial" w:hAnsi="Arial" w:cs="Arial" w:hint="eastAsia"/>
          <w:noProof/>
          <w:color w:val="000000"/>
          <w:sz w:val="20"/>
          <w:lang w:val="bg-BG"/>
        </w:rPr>
        <w:t>площ</w:t>
      </w:r>
      <w:r w:rsidR="00D73FF9" w:rsidRPr="00D73FF9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D73FF9" w:rsidRPr="00D73FF9">
        <w:rPr>
          <w:rFonts w:ascii="Arial" w:hAnsi="Arial" w:cs="Arial" w:hint="eastAsia"/>
          <w:noProof/>
          <w:color w:val="000000"/>
          <w:sz w:val="20"/>
          <w:lang w:val="bg-BG"/>
        </w:rPr>
        <w:t>и</w:t>
      </w:r>
      <w:r w:rsidR="00D73FF9" w:rsidRPr="00D73FF9">
        <w:rPr>
          <w:rFonts w:ascii="Arial" w:hAnsi="Arial" w:cs="Arial"/>
          <w:noProof/>
          <w:color w:val="000000"/>
          <w:sz w:val="20"/>
          <w:lang w:val="bg-BG"/>
        </w:rPr>
        <w:t xml:space="preserve"> </w:t>
      </w:r>
      <w:r w:rsidR="00C517FB">
        <w:rPr>
          <w:rFonts w:ascii="Arial" w:hAnsi="Arial" w:cs="Arial" w:hint="eastAsia"/>
          <w:noProof/>
          <w:color w:val="000000"/>
          <w:sz w:val="20"/>
          <w:lang w:val="bg-BG"/>
        </w:rPr>
        <w:t>животн</w:t>
      </w:r>
      <w:r w:rsidR="00C517FB">
        <w:rPr>
          <w:rFonts w:ascii="Arial" w:hAnsi="Arial" w:cs="Arial"/>
          <w:noProof/>
          <w:color w:val="000000"/>
          <w:sz w:val="20"/>
          <w:lang w:val="bg-BG"/>
        </w:rPr>
        <w:t xml:space="preserve">и. По този начин те считат, че </w:t>
      </w:r>
      <w:r w:rsidR="00C517FB" w:rsidRPr="00E8633B">
        <w:rPr>
          <w:rFonts w:ascii="Arial" w:hAnsi="Arial" w:cs="Arial"/>
          <w:noProof/>
          <w:color w:val="000000"/>
          <w:sz w:val="20"/>
          <w:lang w:val="bg-BG"/>
        </w:rPr>
        <w:t>се</w:t>
      </w:r>
      <w:r w:rsidR="00C517FB" w:rsidRPr="00E8633B">
        <w:rPr>
          <w:noProof/>
          <w:lang w:val="bg-BG"/>
        </w:rPr>
        <w:t xml:space="preserve"> </w:t>
      </w:r>
      <w:r w:rsidR="00C517FB" w:rsidRPr="00E8633B">
        <w:rPr>
          <w:rFonts w:ascii="Arial" w:hAnsi="Arial" w:cs="Arial"/>
          <w:noProof/>
          <w:color w:val="000000"/>
          <w:sz w:val="20"/>
          <w:lang w:val="bg-BG"/>
        </w:rPr>
        <w:t>намалява риска от отклонения, произтичащи от състава на избраните операции.</w:t>
      </w:r>
    </w:p>
    <w:p w:rsidR="005D5526" w:rsidRDefault="00AA6416" w:rsidP="005D5526">
      <w:pPr>
        <w:jc w:val="both"/>
        <w:rPr>
          <w:rFonts w:ascii="Arial" w:hAnsi="Arial" w:cs="Arial"/>
          <w:sz w:val="20"/>
          <w:lang w:val="bg-BG"/>
        </w:rPr>
      </w:pPr>
      <w:r>
        <w:rPr>
          <w:rFonts w:ascii="Arial" w:hAnsi="Arial" w:cs="Arial"/>
          <w:b/>
          <w:sz w:val="20"/>
          <w:lang w:val="bg-BG"/>
        </w:rPr>
        <w:t>3</w:t>
      </w:r>
      <w:r w:rsidR="005D5526">
        <w:rPr>
          <w:rFonts w:ascii="Arial" w:hAnsi="Arial" w:cs="Arial"/>
          <w:b/>
          <w:sz w:val="20"/>
          <w:lang w:val="en-US"/>
        </w:rPr>
        <w:t>.</w:t>
      </w:r>
      <w:r w:rsidR="005D5526" w:rsidRPr="004A7B23">
        <w:rPr>
          <w:rFonts w:ascii="Arial" w:hAnsi="Arial" w:cs="Arial"/>
          <w:sz w:val="20"/>
          <w:lang w:val="bg-BG"/>
        </w:rPr>
        <w:t xml:space="preserve"> </w:t>
      </w:r>
      <w:r w:rsidR="005D5526" w:rsidRPr="004A7B23">
        <w:rPr>
          <w:rFonts w:ascii="Arial" w:hAnsi="Arial" w:cs="Arial"/>
          <w:b/>
          <w:sz w:val="20"/>
          <w:lang w:val="bg-BG"/>
        </w:rPr>
        <w:t>На 29 октомври 2019 год., в Брюксел (Белгия) се проведе работен семинар на тема „Технически елементи на електронния инструмент за устойчива употреба на хранителните вещества в земеделските стопанства“.</w:t>
      </w:r>
      <w:r w:rsidR="005D5526" w:rsidRPr="004A7B23">
        <w:rPr>
          <w:rFonts w:ascii="Arial" w:hAnsi="Arial" w:cs="Arial"/>
          <w:sz w:val="20"/>
          <w:lang w:val="bg-BG"/>
        </w:rPr>
        <w:t xml:space="preserve"> Семинарът беше организиран съвместно от Финландското председателство на Съвета на ЕС и Комисията (ГД АГРИ). Целта на семинара беше да бъдат обсъдени основните технически характеристики на електронния инструмент за устойчива употреба на хранителните вещест</w:t>
      </w:r>
      <w:r w:rsidR="00B753DF">
        <w:rPr>
          <w:rFonts w:ascii="Arial" w:hAnsi="Arial" w:cs="Arial"/>
          <w:sz w:val="20"/>
          <w:lang w:val="bg-BG"/>
        </w:rPr>
        <w:t xml:space="preserve">ва в земеделските стопанства, </w:t>
      </w:r>
      <w:r w:rsidR="005D5526" w:rsidRPr="004A7B23">
        <w:rPr>
          <w:rFonts w:ascii="Arial" w:hAnsi="Arial" w:cs="Arial"/>
          <w:sz w:val="20"/>
          <w:lang w:val="bg-BG"/>
        </w:rPr>
        <w:t xml:space="preserve">ползи и потенциални затруднения от неговото прилагане. Инструментът за устойчиво управление на хранителните вещества представлява специално създаден електронен инструмент, който да се предоставя от държавите-членки на земеделските стопани, с помощта на който да бъдат изготвени планове за управление на хранителните вещества в отделните стопанства. Инструментът е част законодателното предложение на Комисията за ОСП след 2020 год., по-конкретно от предложението за Регламент за стратегическите планове, финансирани от ОСП. Според Комисията, има две основни причини за включване на инструмента в предложението за регламент. На първо място, целта им е фермерите да разполагат със съвременен инструмент за управление на хранителните вещества, като по този начин ще бъде стимулирана допълнително въвеждането на цифрови технологии в селското стопанство, както и ще се насърчат фермерите за използване на иновативни подходи в тяхната работа. Такива инструменти вече съществуват и се използват в част от ДЧ, докато при други ДЧ все още няма въведени такива практики. Друга причина е включването и използването на самия план за управление на хранителните вещества в ежедневната работа на фермерите. Комисията очаква това да подобри устойчивостта на земеделските стопанства, разбирането на фермерите за икономическите и агрономически ползи от прилагането на такъв инструмент, като в същото време допринесе за постигането на устойчиво развитие и екологичните цели на ОСП след 2020 год. Комисията предлага чрез този инструмент да се даде възможност на фермерите за получаване на информация, свързана с изготвяне на план за управление на хранителните вещества, като например характеристика на почвите и съдържанието на хранителни вещества на територията на дадено стопанство, подходящи селскостопански практики за управление и употреба на хранителните вещества, законодателни изисквания. По време на семинара беше представен опита на Ирландия и Дания от прилагането на разработени от тях и действащи сходни инструменти за управление на хранителните вещества, както и проучване, проведено в Естония, с информация, която може да подпомогне прилагането на такъв тип инструменти. След завършване на презентациите, Комисията </w:t>
      </w:r>
      <w:r w:rsidR="005D5526" w:rsidRPr="004A7B23">
        <w:rPr>
          <w:rFonts w:ascii="Arial" w:hAnsi="Arial" w:cs="Arial"/>
          <w:sz w:val="20"/>
          <w:lang w:val="bg-BG"/>
        </w:rPr>
        <w:lastRenderedPageBreak/>
        <w:t>проведе дискусия с ДЧ относно разпоредбите, включени в предложението за регламент и прилагането на инструмента.</w:t>
      </w:r>
    </w:p>
    <w:p w:rsidR="006B156E" w:rsidRDefault="006B156E" w:rsidP="005D5526">
      <w:pPr>
        <w:jc w:val="both"/>
        <w:rPr>
          <w:rFonts w:ascii="Arial" w:hAnsi="Arial" w:cs="Arial"/>
          <w:sz w:val="20"/>
          <w:lang w:val="bg-BG"/>
        </w:rPr>
      </w:pPr>
    </w:p>
    <w:p w:rsidR="006B156E" w:rsidRDefault="006B156E" w:rsidP="006B156E">
      <w:pPr>
        <w:contextualSpacing/>
        <w:jc w:val="both"/>
        <w:rPr>
          <w:rFonts w:ascii="Arial" w:hAnsi="Arial" w:cs="Arial"/>
          <w:sz w:val="20"/>
          <w:lang w:val="bg-BG"/>
        </w:rPr>
      </w:pPr>
      <w:r>
        <w:rPr>
          <w:rStyle w:val="tlid-translation"/>
          <w:rFonts w:ascii="Arial" w:hAnsi="Arial" w:cs="Arial"/>
          <w:b/>
          <w:sz w:val="20"/>
          <w:lang w:val="bg-BG"/>
        </w:rPr>
        <w:t>4</w:t>
      </w:r>
      <w:r w:rsidRPr="00045AFA">
        <w:rPr>
          <w:rStyle w:val="tlid-translation"/>
          <w:rFonts w:ascii="Arial" w:hAnsi="Arial" w:cs="Arial"/>
          <w:b/>
          <w:sz w:val="20"/>
          <w:lang w:val="bg-BG"/>
        </w:rPr>
        <w:t xml:space="preserve">.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Аграрно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>-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хранителната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политика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трябва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да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се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съсредоточи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върху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устойчивостта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,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тъй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като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е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изправена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пред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предизвикателството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да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изхрани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нарастващото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световно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население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през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следващите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десетилетия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,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според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доклад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,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изготвен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за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Коми</w:t>
      </w:r>
      <w:r>
        <w:rPr>
          <w:rStyle w:val="tlid-translation"/>
          <w:rFonts w:ascii="Arial" w:hAnsi="Arial" w:cs="Arial"/>
          <w:b/>
          <w:sz w:val="20"/>
          <w:lang w:val="bg-BG"/>
        </w:rPr>
        <w:t>сията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по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земеделие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на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Европейския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 xml:space="preserve"> </w:t>
      </w:r>
      <w:r w:rsidRPr="00CB3712">
        <w:rPr>
          <w:rStyle w:val="tlid-translation"/>
          <w:rFonts w:ascii="Arial" w:hAnsi="Arial" w:cs="Arial" w:hint="eastAsia"/>
          <w:b/>
          <w:sz w:val="20"/>
          <w:lang w:val="bg-BG"/>
        </w:rPr>
        <w:t>парламент</w:t>
      </w:r>
      <w:r w:rsidRPr="00CB3712">
        <w:rPr>
          <w:rStyle w:val="tlid-translation"/>
          <w:rFonts w:ascii="Arial" w:hAnsi="Arial" w:cs="Arial"/>
          <w:b/>
          <w:sz w:val="20"/>
          <w:lang w:val="bg-BG"/>
        </w:rPr>
        <w:t>.</w:t>
      </w:r>
      <w:r w:rsidRPr="0089658F">
        <w:rPr>
          <w:rFonts w:hint="eastAsia"/>
        </w:rPr>
        <w:t xml:space="preserve"> </w:t>
      </w:r>
      <w:r w:rsidRPr="00045AFA">
        <w:rPr>
          <w:rFonts w:ascii="Arial" w:hAnsi="Arial" w:cs="Arial"/>
          <w:sz w:val="20"/>
          <w:lang w:val="bg-BG"/>
        </w:rPr>
        <w:t xml:space="preserve">Докладът със заглавие „Мега тенденции в </w:t>
      </w:r>
      <w:proofErr w:type="spellStart"/>
      <w:r w:rsidRPr="00045AFA">
        <w:rPr>
          <w:rFonts w:ascii="Arial" w:hAnsi="Arial" w:cs="Arial"/>
          <w:sz w:val="20"/>
          <w:lang w:val="bg-BG"/>
        </w:rPr>
        <w:t>агро-хранителния</w:t>
      </w:r>
      <w:proofErr w:type="spellEnd"/>
      <w:r w:rsidRPr="00045AFA">
        <w:rPr>
          <w:rFonts w:ascii="Arial" w:hAnsi="Arial" w:cs="Arial"/>
          <w:sz w:val="20"/>
          <w:lang w:val="bg-BG"/>
        </w:rPr>
        <w:t xml:space="preserve"> сектор: глобален преглед и възможни отговори на политика</w:t>
      </w:r>
      <w:r>
        <w:rPr>
          <w:rFonts w:ascii="Arial" w:hAnsi="Arial" w:cs="Arial"/>
          <w:sz w:val="20"/>
          <w:lang w:val="bg-BG"/>
        </w:rPr>
        <w:t>та</w:t>
      </w:r>
      <w:r w:rsidRPr="00045AFA">
        <w:rPr>
          <w:rFonts w:ascii="Arial" w:hAnsi="Arial" w:cs="Arial"/>
          <w:sz w:val="20"/>
          <w:lang w:val="bg-BG"/>
        </w:rPr>
        <w:t xml:space="preserve"> от перспективата на ЕС“ е подготвен от департамента „Структурни и </w:t>
      </w:r>
      <w:proofErr w:type="spellStart"/>
      <w:r w:rsidRPr="00045AFA">
        <w:rPr>
          <w:rFonts w:ascii="Arial" w:hAnsi="Arial" w:cs="Arial"/>
          <w:sz w:val="20"/>
          <w:lang w:val="bg-BG"/>
        </w:rPr>
        <w:t>кохезионни</w:t>
      </w:r>
      <w:proofErr w:type="spellEnd"/>
      <w:r w:rsidRPr="00045AFA">
        <w:rPr>
          <w:rFonts w:ascii="Arial" w:hAnsi="Arial" w:cs="Arial"/>
          <w:sz w:val="20"/>
          <w:lang w:val="bg-BG"/>
        </w:rPr>
        <w:t xml:space="preserve"> политики“ на ЕП, по искане на комисията. Докладът изследва как и дали селското стопанство може да достигне необходимото удвояване на производството, за да успее да изхрани очакваното нарастване на световното население до близо 10 млрд. души през 2050 год. Докладът и неговите заключ</w:t>
      </w:r>
      <w:r>
        <w:rPr>
          <w:rFonts w:ascii="Arial" w:hAnsi="Arial" w:cs="Arial"/>
          <w:sz w:val="20"/>
          <w:lang w:val="bg-BG"/>
        </w:rPr>
        <w:t>ения ще бъдат представени пред К</w:t>
      </w:r>
      <w:r w:rsidRPr="00045AFA">
        <w:rPr>
          <w:rFonts w:ascii="Arial" w:hAnsi="Arial" w:cs="Arial"/>
          <w:sz w:val="20"/>
          <w:lang w:val="bg-BG"/>
        </w:rPr>
        <w:t>омисията</w:t>
      </w:r>
      <w:r>
        <w:rPr>
          <w:rFonts w:ascii="Arial" w:hAnsi="Arial" w:cs="Arial"/>
          <w:sz w:val="20"/>
          <w:lang w:val="bg-BG"/>
        </w:rPr>
        <w:t xml:space="preserve"> по з</w:t>
      </w:r>
      <w:r w:rsidRPr="00045AFA">
        <w:rPr>
          <w:rFonts w:ascii="Arial" w:hAnsi="Arial" w:cs="Arial"/>
          <w:sz w:val="20"/>
          <w:lang w:val="bg-BG"/>
        </w:rPr>
        <w:t xml:space="preserve">емеделие на 5 ноември. </w:t>
      </w:r>
      <w:r>
        <w:rPr>
          <w:rFonts w:ascii="Arial" w:hAnsi="Arial" w:cs="Arial"/>
          <w:sz w:val="20"/>
          <w:lang w:val="bg-BG"/>
        </w:rPr>
        <w:t>В него се</w:t>
      </w:r>
      <w:r w:rsidRPr="00045AFA">
        <w:rPr>
          <w:rFonts w:ascii="Arial" w:hAnsi="Arial" w:cs="Arial"/>
          <w:sz w:val="20"/>
          <w:lang w:val="bg-BG"/>
        </w:rPr>
        <w:t xml:space="preserve"> задава въпроса дали е възможно да бъде постигнато необходимото увеличение в селскостопанското производство</w:t>
      </w:r>
      <w:r>
        <w:rPr>
          <w:rFonts w:ascii="Arial" w:hAnsi="Arial" w:cs="Arial"/>
          <w:sz w:val="20"/>
          <w:lang w:val="bg-BG"/>
        </w:rPr>
        <w:t>,</w:t>
      </w:r>
      <w:r w:rsidRPr="00045AFA">
        <w:rPr>
          <w:rFonts w:ascii="Arial" w:hAnsi="Arial" w:cs="Arial"/>
          <w:sz w:val="20"/>
          <w:lang w:val="bg-BG"/>
        </w:rPr>
        <w:t xml:space="preserve"> без това да причини непоправими щети на планетата. Заключението е, че „устойчиво и ефективно потребление на земните и водните ресурси чрез употреба на нови технологии може да повиши добивите</w:t>
      </w:r>
      <w:r>
        <w:rPr>
          <w:rFonts w:ascii="Arial" w:hAnsi="Arial" w:cs="Arial"/>
          <w:sz w:val="20"/>
          <w:lang w:val="bg-BG"/>
        </w:rPr>
        <w:t>,</w:t>
      </w:r>
      <w:r w:rsidRPr="00045AFA">
        <w:rPr>
          <w:rFonts w:ascii="Arial" w:hAnsi="Arial" w:cs="Arial"/>
          <w:sz w:val="20"/>
          <w:lang w:val="bg-BG"/>
        </w:rPr>
        <w:t xml:space="preserve"> без да има необходимост от разширяване на обработваемата земя“, като изрично подчертава, че „повишената ефективност при употребата на водни ресурси е от съществено значение“. Докладът призовава също за „основна трансформация при храненето“, като се повиши информираността относно екологично-устойчиви</w:t>
      </w:r>
      <w:r>
        <w:rPr>
          <w:rFonts w:ascii="Arial" w:hAnsi="Arial" w:cs="Arial"/>
          <w:sz w:val="20"/>
          <w:lang w:val="bg-BG"/>
        </w:rPr>
        <w:t>те</w:t>
      </w:r>
      <w:r w:rsidRPr="00045AFA">
        <w:rPr>
          <w:rFonts w:ascii="Arial" w:hAnsi="Arial" w:cs="Arial"/>
          <w:sz w:val="20"/>
          <w:lang w:val="bg-BG"/>
        </w:rPr>
        <w:t xml:space="preserve"> модели на хранене и въвеждане на законодателство относно отпадъците от храни. Докладът заявява, че „особено във високо развитите страни, това може да допринесе </w:t>
      </w:r>
      <w:r>
        <w:rPr>
          <w:rFonts w:ascii="Arial" w:hAnsi="Arial" w:cs="Arial"/>
          <w:sz w:val="20"/>
          <w:lang w:val="bg-BG"/>
        </w:rPr>
        <w:t>за</w:t>
      </w:r>
      <w:r w:rsidRPr="00045AFA">
        <w:rPr>
          <w:rFonts w:ascii="Arial" w:hAnsi="Arial" w:cs="Arial"/>
          <w:sz w:val="20"/>
          <w:lang w:val="bg-BG"/>
        </w:rPr>
        <w:t xml:space="preserve"> възприемане на по-балансиран начин на хранене, който да включва по-малко количество животински продукти и повече плодове и зеленчуци“. В доклада се препоръчва също</w:t>
      </w:r>
      <w:r>
        <w:rPr>
          <w:rFonts w:ascii="Arial" w:hAnsi="Arial" w:cs="Arial"/>
          <w:sz w:val="20"/>
          <w:lang w:val="bg-BG"/>
        </w:rPr>
        <w:t xml:space="preserve"> да има </w:t>
      </w:r>
      <w:r w:rsidRPr="00045AFA">
        <w:rPr>
          <w:rFonts w:ascii="Arial" w:hAnsi="Arial" w:cs="Arial"/>
          <w:sz w:val="20"/>
          <w:lang w:val="bg-BG"/>
        </w:rPr>
        <w:t>по-високи цени за хранителни</w:t>
      </w:r>
      <w:r>
        <w:rPr>
          <w:rFonts w:ascii="Arial" w:hAnsi="Arial" w:cs="Arial"/>
          <w:sz w:val="20"/>
          <w:lang w:val="bg-BG"/>
        </w:rPr>
        <w:t>те</w:t>
      </w:r>
      <w:r w:rsidRPr="00045AFA">
        <w:rPr>
          <w:rFonts w:ascii="Arial" w:hAnsi="Arial" w:cs="Arial"/>
          <w:sz w:val="20"/>
          <w:lang w:val="bg-BG"/>
        </w:rPr>
        <w:t xml:space="preserve"> продукти, тъй ка</w:t>
      </w:r>
      <w:r>
        <w:rPr>
          <w:rFonts w:ascii="Arial" w:hAnsi="Arial" w:cs="Arial"/>
          <w:sz w:val="20"/>
          <w:lang w:val="bg-BG"/>
        </w:rPr>
        <w:t>то „ниските цени на храните могат</w:t>
      </w:r>
      <w:r w:rsidRPr="00045AFA">
        <w:rPr>
          <w:rFonts w:ascii="Arial" w:hAnsi="Arial" w:cs="Arial"/>
          <w:sz w:val="20"/>
          <w:lang w:val="bg-BG"/>
        </w:rPr>
        <w:t xml:space="preserve"> да нас</w:t>
      </w:r>
      <w:r>
        <w:rPr>
          <w:rFonts w:ascii="Arial" w:hAnsi="Arial" w:cs="Arial"/>
          <w:sz w:val="20"/>
          <w:lang w:val="bg-BG"/>
        </w:rPr>
        <w:t>ърчат</w:t>
      </w:r>
      <w:r w:rsidRPr="00045AFA">
        <w:rPr>
          <w:rFonts w:ascii="Arial" w:hAnsi="Arial" w:cs="Arial"/>
          <w:sz w:val="20"/>
          <w:lang w:val="bg-BG"/>
        </w:rPr>
        <w:t xml:space="preserve"> прекалената употреба на природни ресурси и свръх консумация на храни</w:t>
      </w:r>
      <w:r>
        <w:rPr>
          <w:rFonts w:ascii="Arial" w:hAnsi="Arial" w:cs="Arial"/>
          <w:sz w:val="20"/>
          <w:lang w:val="bg-BG"/>
        </w:rPr>
        <w:t xml:space="preserve">, а оттам </w:t>
      </w:r>
      <w:r w:rsidRPr="00045AFA">
        <w:rPr>
          <w:rFonts w:ascii="Arial" w:hAnsi="Arial" w:cs="Arial"/>
          <w:sz w:val="20"/>
          <w:lang w:val="bg-BG"/>
        </w:rPr>
        <w:t xml:space="preserve">до проблеми и увеличени отпадъци от храна“. Докладът изследва </w:t>
      </w:r>
      <w:r>
        <w:rPr>
          <w:rFonts w:ascii="Arial" w:hAnsi="Arial" w:cs="Arial"/>
          <w:sz w:val="20"/>
          <w:lang w:val="bg-BG"/>
        </w:rPr>
        <w:t>и</w:t>
      </w:r>
      <w:r w:rsidRPr="00045AFA">
        <w:rPr>
          <w:rFonts w:ascii="Arial" w:hAnsi="Arial" w:cs="Arial"/>
          <w:sz w:val="20"/>
          <w:lang w:val="bg-BG"/>
        </w:rPr>
        <w:t xml:space="preserve"> възможности за осигуряване </w:t>
      </w:r>
      <w:r>
        <w:rPr>
          <w:rFonts w:ascii="Arial" w:hAnsi="Arial" w:cs="Arial"/>
          <w:sz w:val="20"/>
          <w:lang w:val="bg-BG"/>
        </w:rPr>
        <w:t xml:space="preserve">на </w:t>
      </w:r>
      <w:r w:rsidRPr="00045AFA">
        <w:rPr>
          <w:rFonts w:ascii="Arial" w:hAnsi="Arial" w:cs="Arial"/>
          <w:sz w:val="20"/>
          <w:lang w:val="bg-BG"/>
        </w:rPr>
        <w:t>приноса на селското стопанство към намаляване на емисиите от парникови газове, като в същото време</w:t>
      </w:r>
      <w:r>
        <w:rPr>
          <w:rFonts w:ascii="Arial" w:hAnsi="Arial" w:cs="Arial"/>
          <w:sz w:val="20"/>
          <w:lang w:val="bg-BG"/>
        </w:rPr>
        <w:t xml:space="preserve"> трябва да</w:t>
      </w:r>
      <w:r w:rsidRPr="00045AFA">
        <w:rPr>
          <w:rFonts w:ascii="Arial" w:hAnsi="Arial" w:cs="Arial"/>
          <w:sz w:val="20"/>
          <w:lang w:val="bg-BG"/>
        </w:rPr>
        <w:t xml:space="preserve"> отговори на повишеното търсене на храни. В тази връзка, </w:t>
      </w:r>
      <w:r>
        <w:rPr>
          <w:rFonts w:ascii="Arial" w:hAnsi="Arial" w:cs="Arial"/>
          <w:sz w:val="20"/>
          <w:lang w:val="bg-BG"/>
        </w:rPr>
        <w:t>в доклада се</w:t>
      </w:r>
      <w:r w:rsidRPr="00045AFA">
        <w:rPr>
          <w:rFonts w:ascii="Arial" w:hAnsi="Arial" w:cs="Arial"/>
          <w:sz w:val="20"/>
          <w:lang w:val="bg-BG"/>
        </w:rPr>
        <w:t xml:space="preserve"> заявява, че „значителни инвестиции са необходими, за да се намалят емисиите от парникови газове, като в същото време се сведе до минимум влиянието на </w:t>
      </w:r>
      <w:proofErr w:type="spellStart"/>
      <w:r w:rsidRPr="00045AFA">
        <w:rPr>
          <w:rFonts w:ascii="Arial" w:hAnsi="Arial" w:cs="Arial"/>
          <w:sz w:val="20"/>
          <w:lang w:val="bg-BG"/>
        </w:rPr>
        <w:t>агро-хранителните</w:t>
      </w:r>
      <w:proofErr w:type="spellEnd"/>
      <w:r w:rsidRPr="00045AFA">
        <w:rPr>
          <w:rFonts w:ascii="Arial" w:hAnsi="Arial" w:cs="Arial"/>
          <w:sz w:val="20"/>
          <w:lang w:val="bg-BG"/>
        </w:rPr>
        <w:t xml:space="preserve"> системи върху климатичните промени“. След преглед на няколко възможни сценарии за развитие, основното заключение на доклада е „устойчивост за всички“. </w:t>
      </w:r>
      <w:r>
        <w:rPr>
          <w:rFonts w:ascii="Arial" w:hAnsi="Arial" w:cs="Arial"/>
          <w:sz w:val="20"/>
          <w:lang w:val="bg-BG"/>
        </w:rPr>
        <w:t>В д</w:t>
      </w:r>
      <w:r w:rsidRPr="00045AFA">
        <w:rPr>
          <w:rFonts w:ascii="Arial" w:hAnsi="Arial" w:cs="Arial"/>
          <w:sz w:val="20"/>
          <w:lang w:val="bg-BG"/>
        </w:rPr>
        <w:t>оклад</w:t>
      </w:r>
      <w:r>
        <w:rPr>
          <w:rFonts w:ascii="Arial" w:hAnsi="Arial" w:cs="Arial"/>
          <w:sz w:val="20"/>
          <w:lang w:val="bg-BG"/>
        </w:rPr>
        <w:t>а се посочва</w:t>
      </w:r>
      <w:r w:rsidRPr="00045AFA">
        <w:rPr>
          <w:rFonts w:ascii="Arial" w:hAnsi="Arial" w:cs="Arial"/>
          <w:sz w:val="20"/>
          <w:lang w:val="bg-BG"/>
        </w:rPr>
        <w:t>, че „политиците трябва да се фокусират върху производството в селското стопанство и да предвидят нови инициативи в предложението за новата ОСП след 2020 год. за увеличаване на селскостопанската продукция в ЕС, като в същото време се търсят начини за насърчаване усвояването и обмена на нови цифрови технологии в селското стопанство“. Устойчивостта трябва да е основна цел на всички етапи и нива в продоволствената верига. Също така, ЕС трябва да продължи да подкрепя и насърчава световни инициативи за намаляване на вредните емисии, като например Парижкото споразумение или такива, които са насочени към запазване на биоразнообразието. В допълнение, при сключване на своите външно-търговски споразумение, ЕС трябва да предвиди клаузи за опазване на околната среда, както и спазване на поетите ангажиментите за намаляване на парниковите газове.</w:t>
      </w:r>
    </w:p>
    <w:p w:rsidR="00DC5A8E" w:rsidRPr="00045AFA" w:rsidRDefault="00DC5A8E" w:rsidP="00DA4860">
      <w:pPr>
        <w:contextualSpacing/>
        <w:jc w:val="both"/>
        <w:rPr>
          <w:rFonts w:ascii="Arial" w:hAnsi="Arial" w:cs="Arial"/>
          <w:color w:val="000000"/>
          <w:sz w:val="20"/>
        </w:rPr>
      </w:pPr>
    </w:p>
    <w:p w:rsidR="006608EE" w:rsidRPr="00045AFA" w:rsidRDefault="006608EE" w:rsidP="005D5526">
      <w:pPr>
        <w:contextualSpacing/>
        <w:jc w:val="both"/>
        <w:rPr>
          <w:rStyle w:val="tlid-translation"/>
          <w:rFonts w:ascii="Arial" w:hAnsi="Arial" w:cs="Arial"/>
          <w:b/>
          <w:sz w:val="20"/>
          <w:lang w:val="en-US"/>
        </w:rPr>
      </w:pPr>
      <w:bookmarkStart w:id="0" w:name="_GoBack"/>
      <w:bookmarkEnd w:id="0"/>
    </w:p>
    <w:p w:rsidR="005D5526" w:rsidRDefault="005D5526" w:rsidP="00320AF0">
      <w:pPr>
        <w:jc w:val="both"/>
        <w:rPr>
          <w:rFonts w:ascii="Arial" w:hAnsi="Arial" w:cs="Arial"/>
          <w:b/>
          <w:sz w:val="20"/>
          <w:lang w:val="bg-BG"/>
        </w:rPr>
      </w:pPr>
    </w:p>
    <w:p w:rsidR="005D5526" w:rsidRDefault="005D5526" w:rsidP="00320AF0">
      <w:pPr>
        <w:jc w:val="both"/>
        <w:rPr>
          <w:rFonts w:ascii="Arial" w:hAnsi="Arial" w:cs="Arial"/>
          <w:b/>
          <w:sz w:val="20"/>
          <w:lang w:val="bg-BG"/>
        </w:rPr>
      </w:pPr>
    </w:p>
    <w:p w:rsidR="005D5526" w:rsidRDefault="005D5526" w:rsidP="00320AF0">
      <w:pPr>
        <w:jc w:val="both"/>
        <w:rPr>
          <w:rFonts w:ascii="Arial" w:hAnsi="Arial" w:cs="Arial"/>
          <w:b/>
          <w:sz w:val="20"/>
          <w:lang w:val="bg-BG"/>
        </w:rPr>
      </w:pPr>
    </w:p>
    <w:sectPr w:rsidR="005D5526" w:rsidSect="00852688">
      <w:headerReference w:type="default" r:id="rId8"/>
      <w:footerReference w:type="even" r:id="rId9"/>
      <w:footerReference w:type="default" r:id="rId10"/>
      <w:pgSz w:w="11906" w:h="16838"/>
      <w:pgMar w:top="709" w:right="926" w:bottom="360" w:left="1080" w:header="533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AFD" w:rsidRDefault="00CD0AFD">
      <w:r>
        <w:separator/>
      </w:r>
    </w:p>
  </w:endnote>
  <w:endnote w:type="continuationSeparator" w:id="0">
    <w:p w:rsidR="00CD0AFD" w:rsidRDefault="00CD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E1" w:rsidRDefault="00403CB9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5618E1" w:rsidRDefault="00CD0AF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B3" w:rsidRPr="004B3CB3" w:rsidRDefault="00CD0AFD" w:rsidP="004B3CB3">
    <w:pPr>
      <w:pStyle w:val="Footer"/>
      <w:pBdr>
        <w:bottom w:val="single" w:sz="4" w:space="1" w:color="7030A0"/>
      </w:pBdr>
      <w:ind w:right="-23"/>
      <w:rPr>
        <w:rFonts w:ascii="Arial" w:hAnsi="Arial"/>
        <w:i/>
        <w:iCs/>
        <w:color w:val="800080"/>
        <w:sz w:val="18"/>
        <w:szCs w:val="18"/>
        <w:lang w:val="en-US"/>
      </w:rPr>
    </w:pPr>
  </w:p>
  <w:p w:rsidR="004B3CB3" w:rsidRPr="004B3CB3" w:rsidRDefault="0017585C" w:rsidP="004B3CB3">
    <w:pPr>
      <w:pStyle w:val="Footer"/>
      <w:ind w:right="-23"/>
      <w:rPr>
        <w:rFonts w:ascii="Arial" w:hAnsi="Arial" w:cs="Arial"/>
        <w:i/>
        <w:sz w:val="20"/>
        <w:lang w:val="ru-RU"/>
      </w:rPr>
    </w:pPr>
    <w:r>
      <w:rPr>
        <w:rFonts w:ascii="Arial" w:hAnsi="Arial"/>
        <w:i/>
        <w:iCs/>
        <w:color w:val="800080"/>
        <w:sz w:val="18"/>
        <w:szCs w:val="18"/>
        <w:lang w:val="bg-BG"/>
      </w:rPr>
      <w:t>Дирекции „Директни плащания</w:t>
    </w:r>
    <w:r w:rsidR="00403CB9">
      <w:rPr>
        <w:rFonts w:ascii="Arial" w:hAnsi="Arial"/>
        <w:i/>
        <w:iCs/>
        <w:color w:val="800080"/>
        <w:sz w:val="18"/>
        <w:szCs w:val="18"/>
        <w:lang w:val="bg-BG"/>
      </w:rPr>
      <w:t>” и „Пазарни мерки и организации на производители“, МЗХГ</w:t>
    </w:r>
    <w:r w:rsidR="00403CB9"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>
      <w:rPr>
        <w:rFonts w:ascii="Arial" w:hAnsi="Arial"/>
        <w:i/>
        <w:iCs/>
        <w:color w:val="800080"/>
        <w:sz w:val="18"/>
        <w:szCs w:val="18"/>
        <w:lang w:val="ru-RU"/>
      </w:rPr>
      <w:tab/>
      <w:t>3</w:t>
    </w:r>
  </w:p>
  <w:p w:rsidR="005618E1" w:rsidRPr="004B3CB3" w:rsidRDefault="00CD0AFD">
    <w:pPr>
      <w:pStyle w:val="Footer"/>
      <w:ind w:right="360"/>
      <w:rPr>
        <w:rFonts w:ascii="Arial" w:hAnsi="Arial"/>
        <w:i/>
        <w:iCs/>
        <w:color w:val="800080"/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AFD" w:rsidRDefault="00CD0AFD">
      <w:r>
        <w:separator/>
      </w:r>
    </w:p>
  </w:footnote>
  <w:footnote w:type="continuationSeparator" w:id="0">
    <w:p w:rsidR="00CD0AFD" w:rsidRDefault="00CD0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379"/>
      <w:gridCol w:w="2535"/>
    </w:tblGrid>
    <w:tr w:rsidR="005618E1">
      <w:trPr>
        <w:trHeight w:val="495"/>
      </w:trPr>
      <w:tc>
        <w:tcPr>
          <w:tcW w:w="7379" w:type="dxa"/>
        </w:tcPr>
        <w:p w:rsidR="005618E1" w:rsidRDefault="00403CB9">
          <w:pPr>
            <w:rPr>
              <w:lang w:val="bg-BG"/>
            </w:rPr>
          </w:pPr>
          <w:r>
            <w:rPr>
              <w:rFonts w:ascii="Palatino Linotype" w:hAnsi="Palatino Linotype" w:cs="Palatino Linotype"/>
              <w:i/>
              <w:iCs/>
              <w:noProof/>
              <w:sz w:val="52"/>
              <w:szCs w:val="52"/>
              <w:lang w:val="bg-BG" w:eastAsia="bg-BG"/>
            </w:rPr>
            <w:drawing>
              <wp:inline distT="0" distB="0" distL="0" distR="0" wp14:anchorId="04532915" wp14:editId="055BB44B">
                <wp:extent cx="233680" cy="2127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bg-BG"/>
            </w:rPr>
            <w:t>INFO SHEET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bg-BG"/>
            </w:rPr>
            <w:t xml:space="preserve">         </w:t>
          </w:r>
        </w:p>
      </w:tc>
      <w:tc>
        <w:tcPr>
          <w:tcW w:w="2535" w:type="dxa"/>
          <w:vMerge w:val="restart"/>
          <w:tcBorders>
            <w:bottom w:val="single" w:sz="24" w:space="0" w:color="0000FF"/>
          </w:tcBorders>
          <w:vAlign w:val="center"/>
        </w:tcPr>
        <w:p w:rsidR="005618E1" w:rsidRDefault="00CD0AFD" w:rsidP="00831EFF">
          <w:pPr>
            <w:jc w:val="right"/>
            <w:rPr>
              <w:rFonts w:ascii="Comic Sans MS" w:hAnsi="Comic Sans MS" w:cs="Arial"/>
              <w:b/>
              <w:color w:val="640064"/>
              <w:sz w:val="18"/>
              <w:szCs w:val="18"/>
              <w:lang w:val="bg-BG"/>
            </w:rPr>
          </w:pPr>
        </w:p>
        <w:p w:rsidR="005618E1" w:rsidRDefault="00403CB9" w:rsidP="00FB1F3E">
          <w:pPr>
            <w:jc w:val="right"/>
            <w:rPr>
              <w:color w:val="640064"/>
              <w:sz w:val="18"/>
              <w:szCs w:val="18"/>
              <w:lang w:val="en-US"/>
            </w:rPr>
          </w:pP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bg-BG"/>
            </w:rPr>
            <w:t>DIRECT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bg-BG"/>
            </w:rPr>
            <w:t>PAYMENTS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bg-BG"/>
            </w:rPr>
            <w:br/>
          </w:r>
          <w:r w:rsidR="008836F2"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MARKET SUPP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ORT</w:t>
          </w:r>
        </w:p>
      </w:tc>
    </w:tr>
    <w:tr w:rsidR="005618E1">
      <w:trPr>
        <w:trHeight w:val="241"/>
      </w:trPr>
      <w:tc>
        <w:tcPr>
          <w:tcW w:w="7379" w:type="dxa"/>
          <w:tcBorders>
            <w:bottom w:val="single" w:sz="24" w:space="0" w:color="0000FF"/>
          </w:tcBorders>
        </w:tcPr>
        <w:p w:rsidR="005618E1" w:rsidRDefault="00403CB9">
          <w:pPr>
            <w:rPr>
              <w:sz w:val="20"/>
              <w:lang w:val="ru-RU"/>
            </w:rPr>
          </w:pPr>
          <w:r>
            <w:rPr>
              <w:rFonts w:ascii="Arial" w:hAnsi="Arial"/>
              <w:b/>
              <w:color w:val="800080"/>
              <w:sz w:val="20"/>
              <w:lang w:val="bg-BG"/>
            </w:rPr>
            <w:t>Събития</w:t>
          </w:r>
          <w:r>
            <w:rPr>
              <w:rFonts w:ascii="Arial" w:hAnsi="Arial"/>
              <w:b/>
              <w:color w:val="800080"/>
              <w:sz w:val="20"/>
              <w:lang w:val="ru-RU"/>
            </w:rPr>
            <w:t>та</w:t>
          </w:r>
          <w:r>
            <w:rPr>
              <w:rFonts w:ascii="Arial" w:hAnsi="Arial"/>
              <w:b/>
              <w:color w:val="800080"/>
              <w:sz w:val="20"/>
              <w:lang w:val="bg-BG"/>
            </w:rPr>
            <w:t xml:space="preserve"> от изминалата седмица          </w:t>
          </w:r>
        </w:p>
      </w:tc>
      <w:tc>
        <w:tcPr>
          <w:tcW w:w="2535" w:type="dxa"/>
          <w:vMerge/>
          <w:tcBorders>
            <w:top w:val="single" w:sz="4" w:space="0" w:color="auto"/>
            <w:bottom w:val="single" w:sz="24" w:space="0" w:color="0000FF"/>
          </w:tcBorders>
        </w:tcPr>
        <w:p w:rsidR="005618E1" w:rsidRDefault="00CD0AFD">
          <w:pPr>
            <w:rPr>
              <w:lang w:val="ru-RU"/>
            </w:rPr>
          </w:pPr>
        </w:p>
      </w:tc>
    </w:tr>
  </w:tbl>
  <w:p w:rsidR="005618E1" w:rsidRPr="008C0AED" w:rsidRDefault="00403CB9" w:rsidP="0076290D">
    <w:pPr>
      <w:ind w:left="2835" w:firstLine="567"/>
      <w:jc w:val="right"/>
      <w:rPr>
        <w:rFonts w:ascii="Arial" w:hAnsi="Arial"/>
        <w:b/>
        <w:bCs/>
        <w:color w:val="800080"/>
        <w:sz w:val="20"/>
        <w:lang w:val="en-US"/>
      </w:rPr>
    </w:pPr>
    <w:r>
      <w:rPr>
        <w:rFonts w:ascii="Arial" w:hAnsi="Arial" w:cs="Arial"/>
        <w:b/>
        <w:i/>
        <w:color w:val="8D9DE3"/>
        <w:sz w:val="32"/>
        <w:szCs w:val="32"/>
        <w:lang w:val="bg-BG"/>
      </w:rPr>
      <w:tab/>
    </w:r>
    <w:r w:rsidR="007F4E89">
      <w:rPr>
        <w:rFonts w:ascii="Arial" w:hAnsi="Arial"/>
        <w:b/>
        <w:bCs/>
        <w:color w:val="800080"/>
        <w:sz w:val="20"/>
        <w:lang w:val="en-US"/>
      </w:rPr>
      <w:t>3</w:t>
    </w:r>
    <w:r w:rsidR="00750FB4">
      <w:rPr>
        <w:rFonts w:ascii="Arial" w:hAnsi="Arial"/>
        <w:b/>
        <w:bCs/>
        <w:color w:val="800080"/>
        <w:sz w:val="20"/>
        <w:lang w:val="en-US"/>
      </w:rPr>
      <w:t>94</w:t>
    </w:r>
    <w:r>
      <w:rPr>
        <w:rFonts w:ascii="Arial" w:hAnsi="Arial"/>
        <w:b/>
        <w:bCs/>
        <w:color w:val="800080"/>
        <w:sz w:val="20"/>
        <w:lang w:val="bg-BG"/>
      </w:rPr>
      <w:t>/</w:t>
    </w:r>
    <w:r w:rsidR="00750FB4">
      <w:rPr>
        <w:rFonts w:ascii="Arial" w:hAnsi="Arial"/>
        <w:b/>
        <w:bCs/>
        <w:color w:val="800080"/>
        <w:sz w:val="20"/>
        <w:lang w:val="en-US"/>
      </w:rPr>
      <w:t>04.11</w:t>
    </w:r>
    <w:r>
      <w:rPr>
        <w:rFonts w:ascii="Arial" w:hAnsi="Arial"/>
        <w:b/>
        <w:bCs/>
        <w:color w:val="800080"/>
        <w:sz w:val="20"/>
        <w:lang w:val="bg-BG"/>
      </w:rPr>
      <w:t>.201</w:t>
    </w:r>
    <w:r>
      <w:rPr>
        <w:rFonts w:ascii="Arial" w:hAnsi="Arial"/>
        <w:b/>
        <w:bCs/>
        <w:color w:val="800080"/>
        <w:sz w:val="20"/>
        <w:lang w:val="en-US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9FB"/>
    <w:multiLevelType w:val="hybridMultilevel"/>
    <w:tmpl w:val="443AC382"/>
    <w:lvl w:ilvl="0" w:tplc="0402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">
    <w:nsid w:val="0A9F1547"/>
    <w:multiLevelType w:val="hybridMultilevel"/>
    <w:tmpl w:val="D4A42A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B71CA"/>
    <w:multiLevelType w:val="hybridMultilevel"/>
    <w:tmpl w:val="27149D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1B4D8B"/>
    <w:multiLevelType w:val="hybridMultilevel"/>
    <w:tmpl w:val="28967A8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B86231"/>
    <w:multiLevelType w:val="hybridMultilevel"/>
    <w:tmpl w:val="7EF2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09077C"/>
    <w:multiLevelType w:val="hybridMultilevel"/>
    <w:tmpl w:val="41246D0A"/>
    <w:lvl w:ilvl="0" w:tplc="7C16BE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B9"/>
    <w:rsid w:val="00000E7B"/>
    <w:rsid w:val="00011A74"/>
    <w:rsid w:val="0002497A"/>
    <w:rsid w:val="000330A2"/>
    <w:rsid w:val="00042180"/>
    <w:rsid w:val="00045AFA"/>
    <w:rsid w:val="00046D50"/>
    <w:rsid w:val="0004775C"/>
    <w:rsid w:val="00081DAE"/>
    <w:rsid w:val="00091CD4"/>
    <w:rsid w:val="000A31F0"/>
    <w:rsid w:val="000C4CA6"/>
    <w:rsid w:val="00131A6D"/>
    <w:rsid w:val="00134872"/>
    <w:rsid w:val="0013606E"/>
    <w:rsid w:val="0014608C"/>
    <w:rsid w:val="001639CC"/>
    <w:rsid w:val="00173E25"/>
    <w:rsid w:val="0017585C"/>
    <w:rsid w:val="00180441"/>
    <w:rsid w:val="00186654"/>
    <w:rsid w:val="001E1EAA"/>
    <w:rsid w:val="001E4C01"/>
    <w:rsid w:val="001F2EC7"/>
    <w:rsid w:val="00221CDF"/>
    <w:rsid w:val="00227261"/>
    <w:rsid w:val="002572AC"/>
    <w:rsid w:val="002610A9"/>
    <w:rsid w:val="00274F4E"/>
    <w:rsid w:val="00285183"/>
    <w:rsid w:val="0029220D"/>
    <w:rsid w:val="0029463A"/>
    <w:rsid w:val="002A5150"/>
    <w:rsid w:val="002A6A4C"/>
    <w:rsid w:val="002D25F9"/>
    <w:rsid w:val="002E263E"/>
    <w:rsid w:val="002F1104"/>
    <w:rsid w:val="002F6211"/>
    <w:rsid w:val="00300FA3"/>
    <w:rsid w:val="00304D05"/>
    <w:rsid w:val="00313FBA"/>
    <w:rsid w:val="00320AF0"/>
    <w:rsid w:val="00353ACF"/>
    <w:rsid w:val="003877CA"/>
    <w:rsid w:val="003952CE"/>
    <w:rsid w:val="003A1C41"/>
    <w:rsid w:val="003A56BA"/>
    <w:rsid w:val="003B7AAB"/>
    <w:rsid w:val="003C1BFF"/>
    <w:rsid w:val="003E118D"/>
    <w:rsid w:val="003E5CB2"/>
    <w:rsid w:val="00403CB9"/>
    <w:rsid w:val="004133A8"/>
    <w:rsid w:val="00422311"/>
    <w:rsid w:val="00425D64"/>
    <w:rsid w:val="0044148C"/>
    <w:rsid w:val="00446398"/>
    <w:rsid w:val="004923C1"/>
    <w:rsid w:val="004C396F"/>
    <w:rsid w:val="004D7EAA"/>
    <w:rsid w:val="004E4D5F"/>
    <w:rsid w:val="00502A0A"/>
    <w:rsid w:val="005247A5"/>
    <w:rsid w:val="005361B0"/>
    <w:rsid w:val="00537A32"/>
    <w:rsid w:val="005A0184"/>
    <w:rsid w:val="005B4574"/>
    <w:rsid w:val="005C1BB7"/>
    <w:rsid w:val="005C7F34"/>
    <w:rsid w:val="005D5526"/>
    <w:rsid w:val="006057E2"/>
    <w:rsid w:val="006367A9"/>
    <w:rsid w:val="006562FE"/>
    <w:rsid w:val="006608EE"/>
    <w:rsid w:val="00660C1F"/>
    <w:rsid w:val="00682667"/>
    <w:rsid w:val="006961F0"/>
    <w:rsid w:val="006A094F"/>
    <w:rsid w:val="006A739D"/>
    <w:rsid w:val="006B156E"/>
    <w:rsid w:val="00705B40"/>
    <w:rsid w:val="00734448"/>
    <w:rsid w:val="00750FB4"/>
    <w:rsid w:val="007846E5"/>
    <w:rsid w:val="007A388B"/>
    <w:rsid w:val="007A70E6"/>
    <w:rsid w:val="007B03F2"/>
    <w:rsid w:val="007D7438"/>
    <w:rsid w:val="007F4E89"/>
    <w:rsid w:val="008030C3"/>
    <w:rsid w:val="00816686"/>
    <w:rsid w:val="0082007C"/>
    <w:rsid w:val="008206C1"/>
    <w:rsid w:val="0083232B"/>
    <w:rsid w:val="00845489"/>
    <w:rsid w:val="00852DE4"/>
    <w:rsid w:val="00861450"/>
    <w:rsid w:val="0087702E"/>
    <w:rsid w:val="0087763E"/>
    <w:rsid w:val="008836F2"/>
    <w:rsid w:val="0089658F"/>
    <w:rsid w:val="008E0F81"/>
    <w:rsid w:val="00910462"/>
    <w:rsid w:val="00934FA6"/>
    <w:rsid w:val="009355BA"/>
    <w:rsid w:val="009704A2"/>
    <w:rsid w:val="0099695D"/>
    <w:rsid w:val="009A5D09"/>
    <w:rsid w:val="009C14F5"/>
    <w:rsid w:val="009D0924"/>
    <w:rsid w:val="009D6F1E"/>
    <w:rsid w:val="009D72AD"/>
    <w:rsid w:val="009E6DE5"/>
    <w:rsid w:val="009F4E95"/>
    <w:rsid w:val="009F7022"/>
    <w:rsid w:val="00A1170C"/>
    <w:rsid w:val="00A12E3F"/>
    <w:rsid w:val="00A447C0"/>
    <w:rsid w:val="00A56825"/>
    <w:rsid w:val="00A673EB"/>
    <w:rsid w:val="00AA6416"/>
    <w:rsid w:val="00AB1841"/>
    <w:rsid w:val="00AB616A"/>
    <w:rsid w:val="00AC73DE"/>
    <w:rsid w:val="00AE14FF"/>
    <w:rsid w:val="00AE2FF4"/>
    <w:rsid w:val="00B16835"/>
    <w:rsid w:val="00B34793"/>
    <w:rsid w:val="00B42FE0"/>
    <w:rsid w:val="00B64F87"/>
    <w:rsid w:val="00B73DA3"/>
    <w:rsid w:val="00B753DF"/>
    <w:rsid w:val="00B8112B"/>
    <w:rsid w:val="00B853D4"/>
    <w:rsid w:val="00B90317"/>
    <w:rsid w:val="00B93F21"/>
    <w:rsid w:val="00BA7F16"/>
    <w:rsid w:val="00BB305D"/>
    <w:rsid w:val="00BC70E2"/>
    <w:rsid w:val="00BE55CA"/>
    <w:rsid w:val="00BF118B"/>
    <w:rsid w:val="00BF28EC"/>
    <w:rsid w:val="00BF6D50"/>
    <w:rsid w:val="00C00F88"/>
    <w:rsid w:val="00C0470A"/>
    <w:rsid w:val="00C20809"/>
    <w:rsid w:val="00C3643A"/>
    <w:rsid w:val="00C37B23"/>
    <w:rsid w:val="00C517FB"/>
    <w:rsid w:val="00C60D17"/>
    <w:rsid w:val="00C6312D"/>
    <w:rsid w:val="00C718EB"/>
    <w:rsid w:val="00CB196D"/>
    <w:rsid w:val="00CB3712"/>
    <w:rsid w:val="00CC15A2"/>
    <w:rsid w:val="00CD0AFD"/>
    <w:rsid w:val="00CE5E69"/>
    <w:rsid w:val="00D1195A"/>
    <w:rsid w:val="00D167B1"/>
    <w:rsid w:val="00D3159B"/>
    <w:rsid w:val="00D32B06"/>
    <w:rsid w:val="00D43BBD"/>
    <w:rsid w:val="00D50B63"/>
    <w:rsid w:val="00D61B59"/>
    <w:rsid w:val="00D73FF9"/>
    <w:rsid w:val="00D80D84"/>
    <w:rsid w:val="00D8519B"/>
    <w:rsid w:val="00DA4860"/>
    <w:rsid w:val="00DC5A8E"/>
    <w:rsid w:val="00DD5204"/>
    <w:rsid w:val="00DF65A3"/>
    <w:rsid w:val="00DF7E91"/>
    <w:rsid w:val="00E02B6A"/>
    <w:rsid w:val="00E17E07"/>
    <w:rsid w:val="00E2125A"/>
    <w:rsid w:val="00E23670"/>
    <w:rsid w:val="00E24FA2"/>
    <w:rsid w:val="00E256E7"/>
    <w:rsid w:val="00E44DF1"/>
    <w:rsid w:val="00E6099A"/>
    <w:rsid w:val="00E85686"/>
    <w:rsid w:val="00E8633B"/>
    <w:rsid w:val="00EA10AF"/>
    <w:rsid w:val="00EA4B29"/>
    <w:rsid w:val="00EA4B99"/>
    <w:rsid w:val="00EB0F17"/>
    <w:rsid w:val="00EB783C"/>
    <w:rsid w:val="00EC0DDC"/>
    <w:rsid w:val="00EE38E7"/>
    <w:rsid w:val="00EE7B1B"/>
    <w:rsid w:val="00F23EFD"/>
    <w:rsid w:val="00F4416D"/>
    <w:rsid w:val="00F531AD"/>
    <w:rsid w:val="00FD4196"/>
    <w:rsid w:val="00FE14C1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val="bg-BG"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  <w:lang w:val="bg-BG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val="bg-BG"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uiPriority w:val="99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BF6D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val="bg-BG"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  <w:lang w:val="bg-BG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val="bg-BG"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uiPriority w:val="99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BF6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Nikolov</dc:creator>
  <cp:lastModifiedBy>Desislava g. Georgieva</cp:lastModifiedBy>
  <cp:revision>2</cp:revision>
  <dcterms:created xsi:type="dcterms:W3CDTF">2019-11-05T08:09:00Z</dcterms:created>
  <dcterms:modified xsi:type="dcterms:W3CDTF">2019-11-05T08:09:00Z</dcterms:modified>
</cp:coreProperties>
</file>