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FB" w:rsidRDefault="000577FB" w:rsidP="00DA1AA7">
      <w:pPr>
        <w:spacing w:before="60" w:after="40" w:line="360" w:lineRule="auto"/>
        <w:rPr>
          <w:rFonts w:ascii="Verdana" w:hAnsi="Verdana"/>
          <w:b/>
          <w:caps/>
          <w:sz w:val="20"/>
          <w:szCs w:val="20"/>
          <w:lang w:val="en-US"/>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4C0AEC" w:rsidTr="0069425D">
        <w:trPr>
          <w:trHeight w:val="958"/>
          <w:jc w:val="center"/>
        </w:trPr>
        <w:tc>
          <w:tcPr>
            <w:tcW w:w="15650" w:type="dxa"/>
            <w:shd w:val="clear" w:color="auto" w:fill="BDD6EE"/>
          </w:tcPr>
          <w:p w:rsidR="002A05D9" w:rsidRPr="004F1E18" w:rsidRDefault="00670256" w:rsidP="00DA1AA7">
            <w:pPr>
              <w:tabs>
                <w:tab w:val="left" w:pos="2190"/>
              </w:tabs>
              <w:spacing w:before="60" w:after="40" w:line="360" w:lineRule="auto"/>
              <w:ind w:left="340" w:right="340"/>
              <w:jc w:val="center"/>
              <w:rPr>
                <w:rFonts w:ascii="Verdana" w:hAnsi="Verdana"/>
                <w:b/>
                <w:spacing w:val="90"/>
                <w:lang w:val="af-ZA"/>
              </w:rPr>
            </w:pPr>
            <w:r w:rsidRPr="004F1E18">
              <w:rPr>
                <w:rFonts w:ascii="Verdana" w:hAnsi="Verdana"/>
                <w:b/>
                <w:spacing w:val="90"/>
                <w:lang w:val="af-ZA"/>
              </w:rPr>
              <w:t>СПРАВКА</w:t>
            </w:r>
          </w:p>
          <w:p w:rsidR="00E220AD" w:rsidRPr="00215151" w:rsidRDefault="00670256" w:rsidP="00DA1AA7">
            <w:pPr>
              <w:tabs>
                <w:tab w:val="left" w:pos="709"/>
                <w:tab w:val="left" w:pos="1276"/>
                <w:tab w:val="left" w:pos="1985"/>
                <w:tab w:val="left" w:pos="2977"/>
              </w:tabs>
              <w:spacing w:before="60" w:after="40" w:line="360" w:lineRule="auto"/>
              <w:ind w:left="340" w:right="340"/>
              <w:jc w:val="center"/>
              <w:rPr>
                <w:rFonts w:ascii="Verdana" w:hAnsi="Verdana"/>
                <w:b/>
                <w:sz w:val="20"/>
                <w:szCs w:val="20"/>
                <w:lang w:val="af-ZA"/>
              </w:rPr>
            </w:pPr>
            <w:r w:rsidRPr="004C0AEC">
              <w:rPr>
                <w:rFonts w:ascii="Verdana" w:hAnsi="Verdana"/>
                <w:b/>
                <w:sz w:val="20"/>
                <w:szCs w:val="20"/>
                <w:lang w:val="af-ZA"/>
              </w:rPr>
              <w:t>ЗА ОТРАЗЯВАНЕ НА ПОСТЪПИЛИТЕ ПРЕДЛОЖЕНИЯ</w:t>
            </w:r>
            <w:r w:rsidR="00AD65EA" w:rsidRPr="004C0AEC">
              <w:rPr>
                <w:rFonts w:ascii="Verdana" w:hAnsi="Verdana"/>
                <w:b/>
                <w:sz w:val="20"/>
                <w:szCs w:val="20"/>
                <w:lang w:val="af-ZA"/>
              </w:rPr>
              <w:t xml:space="preserve"> И СТАНОВИЩА</w:t>
            </w:r>
            <w:r w:rsidRPr="004C0AEC">
              <w:rPr>
                <w:rFonts w:ascii="Verdana" w:hAnsi="Verdana"/>
                <w:b/>
                <w:sz w:val="20"/>
                <w:szCs w:val="20"/>
                <w:lang w:val="af-ZA"/>
              </w:rPr>
              <w:t xml:space="preserve"> ОТ ПРОВЕДЕНАТА ОБЩЕСТВЕНА КОНСУЛТАЦИЯ НА ПРОЕКТ</w:t>
            </w:r>
            <w:r w:rsidR="00AD65EA" w:rsidRPr="004C0AEC">
              <w:rPr>
                <w:rFonts w:ascii="Verdana" w:hAnsi="Verdana"/>
                <w:b/>
                <w:sz w:val="20"/>
                <w:szCs w:val="20"/>
                <w:lang w:val="af-ZA"/>
              </w:rPr>
              <w:t>А</w:t>
            </w:r>
            <w:r w:rsidRPr="004C0AEC">
              <w:rPr>
                <w:rFonts w:ascii="Verdana" w:hAnsi="Verdana"/>
                <w:b/>
                <w:sz w:val="20"/>
                <w:szCs w:val="20"/>
                <w:lang w:val="af-ZA"/>
              </w:rPr>
              <w:t xml:space="preserve"> НА</w:t>
            </w:r>
            <w:r w:rsidR="00215151" w:rsidRPr="00921D90">
              <w:rPr>
                <w:rFonts w:ascii="Verdana" w:hAnsi="Verdana" w:cs="Verdana"/>
                <w:bCs/>
                <w:iCs/>
                <w:smallCaps/>
                <w:sz w:val="20"/>
                <w:szCs w:val="20"/>
                <w:lang w:val="af-ZA"/>
              </w:rPr>
              <w:t xml:space="preserve"> </w:t>
            </w:r>
            <w:r w:rsidR="00407013" w:rsidRPr="00407013">
              <w:rPr>
                <w:rFonts w:ascii="Verdana" w:hAnsi="Verdana"/>
                <w:b/>
                <w:sz w:val="20"/>
                <w:szCs w:val="20"/>
                <w:lang w:val="af-ZA"/>
              </w:rPr>
              <w:t xml:space="preserve">ПОСТАНОВЛЕНИЕ НА МИНИСТЕРСКИЯ СЪВЕТ ЗА </w:t>
            </w:r>
            <w:r w:rsidR="00B908CF" w:rsidRPr="00B908CF">
              <w:rPr>
                <w:rFonts w:ascii="Verdana" w:hAnsi="Verdana"/>
                <w:b/>
                <w:sz w:val="20"/>
                <w:szCs w:val="20"/>
                <w:lang w:val="af-ZA"/>
              </w:rPr>
              <w:t>ПРИЕМАНЕ НА УСТРОЙСТВЕН ПРАВИЛНИК НА МИНИСТЕРСТВОТО НА ЗЕМЕДЕЛИЕТО, ХРАНИТЕ И ГОРИТЕ</w:t>
            </w:r>
          </w:p>
        </w:tc>
      </w:tr>
    </w:tbl>
    <w:p w:rsidR="00801C67" w:rsidRPr="00DA1AA7" w:rsidRDefault="00801C67" w:rsidP="00DA1AA7">
      <w:pPr>
        <w:spacing w:before="60" w:after="40"/>
        <w:rPr>
          <w:rFonts w:ascii="Verdana" w:hAnsi="Verdana"/>
          <w:sz w:val="10"/>
          <w:szCs w:val="10"/>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385"/>
        <w:gridCol w:w="6095"/>
        <w:gridCol w:w="1701"/>
        <w:gridCol w:w="4847"/>
      </w:tblGrid>
      <w:tr w:rsidR="00E220AD" w:rsidRPr="004C0AEC" w:rsidTr="0020188B">
        <w:trPr>
          <w:tblHeader/>
          <w:jc w:val="center"/>
        </w:trPr>
        <w:tc>
          <w:tcPr>
            <w:tcW w:w="622" w:type="dxa"/>
            <w:tcBorders>
              <w:bottom w:val="single" w:sz="36" w:space="0" w:color="2E74B5"/>
            </w:tcBorders>
            <w:shd w:val="clear" w:color="auto" w:fill="DEEAF6"/>
            <w:vAlign w:val="center"/>
          </w:tcPr>
          <w:p w:rsidR="00E220AD" w:rsidRPr="004C0AEC" w:rsidRDefault="00E220AD" w:rsidP="00DA1AA7">
            <w:pPr>
              <w:tabs>
                <w:tab w:val="left" w:pos="192"/>
              </w:tabs>
              <w:spacing w:before="60" w:after="40"/>
              <w:jc w:val="center"/>
              <w:rPr>
                <w:rFonts w:ascii="Verdana" w:hAnsi="Verdana"/>
                <w:b/>
                <w:sz w:val="20"/>
                <w:szCs w:val="20"/>
                <w:lang w:val="af-ZA"/>
              </w:rPr>
            </w:pPr>
            <w:r w:rsidRPr="004C0AEC">
              <w:rPr>
                <w:rFonts w:ascii="Verdana" w:hAnsi="Verdana"/>
                <w:b/>
                <w:sz w:val="20"/>
                <w:szCs w:val="20"/>
                <w:lang w:val="af-ZA"/>
              </w:rPr>
              <w:t>№</w:t>
            </w:r>
          </w:p>
        </w:tc>
        <w:tc>
          <w:tcPr>
            <w:tcW w:w="2385" w:type="dxa"/>
            <w:tcBorders>
              <w:bottom w:val="single" w:sz="36" w:space="0" w:color="2E74B5"/>
            </w:tcBorders>
            <w:shd w:val="clear" w:color="auto" w:fill="DEEAF6"/>
            <w:vAlign w:val="center"/>
          </w:tcPr>
          <w:p w:rsidR="00E220AD" w:rsidRPr="004C0AEC" w:rsidRDefault="00E220AD" w:rsidP="00DA1AA7">
            <w:pPr>
              <w:spacing w:before="60" w:after="40"/>
              <w:jc w:val="center"/>
              <w:rPr>
                <w:rFonts w:ascii="Verdana" w:hAnsi="Verdana"/>
                <w:b/>
                <w:sz w:val="20"/>
                <w:szCs w:val="20"/>
                <w:lang w:val="af-ZA"/>
              </w:rPr>
            </w:pPr>
            <w:r w:rsidRPr="004C0AEC">
              <w:rPr>
                <w:rFonts w:ascii="Verdana" w:hAnsi="Verdana"/>
                <w:b/>
                <w:sz w:val="20"/>
                <w:szCs w:val="20"/>
                <w:lang w:val="af-ZA"/>
              </w:rPr>
              <w:t>Организация/</w:t>
            </w:r>
            <w:r w:rsidR="004F1E18">
              <w:rPr>
                <w:rFonts w:ascii="Verdana" w:hAnsi="Verdana"/>
                <w:b/>
                <w:sz w:val="20"/>
                <w:szCs w:val="20"/>
              </w:rPr>
              <w:br/>
            </w:r>
            <w:r w:rsidRPr="004C0AEC">
              <w:rPr>
                <w:rFonts w:ascii="Verdana" w:hAnsi="Verdana"/>
                <w:b/>
                <w:sz w:val="20"/>
                <w:szCs w:val="20"/>
                <w:lang w:val="af-ZA"/>
              </w:rPr>
              <w:t>потребител</w:t>
            </w:r>
          </w:p>
          <w:p w:rsidR="005424B9" w:rsidRPr="004F1E18" w:rsidRDefault="004F1E18" w:rsidP="00DA1AA7">
            <w:pPr>
              <w:spacing w:before="60" w:after="40"/>
              <w:jc w:val="center"/>
              <w:rPr>
                <w:rFonts w:ascii="Verdana" w:hAnsi="Verdana"/>
                <w:b/>
                <w:sz w:val="14"/>
                <w:szCs w:val="14"/>
                <w:lang w:val="af-ZA"/>
              </w:rPr>
            </w:pPr>
            <w:r w:rsidRPr="004F1E18">
              <w:rPr>
                <w:rFonts w:ascii="Verdana" w:hAnsi="Verdana"/>
                <w:b/>
                <w:sz w:val="14"/>
                <w:szCs w:val="14"/>
              </w:rPr>
              <w:t>(</w:t>
            </w:r>
            <w:r w:rsidR="005424B9" w:rsidRPr="004F1E18">
              <w:rPr>
                <w:rFonts w:ascii="Verdana" w:hAnsi="Verdana"/>
                <w:b/>
                <w:sz w:val="14"/>
                <w:szCs w:val="14"/>
                <w:lang w:val="af-ZA"/>
              </w:rPr>
              <w:t xml:space="preserve">вкл. начина на </w:t>
            </w:r>
            <w:r w:rsidRPr="004F1E18">
              <w:rPr>
                <w:rFonts w:ascii="Verdana" w:hAnsi="Verdana"/>
                <w:b/>
                <w:sz w:val="14"/>
                <w:szCs w:val="14"/>
              </w:rPr>
              <w:t>п</w:t>
            </w:r>
            <w:r w:rsidR="005424B9" w:rsidRPr="004F1E18">
              <w:rPr>
                <w:rFonts w:ascii="Verdana" w:hAnsi="Verdana"/>
                <w:b/>
                <w:sz w:val="14"/>
                <w:szCs w:val="14"/>
                <w:lang w:val="af-ZA"/>
              </w:rPr>
              <w:t>олуча</w:t>
            </w:r>
            <w:r>
              <w:rPr>
                <w:rFonts w:ascii="Verdana" w:hAnsi="Verdana"/>
                <w:b/>
                <w:sz w:val="14"/>
                <w:szCs w:val="14"/>
              </w:rPr>
              <w:t>-</w:t>
            </w:r>
            <w:r w:rsidR="005424B9" w:rsidRPr="004F1E18">
              <w:rPr>
                <w:rFonts w:ascii="Verdana" w:hAnsi="Verdana"/>
                <w:b/>
                <w:sz w:val="14"/>
                <w:szCs w:val="14"/>
                <w:lang w:val="af-ZA"/>
              </w:rPr>
              <w:t>ване на предложението</w:t>
            </w:r>
            <w:r w:rsidRPr="004F1E18">
              <w:rPr>
                <w:rFonts w:ascii="Verdana" w:hAnsi="Verdana"/>
                <w:b/>
                <w:sz w:val="14"/>
                <w:szCs w:val="14"/>
              </w:rPr>
              <w:t>)</w:t>
            </w:r>
          </w:p>
        </w:tc>
        <w:tc>
          <w:tcPr>
            <w:tcW w:w="6095" w:type="dxa"/>
            <w:tcBorders>
              <w:bottom w:val="single" w:sz="36" w:space="0" w:color="2E74B5"/>
            </w:tcBorders>
            <w:shd w:val="clear" w:color="auto" w:fill="DEEAF6"/>
            <w:vAlign w:val="center"/>
          </w:tcPr>
          <w:p w:rsidR="00E220AD" w:rsidRPr="004C0AEC" w:rsidRDefault="00E220AD" w:rsidP="00DA1AA7">
            <w:pPr>
              <w:spacing w:before="60" w:after="40"/>
              <w:jc w:val="center"/>
              <w:rPr>
                <w:rFonts w:ascii="Verdana" w:hAnsi="Verdana"/>
                <w:b/>
                <w:sz w:val="20"/>
                <w:szCs w:val="20"/>
                <w:lang w:val="af-ZA"/>
              </w:rPr>
            </w:pPr>
            <w:r w:rsidRPr="004C0AEC">
              <w:rPr>
                <w:rFonts w:ascii="Verdana" w:hAnsi="Verdana"/>
                <w:b/>
                <w:sz w:val="20"/>
                <w:szCs w:val="20"/>
                <w:lang w:val="af-ZA"/>
              </w:rPr>
              <w:t>Бележки и предложения</w:t>
            </w:r>
          </w:p>
        </w:tc>
        <w:tc>
          <w:tcPr>
            <w:tcW w:w="1701" w:type="dxa"/>
            <w:tcBorders>
              <w:bottom w:val="single" w:sz="36" w:space="0" w:color="2E74B5"/>
            </w:tcBorders>
            <w:shd w:val="clear" w:color="auto" w:fill="DEEAF6"/>
            <w:vAlign w:val="center"/>
          </w:tcPr>
          <w:p w:rsidR="00E220AD" w:rsidRPr="004C0AEC" w:rsidRDefault="00E220AD" w:rsidP="00DA1AA7">
            <w:pPr>
              <w:spacing w:before="60" w:after="40"/>
              <w:jc w:val="center"/>
              <w:rPr>
                <w:rFonts w:ascii="Verdana" w:hAnsi="Verdana"/>
                <w:b/>
                <w:sz w:val="20"/>
                <w:szCs w:val="20"/>
                <w:lang w:val="af-ZA"/>
              </w:rPr>
            </w:pPr>
            <w:r w:rsidRPr="004C0AEC">
              <w:rPr>
                <w:rFonts w:ascii="Verdana" w:hAnsi="Verdana"/>
                <w:b/>
                <w:sz w:val="20"/>
                <w:szCs w:val="20"/>
                <w:lang w:val="af-ZA"/>
              </w:rPr>
              <w:t>Приети/</w:t>
            </w:r>
          </w:p>
          <w:p w:rsidR="00E220AD" w:rsidRPr="004C0AEC" w:rsidRDefault="00E220AD" w:rsidP="00DA1AA7">
            <w:pPr>
              <w:spacing w:before="60" w:after="40"/>
              <w:jc w:val="center"/>
              <w:rPr>
                <w:rFonts w:ascii="Verdana" w:hAnsi="Verdana"/>
                <w:b/>
                <w:sz w:val="20"/>
                <w:szCs w:val="20"/>
                <w:lang w:val="af-ZA"/>
              </w:rPr>
            </w:pPr>
            <w:r w:rsidRPr="004C0AEC">
              <w:rPr>
                <w:rFonts w:ascii="Verdana" w:hAnsi="Verdana"/>
                <w:b/>
                <w:sz w:val="20"/>
                <w:szCs w:val="20"/>
                <w:lang w:val="af-ZA"/>
              </w:rPr>
              <w:t>неприети</w:t>
            </w:r>
          </w:p>
        </w:tc>
        <w:tc>
          <w:tcPr>
            <w:tcW w:w="4847" w:type="dxa"/>
            <w:tcBorders>
              <w:bottom w:val="single" w:sz="36" w:space="0" w:color="2E74B5"/>
            </w:tcBorders>
            <w:shd w:val="clear" w:color="auto" w:fill="DEEAF6"/>
            <w:vAlign w:val="center"/>
          </w:tcPr>
          <w:p w:rsidR="00E220AD" w:rsidRPr="004C0AEC" w:rsidRDefault="00E220AD" w:rsidP="00DA1AA7">
            <w:pPr>
              <w:spacing w:before="60" w:after="40"/>
              <w:jc w:val="center"/>
              <w:rPr>
                <w:rFonts w:ascii="Verdana" w:hAnsi="Verdana"/>
                <w:sz w:val="20"/>
                <w:szCs w:val="20"/>
                <w:lang w:val="af-ZA"/>
              </w:rPr>
            </w:pPr>
            <w:r w:rsidRPr="004C0AEC">
              <w:rPr>
                <w:rFonts w:ascii="Verdana" w:hAnsi="Verdana"/>
                <w:b/>
                <w:sz w:val="20"/>
                <w:szCs w:val="20"/>
                <w:lang w:val="af-ZA"/>
              </w:rPr>
              <w:t>Мотиви</w:t>
            </w:r>
          </w:p>
        </w:tc>
      </w:tr>
      <w:tr w:rsidR="002818F6" w:rsidRPr="004C0AEC" w:rsidTr="00485398">
        <w:trPr>
          <w:trHeight w:val="449"/>
          <w:jc w:val="center"/>
        </w:trPr>
        <w:tc>
          <w:tcPr>
            <w:tcW w:w="622" w:type="dxa"/>
            <w:vMerge w:val="restart"/>
            <w:shd w:val="clear" w:color="auto" w:fill="auto"/>
          </w:tcPr>
          <w:p w:rsidR="002818F6" w:rsidRPr="007B1397" w:rsidRDefault="007B1397" w:rsidP="00DA1AA7">
            <w:pPr>
              <w:spacing w:before="60" w:after="40"/>
              <w:rPr>
                <w:rFonts w:ascii="Verdana" w:hAnsi="Verdana"/>
                <w:b/>
                <w:sz w:val="20"/>
                <w:szCs w:val="20"/>
                <w:lang w:val="af-ZA"/>
              </w:rPr>
            </w:pPr>
            <w:r w:rsidRPr="007B1397">
              <w:rPr>
                <w:rFonts w:ascii="Verdana" w:hAnsi="Verdana"/>
                <w:b/>
                <w:sz w:val="20"/>
                <w:szCs w:val="20"/>
                <w:lang w:val="af-ZA"/>
              </w:rPr>
              <w:t>1.</w:t>
            </w:r>
          </w:p>
        </w:tc>
        <w:tc>
          <w:tcPr>
            <w:tcW w:w="2385" w:type="dxa"/>
            <w:vMerge w:val="restart"/>
            <w:tcBorders>
              <w:bottom w:val="nil"/>
            </w:tcBorders>
            <w:shd w:val="clear" w:color="auto" w:fill="auto"/>
          </w:tcPr>
          <w:p w:rsidR="002818F6" w:rsidRDefault="002818F6" w:rsidP="00DA1AA7">
            <w:pPr>
              <w:spacing w:before="60" w:after="40"/>
              <w:rPr>
                <w:rFonts w:ascii="Verdana" w:hAnsi="Verdana"/>
                <w:sz w:val="20"/>
                <w:szCs w:val="20"/>
                <w:lang w:val="af-ZA"/>
              </w:rPr>
            </w:pPr>
            <w:r>
              <w:rPr>
                <w:rFonts w:ascii="Verdana" w:hAnsi="Verdana"/>
                <w:sz w:val="20"/>
                <w:szCs w:val="20"/>
                <w:lang w:val="af-ZA"/>
              </w:rPr>
              <w:t>t</w:t>
            </w:r>
            <w:r w:rsidRPr="00353C19">
              <w:rPr>
                <w:rFonts w:ascii="Verdana" w:hAnsi="Verdana"/>
                <w:sz w:val="20"/>
                <w:szCs w:val="20"/>
                <w:lang w:val="af-ZA"/>
              </w:rPr>
              <w:t>zviatkov</w:t>
            </w:r>
          </w:p>
          <w:p w:rsidR="002818F6" w:rsidRPr="00353C19" w:rsidRDefault="002818F6" w:rsidP="00DA1AA7">
            <w:pPr>
              <w:spacing w:before="60" w:after="40"/>
              <w:rPr>
                <w:rFonts w:ascii="Verdana" w:hAnsi="Verdana"/>
                <w:sz w:val="20"/>
                <w:szCs w:val="20"/>
                <w:lang w:val="ru-RU"/>
              </w:rPr>
            </w:pPr>
            <w:r w:rsidRPr="00353C19">
              <w:rPr>
                <w:rFonts w:ascii="Verdana" w:hAnsi="Verdana"/>
                <w:sz w:val="20"/>
                <w:szCs w:val="20"/>
                <w:lang w:val="ru-RU"/>
              </w:rPr>
              <w:t>(</w:t>
            </w:r>
            <w:r>
              <w:rPr>
                <w:rFonts w:ascii="Verdana" w:hAnsi="Verdana"/>
                <w:sz w:val="20"/>
                <w:szCs w:val="20"/>
              </w:rPr>
              <w:t>от Портала за обществени консултации</w:t>
            </w:r>
            <w:r w:rsidRPr="00353C19">
              <w:rPr>
                <w:rFonts w:ascii="Verdana" w:hAnsi="Verdana"/>
                <w:sz w:val="20"/>
                <w:szCs w:val="20"/>
                <w:lang w:val="ru-RU"/>
              </w:rPr>
              <w:t>)</w:t>
            </w:r>
          </w:p>
        </w:tc>
        <w:tc>
          <w:tcPr>
            <w:tcW w:w="6095" w:type="dxa"/>
            <w:tcBorders>
              <w:bottom w:val="nil"/>
            </w:tcBorders>
            <w:shd w:val="clear" w:color="auto" w:fill="auto"/>
          </w:tcPr>
          <w:p w:rsidR="002818F6" w:rsidRPr="00D367F7" w:rsidRDefault="002818F6" w:rsidP="00DA1AA7">
            <w:pPr>
              <w:tabs>
                <w:tab w:val="left" w:pos="391"/>
                <w:tab w:val="left" w:pos="434"/>
              </w:tabs>
              <w:spacing w:before="60" w:after="40"/>
              <w:jc w:val="center"/>
              <w:rPr>
                <w:rFonts w:ascii="Verdana" w:hAnsi="Verdana"/>
                <w:b/>
                <w:bCs/>
                <w:spacing w:val="-2"/>
                <w:sz w:val="20"/>
                <w:szCs w:val="20"/>
              </w:rPr>
            </w:pPr>
            <w:r w:rsidRPr="00353C19">
              <w:rPr>
                <w:rFonts w:ascii="Verdana" w:hAnsi="Verdana"/>
                <w:b/>
                <w:bCs/>
                <w:spacing w:val="-2"/>
                <w:sz w:val="20"/>
                <w:szCs w:val="20"/>
              </w:rPr>
              <w:t>Предложения и забележки по проект</w:t>
            </w:r>
          </w:p>
        </w:tc>
        <w:tc>
          <w:tcPr>
            <w:tcW w:w="1701" w:type="dxa"/>
            <w:tcBorders>
              <w:bottom w:val="nil"/>
            </w:tcBorders>
            <w:shd w:val="clear" w:color="auto" w:fill="auto"/>
          </w:tcPr>
          <w:p w:rsidR="002818F6" w:rsidRPr="004C0AEC" w:rsidRDefault="002818F6" w:rsidP="00DA1AA7">
            <w:pPr>
              <w:spacing w:before="60" w:after="40"/>
              <w:rPr>
                <w:rFonts w:ascii="Verdana" w:hAnsi="Verdana"/>
                <w:color w:val="FF0000"/>
                <w:sz w:val="20"/>
                <w:szCs w:val="20"/>
                <w:lang w:val="af-ZA"/>
              </w:rPr>
            </w:pPr>
          </w:p>
        </w:tc>
        <w:tc>
          <w:tcPr>
            <w:tcW w:w="4847" w:type="dxa"/>
            <w:tcBorders>
              <w:bottom w:val="nil"/>
            </w:tcBorders>
            <w:shd w:val="clear" w:color="auto" w:fill="auto"/>
          </w:tcPr>
          <w:p w:rsidR="002818F6" w:rsidRPr="00B131A8" w:rsidRDefault="002818F6" w:rsidP="00DA1AA7">
            <w:pPr>
              <w:spacing w:before="60" w:after="40"/>
              <w:jc w:val="both"/>
              <w:rPr>
                <w:rFonts w:ascii="Verdana" w:hAnsi="Verdana"/>
                <w:color w:val="000000"/>
                <w:sz w:val="20"/>
                <w:szCs w:val="20"/>
              </w:rPr>
            </w:pPr>
          </w:p>
        </w:tc>
      </w:tr>
      <w:tr w:rsidR="002818F6" w:rsidRPr="004C0AEC" w:rsidTr="0020188B">
        <w:trPr>
          <w:trHeight w:val="4009"/>
          <w:jc w:val="center"/>
        </w:trPr>
        <w:tc>
          <w:tcPr>
            <w:tcW w:w="622" w:type="dxa"/>
            <w:vMerge/>
            <w:shd w:val="clear" w:color="auto" w:fill="auto"/>
          </w:tcPr>
          <w:p w:rsidR="002818F6" w:rsidRPr="004C0AEC" w:rsidRDefault="002818F6" w:rsidP="00DA1AA7">
            <w:pPr>
              <w:tabs>
                <w:tab w:val="left" w:pos="192"/>
              </w:tabs>
              <w:spacing w:before="60" w:after="40"/>
              <w:ind w:left="340"/>
              <w:rPr>
                <w:rFonts w:ascii="Verdana" w:hAnsi="Verdana"/>
                <w:b/>
                <w:sz w:val="20"/>
                <w:szCs w:val="20"/>
                <w:lang w:val="af-ZA"/>
              </w:rPr>
            </w:pPr>
          </w:p>
        </w:tc>
        <w:tc>
          <w:tcPr>
            <w:tcW w:w="2385" w:type="dxa"/>
            <w:vMerge/>
            <w:tcBorders>
              <w:top w:val="nil"/>
              <w:bottom w:val="nil"/>
            </w:tcBorders>
            <w:shd w:val="clear" w:color="auto" w:fill="auto"/>
          </w:tcPr>
          <w:p w:rsidR="002818F6" w:rsidRDefault="002818F6" w:rsidP="00DA1AA7">
            <w:pPr>
              <w:spacing w:before="60" w:after="40"/>
              <w:rPr>
                <w:rFonts w:ascii="Verdana" w:hAnsi="Verdana"/>
                <w:sz w:val="20"/>
                <w:szCs w:val="20"/>
                <w:lang w:val="af-ZA"/>
              </w:rPr>
            </w:pPr>
          </w:p>
        </w:tc>
        <w:tc>
          <w:tcPr>
            <w:tcW w:w="6095" w:type="dxa"/>
            <w:tcBorders>
              <w:top w:val="nil"/>
              <w:bottom w:val="nil"/>
            </w:tcBorders>
            <w:shd w:val="clear" w:color="auto" w:fill="auto"/>
          </w:tcPr>
          <w:p w:rsidR="002818F6" w:rsidRPr="00500971" w:rsidRDefault="002818F6" w:rsidP="00DA1AA7">
            <w:pPr>
              <w:tabs>
                <w:tab w:val="left" w:pos="391"/>
                <w:tab w:val="left" w:pos="434"/>
              </w:tabs>
              <w:spacing w:before="60" w:after="40"/>
              <w:jc w:val="both"/>
              <w:rPr>
                <w:rFonts w:ascii="Verdana" w:hAnsi="Verdana"/>
                <w:spacing w:val="-2"/>
                <w:sz w:val="20"/>
                <w:szCs w:val="20"/>
              </w:rPr>
            </w:pPr>
            <w:r w:rsidRPr="00500971">
              <w:rPr>
                <w:rFonts w:ascii="Verdana" w:hAnsi="Verdana"/>
                <w:spacing w:val="-2"/>
                <w:sz w:val="20"/>
                <w:szCs w:val="20"/>
              </w:rPr>
              <w:t>Предлагам да се допишат задълженията на дирекциите по отношение на осигуряване на публичност на изготвени становища, доклади и статистически данни, които имат връзка със земеделски стопани, съд, други мини</w:t>
            </w:r>
            <w:r w:rsidRPr="00500971">
              <w:rPr>
                <w:rFonts w:ascii="Verdana" w:hAnsi="Verdana"/>
                <w:spacing w:val="-2"/>
                <w:sz w:val="20"/>
                <w:szCs w:val="20"/>
              </w:rPr>
              <w:t>с</w:t>
            </w:r>
            <w:r w:rsidRPr="00500971">
              <w:rPr>
                <w:rFonts w:ascii="Verdana" w:hAnsi="Verdana"/>
                <w:spacing w:val="-2"/>
                <w:sz w:val="20"/>
                <w:szCs w:val="20"/>
              </w:rPr>
              <w:t>терства и ЕК.</w:t>
            </w:r>
          </w:p>
          <w:p w:rsidR="002818F6" w:rsidRPr="00500971" w:rsidRDefault="002818F6" w:rsidP="00DA1AA7">
            <w:pPr>
              <w:spacing w:before="60" w:after="40"/>
              <w:jc w:val="both"/>
              <w:rPr>
                <w:rFonts w:ascii="Verdana" w:hAnsi="Verdana"/>
                <w:spacing w:val="-2"/>
                <w:sz w:val="20"/>
                <w:szCs w:val="20"/>
              </w:rPr>
            </w:pPr>
            <w:r w:rsidRPr="00353C19">
              <w:rPr>
                <w:rFonts w:ascii="Verdana" w:hAnsi="Verdana"/>
                <w:sz w:val="20"/>
                <w:szCs w:val="20"/>
              </w:rPr>
              <w:t>Всички такива актове да бъдат публично достъпни на сайта на МЗХГ чрез подходяща, разбираема и лесна за полз</w:t>
            </w:r>
            <w:r>
              <w:rPr>
                <w:rFonts w:ascii="Verdana" w:hAnsi="Verdana"/>
                <w:sz w:val="20"/>
                <w:szCs w:val="20"/>
              </w:rPr>
              <w:t>ване</w:t>
            </w:r>
            <w:r w:rsidRPr="00353C19">
              <w:rPr>
                <w:rFonts w:ascii="Verdana" w:hAnsi="Verdana"/>
                <w:sz w:val="20"/>
                <w:szCs w:val="20"/>
              </w:rPr>
              <w:t xml:space="preserve"> структура, като се дава възможност за бързо тър</w:t>
            </w:r>
            <w:r>
              <w:rPr>
                <w:rFonts w:ascii="Verdana" w:hAnsi="Verdana"/>
                <w:sz w:val="20"/>
                <w:szCs w:val="20"/>
              </w:rPr>
              <w:t>сене и прег</w:t>
            </w:r>
            <w:r w:rsidRPr="00353C19">
              <w:rPr>
                <w:rFonts w:ascii="Verdana" w:hAnsi="Verdana"/>
                <w:sz w:val="20"/>
                <w:szCs w:val="20"/>
              </w:rPr>
              <w:t>лед на документите с възможност за търсене в тях. Публикуваните документи предлагам да се подписват с електронен подпис за гарантиране на тяхната идентичност с ползваните в МЗХГ и ясна отговорност за това на публикувалия ги служител.</w:t>
            </w:r>
          </w:p>
          <w:p w:rsidR="002818F6" w:rsidRPr="00500971" w:rsidRDefault="002818F6" w:rsidP="00DA1AA7">
            <w:pPr>
              <w:tabs>
                <w:tab w:val="left" w:pos="391"/>
                <w:tab w:val="left" w:pos="434"/>
              </w:tabs>
              <w:spacing w:before="60" w:after="40"/>
              <w:jc w:val="both"/>
              <w:rPr>
                <w:rFonts w:ascii="Verdana" w:hAnsi="Verdana"/>
                <w:spacing w:val="-2"/>
                <w:sz w:val="20"/>
                <w:szCs w:val="20"/>
              </w:rPr>
            </w:pPr>
            <w:r w:rsidRPr="00C31357">
              <w:rPr>
                <w:rFonts w:ascii="Verdana" w:hAnsi="Verdana"/>
                <w:spacing w:val="-2"/>
                <w:sz w:val="20"/>
                <w:szCs w:val="20"/>
                <w:lang w:val="af-ZA"/>
              </w:rPr>
              <w:t>Предлагам да с</w:t>
            </w:r>
            <w:r>
              <w:rPr>
                <w:rFonts w:ascii="Verdana" w:hAnsi="Verdana"/>
                <w:spacing w:val="-2"/>
                <w:sz w:val="20"/>
                <w:szCs w:val="20"/>
                <w:lang w:val="af-ZA"/>
              </w:rPr>
              <w:t>е вменят задължения на дирек</w:t>
            </w:r>
            <w:r>
              <w:rPr>
                <w:rFonts w:ascii="Verdana" w:hAnsi="Verdana"/>
                <w:spacing w:val="-2"/>
                <w:sz w:val="20"/>
                <w:szCs w:val="20"/>
              </w:rPr>
              <w:t>ц</w:t>
            </w:r>
            <w:r w:rsidRPr="00C31357">
              <w:rPr>
                <w:rFonts w:ascii="Verdana" w:hAnsi="Verdana"/>
                <w:spacing w:val="-2"/>
                <w:sz w:val="20"/>
                <w:szCs w:val="20"/>
                <w:lang w:val="af-ZA"/>
              </w:rPr>
              <w:t>иите да поддържат частта с публичност на документите на сайта на МЗХГ.</w:t>
            </w:r>
          </w:p>
        </w:tc>
        <w:tc>
          <w:tcPr>
            <w:tcW w:w="1701" w:type="dxa"/>
            <w:tcBorders>
              <w:top w:val="nil"/>
              <w:bottom w:val="nil"/>
            </w:tcBorders>
            <w:shd w:val="clear" w:color="auto" w:fill="auto"/>
          </w:tcPr>
          <w:p w:rsidR="002818F6" w:rsidRPr="004C0AEC" w:rsidRDefault="002818F6" w:rsidP="00DA1AA7">
            <w:pPr>
              <w:spacing w:before="60" w:after="40"/>
              <w:rPr>
                <w:rFonts w:ascii="Verdana" w:hAnsi="Verdana"/>
                <w:color w:val="FF0000"/>
                <w:sz w:val="20"/>
                <w:szCs w:val="20"/>
                <w:lang w:val="af-ZA"/>
              </w:rPr>
            </w:pPr>
            <w:r w:rsidRPr="00551043">
              <w:rPr>
                <w:rFonts w:ascii="Verdana" w:hAnsi="Verdana"/>
                <w:sz w:val="20"/>
                <w:szCs w:val="20"/>
                <w:lang w:val="af-ZA"/>
              </w:rPr>
              <w:t>Не се приема</w:t>
            </w:r>
          </w:p>
        </w:tc>
        <w:tc>
          <w:tcPr>
            <w:tcW w:w="4847" w:type="dxa"/>
            <w:tcBorders>
              <w:top w:val="nil"/>
              <w:bottom w:val="nil"/>
            </w:tcBorders>
            <w:shd w:val="clear" w:color="auto" w:fill="auto"/>
          </w:tcPr>
          <w:p w:rsidR="002818F6" w:rsidRPr="000E16DD" w:rsidRDefault="002818F6" w:rsidP="00DA1AA7">
            <w:pPr>
              <w:spacing w:before="60" w:after="40"/>
              <w:jc w:val="both"/>
              <w:rPr>
                <w:rFonts w:ascii="Verdana" w:hAnsi="Verdana"/>
                <w:color w:val="000000"/>
                <w:sz w:val="20"/>
                <w:szCs w:val="20"/>
              </w:rPr>
            </w:pPr>
            <w:r>
              <w:rPr>
                <w:rFonts w:ascii="Verdana" w:hAnsi="Verdana"/>
                <w:color w:val="000000"/>
                <w:sz w:val="20"/>
                <w:szCs w:val="20"/>
              </w:rPr>
              <w:t>Публичност на информация и документи, свързани с дейността на министерството, се осигурява в предвидените в нормативни актове случаи. Тези задължения са вменени като функции на съответните компете</w:t>
            </w:r>
            <w:r>
              <w:rPr>
                <w:rFonts w:ascii="Verdana" w:hAnsi="Verdana"/>
                <w:color w:val="000000"/>
                <w:sz w:val="20"/>
                <w:szCs w:val="20"/>
              </w:rPr>
              <w:t>н</w:t>
            </w:r>
            <w:r>
              <w:rPr>
                <w:rFonts w:ascii="Verdana" w:hAnsi="Verdana"/>
                <w:color w:val="000000"/>
                <w:sz w:val="20"/>
                <w:szCs w:val="20"/>
              </w:rPr>
              <w:t>тни дирекции и се изпълняват при услов</w:t>
            </w:r>
            <w:r>
              <w:rPr>
                <w:rFonts w:ascii="Verdana" w:hAnsi="Verdana"/>
                <w:color w:val="000000"/>
                <w:sz w:val="20"/>
                <w:szCs w:val="20"/>
              </w:rPr>
              <w:t>и</w:t>
            </w:r>
            <w:r>
              <w:rPr>
                <w:rFonts w:ascii="Verdana" w:hAnsi="Verdana"/>
                <w:color w:val="000000"/>
                <w:sz w:val="20"/>
                <w:szCs w:val="20"/>
              </w:rPr>
              <w:t>ята и реда, уредени в съответния нормат</w:t>
            </w:r>
            <w:r>
              <w:rPr>
                <w:rFonts w:ascii="Verdana" w:hAnsi="Verdana"/>
                <w:color w:val="000000"/>
                <w:sz w:val="20"/>
                <w:szCs w:val="20"/>
              </w:rPr>
              <w:t>и</w:t>
            </w:r>
            <w:r>
              <w:rPr>
                <w:rFonts w:ascii="Verdana" w:hAnsi="Verdana"/>
                <w:color w:val="000000"/>
                <w:sz w:val="20"/>
                <w:szCs w:val="20"/>
              </w:rPr>
              <w:t>вен акт.</w:t>
            </w:r>
          </w:p>
        </w:tc>
      </w:tr>
      <w:tr w:rsidR="002818F6" w:rsidRPr="004C0AEC" w:rsidTr="0020188B">
        <w:trPr>
          <w:trHeight w:val="596"/>
          <w:jc w:val="center"/>
        </w:trPr>
        <w:tc>
          <w:tcPr>
            <w:tcW w:w="622" w:type="dxa"/>
            <w:vMerge/>
            <w:shd w:val="clear" w:color="auto" w:fill="auto"/>
          </w:tcPr>
          <w:p w:rsidR="002818F6" w:rsidRPr="004C0AEC" w:rsidRDefault="002818F6" w:rsidP="00DA1AA7">
            <w:pPr>
              <w:tabs>
                <w:tab w:val="left" w:pos="192"/>
              </w:tabs>
              <w:spacing w:before="60" w:after="40"/>
              <w:ind w:left="340"/>
              <w:rPr>
                <w:rFonts w:ascii="Verdana" w:hAnsi="Verdana"/>
                <w:b/>
                <w:sz w:val="20"/>
                <w:szCs w:val="20"/>
                <w:lang w:val="af-ZA"/>
              </w:rPr>
            </w:pPr>
          </w:p>
        </w:tc>
        <w:tc>
          <w:tcPr>
            <w:tcW w:w="2385" w:type="dxa"/>
            <w:vMerge w:val="restart"/>
            <w:tcBorders>
              <w:top w:val="nil"/>
              <w:bottom w:val="nil"/>
            </w:tcBorders>
            <w:shd w:val="clear" w:color="auto" w:fill="auto"/>
          </w:tcPr>
          <w:p w:rsidR="002818F6" w:rsidRDefault="002818F6" w:rsidP="00DA1AA7">
            <w:pPr>
              <w:spacing w:before="60" w:after="40"/>
              <w:rPr>
                <w:rFonts w:ascii="Verdana" w:hAnsi="Verdana"/>
                <w:sz w:val="20"/>
                <w:szCs w:val="20"/>
                <w:lang w:val="af-ZA"/>
              </w:rPr>
            </w:pPr>
          </w:p>
        </w:tc>
        <w:tc>
          <w:tcPr>
            <w:tcW w:w="6095" w:type="dxa"/>
            <w:tcBorders>
              <w:top w:val="nil"/>
              <w:bottom w:val="nil"/>
            </w:tcBorders>
            <w:shd w:val="clear" w:color="auto" w:fill="auto"/>
          </w:tcPr>
          <w:p w:rsidR="002818F6" w:rsidRPr="00C31357" w:rsidRDefault="002818F6" w:rsidP="00DA1AA7">
            <w:pPr>
              <w:tabs>
                <w:tab w:val="left" w:pos="391"/>
                <w:tab w:val="left" w:pos="434"/>
              </w:tabs>
              <w:spacing w:before="60" w:after="40"/>
              <w:jc w:val="both"/>
              <w:rPr>
                <w:rFonts w:ascii="Verdana" w:hAnsi="Verdana"/>
                <w:spacing w:val="-2"/>
                <w:sz w:val="20"/>
                <w:szCs w:val="20"/>
                <w:lang w:val="af-ZA"/>
              </w:rPr>
            </w:pPr>
            <w:r w:rsidRPr="00C31357">
              <w:rPr>
                <w:rFonts w:ascii="Verdana" w:hAnsi="Verdana"/>
                <w:spacing w:val="-2"/>
                <w:sz w:val="20"/>
                <w:szCs w:val="20"/>
                <w:lang w:val="af-ZA"/>
              </w:rPr>
              <w:t>Като пример за осигуряване на публичност е публикуване на сайта на МЗХГ на:</w:t>
            </w:r>
          </w:p>
        </w:tc>
        <w:tc>
          <w:tcPr>
            <w:tcW w:w="1701" w:type="dxa"/>
            <w:tcBorders>
              <w:top w:val="nil"/>
              <w:bottom w:val="nil"/>
            </w:tcBorders>
            <w:shd w:val="clear" w:color="auto" w:fill="auto"/>
          </w:tcPr>
          <w:p w:rsidR="002818F6" w:rsidRPr="004C0AEC" w:rsidRDefault="002818F6" w:rsidP="00DA1AA7">
            <w:pPr>
              <w:spacing w:before="60" w:after="40"/>
              <w:rPr>
                <w:rFonts w:ascii="Verdana" w:hAnsi="Verdana"/>
                <w:color w:val="FF0000"/>
                <w:sz w:val="20"/>
                <w:szCs w:val="20"/>
                <w:lang w:val="af-ZA"/>
              </w:rPr>
            </w:pPr>
          </w:p>
        </w:tc>
        <w:tc>
          <w:tcPr>
            <w:tcW w:w="4847" w:type="dxa"/>
            <w:tcBorders>
              <w:top w:val="nil"/>
              <w:bottom w:val="nil"/>
            </w:tcBorders>
            <w:shd w:val="clear" w:color="auto" w:fill="auto"/>
          </w:tcPr>
          <w:p w:rsidR="002818F6" w:rsidRPr="004C0AEC" w:rsidRDefault="002818F6" w:rsidP="00DA1AA7">
            <w:pPr>
              <w:spacing w:before="60" w:after="40"/>
              <w:jc w:val="both"/>
              <w:rPr>
                <w:rFonts w:ascii="Verdana" w:hAnsi="Verdana"/>
                <w:color w:val="000000"/>
                <w:sz w:val="20"/>
                <w:szCs w:val="20"/>
                <w:lang w:val="af-ZA"/>
              </w:rPr>
            </w:pPr>
          </w:p>
        </w:tc>
      </w:tr>
      <w:tr w:rsidR="002818F6" w:rsidRPr="004C0AEC" w:rsidTr="0020188B">
        <w:trPr>
          <w:trHeight w:val="596"/>
          <w:jc w:val="center"/>
        </w:trPr>
        <w:tc>
          <w:tcPr>
            <w:tcW w:w="622" w:type="dxa"/>
            <w:vMerge/>
            <w:tcBorders>
              <w:bottom w:val="nil"/>
            </w:tcBorders>
            <w:shd w:val="clear" w:color="auto" w:fill="auto"/>
          </w:tcPr>
          <w:p w:rsidR="002818F6" w:rsidRPr="004C0AEC" w:rsidRDefault="002818F6" w:rsidP="00DA1AA7">
            <w:pPr>
              <w:tabs>
                <w:tab w:val="left" w:pos="192"/>
              </w:tabs>
              <w:spacing w:before="60" w:after="40"/>
              <w:ind w:left="340"/>
              <w:rPr>
                <w:rFonts w:ascii="Verdana" w:hAnsi="Verdana"/>
                <w:b/>
                <w:sz w:val="20"/>
                <w:szCs w:val="20"/>
                <w:lang w:val="af-ZA"/>
              </w:rPr>
            </w:pPr>
          </w:p>
        </w:tc>
        <w:tc>
          <w:tcPr>
            <w:tcW w:w="2385" w:type="dxa"/>
            <w:vMerge/>
            <w:tcBorders>
              <w:top w:val="nil"/>
              <w:bottom w:val="nil"/>
            </w:tcBorders>
            <w:shd w:val="clear" w:color="auto" w:fill="auto"/>
          </w:tcPr>
          <w:p w:rsidR="002818F6" w:rsidRDefault="002818F6" w:rsidP="00DA1AA7">
            <w:pPr>
              <w:spacing w:before="60" w:after="40"/>
              <w:rPr>
                <w:rFonts w:ascii="Verdana" w:hAnsi="Verdana"/>
                <w:sz w:val="20"/>
                <w:szCs w:val="20"/>
                <w:lang w:val="af-ZA"/>
              </w:rPr>
            </w:pPr>
          </w:p>
        </w:tc>
        <w:tc>
          <w:tcPr>
            <w:tcW w:w="6095" w:type="dxa"/>
            <w:tcBorders>
              <w:top w:val="nil"/>
              <w:bottom w:val="nil"/>
            </w:tcBorders>
            <w:shd w:val="clear" w:color="auto" w:fill="auto"/>
          </w:tcPr>
          <w:p w:rsidR="002818F6" w:rsidRPr="00A55A4B" w:rsidRDefault="002818F6" w:rsidP="00DA1AA7">
            <w:pPr>
              <w:tabs>
                <w:tab w:val="left" w:pos="391"/>
                <w:tab w:val="left" w:pos="434"/>
              </w:tabs>
              <w:spacing w:before="60" w:after="40"/>
              <w:jc w:val="both"/>
              <w:rPr>
                <w:rFonts w:ascii="Verdana" w:hAnsi="Verdana"/>
                <w:spacing w:val="-2"/>
                <w:sz w:val="20"/>
                <w:szCs w:val="20"/>
              </w:rPr>
            </w:pPr>
            <w:r w:rsidRPr="00C31357">
              <w:rPr>
                <w:rFonts w:ascii="Verdana" w:hAnsi="Verdana"/>
                <w:spacing w:val="-2"/>
                <w:sz w:val="20"/>
                <w:szCs w:val="20"/>
                <w:lang w:val="af-ZA"/>
              </w:rPr>
              <w:t>1) отчета по чл. 14, ал. 6</w:t>
            </w:r>
            <w:r>
              <w:rPr>
                <w:rFonts w:ascii="Verdana" w:hAnsi="Verdana"/>
                <w:spacing w:val="-2"/>
                <w:sz w:val="20"/>
                <w:szCs w:val="20"/>
              </w:rPr>
              <w:t>;</w:t>
            </w:r>
          </w:p>
        </w:tc>
        <w:tc>
          <w:tcPr>
            <w:tcW w:w="1701" w:type="dxa"/>
            <w:tcBorders>
              <w:top w:val="nil"/>
              <w:bottom w:val="nil"/>
            </w:tcBorders>
            <w:shd w:val="clear" w:color="auto" w:fill="auto"/>
          </w:tcPr>
          <w:p w:rsidR="002818F6" w:rsidRPr="004C0AEC" w:rsidRDefault="002818F6" w:rsidP="00DA1AA7">
            <w:pPr>
              <w:spacing w:before="60" w:after="40"/>
              <w:rPr>
                <w:rFonts w:ascii="Verdana" w:hAnsi="Verdana"/>
                <w:color w:val="FF0000"/>
                <w:sz w:val="20"/>
                <w:szCs w:val="20"/>
                <w:lang w:val="af-ZA"/>
              </w:rPr>
            </w:pPr>
            <w:r w:rsidRPr="00551043">
              <w:rPr>
                <w:rFonts w:ascii="Verdana" w:hAnsi="Verdana"/>
                <w:sz w:val="20"/>
                <w:szCs w:val="20"/>
                <w:lang w:val="af-ZA"/>
              </w:rPr>
              <w:t>Приема се</w:t>
            </w:r>
            <w:r w:rsidRPr="00551043">
              <w:rPr>
                <w:rFonts w:ascii="Verdana" w:hAnsi="Verdana"/>
                <w:sz w:val="20"/>
                <w:szCs w:val="20"/>
              </w:rPr>
              <w:t xml:space="preserve"> частично</w:t>
            </w:r>
          </w:p>
        </w:tc>
        <w:tc>
          <w:tcPr>
            <w:tcW w:w="4847" w:type="dxa"/>
            <w:tcBorders>
              <w:top w:val="nil"/>
              <w:bottom w:val="nil"/>
            </w:tcBorders>
            <w:shd w:val="clear" w:color="auto" w:fill="auto"/>
          </w:tcPr>
          <w:p w:rsidR="002818F6" w:rsidRPr="0020445A" w:rsidRDefault="002818F6" w:rsidP="00DA1AA7">
            <w:pPr>
              <w:spacing w:before="60" w:after="40"/>
              <w:jc w:val="both"/>
              <w:rPr>
                <w:rFonts w:ascii="Verdana" w:hAnsi="Verdana"/>
                <w:color w:val="000000"/>
                <w:sz w:val="20"/>
                <w:szCs w:val="20"/>
              </w:rPr>
            </w:pPr>
            <w:r>
              <w:rPr>
                <w:rFonts w:ascii="Verdana" w:hAnsi="Verdana"/>
                <w:color w:val="000000"/>
                <w:sz w:val="20"/>
                <w:szCs w:val="20"/>
              </w:rPr>
              <w:t>Съгласно чл. 20, ал. 3 от Наредбата за структурата и минималната численост на инспекторатите, реда и начина за осъществяване на дейността им</w:t>
            </w:r>
            <w:r w:rsidRPr="00760470">
              <w:rPr>
                <w:rFonts w:ascii="Verdana" w:hAnsi="Verdana"/>
                <w:color w:val="000000"/>
                <w:sz w:val="20"/>
                <w:szCs w:val="20"/>
                <w:lang w:val="ru-RU"/>
              </w:rPr>
              <w:t xml:space="preserve"> </w:t>
            </w:r>
            <w:r>
              <w:rPr>
                <w:rFonts w:ascii="Verdana" w:hAnsi="Verdana"/>
                <w:color w:val="000000"/>
                <w:sz w:val="20"/>
                <w:szCs w:val="20"/>
              </w:rPr>
              <w:t xml:space="preserve">и </w:t>
            </w:r>
            <w:r>
              <w:rPr>
                <w:rFonts w:ascii="Verdana" w:hAnsi="Verdana"/>
                <w:color w:val="000000"/>
                <w:sz w:val="20"/>
                <w:szCs w:val="20"/>
              </w:rPr>
              <w:lastRenderedPageBreak/>
              <w:t>взаимодействи</w:t>
            </w:r>
            <w:r>
              <w:rPr>
                <w:rFonts w:ascii="Verdana" w:hAnsi="Verdana"/>
                <w:color w:val="000000"/>
                <w:sz w:val="20"/>
                <w:szCs w:val="20"/>
              </w:rPr>
              <w:t>е</w:t>
            </w:r>
            <w:r>
              <w:rPr>
                <w:rFonts w:ascii="Verdana" w:hAnsi="Verdana"/>
                <w:color w:val="000000"/>
                <w:sz w:val="20"/>
                <w:szCs w:val="20"/>
              </w:rPr>
              <w:t xml:space="preserve">то със специализираните контролни органи на интернет страницата на МЗХГ се публикува информация от отчета. </w:t>
            </w:r>
          </w:p>
        </w:tc>
      </w:tr>
      <w:tr w:rsidR="00353C19" w:rsidRPr="004C0AEC" w:rsidTr="0020188B">
        <w:trPr>
          <w:trHeight w:val="596"/>
          <w:jc w:val="center"/>
        </w:trPr>
        <w:tc>
          <w:tcPr>
            <w:tcW w:w="622" w:type="dxa"/>
            <w:tcBorders>
              <w:top w:val="nil"/>
              <w:bottom w:val="nil"/>
            </w:tcBorders>
            <w:shd w:val="clear" w:color="auto" w:fill="auto"/>
          </w:tcPr>
          <w:p w:rsidR="00353C19" w:rsidRPr="004C0AEC" w:rsidRDefault="00353C19"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353C19" w:rsidRDefault="00353C19" w:rsidP="00DA1AA7">
            <w:pPr>
              <w:spacing w:before="60" w:after="40"/>
              <w:rPr>
                <w:rFonts w:ascii="Verdana" w:hAnsi="Verdana"/>
                <w:sz w:val="20"/>
                <w:szCs w:val="20"/>
                <w:lang w:val="af-ZA"/>
              </w:rPr>
            </w:pPr>
          </w:p>
        </w:tc>
        <w:tc>
          <w:tcPr>
            <w:tcW w:w="6095" w:type="dxa"/>
            <w:tcBorders>
              <w:top w:val="nil"/>
              <w:bottom w:val="nil"/>
            </w:tcBorders>
            <w:shd w:val="clear" w:color="auto" w:fill="auto"/>
          </w:tcPr>
          <w:p w:rsidR="00353C19" w:rsidRPr="00A55A4B" w:rsidRDefault="00500971" w:rsidP="00DA1AA7">
            <w:pPr>
              <w:tabs>
                <w:tab w:val="left" w:pos="391"/>
                <w:tab w:val="left" w:pos="434"/>
              </w:tabs>
              <w:spacing w:before="60" w:after="40"/>
              <w:jc w:val="both"/>
              <w:rPr>
                <w:rFonts w:ascii="Verdana" w:hAnsi="Verdana"/>
                <w:spacing w:val="-2"/>
                <w:sz w:val="20"/>
                <w:szCs w:val="20"/>
              </w:rPr>
            </w:pPr>
            <w:r w:rsidRPr="00C31357">
              <w:rPr>
                <w:rFonts w:ascii="Verdana" w:hAnsi="Verdana"/>
                <w:spacing w:val="-2"/>
                <w:sz w:val="20"/>
                <w:szCs w:val="20"/>
                <w:lang w:val="af-ZA"/>
              </w:rPr>
              <w:t>2) годишен доклад по чл. 15, ал. 4, т. 10</w:t>
            </w:r>
            <w:r w:rsidR="00A55A4B">
              <w:rPr>
                <w:rFonts w:ascii="Verdana" w:hAnsi="Verdana"/>
                <w:spacing w:val="-2"/>
                <w:sz w:val="20"/>
                <w:szCs w:val="20"/>
              </w:rPr>
              <w:t>;</w:t>
            </w:r>
          </w:p>
        </w:tc>
        <w:tc>
          <w:tcPr>
            <w:tcW w:w="1701" w:type="dxa"/>
            <w:tcBorders>
              <w:top w:val="nil"/>
              <w:bottom w:val="nil"/>
            </w:tcBorders>
            <w:shd w:val="clear" w:color="auto" w:fill="auto"/>
          </w:tcPr>
          <w:p w:rsidR="00353C19" w:rsidRPr="004C0AEC" w:rsidRDefault="00A55A4B" w:rsidP="00DA1AA7">
            <w:pPr>
              <w:spacing w:before="60" w:after="40"/>
              <w:rPr>
                <w:rFonts w:ascii="Verdana" w:hAnsi="Verdana"/>
                <w:color w:val="FF0000"/>
                <w:sz w:val="20"/>
                <w:szCs w:val="20"/>
                <w:lang w:val="af-ZA"/>
              </w:rPr>
            </w:pPr>
            <w:r w:rsidRPr="00551043">
              <w:rPr>
                <w:rFonts w:ascii="Verdana" w:hAnsi="Verdana"/>
                <w:sz w:val="20"/>
                <w:szCs w:val="20"/>
                <w:lang w:val="af-ZA"/>
              </w:rPr>
              <w:t>Не се приема</w:t>
            </w:r>
          </w:p>
        </w:tc>
        <w:tc>
          <w:tcPr>
            <w:tcW w:w="4847" w:type="dxa"/>
            <w:tcBorders>
              <w:top w:val="nil"/>
              <w:bottom w:val="nil"/>
            </w:tcBorders>
            <w:shd w:val="clear" w:color="auto" w:fill="auto"/>
          </w:tcPr>
          <w:p w:rsidR="00353C19" w:rsidRPr="00A87257" w:rsidRDefault="00A87257" w:rsidP="00DA1AA7">
            <w:pPr>
              <w:spacing w:before="60" w:after="40"/>
              <w:jc w:val="both"/>
              <w:rPr>
                <w:rFonts w:ascii="Verdana" w:hAnsi="Verdana"/>
                <w:color w:val="000000"/>
                <w:sz w:val="20"/>
                <w:szCs w:val="20"/>
              </w:rPr>
            </w:pPr>
            <w:r>
              <w:rPr>
                <w:rFonts w:ascii="Verdana" w:hAnsi="Verdana"/>
                <w:color w:val="000000"/>
                <w:sz w:val="20"/>
                <w:szCs w:val="20"/>
              </w:rPr>
              <w:t>Съгласно чл. 40, ал. 5 от Закона за вътрешния одит в публичния сектор годишния доклад за дейността по вътрешен одит се изпраща на министъра на финансите. На интернет  страницата на Министерството на финансите се публикува Консолидиран годишен доклад за вътрешния одит в пу</w:t>
            </w:r>
            <w:r>
              <w:rPr>
                <w:rFonts w:ascii="Verdana" w:hAnsi="Verdana"/>
                <w:color w:val="000000"/>
                <w:sz w:val="20"/>
                <w:szCs w:val="20"/>
              </w:rPr>
              <w:t>б</w:t>
            </w:r>
            <w:r>
              <w:rPr>
                <w:rFonts w:ascii="Verdana" w:hAnsi="Verdana"/>
                <w:color w:val="000000"/>
                <w:sz w:val="20"/>
                <w:szCs w:val="20"/>
              </w:rPr>
              <w:t>личния сектор в Република България.</w:t>
            </w:r>
          </w:p>
        </w:tc>
      </w:tr>
      <w:tr w:rsidR="00353C19" w:rsidRPr="004C0AEC" w:rsidTr="0020188B">
        <w:trPr>
          <w:trHeight w:val="596"/>
          <w:jc w:val="center"/>
        </w:trPr>
        <w:tc>
          <w:tcPr>
            <w:tcW w:w="622" w:type="dxa"/>
            <w:tcBorders>
              <w:top w:val="nil"/>
              <w:bottom w:val="nil"/>
            </w:tcBorders>
            <w:shd w:val="clear" w:color="auto" w:fill="auto"/>
          </w:tcPr>
          <w:p w:rsidR="00353C19" w:rsidRPr="004C0AEC" w:rsidRDefault="00353C19"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353C19" w:rsidRDefault="00353C19" w:rsidP="00DA1AA7">
            <w:pPr>
              <w:spacing w:before="60" w:after="40"/>
              <w:rPr>
                <w:rFonts w:ascii="Verdana" w:hAnsi="Verdana"/>
                <w:sz w:val="20"/>
                <w:szCs w:val="20"/>
                <w:lang w:val="af-ZA"/>
              </w:rPr>
            </w:pPr>
          </w:p>
        </w:tc>
        <w:tc>
          <w:tcPr>
            <w:tcW w:w="6095" w:type="dxa"/>
            <w:tcBorders>
              <w:top w:val="nil"/>
              <w:bottom w:val="nil"/>
            </w:tcBorders>
            <w:shd w:val="clear" w:color="auto" w:fill="auto"/>
          </w:tcPr>
          <w:p w:rsidR="00353C19" w:rsidRPr="00A55A4B" w:rsidRDefault="00500971" w:rsidP="00DA1AA7">
            <w:pPr>
              <w:tabs>
                <w:tab w:val="left" w:pos="391"/>
                <w:tab w:val="left" w:pos="434"/>
              </w:tabs>
              <w:spacing w:before="60" w:after="40"/>
              <w:jc w:val="both"/>
              <w:rPr>
                <w:rFonts w:ascii="Verdana" w:hAnsi="Verdana"/>
                <w:spacing w:val="-2"/>
                <w:sz w:val="20"/>
                <w:szCs w:val="20"/>
              </w:rPr>
            </w:pPr>
            <w:r w:rsidRPr="00C31357">
              <w:rPr>
                <w:rFonts w:ascii="Verdana" w:hAnsi="Verdana"/>
                <w:spacing w:val="-2"/>
                <w:sz w:val="20"/>
                <w:szCs w:val="20"/>
                <w:lang w:val="af-ZA"/>
              </w:rPr>
              <w:t>3) доклад по чл. 16, т. 12 и други подобни</w:t>
            </w:r>
            <w:r w:rsidR="00A55A4B">
              <w:rPr>
                <w:rFonts w:ascii="Verdana" w:hAnsi="Verdana"/>
                <w:spacing w:val="-2"/>
                <w:sz w:val="20"/>
                <w:szCs w:val="20"/>
              </w:rPr>
              <w:t>.</w:t>
            </w:r>
          </w:p>
        </w:tc>
        <w:tc>
          <w:tcPr>
            <w:tcW w:w="1701" w:type="dxa"/>
            <w:tcBorders>
              <w:top w:val="nil"/>
              <w:bottom w:val="nil"/>
            </w:tcBorders>
            <w:shd w:val="clear" w:color="auto" w:fill="auto"/>
          </w:tcPr>
          <w:p w:rsidR="00353C19" w:rsidRPr="004C0AEC" w:rsidRDefault="00A55A4B" w:rsidP="00DA1AA7">
            <w:pPr>
              <w:spacing w:before="60" w:after="40"/>
              <w:rPr>
                <w:rFonts w:ascii="Verdana" w:hAnsi="Verdana"/>
                <w:color w:val="FF0000"/>
                <w:sz w:val="20"/>
                <w:szCs w:val="20"/>
                <w:lang w:val="af-ZA"/>
              </w:rPr>
            </w:pPr>
            <w:r w:rsidRPr="00551043">
              <w:rPr>
                <w:rFonts w:ascii="Verdana" w:hAnsi="Verdana"/>
                <w:sz w:val="20"/>
                <w:szCs w:val="20"/>
                <w:lang w:val="af-ZA"/>
              </w:rPr>
              <w:t>Не се приема</w:t>
            </w:r>
          </w:p>
        </w:tc>
        <w:tc>
          <w:tcPr>
            <w:tcW w:w="4847" w:type="dxa"/>
            <w:tcBorders>
              <w:top w:val="nil"/>
              <w:bottom w:val="nil"/>
            </w:tcBorders>
            <w:shd w:val="clear" w:color="auto" w:fill="auto"/>
          </w:tcPr>
          <w:p w:rsidR="00353C19" w:rsidRPr="00401D5B" w:rsidRDefault="00A87257" w:rsidP="00DA1AA7">
            <w:pPr>
              <w:spacing w:before="60" w:after="40"/>
              <w:jc w:val="both"/>
              <w:rPr>
                <w:rFonts w:ascii="Verdana" w:hAnsi="Verdana"/>
                <w:color w:val="000000"/>
                <w:spacing w:val="4"/>
                <w:sz w:val="20"/>
                <w:szCs w:val="20"/>
              </w:rPr>
            </w:pPr>
            <w:r w:rsidRPr="00401D5B">
              <w:rPr>
                <w:rFonts w:ascii="Verdana" w:hAnsi="Verdana"/>
                <w:color w:val="000000"/>
                <w:spacing w:val="4"/>
                <w:sz w:val="20"/>
                <w:szCs w:val="20"/>
              </w:rPr>
              <w:t>Съгласно Европейското законодателство, докладът относно резултатите от надзора</w:t>
            </w:r>
            <w:r w:rsidR="001D6512" w:rsidRPr="00401D5B">
              <w:rPr>
                <w:rFonts w:ascii="Verdana" w:hAnsi="Verdana"/>
                <w:color w:val="000000"/>
                <w:spacing w:val="4"/>
                <w:sz w:val="20"/>
                <w:szCs w:val="20"/>
              </w:rPr>
              <w:t xml:space="preserve"> върху изпълнението на критериите за акредитация от страна на разплащателните агенции в съответствие с чл. 2, параграф 1 от Регламент за изпълнение </w:t>
            </w:r>
            <w:r w:rsidRPr="00401D5B">
              <w:rPr>
                <w:rFonts w:ascii="Verdana" w:hAnsi="Verdana"/>
                <w:color w:val="000000"/>
                <w:spacing w:val="4"/>
                <w:sz w:val="20"/>
                <w:szCs w:val="20"/>
              </w:rPr>
              <w:t xml:space="preserve"> (ЕС) № 908/2014 </w:t>
            </w:r>
            <w:r w:rsidR="001D6512" w:rsidRPr="00401D5B">
              <w:rPr>
                <w:rFonts w:ascii="Verdana" w:hAnsi="Verdana"/>
                <w:color w:val="000000"/>
                <w:spacing w:val="4"/>
                <w:sz w:val="20"/>
                <w:szCs w:val="20"/>
              </w:rPr>
              <w:t>на Комисията</w:t>
            </w:r>
            <w:r w:rsidRPr="00401D5B">
              <w:rPr>
                <w:rFonts w:ascii="Verdana" w:hAnsi="Verdana"/>
                <w:color w:val="000000"/>
                <w:spacing w:val="4"/>
                <w:sz w:val="20"/>
                <w:szCs w:val="20"/>
              </w:rPr>
              <w:t xml:space="preserve"> се изготвя само и единствено за ползване от службите на  Европейската комисия.</w:t>
            </w:r>
          </w:p>
        </w:tc>
      </w:tr>
      <w:tr w:rsidR="00353C19" w:rsidRPr="004C0AEC" w:rsidTr="0020188B">
        <w:trPr>
          <w:trHeight w:val="596"/>
          <w:jc w:val="center"/>
        </w:trPr>
        <w:tc>
          <w:tcPr>
            <w:tcW w:w="622" w:type="dxa"/>
            <w:tcBorders>
              <w:top w:val="nil"/>
              <w:bottom w:val="nil"/>
            </w:tcBorders>
            <w:shd w:val="clear" w:color="auto" w:fill="auto"/>
          </w:tcPr>
          <w:p w:rsidR="00353C19" w:rsidRPr="004C0AEC" w:rsidRDefault="00353C19"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353C19" w:rsidRDefault="00353C19" w:rsidP="00DA1AA7">
            <w:pPr>
              <w:spacing w:before="60" w:after="40"/>
              <w:rPr>
                <w:rFonts w:ascii="Verdana" w:hAnsi="Verdana"/>
                <w:sz w:val="20"/>
                <w:szCs w:val="20"/>
                <w:lang w:val="af-ZA"/>
              </w:rPr>
            </w:pPr>
          </w:p>
        </w:tc>
        <w:tc>
          <w:tcPr>
            <w:tcW w:w="6095" w:type="dxa"/>
            <w:tcBorders>
              <w:top w:val="nil"/>
              <w:bottom w:val="nil"/>
            </w:tcBorders>
            <w:shd w:val="clear" w:color="auto" w:fill="auto"/>
          </w:tcPr>
          <w:p w:rsidR="002A48B8" w:rsidRPr="002A48B8" w:rsidRDefault="002A48B8" w:rsidP="00DA1AA7">
            <w:pPr>
              <w:tabs>
                <w:tab w:val="left" w:pos="391"/>
                <w:tab w:val="left" w:pos="434"/>
              </w:tabs>
              <w:spacing w:before="60" w:after="40"/>
              <w:jc w:val="both"/>
              <w:rPr>
                <w:rFonts w:ascii="Verdana" w:hAnsi="Verdana"/>
                <w:spacing w:val="-2"/>
                <w:sz w:val="20"/>
                <w:szCs w:val="20"/>
                <w:lang w:val="af-ZA"/>
              </w:rPr>
            </w:pPr>
            <w:r w:rsidRPr="002A48B8">
              <w:rPr>
                <w:rFonts w:ascii="Verdana" w:hAnsi="Verdana"/>
                <w:spacing w:val="-2"/>
                <w:sz w:val="20"/>
                <w:szCs w:val="20"/>
                <w:lang w:val="af-ZA"/>
              </w:rPr>
              <w:t>Предлагам да се допишат задълженията по отношение на поддържане и актуализиране на публичните регистри, които следва да са достъпни на сайта на МЗХГ.</w:t>
            </w:r>
          </w:p>
          <w:p w:rsidR="00353C19" w:rsidRDefault="002A48B8" w:rsidP="00DA1AA7">
            <w:pPr>
              <w:tabs>
                <w:tab w:val="left" w:pos="391"/>
                <w:tab w:val="left" w:pos="434"/>
              </w:tabs>
              <w:spacing w:before="60" w:after="40"/>
              <w:jc w:val="both"/>
              <w:rPr>
                <w:rFonts w:ascii="Verdana" w:hAnsi="Verdana"/>
                <w:spacing w:val="-2"/>
                <w:sz w:val="20"/>
                <w:szCs w:val="20"/>
                <w:lang w:val="af-ZA"/>
              </w:rPr>
            </w:pPr>
            <w:r w:rsidRPr="002A48B8">
              <w:rPr>
                <w:rFonts w:ascii="Verdana" w:hAnsi="Verdana"/>
                <w:spacing w:val="-2"/>
                <w:sz w:val="20"/>
                <w:szCs w:val="20"/>
                <w:lang w:val="af-ZA"/>
              </w:rPr>
              <w:t>Предложение</w:t>
            </w:r>
            <w:r>
              <w:rPr>
                <w:rFonts w:ascii="Verdana" w:hAnsi="Verdana"/>
                <w:spacing w:val="-2"/>
                <w:sz w:val="20"/>
                <w:szCs w:val="20"/>
              </w:rPr>
              <w:t>то</w:t>
            </w:r>
            <w:r w:rsidRPr="002A48B8">
              <w:rPr>
                <w:rFonts w:ascii="Verdana" w:hAnsi="Verdana"/>
                <w:spacing w:val="-2"/>
                <w:sz w:val="20"/>
                <w:szCs w:val="20"/>
                <w:lang w:val="af-ZA"/>
              </w:rPr>
              <w:t xml:space="preserve"> е във връзка с тяхната актуалност, начин на ползване и достъпност. Направени проверки показват, че тези регистри не са актуални към дата на справка</w:t>
            </w:r>
            <w:r>
              <w:rPr>
                <w:rFonts w:ascii="Verdana" w:hAnsi="Verdana"/>
                <w:spacing w:val="-2"/>
                <w:sz w:val="20"/>
                <w:szCs w:val="20"/>
              </w:rPr>
              <w:t>,</w:t>
            </w:r>
            <w:r w:rsidRPr="002A48B8">
              <w:rPr>
                <w:rFonts w:ascii="Verdana" w:hAnsi="Verdana"/>
                <w:spacing w:val="-2"/>
                <w:sz w:val="20"/>
                <w:szCs w:val="20"/>
                <w:lang w:val="af-ZA"/>
              </w:rPr>
              <w:t xml:space="preserve"> а към историческа дата, което не предоставя актуална информация.</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 xml:space="preserve">При търсене в мрежата на „регистър на издадените от </w:t>
            </w:r>
            <w:r w:rsidRPr="00D367F7">
              <w:rPr>
                <w:rFonts w:ascii="Verdana" w:hAnsi="Verdana"/>
                <w:spacing w:val="-2"/>
                <w:sz w:val="20"/>
                <w:szCs w:val="20"/>
                <w:lang w:val="af-ZA"/>
              </w:rPr>
              <w:lastRenderedPageBreak/>
              <w:t>министъра удостоверения за съответствие с качествените характеристики на млечните продукти по БДС"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площите, засети с генетично модифицирани растения" същият не излиза с връзка на сайта на МЗХГ, а на http://www.publicregisters.info/r/Registyr_na_ploshtite_zaseti_s_genetichno/106119/ , като данните са актуални към 2011 г.</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сдруженията за напояване" във връзка с чл. 22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производителите на земеделски продукти и храни с географски означения"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производителите на земеделски продукти и храни с традиционно специфичен характер"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издадените разрешения, както и регистър на издадените лицензии" във връзка с чл. 42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лицата, които притежават разрешение от Министерския съвет за промишлена обработка на тютюн съгласно Закона за тютюна, тютюневите и свързаните с тях изделия" във връзка с чл. 42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лицата, които притежават разрешение за изкупуване на суров тютюн" във връзка с чл. 42 същият не излиза с връзка с ползване.</w:t>
            </w:r>
          </w:p>
          <w:p w:rsid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lastRenderedPageBreak/>
              <w:t>При търсене в мрежата на „регистър на първите изкупвачи на мляко" във връзка с чл. 44 същият не излиза с връзка с ползване.</w:t>
            </w:r>
          </w:p>
          <w:p w:rsidR="00D367F7" w:rsidRPr="00D367F7" w:rsidRDefault="00D367F7" w:rsidP="00DA1AA7">
            <w:pPr>
              <w:tabs>
                <w:tab w:val="left" w:pos="391"/>
                <w:tab w:val="left" w:pos="434"/>
              </w:tabs>
              <w:spacing w:before="60" w:after="40"/>
              <w:jc w:val="both"/>
              <w:rPr>
                <w:rFonts w:ascii="Verdana" w:hAnsi="Verdana"/>
                <w:spacing w:val="-2"/>
                <w:sz w:val="20"/>
                <w:szCs w:val="20"/>
                <w:lang w:val="af-ZA"/>
              </w:rPr>
            </w:pPr>
            <w:r w:rsidRPr="00D367F7">
              <w:rPr>
                <w:rFonts w:ascii="Verdana" w:hAnsi="Verdana"/>
                <w:spacing w:val="-2"/>
                <w:sz w:val="20"/>
                <w:szCs w:val="20"/>
                <w:lang w:val="af-ZA"/>
              </w:rPr>
              <w:t>При търсене в мрежата на „регистър на кланиците, извършващи задължителна класификация съгласно чл. 58а, ал. 5 ЗПООПЗПЕС, и на класификаторите, завършили курс за класификация на кланични трупове от говеда, свине и овце, съгласно чл. 58б, ал. 7 ЗПООЗПЕС" във връзка с чл. 44 същият не излиза с връзка с ползване.</w:t>
            </w:r>
          </w:p>
        </w:tc>
        <w:tc>
          <w:tcPr>
            <w:tcW w:w="1701" w:type="dxa"/>
            <w:tcBorders>
              <w:top w:val="nil"/>
              <w:bottom w:val="nil"/>
            </w:tcBorders>
            <w:shd w:val="clear" w:color="auto" w:fill="auto"/>
          </w:tcPr>
          <w:p w:rsidR="00353C19" w:rsidRPr="004C0AEC" w:rsidRDefault="002A48B8" w:rsidP="00DA1AA7">
            <w:pPr>
              <w:spacing w:before="60" w:after="40"/>
              <w:rPr>
                <w:rFonts w:ascii="Verdana" w:hAnsi="Verdana"/>
                <w:color w:val="FF0000"/>
                <w:sz w:val="20"/>
                <w:szCs w:val="20"/>
                <w:lang w:val="af-ZA"/>
              </w:rPr>
            </w:pPr>
            <w:r w:rsidRPr="00551043">
              <w:rPr>
                <w:rFonts w:ascii="Verdana" w:hAnsi="Verdana"/>
                <w:sz w:val="20"/>
                <w:szCs w:val="20"/>
                <w:lang w:val="af-ZA"/>
              </w:rPr>
              <w:lastRenderedPageBreak/>
              <w:t>Приема се</w:t>
            </w:r>
            <w:r w:rsidR="00551043" w:rsidRPr="00551043">
              <w:rPr>
                <w:rFonts w:ascii="Verdana" w:hAnsi="Verdana"/>
                <w:sz w:val="20"/>
                <w:szCs w:val="20"/>
                <w:lang w:val="af-ZA"/>
              </w:rPr>
              <w:t xml:space="preserve"> </w:t>
            </w:r>
            <w:r w:rsidR="00551043" w:rsidRPr="00551043">
              <w:rPr>
                <w:rFonts w:ascii="Verdana" w:hAnsi="Verdana"/>
                <w:sz w:val="20"/>
                <w:szCs w:val="20"/>
              </w:rPr>
              <w:t>по принцип</w:t>
            </w:r>
            <w:r w:rsidRPr="00551043">
              <w:rPr>
                <w:rFonts w:ascii="Verdana" w:hAnsi="Verdana"/>
                <w:sz w:val="20"/>
                <w:szCs w:val="20"/>
                <w:lang w:val="af-ZA"/>
              </w:rPr>
              <w:t xml:space="preserve"> </w:t>
            </w:r>
          </w:p>
        </w:tc>
        <w:tc>
          <w:tcPr>
            <w:tcW w:w="4847" w:type="dxa"/>
            <w:tcBorders>
              <w:top w:val="nil"/>
              <w:bottom w:val="nil"/>
            </w:tcBorders>
            <w:shd w:val="clear" w:color="auto" w:fill="auto"/>
          </w:tcPr>
          <w:p w:rsidR="00353C19" w:rsidRPr="005F7D1E" w:rsidRDefault="005F7D1E" w:rsidP="00DA1AA7">
            <w:pPr>
              <w:spacing w:before="60" w:after="40"/>
              <w:jc w:val="both"/>
              <w:rPr>
                <w:rFonts w:ascii="Verdana" w:hAnsi="Verdana"/>
                <w:color w:val="000000"/>
                <w:sz w:val="20"/>
                <w:szCs w:val="20"/>
              </w:rPr>
            </w:pPr>
            <w:r>
              <w:rPr>
                <w:rFonts w:ascii="Verdana" w:hAnsi="Verdana"/>
                <w:color w:val="000000"/>
                <w:sz w:val="20"/>
                <w:szCs w:val="20"/>
              </w:rPr>
              <w:t xml:space="preserve">В момента в МЗХГ се разработва и предстои да бъде </w:t>
            </w:r>
            <w:r w:rsidRPr="005F7D1E">
              <w:rPr>
                <w:rFonts w:ascii="Verdana" w:hAnsi="Verdana"/>
                <w:color w:val="000000"/>
                <w:sz w:val="20"/>
                <w:szCs w:val="20"/>
                <w:lang w:val="af-ZA"/>
              </w:rPr>
              <w:t xml:space="preserve"> внедрена и пусната в експлоатация единна информационна система за достъп, поддържане и ползване на електронни регистри за целите на специализираната администрация в МЗХГ</w:t>
            </w:r>
            <w:r>
              <w:rPr>
                <w:rFonts w:ascii="Verdana" w:hAnsi="Verdana"/>
                <w:color w:val="000000"/>
                <w:sz w:val="20"/>
                <w:szCs w:val="20"/>
              </w:rPr>
              <w:t>.</w:t>
            </w:r>
          </w:p>
        </w:tc>
      </w:tr>
      <w:tr w:rsidR="00353C19" w:rsidRPr="002A48B8" w:rsidTr="007600DD">
        <w:trPr>
          <w:trHeight w:val="596"/>
          <w:jc w:val="center"/>
        </w:trPr>
        <w:tc>
          <w:tcPr>
            <w:tcW w:w="622" w:type="dxa"/>
            <w:tcBorders>
              <w:top w:val="nil"/>
              <w:bottom w:val="single" w:sz="18" w:space="0" w:color="2E74B5"/>
            </w:tcBorders>
            <w:shd w:val="clear" w:color="auto" w:fill="auto"/>
          </w:tcPr>
          <w:p w:rsidR="00353C19" w:rsidRPr="004C0AEC" w:rsidRDefault="00353C19" w:rsidP="00DA1AA7">
            <w:pPr>
              <w:tabs>
                <w:tab w:val="left" w:pos="192"/>
              </w:tabs>
              <w:spacing w:before="60" w:after="40"/>
              <w:ind w:left="340"/>
              <w:rPr>
                <w:rFonts w:ascii="Verdana" w:hAnsi="Verdana"/>
                <w:b/>
                <w:sz w:val="20"/>
                <w:szCs w:val="20"/>
                <w:lang w:val="af-ZA"/>
              </w:rPr>
            </w:pPr>
          </w:p>
        </w:tc>
        <w:tc>
          <w:tcPr>
            <w:tcW w:w="2385" w:type="dxa"/>
            <w:tcBorders>
              <w:top w:val="nil"/>
              <w:bottom w:val="single" w:sz="18" w:space="0" w:color="2E74B5"/>
            </w:tcBorders>
            <w:shd w:val="clear" w:color="auto" w:fill="auto"/>
          </w:tcPr>
          <w:p w:rsidR="00353C19" w:rsidRPr="002A48B8" w:rsidRDefault="00353C19" w:rsidP="00DA1AA7">
            <w:pPr>
              <w:tabs>
                <w:tab w:val="left" w:pos="192"/>
              </w:tabs>
              <w:spacing w:before="60" w:after="40"/>
              <w:ind w:left="340"/>
              <w:rPr>
                <w:rFonts w:ascii="Verdana" w:hAnsi="Verdana"/>
                <w:b/>
                <w:sz w:val="20"/>
                <w:szCs w:val="20"/>
                <w:lang w:val="af-ZA"/>
              </w:rPr>
            </w:pPr>
          </w:p>
        </w:tc>
        <w:tc>
          <w:tcPr>
            <w:tcW w:w="6095" w:type="dxa"/>
            <w:tcBorders>
              <w:top w:val="nil"/>
              <w:bottom w:val="single" w:sz="18" w:space="0" w:color="2E74B5"/>
            </w:tcBorders>
            <w:shd w:val="clear" w:color="auto" w:fill="auto"/>
          </w:tcPr>
          <w:p w:rsidR="000577FB" w:rsidRPr="00253819" w:rsidRDefault="00253819" w:rsidP="00DA1AA7">
            <w:pPr>
              <w:tabs>
                <w:tab w:val="left" w:pos="391"/>
                <w:tab w:val="left" w:pos="434"/>
              </w:tabs>
              <w:spacing w:before="60" w:after="40"/>
              <w:jc w:val="both"/>
              <w:rPr>
                <w:rFonts w:ascii="Verdana" w:hAnsi="Verdana"/>
                <w:spacing w:val="-2"/>
                <w:sz w:val="20"/>
                <w:szCs w:val="20"/>
                <w:lang w:val="af-ZA"/>
              </w:rPr>
            </w:pPr>
            <w:r w:rsidRPr="00253819">
              <w:rPr>
                <w:rFonts w:ascii="Verdana" w:hAnsi="Verdana"/>
                <w:spacing w:val="-2"/>
                <w:sz w:val="20"/>
                <w:szCs w:val="20"/>
                <w:lang w:val="af-ZA"/>
              </w:rPr>
              <w:t xml:space="preserve">В </w:t>
            </w:r>
            <w:r>
              <w:rPr>
                <w:rFonts w:ascii="Verdana" w:hAnsi="Verdana"/>
                <w:spacing w:val="-2"/>
                <w:sz w:val="20"/>
                <w:szCs w:val="20"/>
                <w:lang w:val="af-ZA"/>
              </w:rPr>
              <w:t xml:space="preserve">текста на чл. 41, т. 27, буква </w:t>
            </w:r>
            <w:r>
              <w:rPr>
                <w:rFonts w:ascii="Verdana" w:hAnsi="Verdana"/>
                <w:spacing w:val="-2"/>
                <w:sz w:val="20"/>
                <w:szCs w:val="20"/>
              </w:rPr>
              <w:t>„</w:t>
            </w:r>
            <w:r>
              <w:rPr>
                <w:rFonts w:ascii="Verdana" w:hAnsi="Verdana"/>
                <w:spacing w:val="-2"/>
                <w:sz w:val="20"/>
                <w:szCs w:val="20"/>
                <w:lang w:val="af-ZA"/>
              </w:rPr>
              <w:t xml:space="preserve">г" </w:t>
            </w:r>
            <w:r>
              <w:rPr>
                <w:rFonts w:ascii="Verdana" w:hAnsi="Verdana"/>
                <w:spacing w:val="-2"/>
                <w:sz w:val="20"/>
                <w:szCs w:val="20"/>
              </w:rPr>
              <w:t>„</w:t>
            </w:r>
            <w:r w:rsidRPr="00253819">
              <w:rPr>
                <w:rFonts w:ascii="Verdana" w:hAnsi="Verdana"/>
                <w:spacing w:val="-2"/>
                <w:sz w:val="20"/>
                <w:szCs w:val="20"/>
                <w:lang w:val="af-ZA"/>
              </w:rPr>
              <w:t>производителите на земеделски продукти и храни, за които се използва незад</w:t>
            </w:r>
            <w:r>
              <w:rPr>
                <w:rFonts w:ascii="Verdana" w:hAnsi="Verdana"/>
                <w:spacing w:val="-2"/>
                <w:sz w:val="20"/>
                <w:szCs w:val="20"/>
                <w:lang w:val="af-ZA"/>
              </w:rPr>
              <w:t xml:space="preserve">ължителният термин за качество </w:t>
            </w:r>
            <w:r>
              <w:rPr>
                <w:rFonts w:ascii="Verdana" w:hAnsi="Verdana"/>
                <w:spacing w:val="-2"/>
                <w:sz w:val="20"/>
                <w:szCs w:val="20"/>
              </w:rPr>
              <w:t>„</w:t>
            </w:r>
            <w:r>
              <w:rPr>
                <w:rFonts w:ascii="Verdana" w:hAnsi="Verdana"/>
                <w:spacing w:val="-2"/>
                <w:sz w:val="20"/>
                <w:szCs w:val="20"/>
                <w:lang w:val="af-ZA"/>
              </w:rPr>
              <w:t>планински продукт"</w:t>
            </w:r>
            <w:r>
              <w:rPr>
                <w:rFonts w:ascii="Verdana" w:hAnsi="Verdana"/>
                <w:spacing w:val="-2"/>
                <w:sz w:val="20"/>
                <w:szCs w:val="20"/>
              </w:rPr>
              <w:t xml:space="preserve"> </w:t>
            </w:r>
            <w:r w:rsidRPr="00253819">
              <w:rPr>
                <w:rFonts w:ascii="Verdana" w:hAnsi="Verdana"/>
                <w:spacing w:val="-2"/>
                <w:sz w:val="20"/>
                <w:szCs w:val="20"/>
                <w:lang w:val="af-ZA"/>
              </w:rPr>
              <w:t>поддържа публичен електронен регистър на производителите на земеделски продукти и храни, за които се</w:t>
            </w:r>
            <w:r>
              <w:rPr>
                <w:rFonts w:ascii="Verdana" w:hAnsi="Verdana"/>
                <w:spacing w:val="-2"/>
                <w:sz w:val="20"/>
                <w:szCs w:val="20"/>
                <w:lang w:val="af-ZA"/>
              </w:rPr>
              <w:t xml:space="preserve"> използва терминът за качество </w:t>
            </w:r>
            <w:r>
              <w:rPr>
                <w:rFonts w:ascii="Verdana" w:hAnsi="Verdana"/>
                <w:spacing w:val="-2"/>
                <w:sz w:val="20"/>
                <w:szCs w:val="20"/>
              </w:rPr>
              <w:t>„</w:t>
            </w:r>
            <w:r w:rsidRPr="00253819">
              <w:rPr>
                <w:rFonts w:ascii="Verdana" w:hAnsi="Verdana"/>
                <w:spacing w:val="-2"/>
                <w:sz w:val="20"/>
                <w:szCs w:val="20"/>
                <w:lang w:val="af-ZA"/>
              </w:rPr>
              <w:t>планински продукт"" последния абзац за втория регистър трябва да се отдели в отделна буква.</w:t>
            </w:r>
          </w:p>
        </w:tc>
        <w:tc>
          <w:tcPr>
            <w:tcW w:w="1701" w:type="dxa"/>
            <w:tcBorders>
              <w:top w:val="nil"/>
              <w:bottom w:val="single" w:sz="18" w:space="0" w:color="2E74B5"/>
            </w:tcBorders>
            <w:shd w:val="clear" w:color="auto" w:fill="auto"/>
          </w:tcPr>
          <w:p w:rsidR="00353C19" w:rsidRPr="00551043" w:rsidRDefault="00643ECF" w:rsidP="00DA1AA7">
            <w:pPr>
              <w:spacing w:before="60" w:after="40"/>
              <w:rPr>
                <w:rFonts w:ascii="Verdana" w:hAnsi="Verdana"/>
                <w:color w:val="FF0000"/>
                <w:sz w:val="20"/>
                <w:szCs w:val="20"/>
              </w:rPr>
            </w:pPr>
            <w:r w:rsidRPr="00551043">
              <w:rPr>
                <w:rFonts w:ascii="Verdana" w:hAnsi="Verdana"/>
                <w:sz w:val="20"/>
                <w:szCs w:val="20"/>
                <w:lang w:val="af-ZA"/>
              </w:rPr>
              <w:t>Приема се</w:t>
            </w:r>
            <w:r w:rsidR="00551043" w:rsidRPr="00551043">
              <w:rPr>
                <w:rFonts w:ascii="Verdana" w:hAnsi="Verdana"/>
                <w:sz w:val="20"/>
                <w:szCs w:val="20"/>
              </w:rPr>
              <w:t xml:space="preserve"> по принцип</w:t>
            </w:r>
          </w:p>
        </w:tc>
        <w:tc>
          <w:tcPr>
            <w:tcW w:w="4847" w:type="dxa"/>
            <w:tcBorders>
              <w:top w:val="nil"/>
              <w:bottom w:val="single" w:sz="18" w:space="0" w:color="2E74B5"/>
            </w:tcBorders>
            <w:shd w:val="clear" w:color="auto" w:fill="auto"/>
          </w:tcPr>
          <w:p w:rsidR="00353C19" w:rsidRPr="002D1428" w:rsidRDefault="002D1428" w:rsidP="00DA1AA7">
            <w:pPr>
              <w:tabs>
                <w:tab w:val="left" w:pos="192"/>
              </w:tabs>
              <w:spacing w:before="60" w:after="40"/>
              <w:rPr>
                <w:rFonts w:ascii="Verdana" w:hAnsi="Verdana"/>
                <w:sz w:val="20"/>
                <w:szCs w:val="20"/>
              </w:rPr>
            </w:pPr>
            <w:r w:rsidRPr="002D1428">
              <w:rPr>
                <w:rFonts w:ascii="Verdana" w:hAnsi="Verdana"/>
                <w:sz w:val="20"/>
                <w:szCs w:val="20"/>
              </w:rPr>
              <w:t>Текстът е редактиран.</w:t>
            </w:r>
          </w:p>
        </w:tc>
      </w:tr>
      <w:tr w:rsidR="00A154F9" w:rsidRPr="002A48B8" w:rsidTr="007600DD">
        <w:trPr>
          <w:trHeight w:val="471"/>
          <w:jc w:val="center"/>
        </w:trPr>
        <w:tc>
          <w:tcPr>
            <w:tcW w:w="622" w:type="dxa"/>
            <w:vMerge w:val="restart"/>
            <w:tcBorders>
              <w:top w:val="single" w:sz="18" w:space="0" w:color="2E74B5"/>
              <w:bottom w:val="nil"/>
            </w:tcBorders>
            <w:shd w:val="clear" w:color="auto" w:fill="auto"/>
          </w:tcPr>
          <w:p w:rsidR="00A154F9" w:rsidRPr="000C632B" w:rsidRDefault="00A154F9" w:rsidP="00DA1AA7">
            <w:pPr>
              <w:spacing w:before="60" w:after="40"/>
              <w:rPr>
                <w:rFonts w:ascii="Verdana" w:hAnsi="Verdana"/>
                <w:b/>
                <w:sz w:val="20"/>
                <w:szCs w:val="20"/>
                <w:lang w:val="af-ZA"/>
              </w:rPr>
            </w:pPr>
            <w:r w:rsidRPr="000C632B">
              <w:rPr>
                <w:rFonts w:ascii="Verdana" w:hAnsi="Verdana"/>
                <w:b/>
                <w:sz w:val="20"/>
                <w:szCs w:val="20"/>
                <w:lang w:val="af-ZA"/>
              </w:rPr>
              <w:t>2.</w:t>
            </w:r>
          </w:p>
        </w:tc>
        <w:tc>
          <w:tcPr>
            <w:tcW w:w="2385" w:type="dxa"/>
            <w:vMerge w:val="restart"/>
            <w:tcBorders>
              <w:top w:val="single" w:sz="18" w:space="0" w:color="2E74B5"/>
              <w:bottom w:val="nil"/>
            </w:tcBorders>
            <w:shd w:val="clear" w:color="auto" w:fill="auto"/>
          </w:tcPr>
          <w:p w:rsidR="00A154F9" w:rsidRPr="000C632B" w:rsidRDefault="00A154F9" w:rsidP="00DA1AA7">
            <w:pPr>
              <w:spacing w:before="60" w:after="40"/>
              <w:rPr>
                <w:rFonts w:ascii="Verdana" w:hAnsi="Verdana"/>
                <w:sz w:val="20"/>
                <w:szCs w:val="20"/>
                <w:lang w:val="ru-RU"/>
              </w:rPr>
            </w:pPr>
            <w:r>
              <w:rPr>
                <w:rFonts w:ascii="Verdana" w:hAnsi="Verdana"/>
                <w:sz w:val="20"/>
                <w:szCs w:val="20"/>
                <w:lang w:val="en-US"/>
              </w:rPr>
              <w:t>Ivan</w:t>
            </w:r>
            <w:r w:rsidRPr="000C632B">
              <w:rPr>
                <w:rFonts w:ascii="Verdana" w:hAnsi="Verdana"/>
                <w:sz w:val="20"/>
                <w:szCs w:val="20"/>
                <w:lang w:val="ru-RU"/>
              </w:rPr>
              <w:t xml:space="preserve"> </w:t>
            </w:r>
            <w:r>
              <w:rPr>
                <w:rFonts w:ascii="Verdana" w:hAnsi="Verdana"/>
                <w:sz w:val="20"/>
                <w:szCs w:val="20"/>
                <w:lang w:val="en-US"/>
              </w:rPr>
              <w:t>V</w:t>
            </w:r>
            <w:r w:rsidRPr="000C632B">
              <w:rPr>
                <w:rFonts w:ascii="Verdana" w:hAnsi="Verdana"/>
                <w:sz w:val="20"/>
                <w:szCs w:val="20"/>
                <w:lang w:val="ru-RU"/>
              </w:rPr>
              <w:t>_</w:t>
            </w:r>
          </w:p>
          <w:p w:rsidR="00A154F9" w:rsidRPr="002A48B8" w:rsidRDefault="00A154F9" w:rsidP="00DA1AA7">
            <w:pPr>
              <w:tabs>
                <w:tab w:val="left" w:pos="192"/>
              </w:tabs>
              <w:spacing w:before="60" w:after="40"/>
              <w:rPr>
                <w:rFonts w:ascii="Verdana" w:hAnsi="Verdana"/>
                <w:b/>
                <w:sz w:val="20"/>
                <w:szCs w:val="20"/>
                <w:lang w:val="af-ZA"/>
              </w:rPr>
            </w:pPr>
            <w:r w:rsidRPr="00353C19">
              <w:rPr>
                <w:rFonts w:ascii="Verdana" w:hAnsi="Verdana"/>
                <w:sz w:val="20"/>
                <w:szCs w:val="20"/>
                <w:lang w:val="ru-RU"/>
              </w:rPr>
              <w:t>(</w:t>
            </w:r>
            <w:r>
              <w:rPr>
                <w:rFonts w:ascii="Verdana" w:hAnsi="Verdana"/>
                <w:sz w:val="20"/>
                <w:szCs w:val="20"/>
              </w:rPr>
              <w:t>от Портала за обществени консултации</w:t>
            </w:r>
            <w:r w:rsidRPr="00353C19">
              <w:rPr>
                <w:rFonts w:ascii="Verdana" w:hAnsi="Verdana"/>
                <w:sz w:val="20"/>
                <w:szCs w:val="20"/>
                <w:lang w:val="ru-RU"/>
              </w:rPr>
              <w:t>)</w:t>
            </w:r>
          </w:p>
        </w:tc>
        <w:tc>
          <w:tcPr>
            <w:tcW w:w="6095" w:type="dxa"/>
            <w:tcBorders>
              <w:top w:val="single" w:sz="18" w:space="0" w:color="2E74B5"/>
              <w:bottom w:val="nil"/>
            </w:tcBorders>
            <w:shd w:val="clear" w:color="auto" w:fill="auto"/>
          </w:tcPr>
          <w:p w:rsidR="00A154F9" w:rsidRPr="000C632B" w:rsidRDefault="00A154F9" w:rsidP="00DA1AA7">
            <w:pPr>
              <w:tabs>
                <w:tab w:val="left" w:pos="391"/>
                <w:tab w:val="left" w:pos="434"/>
              </w:tabs>
              <w:spacing w:before="60" w:after="40"/>
              <w:jc w:val="center"/>
              <w:rPr>
                <w:rFonts w:ascii="Verdana" w:hAnsi="Verdana"/>
                <w:b/>
                <w:spacing w:val="-2"/>
                <w:sz w:val="20"/>
                <w:szCs w:val="20"/>
              </w:rPr>
            </w:pPr>
            <w:r w:rsidRPr="000C632B">
              <w:rPr>
                <w:rFonts w:ascii="Verdana" w:hAnsi="Verdana"/>
                <w:b/>
                <w:spacing w:val="-2"/>
                <w:sz w:val="20"/>
                <w:szCs w:val="20"/>
              </w:rPr>
              <w:t>Коментар</w:t>
            </w:r>
          </w:p>
        </w:tc>
        <w:tc>
          <w:tcPr>
            <w:tcW w:w="1701" w:type="dxa"/>
            <w:tcBorders>
              <w:top w:val="single" w:sz="18" w:space="0" w:color="2E74B5"/>
              <w:bottom w:val="nil"/>
            </w:tcBorders>
            <w:shd w:val="clear" w:color="auto" w:fill="auto"/>
          </w:tcPr>
          <w:p w:rsidR="00A154F9" w:rsidRPr="00551043" w:rsidRDefault="00A154F9" w:rsidP="00DA1AA7">
            <w:pPr>
              <w:spacing w:before="60" w:after="40"/>
              <w:rPr>
                <w:rFonts w:ascii="Verdana" w:hAnsi="Verdana"/>
                <w:sz w:val="20"/>
                <w:szCs w:val="20"/>
                <w:lang w:val="af-ZA"/>
              </w:rPr>
            </w:pPr>
          </w:p>
        </w:tc>
        <w:tc>
          <w:tcPr>
            <w:tcW w:w="4847" w:type="dxa"/>
            <w:tcBorders>
              <w:top w:val="single" w:sz="18" w:space="0" w:color="2E74B5"/>
              <w:bottom w:val="nil"/>
            </w:tcBorders>
            <w:shd w:val="clear" w:color="auto" w:fill="auto"/>
          </w:tcPr>
          <w:p w:rsidR="00A154F9" w:rsidRPr="002D1428" w:rsidRDefault="00A154F9" w:rsidP="00DA1AA7">
            <w:pPr>
              <w:tabs>
                <w:tab w:val="left" w:pos="192"/>
              </w:tabs>
              <w:spacing w:before="60" w:after="40"/>
              <w:rPr>
                <w:rFonts w:ascii="Verdana" w:hAnsi="Verdana"/>
                <w:sz w:val="20"/>
                <w:szCs w:val="20"/>
              </w:rPr>
            </w:pPr>
          </w:p>
        </w:tc>
      </w:tr>
      <w:tr w:rsidR="00A154F9" w:rsidRPr="002A48B8" w:rsidTr="00EF2931">
        <w:trPr>
          <w:trHeight w:val="596"/>
          <w:jc w:val="center"/>
        </w:trPr>
        <w:tc>
          <w:tcPr>
            <w:tcW w:w="622" w:type="dxa"/>
            <w:vMerge/>
            <w:tcBorders>
              <w:top w:val="nil"/>
              <w:bottom w:val="nil"/>
            </w:tcBorders>
            <w:shd w:val="clear" w:color="auto" w:fill="auto"/>
          </w:tcPr>
          <w:p w:rsidR="00A154F9" w:rsidRPr="004C0AEC" w:rsidRDefault="00A154F9" w:rsidP="00DA1AA7">
            <w:pPr>
              <w:tabs>
                <w:tab w:val="left" w:pos="192"/>
              </w:tabs>
              <w:spacing w:before="60" w:after="40"/>
              <w:ind w:left="340"/>
              <w:rPr>
                <w:rFonts w:ascii="Verdana" w:hAnsi="Verdana"/>
                <w:b/>
                <w:sz w:val="20"/>
                <w:szCs w:val="20"/>
                <w:lang w:val="af-ZA"/>
              </w:rPr>
            </w:pPr>
          </w:p>
        </w:tc>
        <w:tc>
          <w:tcPr>
            <w:tcW w:w="2385" w:type="dxa"/>
            <w:vMerge/>
            <w:tcBorders>
              <w:top w:val="nil"/>
              <w:bottom w:val="nil"/>
            </w:tcBorders>
            <w:shd w:val="clear" w:color="auto" w:fill="auto"/>
          </w:tcPr>
          <w:p w:rsidR="00A154F9" w:rsidRPr="002A48B8" w:rsidRDefault="00A154F9"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A154F9" w:rsidRPr="00253819" w:rsidRDefault="00A154F9" w:rsidP="00DA1AA7">
            <w:pPr>
              <w:tabs>
                <w:tab w:val="left" w:pos="391"/>
                <w:tab w:val="left" w:pos="434"/>
              </w:tabs>
              <w:spacing w:before="60" w:after="40"/>
              <w:jc w:val="both"/>
              <w:rPr>
                <w:rFonts w:ascii="Verdana" w:hAnsi="Verdana"/>
                <w:spacing w:val="-2"/>
                <w:sz w:val="20"/>
                <w:szCs w:val="20"/>
                <w:lang w:val="af-ZA"/>
              </w:rPr>
            </w:pPr>
            <w:r w:rsidRPr="0046221D">
              <w:rPr>
                <w:rFonts w:ascii="Verdana" w:hAnsi="Verdana"/>
                <w:spacing w:val="-2"/>
                <w:sz w:val="20"/>
                <w:szCs w:val="20"/>
                <w:lang w:val="af-ZA"/>
              </w:rPr>
              <w:t>Изначално проектът, а и сега действащия устройствен правилник, е в тежко противоречие с названието на министерството и неговите функции. Причините да твърдя това са следните:</w:t>
            </w:r>
          </w:p>
        </w:tc>
        <w:tc>
          <w:tcPr>
            <w:tcW w:w="1701" w:type="dxa"/>
            <w:tcBorders>
              <w:top w:val="nil"/>
              <w:bottom w:val="nil"/>
            </w:tcBorders>
            <w:shd w:val="clear" w:color="auto" w:fill="auto"/>
          </w:tcPr>
          <w:p w:rsidR="00A154F9" w:rsidRPr="00551043" w:rsidRDefault="00A154F9" w:rsidP="00DA1AA7">
            <w:pPr>
              <w:spacing w:before="60" w:after="40"/>
              <w:rPr>
                <w:rFonts w:ascii="Verdana" w:hAnsi="Verdana"/>
                <w:sz w:val="20"/>
                <w:szCs w:val="20"/>
                <w:lang w:val="af-ZA"/>
              </w:rPr>
            </w:pPr>
          </w:p>
        </w:tc>
        <w:tc>
          <w:tcPr>
            <w:tcW w:w="4847" w:type="dxa"/>
            <w:tcBorders>
              <w:top w:val="nil"/>
              <w:bottom w:val="nil"/>
            </w:tcBorders>
            <w:shd w:val="clear" w:color="auto" w:fill="auto"/>
          </w:tcPr>
          <w:p w:rsidR="00A154F9" w:rsidRPr="002D1428" w:rsidRDefault="00A154F9" w:rsidP="00DA1AA7">
            <w:pPr>
              <w:tabs>
                <w:tab w:val="left" w:pos="192"/>
              </w:tabs>
              <w:spacing w:before="60" w:after="40"/>
              <w:rPr>
                <w:rFonts w:ascii="Verdana" w:hAnsi="Verdana"/>
                <w:sz w:val="20"/>
                <w:szCs w:val="20"/>
              </w:rPr>
            </w:pPr>
          </w:p>
        </w:tc>
      </w:tr>
      <w:tr w:rsidR="00A154F9" w:rsidRPr="002A48B8" w:rsidTr="000E5520">
        <w:trPr>
          <w:trHeight w:val="401"/>
          <w:jc w:val="center"/>
        </w:trPr>
        <w:tc>
          <w:tcPr>
            <w:tcW w:w="622" w:type="dxa"/>
            <w:vMerge/>
            <w:tcBorders>
              <w:top w:val="nil"/>
              <w:bottom w:val="nil"/>
            </w:tcBorders>
            <w:shd w:val="clear" w:color="auto" w:fill="auto"/>
          </w:tcPr>
          <w:p w:rsidR="00A154F9" w:rsidRPr="004C0AEC" w:rsidRDefault="00A154F9" w:rsidP="00DA1AA7">
            <w:pPr>
              <w:tabs>
                <w:tab w:val="left" w:pos="192"/>
              </w:tabs>
              <w:spacing w:before="60" w:after="40"/>
              <w:ind w:left="340"/>
              <w:rPr>
                <w:rFonts w:ascii="Verdana" w:hAnsi="Verdana"/>
                <w:b/>
                <w:sz w:val="20"/>
                <w:szCs w:val="20"/>
                <w:lang w:val="af-ZA"/>
              </w:rPr>
            </w:pPr>
          </w:p>
        </w:tc>
        <w:tc>
          <w:tcPr>
            <w:tcW w:w="2385" w:type="dxa"/>
            <w:vMerge/>
            <w:tcBorders>
              <w:top w:val="nil"/>
              <w:bottom w:val="nil"/>
            </w:tcBorders>
            <w:shd w:val="clear" w:color="auto" w:fill="auto"/>
          </w:tcPr>
          <w:p w:rsidR="00A154F9" w:rsidRPr="002A48B8" w:rsidRDefault="00A154F9"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485398" w:rsidRPr="000E5520" w:rsidRDefault="00485398" w:rsidP="00DA1AA7">
            <w:pPr>
              <w:tabs>
                <w:tab w:val="left" w:pos="391"/>
                <w:tab w:val="left" w:pos="434"/>
              </w:tabs>
              <w:spacing w:before="60" w:after="40"/>
              <w:jc w:val="both"/>
              <w:rPr>
                <w:rFonts w:ascii="Verdana" w:hAnsi="Verdana"/>
                <w:spacing w:val="-4"/>
                <w:sz w:val="20"/>
                <w:szCs w:val="20"/>
              </w:rPr>
            </w:pPr>
            <w:r w:rsidRPr="000E5520">
              <w:rPr>
                <w:rFonts w:ascii="Verdana" w:hAnsi="Verdana"/>
                <w:spacing w:val="-4"/>
                <w:sz w:val="20"/>
                <w:szCs w:val="20"/>
              </w:rPr>
              <w:t xml:space="preserve">По </w:t>
            </w:r>
            <w:proofErr w:type="spellStart"/>
            <w:r w:rsidRPr="000E5520">
              <w:rPr>
                <w:rFonts w:ascii="Verdana" w:hAnsi="Verdana"/>
                <w:spacing w:val="-4"/>
                <w:sz w:val="20"/>
                <w:szCs w:val="20"/>
              </w:rPr>
              <w:t>устройствен</w:t>
            </w:r>
            <w:proofErr w:type="spellEnd"/>
            <w:r w:rsidRPr="000E5520">
              <w:rPr>
                <w:rFonts w:ascii="Verdana" w:hAnsi="Verdana"/>
                <w:spacing w:val="-4"/>
                <w:sz w:val="20"/>
                <w:szCs w:val="20"/>
              </w:rPr>
              <w:t xml:space="preserve"> правилник, чл. 3, ал. 1:</w:t>
            </w:r>
          </w:p>
          <w:p w:rsidR="00485398" w:rsidRPr="000E5520" w:rsidRDefault="00485398" w:rsidP="00DA1AA7">
            <w:pPr>
              <w:tabs>
                <w:tab w:val="left" w:pos="391"/>
                <w:tab w:val="left" w:pos="434"/>
              </w:tabs>
              <w:spacing w:before="60" w:after="40"/>
              <w:jc w:val="both"/>
              <w:rPr>
                <w:rFonts w:ascii="Verdana" w:hAnsi="Verdana"/>
                <w:spacing w:val="-4"/>
                <w:sz w:val="20"/>
                <w:szCs w:val="20"/>
              </w:rPr>
            </w:pPr>
            <w:r w:rsidRPr="000E5520">
              <w:rPr>
                <w:rFonts w:ascii="Verdana" w:hAnsi="Verdana"/>
                <w:spacing w:val="-4"/>
                <w:sz w:val="20"/>
                <w:szCs w:val="20"/>
              </w:rPr>
              <w:t xml:space="preserve">Министърът на земеделието, храните и горите, наричан по-нататък "министърът", е централен едноличен орган на изпълнителната власт, който ръководи, координира и контролира осъществяването на държавната политика в областта на </w:t>
            </w:r>
            <w:r w:rsidRPr="000E5520">
              <w:rPr>
                <w:rFonts w:ascii="Verdana" w:hAnsi="Verdana"/>
                <w:bCs/>
                <w:spacing w:val="-4"/>
                <w:sz w:val="20"/>
                <w:szCs w:val="20"/>
              </w:rPr>
              <w:t xml:space="preserve">земеделието, селските райони, горското и ловното стопанство, рибарството и </w:t>
            </w:r>
            <w:proofErr w:type="spellStart"/>
            <w:r w:rsidRPr="000E5520">
              <w:rPr>
                <w:rFonts w:ascii="Verdana" w:hAnsi="Verdana"/>
                <w:bCs/>
                <w:spacing w:val="-4"/>
                <w:sz w:val="20"/>
                <w:szCs w:val="20"/>
              </w:rPr>
              <w:t>аквакултурите</w:t>
            </w:r>
            <w:proofErr w:type="spellEnd"/>
            <w:r w:rsidRPr="000E5520">
              <w:rPr>
                <w:rFonts w:ascii="Verdana" w:hAnsi="Verdana"/>
                <w:bCs/>
                <w:spacing w:val="-4"/>
                <w:sz w:val="20"/>
                <w:szCs w:val="20"/>
              </w:rPr>
              <w:t xml:space="preserve"> и провежда държавната политика за безопасността на храните</w:t>
            </w:r>
            <w:r w:rsidRPr="000E5520">
              <w:rPr>
                <w:rFonts w:ascii="Verdana" w:hAnsi="Verdana"/>
                <w:spacing w:val="-4"/>
                <w:sz w:val="20"/>
                <w:szCs w:val="20"/>
              </w:rPr>
              <w:t xml:space="preserve"> в съответствие с действащото законодателство.</w:t>
            </w:r>
          </w:p>
          <w:p w:rsidR="00A154F9" w:rsidRPr="00485398" w:rsidRDefault="00485398" w:rsidP="00DA1AA7">
            <w:pPr>
              <w:tabs>
                <w:tab w:val="left" w:pos="391"/>
                <w:tab w:val="left" w:pos="434"/>
              </w:tabs>
              <w:spacing w:before="60" w:after="40"/>
              <w:jc w:val="both"/>
              <w:rPr>
                <w:rFonts w:ascii="Verdana" w:hAnsi="Verdana"/>
                <w:spacing w:val="-2"/>
                <w:sz w:val="20"/>
                <w:szCs w:val="20"/>
              </w:rPr>
            </w:pPr>
            <w:r w:rsidRPr="000E5520">
              <w:rPr>
                <w:rFonts w:ascii="Verdana" w:hAnsi="Verdana"/>
                <w:spacing w:val="-4"/>
                <w:sz w:val="20"/>
                <w:szCs w:val="20"/>
              </w:rPr>
              <w:lastRenderedPageBreak/>
              <w:t>Но по същият тоя правилник, в частта за „Специализирана администрация“, тези функции не са отразени в цялост, ако въобще може да се говори за някакво отр</w:t>
            </w:r>
            <w:r w:rsidRPr="000E5520">
              <w:rPr>
                <w:rFonts w:ascii="Verdana" w:hAnsi="Verdana"/>
                <w:spacing w:val="-4"/>
                <w:sz w:val="20"/>
                <w:szCs w:val="20"/>
              </w:rPr>
              <w:t>а</w:t>
            </w:r>
            <w:r w:rsidRPr="000E5520">
              <w:rPr>
                <w:rFonts w:ascii="Verdana" w:hAnsi="Verdana"/>
                <w:spacing w:val="-4"/>
                <w:sz w:val="20"/>
                <w:szCs w:val="20"/>
              </w:rPr>
              <w:t>зяване.</w:t>
            </w:r>
          </w:p>
        </w:tc>
        <w:tc>
          <w:tcPr>
            <w:tcW w:w="1701" w:type="dxa"/>
            <w:tcBorders>
              <w:top w:val="nil"/>
              <w:bottom w:val="nil"/>
            </w:tcBorders>
            <w:shd w:val="clear" w:color="auto" w:fill="auto"/>
          </w:tcPr>
          <w:p w:rsidR="00A154F9" w:rsidRPr="00551043" w:rsidRDefault="00A154F9" w:rsidP="00DA1AA7">
            <w:pPr>
              <w:spacing w:before="60" w:after="40"/>
              <w:rPr>
                <w:rFonts w:ascii="Verdana" w:hAnsi="Verdana"/>
                <w:sz w:val="20"/>
                <w:szCs w:val="20"/>
                <w:lang w:val="af-ZA"/>
              </w:rPr>
            </w:pPr>
          </w:p>
        </w:tc>
        <w:tc>
          <w:tcPr>
            <w:tcW w:w="4847" w:type="dxa"/>
            <w:tcBorders>
              <w:top w:val="nil"/>
              <w:bottom w:val="nil"/>
            </w:tcBorders>
            <w:shd w:val="clear" w:color="auto" w:fill="auto"/>
          </w:tcPr>
          <w:p w:rsidR="00A154F9" w:rsidRPr="002D1428" w:rsidRDefault="00A154F9" w:rsidP="00DA1AA7">
            <w:pPr>
              <w:tabs>
                <w:tab w:val="left" w:pos="192"/>
              </w:tabs>
              <w:spacing w:before="60" w:after="40"/>
              <w:rPr>
                <w:rFonts w:ascii="Verdana" w:hAnsi="Verdana"/>
                <w:sz w:val="20"/>
                <w:szCs w:val="20"/>
              </w:rPr>
            </w:pPr>
          </w:p>
        </w:tc>
      </w:tr>
      <w:tr w:rsidR="006A0602" w:rsidRPr="002A48B8" w:rsidTr="006A0602">
        <w:trPr>
          <w:trHeight w:val="596"/>
          <w:jc w:val="center"/>
        </w:trPr>
        <w:tc>
          <w:tcPr>
            <w:tcW w:w="622" w:type="dxa"/>
            <w:tcBorders>
              <w:top w:val="nil"/>
              <w:bottom w:val="nil"/>
            </w:tcBorders>
            <w:shd w:val="clear" w:color="auto" w:fill="auto"/>
          </w:tcPr>
          <w:p w:rsidR="006A0602" w:rsidRPr="004C0AEC" w:rsidRDefault="006A0602"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6A0602" w:rsidRPr="002A48B8" w:rsidRDefault="006A0602"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6A0602" w:rsidRPr="00253819" w:rsidRDefault="00522F35" w:rsidP="00DA1AA7">
            <w:pPr>
              <w:tabs>
                <w:tab w:val="left" w:pos="391"/>
                <w:tab w:val="left" w:pos="434"/>
              </w:tabs>
              <w:spacing w:before="60" w:after="40"/>
              <w:jc w:val="both"/>
              <w:rPr>
                <w:rFonts w:ascii="Verdana" w:hAnsi="Verdana"/>
                <w:spacing w:val="-2"/>
                <w:sz w:val="20"/>
                <w:szCs w:val="20"/>
                <w:lang w:val="af-ZA"/>
              </w:rPr>
            </w:pPr>
            <w:r>
              <w:rPr>
                <w:rFonts w:ascii="Verdana" w:hAnsi="Verdana"/>
                <w:spacing w:val="-2"/>
                <w:sz w:val="20"/>
                <w:szCs w:val="20"/>
                <w:lang w:val="af-ZA"/>
              </w:rPr>
              <w:t>1.</w:t>
            </w:r>
            <w:r>
              <w:rPr>
                <w:rFonts w:ascii="Verdana" w:hAnsi="Verdana"/>
                <w:spacing w:val="-2"/>
                <w:sz w:val="20"/>
                <w:szCs w:val="20"/>
              </w:rPr>
              <w:t xml:space="preserve"> </w:t>
            </w:r>
            <w:r w:rsidR="00485398" w:rsidRPr="00485398">
              <w:rPr>
                <w:rFonts w:ascii="Verdana" w:hAnsi="Verdana"/>
                <w:spacing w:val="-2"/>
                <w:sz w:val="20"/>
                <w:szCs w:val="20"/>
                <w:lang w:val="af-ZA"/>
              </w:rPr>
              <w:t xml:space="preserve">В част Земеделие, което би следвало да е най-широко застъпено като дейности, липсва цяла част, а именно първичната преработка на земеделската продукция </w:t>
            </w:r>
            <w:r>
              <w:rPr>
                <w:rFonts w:ascii="Verdana" w:hAnsi="Verdana"/>
                <w:spacing w:val="-2"/>
                <w:sz w:val="20"/>
                <w:szCs w:val="20"/>
                <w:lang w:val="af-ZA"/>
              </w:rPr>
              <w:t>–</w:t>
            </w:r>
            <w:r w:rsidR="00485398" w:rsidRPr="00485398">
              <w:rPr>
                <w:rFonts w:ascii="Verdana" w:hAnsi="Verdana"/>
                <w:spacing w:val="-2"/>
                <w:sz w:val="20"/>
                <w:szCs w:val="20"/>
                <w:lang w:val="af-ZA"/>
              </w:rPr>
              <w:t xml:space="preserve"> индустрията, която създава основната добавена стойност към същата тази продукция и която подлежи на европейско финансиране само и единствено от ОСП. Поради липсата на представяне на тази индустрия в министерството, липсва и реална политика в тази област.</w:t>
            </w:r>
          </w:p>
        </w:tc>
        <w:tc>
          <w:tcPr>
            <w:tcW w:w="1701" w:type="dxa"/>
            <w:tcBorders>
              <w:top w:val="nil"/>
              <w:bottom w:val="nil"/>
            </w:tcBorders>
            <w:shd w:val="clear" w:color="auto" w:fill="auto"/>
          </w:tcPr>
          <w:p w:rsidR="006A0602" w:rsidRPr="00522F35" w:rsidRDefault="00522F35" w:rsidP="00DA1AA7">
            <w:pPr>
              <w:spacing w:before="60" w:after="40"/>
              <w:rPr>
                <w:rFonts w:ascii="Verdana" w:hAnsi="Verdana"/>
                <w:sz w:val="20"/>
                <w:szCs w:val="20"/>
              </w:rPr>
            </w:pPr>
            <w:r w:rsidRPr="00D01F1B">
              <w:rPr>
                <w:rFonts w:ascii="Verdana" w:hAnsi="Verdana"/>
                <w:sz w:val="20"/>
                <w:szCs w:val="20"/>
              </w:rPr>
              <w:t>Не се приема</w:t>
            </w:r>
          </w:p>
        </w:tc>
        <w:tc>
          <w:tcPr>
            <w:tcW w:w="4847" w:type="dxa"/>
            <w:tcBorders>
              <w:top w:val="nil"/>
              <w:bottom w:val="nil"/>
            </w:tcBorders>
            <w:shd w:val="clear" w:color="auto" w:fill="auto"/>
          </w:tcPr>
          <w:p w:rsidR="006A0602" w:rsidRPr="00DA1AA7" w:rsidRDefault="00AF0BD4" w:rsidP="00DA1AA7">
            <w:pPr>
              <w:tabs>
                <w:tab w:val="left" w:pos="192"/>
              </w:tabs>
              <w:spacing w:before="60" w:after="40"/>
              <w:jc w:val="both"/>
              <w:rPr>
                <w:rFonts w:ascii="Verdana" w:hAnsi="Verdana"/>
                <w:spacing w:val="-4"/>
                <w:sz w:val="20"/>
                <w:szCs w:val="20"/>
              </w:rPr>
            </w:pPr>
            <w:r w:rsidRPr="00DA1AA7">
              <w:rPr>
                <w:rFonts w:ascii="Verdana" w:hAnsi="Verdana"/>
                <w:spacing w:val="-4"/>
                <w:sz w:val="20"/>
                <w:szCs w:val="20"/>
              </w:rPr>
              <w:t>Функциите, свързани с първичната прераб</w:t>
            </w:r>
            <w:r w:rsidR="00237768" w:rsidRPr="00DA1AA7">
              <w:rPr>
                <w:rFonts w:ascii="Verdana" w:hAnsi="Verdana"/>
                <w:spacing w:val="-4"/>
                <w:sz w:val="20"/>
                <w:szCs w:val="20"/>
              </w:rPr>
              <w:t>отка на земеделската продукция</w:t>
            </w:r>
            <w:r w:rsidRPr="00DA1AA7">
              <w:rPr>
                <w:rFonts w:ascii="Verdana" w:hAnsi="Verdana"/>
                <w:spacing w:val="-4"/>
                <w:sz w:val="20"/>
                <w:szCs w:val="20"/>
              </w:rPr>
              <w:t xml:space="preserve"> са възл</w:t>
            </w:r>
            <w:r w:rsidRPr="00DA1AA7">
              <w:rPr>
                <w:rFonts w:ascii="Verdana" w:hAnsi="Verdana"/>
                <w:spacing w:val="-4"/>
                <w:sz w:val="20"/>
                <w:szCs w:val="20"/>
              </w:rPr>
              <w:t>о</w:t>
            </w:r>
            <w:r w:rsidRPr="00DA1AA7">
              <w:rPr>
                <w:rFonts w:ascii="Verdana" w:hAnsi="Verdana"/>
                <w:spacing w:val="-4"/>
                <w:sz w:val="20"/>
                <w:szCs w:val="20"/>
              </w:rPr>
              <w:t xml:space="preserve">жени на съответните компетентни </w:t>
            </w:r>
            <w:r w:rsidR="00DA1AA7" w:rsidRPr="00DA1AA7">
              <w:rPr>
                <w:rFonts w:ascii="Verdana" w:hAnsi="Verdana"/>
                <w:spacing w:val="-4"/>
                <w:sz w:val="20"/>
                <w:szCs w:val="20"/>
                <w:lang w:val="ru-RU"/>
              </w:rPr>
              <w:t xml:space="preserve">   </w:t>
            </w:r>
            <w:r w:rsidRPr="00DA1AA7">
              <w:rPr>
                <w:rFonts w:ascii="Verdana" w:hAnsi="Verdana"/>
                <w:spacing w:val="-4"/>
                <w:sz w:val="20"/>
                <w:szCs w:val="20"/>
              </w:rPr>
              <w:t xml:space="preserve">дирекции – „Растениевъдство“, „Животновъдство“, „Биологично производство“ и „Политики по </w:t>
            </w:r>
            <w:proofErr w:type="spellStart"/>
            <w:r w:rsidRPr="00DA1AA7">
              <w:rPr>
                <w:rFonts w:ascii="Verdana" w:hAnsi="Verdana"/>
                <w:spacing w:val="-4"/>
                <w:sz w:val="20"/>
                <w:szCs w:val="20"/>
              </w:rPr>
              <w:t>агрохранителната</w:t>
            </w:r>
            <w:proofErr w:type="spellEnd"/>
            <w:r w:rsidRPr="00DA1AA7">
              <w:rPr>
                <w:rFonts w:ascii="Verdana" w:hAnsi="Verdana"/>
                <w:spacing w:val="-4"/>
                <w:sz w:val="20"/>
                <w:szCs w:val="20"/>
              </w:rPr>
              <w:t xml:space="preserve"> верига“.</w:t>
            </w:r>
            <w:r w:rsidR="006569B9" w:rsidRPr="00DA1AA7">
              <w:rPr>
                <w:rFonts w:ascii="Verdana" w:hAnsi="Verdana"/>
                <w:spacing w:val="-4"/>
                <w:sz w:val="20"/>
                <w:szCs w:val="20"/>
                <w:lang w:val="ru-RU"/>
              </w:rPr>
              <w:t xml:space="preserve"> </w:t>
            </w:r>
            <w:r w:rsidR="00294BA7" w:rsidRPr="00DA1AA7">
              <w:rPr>
                <w:rFonts w:ascii="Verdana" w:hAnsi="Verdana"/>
                <w:spacing w:val="-4"/>
                <w:sz w:val="20"/>
                <w:szCs w:val="20"/>
              </w:rPr>
              <w:t xml:space="preserve">Към министъра функционират и редица консултативни съвети, които го подпомагат при определянето на политиката в тази област. </w:t>
            </w:r>
          </w:p>
        </w:tc>
      </w:tr>
      <w:tr w:rsidR="006A0602" w:rsidRPr="002A48B8" w:rsidTr="006A0602">
        <w:trPr>
          <w:trHeight w:val="596"/>
          <w:jc w:val="center"/>
        </w:trPr>
        <w:tc>
          <w:tcPr>
            <w:tcW w:w="622" w:type="dxa"/>
            <w:tcBorders>
              <w:top w:val="nil"/>
              <w:bottom w:val="nil"/>
            </w:tcBorders>
            <w:shd w:val="clear" w:color="auto" w:fill="auto"/>
          </w:tcPr>
          <w:p w:rsidR="006A0602" w:rsidRPr="004C0AEC" w:rsidRDefault="006A0602"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6A0602" w:rsidRPr="002A48B8" w:rsidRDefault="006A0602"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6A0602" w:rsidRPr="00485398" w:rsidRDefault="00522F35" w:rsidP="00DA1AA7">
            <w:pPr>
              <w:tabs>
                <w:tab w:val="left" w:pos="391"/>
                <w:tab w:val="left" w:pos="434"/>
              </w:tabs>
              <w:spacing w:before="60" w:after="40"/>
              <w:jc w:val="both"/>
              <w:rPr>
                <w:rFonts w:ascii="Verdana" w:hAnsi="Verdana"/>
                <w:spacing w:val="-2"/>
                <w:sz w:val="20"/>
                <w:szCs w:val="20"/>
                <w:lang w:val="af-ZA"/>
              </w:rPr>
            </w:pPr>
            <w:r>
              <w:rPr>
                <w:rFonts w:ascii="Verdana" w:hAnsi="Verdana"/>
                <w:spacing w:val="-2"/>
                <w:sz w:val="20"/>
                <w:szCs w:val="20"/>
                <w:lang w:val="af-ZA"/>
              </w:rPr>
              <w:t>2.</w:t>
            </w:r>
            <w:r>
              <w:rPr>
                <w:rFonts w:ascii="Verdana" w:hAnsi="Verdana"/>
                <w:spacing w:val="-2"/>
                <w:sz w:val="20"/>
                <w:szCs w:val="20"/>
              </w:rPr>
              <w:t xml:space="preserve"> </w:t>
            </w:r>
            <w:r w:rsidR="00485398" w:rsidRPr="00485398">
              <w:rPr>
                <w:rFonts w:ascii="Verdana" w:hAnsi="Verdana"/>
                <w:spacing w:val="-2"/>
                <w:sz w:val="20"/>
                <w:szCs w:val="20"/>
                <w:lang w:val="af-ZA"/>
              </w:rPr>
              <w:t>В част Селски райони, отразяването е до ниво ОСП, без да се навлиза по-дълбоко като взаимодействие с други ведомства и планирането на обща регионална политика, което трябва да доведе до съживяването на тези райони и задържането на хората в същите.</w:t>
            </w:r>
          </w:p>
        </w:tc>
        <w:tc>
          <w:tcPr>
            <w:tcW w:w="1701" w:type="dxa"/>
            <w:tcBorders>
              <w:top w:val="nil"/>
              <w:bottom w:val="nil"/>
            </w:tcBorders>
            <w:shd w:val="clear" w:color="auto" w:fill="auto"/>
          </w:tcPr>
          <w:p w:rsidR="006A0602" w:rsidRPr="00551043" w:rsidRDefault="00522F35" w:rsidP="00DA1AA7">
            <w:pPr>
              <w:spacing w:before="60" w:after="40"/>
              <w:rPr>
                <w:rFonts w:ascii="Verdana" w:hAnsi="Verdana"/>
                <w:sz w:val="20"/>
                <w:szCs w:val="20"/>
                <w:lang w:val="af-ZA"/>
              </w:rPr>
            </w:pPr>
            <w:r w:rsidRPr="00D01F1B">
              <w:rPr>
                <w:rFonts w:ascii="Verdana" w:hAnsi="Verdana"/>
                <w:sz w:val="20"/>
                <w:szCs w:val="20"/>
              </w:rPr>
              <w:t>Не се приема</w:t>
            </w:r>
          </w:p>
        </w:tc>
        <w:tc>
          <w:tcPr>
            <w:tcW w:w="4847" w:type="dxa"/>
            <w:tcBorders>
              <w:top w:val="nil"/>
              <w:bottom w:val="nil"/>
            </w:tcBorders>
            <w:shd w:val="clear" w:color="auto" w:fill="auto"/>
          </w:tcPr>
          <w:p w:rsidR="00294BA7" w:rsidRPr="00DA1AA7" w:rsidRDefault="00294BA7" w:rsidP="00DA1AA7">
            <w:pPr>
              <w:tabs>
                <w:tab w:val="left" w:pos="192"/>
              </w:tabs>
              <w:spacing w:before="60" w:after="40"/>
              <w:jc w:val="both"/>
              <w:rPr>
                <w:rFonts w:ascii="Verdana" w:hAnsi="Verdana"/>
                <w:spacing w:val="4"/>
                <w:sz w:val="20"/>
                <w:szCs w:val="20"/>
              </w:rPr>
            </w:pPr>
            <w:r w:rsidRPr="00DA1AA7">
              <w:rPr>
                <w:rFonts w:ascii="Verdana" w:hAnsi="Verdana"/>
                <w:spacing w:val="4"/>
                <w:sz w:val="20"/>
                <w:szCs w:val="20"/>
              </w:rPr>
              <w:t>В чл. 38, ал. 1 от проекта ясно са регламентирани функциите на дирекция „Развитие на селските райони“ и взаимоотношенията на дирекцията в областта на селските райони с Европейската комисия, Държавен фонд „Земеделие“ – Разплащ</w:t>
            </w:r>
            <w:r w:rsidRPr="00DA1AA7">
              <w:rPr>
                <w:rFonts w:ascii="Verdana" w:hAnsi="Verdana"/>
                <w:spacing w:val="4"/>
                <w:sz w:val="20"/>
                <w:szCs w:val="20"/>
              </w:rPr>
              <w:t>а</w:t>
            </w:r>
            <w:r w:rsidRPr="00DA1AA7">
              <w:rPr>
                <w:rFonts w:ascii="Verdana" w:hAnsi="Verdana"/>
                <w:spacing w:val="4"/>
                <w:sz w:val="20"/>
                <w:szCs w:val="20"/>
              </w:rPr>
              <w:t>телна агенция, бенефициенти, Комитета по наблюдение и други отговорни органи.</w:t>
            </w:r>
          </w:p>
          <w:p w:rsidR="006A0602" w:rsidRPr="00DA1AA7" w:rsidRDefault="00294BA7" w:rsidP="00DA1AA7">
            <w:pPr>
              <w:tabs>
                <w:tab w:val="left" w:pos="192"/>
              </w:tabs>
              <w:spacing w:before="60" w:after="40"/>
              <w:jc w:val="both"/>
              <w:rPr>
                <w:rFonts w:ascii="Verdana" w:hAnsi="Verdana"/>
                <w:spacing w:val="4"/>
                <w:sz w:val="20"/>
                <w:szCs w:val="20"/>
              </w:rPr>
            </w:pPr>
            <w:r w:rsidRPr="00DA1AA7">
              <w:rPr>
                <w:rFonts w:ascii="Verdana" w:hAnsi="Verdana"/>
                <w:spacing w:val="4"/>
                <w:sz w:val="20"/>
                <w:szCs w:val="20"/>
              </w:rPr>
              <w:t>Планирането на общата регионална политика, която трябва да доведе до съживяване на селските райони и задържането на хората в тях е от компетентността на министъра на регионалното развитие и благоустройството съгласно Закона за регионалното развитие.</w:t>
            </w:r>
          </w:p>
        </w:tc>
      </w:tr>
      <w:tr w:rsidR="00485398" w:rsidRPr="002A48B8" w:rsidTr="000577FB">
        <w:trPr>
          <w:trHeight w:val="412"/>
          <w:jc w:val="center"/>
        </w:trPr>
        <w:tc>
          <w:tcPr>
            <w:tcW w:w="622" w:type="dxa"/>
            <w:tcBorders>
              <w:top w:val="nil"/>
              <w:bottom w:val="nil"/>
            </w:tcBorders>
            <w:shd w:val="clear" w:color="auto" w:fill="auto"/>
          </w:tcPr>
          <w:p w:rsidR="00485398" w:rsidRPr="004C0AEC" w:rsidRDefault="00485398"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485398" w:rsidRPr="002A48B8" w:rsidRDefault="00485398"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485398" w:rsidRPr="00485398" w:rsidRDefault="00522F35" w:rsidP="00DA1AA7">
            <w:pPr>
              <w:tabs>
                <w:tab w:val="left" w:pos="391"/>
                <w:tab w:val="left" w:pos="434"/>
              </w:tabs>
              <w:spacing w:before="60" w:after="40"/>
              <w:jc w:val="both"/>
              <w:rPr>
                <w:rFonts w:ascii="Verdana" w:hAnsi="Verdana"/>
                <w:spacing w:val="-2"/>
                <w:sz w:val="20"/>
                <w:szCs w:val="20"/>
                <w:lang w:val="af-ZA"/>
              </w:rPr>
            </w:pPr>
            <w:r>
              <w:rPr>
                <w:rFonts w:ascii="Verdana" w:hAnsi="Verdana"/>
                <w:spacing w:val="-2"/>
                <w:sz w:val="20"/>
                <w:szCs w:val="20"/>
                <w:lang w:val="af-ZA"/>
              </w:rPr>
              <w:t>3.</w:t>
            </w:r>
            <w:r>
              <w:rPr>
                <w:rFonts w:ascii="Verdana" w:hAnsi="Verdana"/>
                <w:spacing w:val="-2"/>
                <w:sz w:val="20"/>
                <w:szCs w:val="20"/>
              </w:rPr>
              <w:t xml:space="preserve"> </w:t>
            </w:r>
            <w:r w:rsidR="00485398" w:rsidRPr="00485398">
              <w:rPr>
                <w:rFonts w:ascii="Verdana" w:hAnsi="Verdana"/>
                <w:spacing w:val="-2"/>
                <w:sz w:val="20"/>
                <w:szCs w:val="20"/>
                <w:lang w:val="af-ZA"/>
              </w:rPr>
              <w:t xml:space="preserve">В част Горско и ловно стопанство, реално липсва специализирана дирекция, която да отговаря за тази </w:t>
            </w:r>
            <w:r w:rsidR="00485398" w:rsidRPr="00485398">
              <w:rPr>
                <w:rFonts w:ascii="Verdana" w:hAnsi="Verdana"/>
                <w:spacing w:val="-2"/>
                <w:sz w:val="20"/>
                <w:szCs w:val="20"/>
                <w:lang w:val="af-ZA"/>
              </w:rPr>
              <w:lastRenderedPageBreak/>
              <w:t>дейност.</w:t>
            </w:r>
          </w:p>
        </w:tc>
        <w:tc>
          <w:tcPr>
            <w:tcW w:w="1701" w:type="dxa"/>
            <w:tcBorders>
              <w:top w:val="nil"/>
              <w:bottom w:val="nil"/>
            </w:tcBorders>
            <w:shd w:val="clear" w:color="auto" w:fill="auto"/>
          </w:tcPr>
          <w:p w:rsidR="00485398" w:rsidRPr="00551043" w:rsidRDefault="00522F35" w:rsidP="00DA1AA7">
            <w:pPr>
              <w:spacing w:before="60" w:after="40"/>
              <w:rPr>
                <w:rFonts w:ascii="Verdana" w:hAnsi="Verdana"/>
                <w:sz w:val="20"/>
                <w:szCs w:val="20"/>
                <w:lang w:val="af-ZA"/>
              </w:rPr>
            </w:pPr>
            <w:r w:rsidRPr="00D01F1B">
              <w:rPr>
                <w:rFonts w:ascii="Verdana" w:hAnsi="Verdana"/>
                <w:sz w:val="20"/>
                <w:szCs w:val="20"/>
              </w:rPr>
              <w:lastRenderedPageBreak/>
              <w:t>Не се приема</w:t>
            </w:r>
          </w:p>
        </w:tc>
        <w:tc>
          <w:tcPr>
            <w:tcW w:w="4847" w:type="dxa"/>
            <w:tcBorders>
              <w:top w:val="nil"/>
              <w:bottom w:val="nil"/>
            </w:tcBorders>
            <w:shd w:val="clear" w:color="auto" w:fill="auto"/>
          </w:tcPr>
          <w:p w:rsidR="00485398" w:rsidRPr="00DA1AA7" w:rsidRDefault="00F71ABD" w:rsidP="00DA1AA7">
            <w:pPr>
              <w:tabs>
                <w:tab w:val="left" w:pos="192"/>
              </w:tabs>
              <w:spacing w:before="60" w:after="40"/>
              <w:jc w:val="both"/>
              <w:rPr>
                <w:rFonts w:ascii="Verdana" w:hAnsi="Verdana"/>
                <w:sz w:val="20"/>
                <w:szCs w:val="20"/>
              </w:rPr>
            </w:pPr>
            <w:r w:rsidRPr="00DA1AA7">
              <w:rPr>
                <w:rFonts w:ascii="Verdana" w:hAnsi="Verdana"/>
                <w:sz w:val="20"/>
                <w:szCs w:val="20"/>
              </w:rPr>
              <w:t xml:space="preserve">Дирекция „Търговски дружества и държавни предприятия“ подпомага </w:t>
            </w:r>
            <w:r w:rsidRPr="00DA1AA7">
              <w:rPr>
                <w:rFonts w:ascii="Verdana" w:hAnsi="Verdana"/>
                <w:sz w:val="20"/>
                <w:szCs w:val="20"/>
              </w:rPr>
              <w:lastRenderedPageBreak/>
              <w:t>министъра при  определяне на държавната политика в о</w:t>
            </w:r>
            <w:r w:rsidRPr="00DA1AA7">
              <w:rPr>
                <w:rFonts w:ascii="Verdana" w:hAnsi="Verdana"/>
                <w:sz w:val="20"/>
                <w:szCs w:val="20"/>
              </w:rPr>
              <w:t>б</w:t>
            </w:r>
            <w:r w:rsidRPr="00DA1AA7">
              <w:rPr>
                <w:rFonts w:ascii="Verdana" w:hAnsi="Verdana"/>
                <w:sz w:val="20"/>
                <w:szCs w:val="20"/>
              </w:rPr>
              <w:t>ластта на горското и ловното стопанство. За осъществяването на тази политика към министъра на земеделието, храните и горите функционира Изпълнителната агенция по горите с обща численост 1409 щ. бр.</w:t>
            </w:r>
          </w:p>
        </w:tc>
      </w:tr>
      <w:tr w:rsidR="00485398" w:rsidRPr="002A48B8" w:rsidTr="00874D03">
        <w:trPr>
          <w:trHeight w:val="596"/>
          <w:jc w:val="center"/>
        </w:trPr>
        <w:tc>
          <w:tcPr>
            <w:tcW w:w="622" w:type="dxa"/>
            <w:tcBorders>
              <w:top w:val="nil"/>
              <w:bottom w:val="nil"/>
            </w:tcBorders>
            <w:shd w:val="clear" w:color="auto" w:fill="auto"/>
          </w:tcPr>
          <w:p w:rsidR="00485398" w:rsidRPr="004C0AEC" w:rsidRDefault="00485398"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485398" w:rsidRPr="002A48B8" w:rsidRDefault="00485398"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485398" w:rsidRPr="00253819" w:rsidRDefault="00522F35" w:rsidP="00DA1AA7">
            <w:pPr>
              <w:tabs>
                <w:tab w:val="left" w:pos="391"/>
                <w:tab w:val="left" w:pos="434"/>
              </w:tabs>
              <w:spacing w:before="60" w:after="40"/>
              <w:jc w:val="both"/>
              <w:rPr>
                <w:rFonts w:ascii="Verdana" w:hAnsi="Verdana"/>
                <w:spacing w:val="-2"/>
                <w:sz w:val="20"/>
                <w:szCs w:val="20"/>
                <w:lang w:val="af-ZA"/>
              </w:rPr>
            </w:pPr>
            <w:r>
              <w:rPr>
                <w:rFonts w:ascii="Verdana" w:hAnsi="Verdana"/>
                <w:spacing w:val="-2"/>
                <w:sz w:val="20"/>
                <w:szCs w:val="20"/>
                <w:lang w:val="af-ZA"/>
              </w:rPr>
              <w:t>4.</w:t>
            </w:r>
            <w:r>
              <w:rPr>
                <w:rFonts w:ascii="Verdana" w:hAnsi="Verdana"/>
                <w:spacing w:val="-2"/>
                <w:sz w:val="20"/>
                <w:szCs w:val="20"/>
              </w:rPr>
              <w:t xml:space="preserve"> </w:t>
            </w:r>
            <w:r w:rsidR="00485398" w:rsidRPr="000577FB">
              <w:rPr>
                <w:rFonts w:ascii="Verdana" w:hAnsi="Verdana"/>
                <w:spacing w:val="2"/>
                <w:sz w:val="20"/>
                <w:szCs w:val="20"/>
                <w:lang w:val="af-ZA"/>
              </w:rPr>
              <w:t>В частта Държавна политика по безопасността на храните тази, която засяга пряко цялото население съществува дирекция, но тя не отразява нейното значение. Числеността на дирекцията е определена на 25 от 428  души или 5,84% от специализираната администрация. Това предполага, че същата ще страда от остра липса на административен капацитет да реализира политиката в областта на Безопасност на храните и фуражите, което е видно от отразяването на дейността на тази дирекция в сайта на министерството или по-точно липсата на информация.</w:t>
            </w:r>
          </w:p>
        </w:tc>
        <w:tc>
          <w:tcPr>
            <w:tcW w:w="1701" w:type="dxa"/>
            <w:tcBorders>
              <w:top w:val="nil"/>
              <w:bottom w:val="nil"/>
            </w:tcBorders>
            <w:shd w:val="clear" w:color="auto" w:fill="auto"/>
          </w:tcPr>
          <w:p w:rsidR="00485398" w:rsidRPr="00551043" w:rsidRDefault="00522F35" w:rsidP="00DA1AA7">
            <w:pPr>
              <w:spacing w:before="60" w:after="40"/>
              <w:rPr>
                <w:rFonts w:ascii="Verdana" w:hAnsi="Verdana"/>
                <w:sz w:val="20"/>
                <w:szCs w:val="20"/>
                <w:lang w:val="af-ZA"/>
              </w:rPr>
            </w:pPr>
            <w:r w:rsidRPr="00D01F1B">
              <w:rPr>
                <w:rFonts w:ascii="Verdana" w:hAnsi="Verdana"/>
                <w:sz w:val="20"/>
                <w:szCs w:val="20"/>
              </w:rPr>
              <w:t>Не се приема</w:t>
            </w:r>
          </w:p>
        </w:tc>
        <w:tc>
          <w:tcPr>
            <w:tcW w:w="4847" w:type="dxa"/>
            <w:tcBorders>
              <w:top w:val="nil"/>
              <w:bottom w:val="nil"/>
            </w:tcBorders>
            <w:shd w:val="clear" w:color="auto" w:fill="auto"/>
          </w:tcPr>
          <w:p w:rsidR="00485398" w:rsidRPr="002D1428" w:rsidRDefault="00A448A1" w:rsidP="00DA1AA7">
            <w:pPr>
              <w:tabs>
                <w:tab w:val="left" w:pos="192"/>
              </w:tabs>
              <w:spacing w:before="60" w:after="40"/>
              <w:jc w:val="both"/>
              <w:rPr>
                <w:rFonts w:ascii="Verdana" w:hAnsi="Verdana"/>
                <w:sz w:val="20"/>
                <w:szCs w:val="20"/>
              </w:rPr>
            </w:pPr>
            <w:r w:rsidRPr="00A448A1">
              <w:rPr>
                <w:rFonts w:ascii="Verdana" w:hAnsi="Verdana"/>
                <w:sz w:val="20"/>
                <w:szCs w:val="20"/>
              </w:rPr>
              <w:t xml:space="preserve">Българската агенция по безопасност на храните </w:t>
            </w:r>
            <w:r>
              <w:rPr>
                <w:rFonts w:ascii="Verdana" w:hAnsi="Verdana"/>
                <w:sz w:val="20"/>
                <w:szCs w:val="20"/>
              </w:rPr>
              <w:t>като</w:t>
            </w:r>
            <w:r w:rsidRPr="00A448A1">
              <w:rPr>
                <w:rFonts w:ascii="Verdana" w:hAnsi="Verdana"/>
                <w:sz w:val="20"/>
                <w:szCs w:val="20"/>
              </w:rPr>
              <w:t xml:space="preserve"> второстепенен разпоредител с бюджет към министъра на земеделието</w:t>
            </w:r>
            <w:r>
              <w:rPr>
                <w:rFonts w:ascii="Verdana" w:hAnsi="Verdana"/>
                <w:sz w:val="20"/>
                <w:szCs w:val="20"/>
              </w:rPr>
              <w:t>,</w:t>
            </w:r>
            <w:r w:rsidRPr="00A448A1">
              <w:rPr>
                <w:rFonts w:ascii="Verdana" w:hAnsi="Verdana"/>
                <w:sz w:val="20"/>
                <w:szCs w:val="20"/>
              </w:rPr>
              <w:t xml:space="preserve"> храните</w:t>
            </w:r>
            <w:r>
              <w:rPr>
                <w:rFonts w:ascii="Verdana" w:hAnsi="Verdana"/>
                <w:sz w:val="20"/>
                <w:szCs w:val="20"/>
              </w:rPr>
              <w:t xml:space="preserve"> и горите</w:t>
            </w:r>
            <w:r w:rsidRPr="00A448A1">
              <w:rPr>
                <w:rFonts w:ascii="Verdana" w:hAnsi="Verdana"/>
                <w:sz w:val="20"/>
                <w:szCs w:val="20"/>
              </w:rPr>
              <w:t xml:space="preserve">  е компетентният държавен орган за официален контрол по отн</w:t>
            </w:r>
            <w:r w:rsidRPr="00A448A1">
              <w:rPr>
                <w:rFonts w:ascii="Verdana" w:hAnsi="Verdana"/>
                <w:sz w:val="20"/>
                <w:szCs w:val="20"/>
              </w:rPr>
              <w:t>о</w:t>
            </w:r>
            <w:r w:rsidRPr="00A448A1">
              <w:rPr>
                <w:rFonts w:ascii="Verdana" w:hAnsi="Verdana"/>
                <w:sz w:val="20"/>
                <w:szCs w:val="20"/>
              </w:rPr>
              <w:t>шение на качеството и безопасността на храните по цялата хранителна верига.</w:t>
            </w:r>
            <w:r>
              <w:rPr>
                <w:rFonts w:ascii="Verdana" w:hAnsi="Verdana"/>
                <w:sz w:val="20"/>
                <w:szCs w:val="20"/>
              </w:rPr>
              <w:t xml:space="preserve"> Числеността на агенцията е 2266 щ.бр.</w:t>
            </w:r>
          </w:p>
        </w:tc>
      </w:tr>
      <w:tr w:rsidR="007600DD" w:rsidRPr="002A48B8" w:rsidTr="000577FB">
        <w:trPr>
          <w:trHeight w:val="410"/>
          <w:jc w:val="center"/>
        </w:trPr>
        <w:tc>
          <w:tcPr>
            <w:tcW w:w="622" w:type="dxa"/>
            <w:tcBorders>
              <w:top w:val="nil"/>
              <w:bottom w:val="nil"/>
            </w:tcBorders>
            <w:shd w:val="clear" w:color="auto" w:fill="auto"/>
          </w:tcPr>
          <w:p w:rsidR="007600DD" w:rsidRPr="004C0AEC" w:rsidRDefault="007600DD" w:rsidP="00DA1AA7">
            <w:pPr>
              <w:tabs>
                <w:tab w:val="left" w:pos="192"/>
              </w:tabs>
              <w:spacing w:before="60" w:after="40"/>
              <w:ind w:left="340"/>
              <w:rPr>
                <w:rFonts w:ascii="Verdana" w:hAnsi="Verdana"/>
                <w:b/>
                <w:sz w:val="20"/>
                <w:szCs w:val="20"/>
                <w:lang w:val="af-ZA"/>
              </w:rPr>
            </w:pPr>
          </w:p>
        </w:tc>
        <w:tc>
          <w:tcPr>
            <w:tcW w:w="2385" w:type="dxa"/>
            <w:tcBorders>
              <w:top w:val="nil"/>
              <w:bottom w:val="nil"/>
            </w:tcBorders>
            <w:shd w:val="clear" w:color="auto" w:fill="auto"/>
          </w:tcPr>
          <w:p w:rsidR="007600DD" w:rsidRPr="002A48B8" w:rsidRDefault="007600DD" w:rsidP="00DA1AA7">
            <w:pPr>
              <w:tabs>
                <w:tab w:val="left" w:pos="192"/>
              </w:tabs>
              <w:spacing w:before="60" w:after="40"/>
              <w:ind w:left="340"/>
              <w:rPr>
                <w:rFonts w:ascii="Verdana" w:hAnsi="Verdana"/>
                <w:b/>
                <w:sz w:val="20"/>
                <w:szCs w:val="20"/>
                <w:lang w:val="af-ZA"/>
              </w:rPr>
            </w:pPr>
          </w:p>
        </w:tc>
        <w:tc>
          <w:tcPr>
            <w:tcW w:w="6095" w:type="dxa"/>
            <w:tcBorders>
              <w:top w:val="nil"/>
              <w:bottom w:val="nil"/>
            </w:tcBorders>
            <w:shd w:val="clear" w:color="auto" w:fill="auto"/>
          </w:tcPr>
          <w:p w:rsidR="007600DD" w:rsidRPr="00253819" w:rsidRDefault="007600DD" w:rsidP="00DA1AA7">
            <w:pPr>
              <w:tabs>
                <w:tab w:val="left" w:pos="391"/>
                <w:tab w:val="left" w:pos="434"/>
              </w:tabs>
              <w:spacing w:before="60" w:after="40"/>
              <w:jc w:val="both"/>
              <w:rPr>
                <w:rFonts w:ascii="Verdana" w:hAnsi="Verdana"/>
                <w:spacing w:val="-2"/>
                <w:sz w:val="20"/>
                <w:szCs w:val="20"/>
                <w:lang w:val="af-ZA"/>
              </w:rPr>
            </w:pPr>
            <w:r w:rsidRPr="00522F35">
              <w:rPr>
                <w:rFonts w:ascii="Verdana" w:hAnsi="Verdana"/>
                <w:spacing w:val="-2"/>
                <w:sz w:val="20"/>
                <w:szCs w:val="20"/>
                <w:lang w:val="af-ZA"/>
              </w:rPr>
              <w:t>Тези проблеми водят до цялостната дезорганизация на МЗХГ, което от своя страна става предпоставка за избухване на множество скандали. Като може би най-всеобхватен и видим е ситуацията с африканска чума по свинете, която демонстрира липсата на всякаква координация и административен капацитет в министерството.</w:t>
            </w:r>
          </w:p>
          <w:p w:rsidR="000577FB" w:rsidRPr="00522F35" w:rsidRDefault="007600DD" w:rsidP="00DA1AA7">
            <w:pPr>
              <w:tabs>
                <w:tab w:val="left" w:pos="391"/>
                <w:tab w:val="left" w:pos="434"/>
              </w:tabs>
              <w:spacing w:before="60" w:after="40"/>
              <w:jc w:val="both"/>
              <w:rPr>
                <w:rFonts w:ascii="Verdana" w:hAnsi="Verdana"/>
                <w:spacing w:val="-2"/>
                <w:sz w:val="20"/>
                <w:szCs w:val="20"/>
                <w:lang w:val="af-ZA"/>
              </w:rPr>
            </w:pPr>
            <w:r w:rsidRPr="00522F35">
              <w:rPr>
                <w:rFonts w:ascii="Verdana" w:hAnsi="Verdana"/>
                <w:spacing w:val="-2"/>
                <w:sz w:val="20"/>
                <w:szCs w:val="20"/>
                <w:lang w:val="af-ZA"/>
              </w:rPr>
              <w:t xml:space="preserve">Липсата на административен капацитет доведе до вземане/не вземане на работещи превантивни мерки. Огромният брой нерегистрирани стопанства, поради липсата на всякакъв контрол, доведоха до необходимостта да се изплащат обезщетения на нарушители на закона. Липсата на координация с местните власти и представителите на други министерства като МВР, доведоха до неинформираност </w:t>
            </w:r>
            <w:r w:rsidRPr="00522F35">
              <w:rPr>
                <w:rFonts w:ascii="Verdana" w:hAnsi="Verdana"/>
                <w:spacing w:val="-2"/>
                <w:sz w:val="20"/>
                <w:szCs w:val="20"/>
                <w:lang w:val="af-ZA"/>
              </w:rPr>
              <w:lastRenderedPageBreak/>
              <w:t>на обществото, а от там и до прояви на гражданско неподчинение.</w:t>
            </w:r>
          </w:p>
        </w:tc>
        <w:tc>
          <w:tcPr>
            <w:tcW w:w="1701" w:type="dxa"/>
            <w:tcBorders>
              <w:top w:val="nil"/>
              <w:bottom w:val="nil"/>
            </w:tcBorders>
            <w:shd w:val="clear" w:color="auto" w:fill="auto"/>
          </w:tcPr>
          <w:p w:rsidR="007600DD" w:rsidRPr="00551043" w:rsidRDefault="007600DD" w:rsidP="00DA1AA7">
            <w:pPr>
              <w:spacing w:before="60" w:after="40"/>
              <w:rPr>
                <w:rFonts w:ascii="Verdana" w:hAnsi="Verdana"/>
                <w:sz w:val="20"/>
                <w:szCs w:val="20"/>
                <w:lang w:val="af-ZA"/>
              </w:rPr>
            </w:pPr>
          </w:p>
        </w:tc>
        <w:tc>
          <w:tcPr>
            <w:tcW w:w="4847" w:type="dxa"/>
            <w:tcBorders>
              <w:top w:val="nil"/>
              <w:bottom w:val="nil"/>
            </w:tcBorders>
            <w:shd w:val="clear" w:color="auto" w:fill="auto"/>
          </w:tcPr>
          <w:p w:rsidR="007600DD" w:rsidRPr="002D1428" w:rsidRDefault="007600DD" w:rsidP="00DA1AA7">
            <w:pPr>
              <w:tabs>
                <w:tab w:val="left" w:pos="192"/>
              </w:tabs>
              <w:spacing w:before="60" w:after="40"/>
              <w:rPr>
                <w:rFonts w:ascii="Verdana" w:hAnsi="Verdana"/>
                <w:sz w:val="20"/>
                <w:szCs w:val="20"/>
              </w:rPr>
            </w:pPr>
          </w:p>
        </w:tc>
      </w:tr>
      <w:tr w:rsidR="000E5520" w:rsidRPr="002A48B8" w:rsidTr="000E5520">
        <w:trPr>
          <w:trHeight w:val="117"/>
          <w:jc w:val="center"/>
        </w:trPr>
        <w:tc>
          <w:tcPr>
            <w:tcW w:w="622" w:type="dxa"/>
            <w:tcBorders>
              <w:top w:val="nil"/>
              <w:bottom w:val="single" w:sz="18" w:space="0" w:color="2E74B5"/>
            </w:tcBorders>
            <w:shd w:val="clear" w:color="auto" w:fill="auto"/>
          </w:tcPr>
          <w:p w:rsidR="000E5520" w:rsidRPr="004C0AEC" w:rsidRDefault="000E5520" w:rsidP="00DA1AA7">
            <w:pPr>
              <w:tabs>
                <w:tab w:val="left" w:pos="192"/>
              </w:tabs>
              <w:spacing w:before="60" w:after="40"/>
              <w:ind w:left="340"/>
              <w:rPr>
                <w:rFonts w:ascii="Verdana" w:hAnsi="Verdana"/>
                <w:b/>
                <w:sz w:val="20"/>
                <w:szCs w:val="20"/>
                <w:lang w:val="af-ZA"/>
              </w:rPr>
            </w:pPr>
          </w:p>
        </w:tc>
        <w:tc>
          <w:tcPr>
            <w:tcW w:w="2385" w:type="dxa"/>
            <w:tcBorders>
              <w:top w:val="nil"/>
              <w:bottom w:val="single" w:sz="18" w:space="0" w:color="2E74B5"/>
              <w:right w:val="single" w:sz="18" w:space="0" w:color="2E74B5"/>
            </w:tcBorders>
            <w:shd w:val="clear" w:color="auto" w:fill="auto"/>
          </w:tcPr>
          <w:p w:rsidR="000E5520" w:rsidRPr="002A48B8" w:rsidRDefault="000E5520" w:rsidP="00DA1AA7">
            <w:pPr>
              <w:tabs>
                <w:tab w:val="left" w:pos="192"/>
              </w:tabs>
              <w:spacing w:before="60" w:after="40"/>
              <w:ind w:left="340"/>
              <w:rPr>
                <w:rFonts w:ascii="Verdana" w:hAnsi="Verdana"/>
                <w:b/>
                <w:sz w:val="20"/>
                <w:szCs w:val="20"/>
                <w:lang w:val="af-ZA"/>
              </w:rPr>
            </w:pPr>
          </w:p>
        </w:tc>
        <w:tc>
          <w:tcPr>
            <w:tcW w:w="6095" w:type="dxa"/>
            <w:tcBorders>
              <w:top w:val="nil"/>
              <w:left w:val="single" w:sz="18" w:space="0" w:color="2E74B5"/>
              <w:bottom w:val="single" w:sz="18" w:space="0" w:color="2E74B5"/>
              <w:right w:val="single" w:sz="18" w:space="0" w:color="2E74B5"/>
            </w:tcBorders>
            <w:shd w:val="clear" w:color="auto" w:fill="auto"/>
          </w:tcPr>
          <w:p w:rsidR="000E5520" w:rsidRPr="003E6A62" w:rsidRDefault="000E5520" w:rsidP="00DA1AA7">
            <w:pPr>
              <w:tabs>
                <w:tab w:val="left" w:pos="391"/>
                <w:tab w:val="left" w:pos="434"/>
              </w:tabs>
              <w:spacing w:before="60" w:after="40"/>
              <w:jc w:val="both"/>
              <w:rPr>
                <w:rFonts w:ascii="Verdana" w:hAnsi="Verdana"/>
                <w:spacing w:val="-2"/>
                <w:sz w:val="20"/>
                <w:szCs w:val="20"/>
                <w:lang w:val="af-ZA"/>
              </w:rPr>
            </w:pPr>
            <w:r w:rsidRPr="003E6A62">
              <w:rPr>
                <w:rFonts w:ascii="Verdana" w:hAnsi="Verdana"/>
                <w:spacing w:val="-2"/>
                <w:sz w:val="20"/>
                <w:szCs w:val="20"/>
                <w:lang w:val="af-ZA"/>
              </w:rPr>
              <w:t>Поради гореизложеното, ви призовавам да не приемате този правилник и да се изготви изцяло нов, в който да се отразят значението на отделните задачи поставени на МЗХГ.</w:t>
            </w:r>
          </w:p>
        </w:tc>
        <w:tc>
          <w:tcPr>
            <w:tcW w:w="1701" w:type="dxa"/>
            <w:tcBorders>
              <w:top w:val="nil"/>
              <w:left w:val="single" w:sz="18" w:space="0" w:color="2E74B5"/>
              <w:bottom w:val="single" w:sz="18" w:space="0" w:color="2E74B5"/>
              <w:right w:val="single" w:sz="18" w:space="0" w:color="2E74B5"/>
            </w:tcBorders>
            <w:shd w:val="clear" w:color="auto" w:fill="auto"/>
          </w:tcPr>
          <w:p w:rsidR="000E5520" w:rsidRPr="00D01F1B" w:rsidRDefault="000E5520" w:rsidP="00DA1AA7">
            <w:pPr>
              <w:spacing w:before="60" w:after="40"/>
              <w:rPr>
                <w:rFonts w:ascii="Verdana" w:hAnsi="Verdana"/>
                <w:sz w:val="20"/>
                <w:szCs w:val="20"/>
              </w:rPr>
            </w:pPr>
            <w:r w:rsidRPr="00D01F1B">
              <w:rPr>
                <w:rFonts w:ascii="Verdana" w:hAnsi="Verdana"/>
                <w:sz w:val="20"/>
                <w:szCs w:val="20"/>
              </w:rPr>
              <w:t>Не се приема</w:t>
            </w:r>
          </w:p>
        </w:tc>
        <w:tc>
          <w:tcPr>
            <w:tcW w:w="4847" w:type="dxa"/>
            <w:tcBorders>
              <w:top w:val="nil"/>
              <w:left w:val="single" w:sz="18" w:space="0" w:color="2E74B5"/>
              <w:bottom w:val="single" w:sz="18" w:space="0" w:color="2E74B5"/>
              <w:right w:val="single" w:sz="36" w:space="0" w:color="2E74B5"/>
            </w:tcBorders>
            <w:shd w:val="clear" w:color="auto" w:fill="auto"/>
          </w:tcPr>
          <w:p w:rsidR="000E5520" w:rsidRPr="003E6A62" w:rsidRDefault="000E5520" w:rsidP="005F0634">
            <w:pPr>
              <w:tabs>
                <w:tab w:val="left" w:pos="192"/>
              </w:tabs>
              <w:spacing w:before="60" w:after="40"/>
              <w:jc w:val="both"/>
              <w:rPr>
                <w:rFonts w:ascii="Verdana" w:hAnsi="Verdana"/>
                <w:sz w:val="20"/>
                <w:szCs w:val="20"/>
                <w:lang w:val="ru-RU"/>
              </w:rPr>
            </w:pPr>
            <w:bookmarkStart w:id="0" w:name="_GoBack"/>
            <w:r w:rsidRPr="00252FB5">
              <w:rPr>
                <w:rFonts w:ascii="Verdana" w:hAnsi="Verdana"/>
                <w:sz w:val="20"/>
                <w:szCs w:val="20"/>
              </w:rPr>
              <w:t>Проектът ясно определя отговорностите на министъра и административните звена в съответствие с мисията, стратегическите документи и нормативните актове, регламентиращи дейността на министерството. Следва да се има предвид, че при осъще</w:t>
            </w:r>
            <w:r w:rsidRPr="00252FB5">
              <w:rPr>
                <w:rFonts w:ascii="Verdana" w:hAnsi="Verdana"/>
                <w:sz w:val="20"/>
                <w:szCs w:val="20"/>
              </w:rPr>
              <w:t>с</w:t>
            </w:r>
            <w:r w:rsidRPr="00252FB5">
              <w:rPr>
                <w:rFonts w:ascii="Verdana" w:hAnsi="Verdana"/>
                <w:sz w:val="20"/>
                <w:szCs w:val="20"/>
              </w:rPr>
              <w:t xml:space="preserve">твяване на правомощията си министърът се подпомага освен от звената в специализираната администрация на министерството и от второстепенни разпоредители с </w:t>
            </w:r>
            <w:r w:rsidRPr="005A1FB6">
              <w:rPr>
                <w:rFonts w:ascii="Verdana" w:hAnsi="Verdana"/>
                <w:sz w:val="20"/>
                <w:szCs w:val="20"/>
                <w:lang w:val="ru-RU"/>
              </w:rPr>
              <w:t xml:space="preserve">  </w:t>
            </w:r>
            <w:r w:rsidRPr="00252FB5">
              <w:rPr>
                <w:rFonts w:ascii="Verdana" w:hAnsi="Verdana"/>
                <w:sz w:val="20"/>
                <w:szCs w:val="20"/>
              </w:rPr>
              <w:t>б</w:t>
            </w:r>
            <w:r w:rsidRPr="00252FB5">
              <w:rPr>
                <w:rFonts w:ascii="Verdana" w:hAnsi="Verdana"/>
                <w:sz w:val="20"/>
                <w:szCs w:val="20"/>
              </w:rPr>
              <w:t>ю</w:t>
            </w:r>
            <w:r w:rsidRPr="00252FB5">
              <w:rPr>
                <w:rFonts w:ascii="Verdana" w:hAnsi="Verdana"/>
                <w:sz w:val="20"/>
                <w:szCs w:val="20"/>
              </w:rPr>
              <w:t>джет – изпълнителни агенции със специа</w:t>
            </w:r>
            <w:r w:rsidRPr="00252FB5">
              <w:rPr>
                <w:rFonts w:ascii="Verdana" w:hAnsi="Verdana"/>
                <w:sz w:val="20"/>
                <w:szCs w:val="20"/>
              </w:rPr>
              <w:t>л</w:t>
            </w:r>
            <w:r w:rsidRPr="00252FB5">
              <w:rPr>
                <w:rFonts w:ascii="Verdana" w:hAnsi="Verdana"/>
                <w:sz w:val="20"/>
                <w:szCs w:val="20"/>
              </w:rPr>
              <w:t>на компетентност.</w:t>
            </w:r>
            <w:bookmarkEnd w:id="0"/>
          </w:p>
        </w:tc>
      </w:tr>
    </w:tbl>
    <w:p w:rsidR="002F6D66" w:rsidRPr="004C0AEC" w:rsidRDefault="002F6D66" w:rsidP="00DA1AA7">
      <w:pPr>
        <w:spacing w:before="60" w:after="40"/>
        <w:rPr>
          <w:rFonts w:ascii="Verdana" w:hAnsi="Verdana"/>
          <w:smallCaps/>
          <w:sz w:val="20"/>
          <w:szCs w:val="20"/>
          <w:lang w:val="af-ZA" w:eastAsia="en-US"/>
        </w:rPr>
      </w:pPr>
    </w:p>
    <w:p w:rsidR="008D64AA" w:rsidRPr="004C0AEC" w:rsidRDefault="008D64AA" w:rsidP="00DA1AA7">
      <w:pPr>
        <w:spacing w:before="60" w:after="40"/>
        <w:rPr>
          <w:rFonts w:ascii="Verdana" w:hAnsi="Verdana"/>
          <w:smallCaps/>
          <w:color w:val="000000"/>
          <w:sz w:val="20"/>
          <w:szCs w:val="20"/>
          <w:lang w:val="af-ZA" w:eastAsia="en-US"/>
        </w:rPr>
      </w:pPr>
    </w:p>
    <w:p w:rsidR="00252FB5" w:rsidRPr="00DA1AA7" w:rsidRDefault="00252FB5" w:rsidP="00DA1AA7">
      <w:pPr>
        <w:spacing w:before="60" w:after="40"/>
        <w:rPr>
          <w:rFonts w:ascii="Verdana" w:hAnsi="Verdana"/>
          <w:smallCaps/>
          <w:color w:val="000000"/>
          <w:sz w:val="20"/>
          <w:szCs w:val="20"/>
          <w:lang w:val="ru-RU" w:eastAsia="en-US"/>
        </w:rPr>
      </w:pPr>
    </w:p>
    <w:p w:rsidR="006569B9" w:rsidRPr="00DA1AA7" w:rsidRDefault="006569B9" w:rsidP="00DA1AA7">
      <w:pPr>
        <w:spacing w:before="60" w:after="40"/>
        <w:rPr>
          <w:rFonts w:ascii="Verdana" w:hAnsi="Verdana"/>
          <w:smallCaps/>
          <w:color w:val="000000"/>
          <w:sz w:val="20"/>
          <w:szCs w:val="20"/>
          <w:lang w:val="ru-RU" w:eastAsia="en-US"/>
        </w:rPr>
      </w:pPr>
    </w:p>
    <w:p w:rsidR="00215151" w:rsidRPr="004C0AEC" w:rsidRDefault="00215151" w:rsidP="00DA1AA7">
      <w:pPr>
        <w:spacing w:before="60" w:after="40"/>
        <w:rPr>
          <w:rFonts w:ascii="Verdana" w:hAnsi="Verdana"/>
          <w:smallCaps/>
          <w:color w:val="000000"/>
          <w:sz w:val="20"/>
          <w:szCs w:val="20"/>
          <w:lang w:val="af-ZA" w:eastAsia="en-US"/>
        </w:rPr>
      </w:pPr>
    </w:p>
    <w:sectPr w:rsidR="00215151" w:rsidRPr="004C0AEC" w:rsidSect="000577FB">
      <w:footerReference w:type="even" r:id="rId9"/>
      <w:footerReference w:type="default" r:id="rId10"/>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C8" w:rsidRDefault="009965C8">
      <w:r>
        <w:separator/>
      </w:r>
    </w:p>
  </w:endnote>
  <w:endnote w:type="continuationSeparator" w:id="0">
    <w:p w:rsidR="009965C8" w:rsidRDefault="0099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46788"/>
      <w:docPartObj>
        <w:docPartGallery w:val="Page Numbers (Bottom of Page)"/>
        <w:docPartUnique/>
      </w:docPartObj>
    </w:sdtPr>
    <w:sdtEndPr>
      <w:rPr>
        <w:rFonts w:ascii="Verdana" w:hAnsi="Verdana"/>
        <w:noProof/>
        <w:sz w:val="16"/>
        <w:szCs w:val="16"/>
      </w:rPr>
    </w:sdtEndPr>
    <w:sdtContent>
      <w:p w:rsidR="00046C3E" w:rsidRPr="004F1E18" w:rsidRDefault="004F1E18" w:rsidP="004F1E18">
        <w:pPr>
          <w:pStyle w:val="Footer"/>
          <w:jc w:val="right"/>
          <w:rPr>
            <w:rFonts w:ascii="Verdana" w:hAnsi="Verdana"/>
            <w:sz w:val="16"/>
            <w:szCs w:val="16"/>
          </w:rPr>
        </w:pPr>
        <w:r w:rsidRPr="004F1E18">
          <w:rPr>
            <w:rFonts w:ascii="Verdana" w:hAnsi="Verdana"/>
            <w:sz w:val="16"/>
            <w:szCs w:val="16"/>
          </w:rPr>
          <w:fldChar w:fldCharType="begin"/>
        </w:r>
        <w:r w:rsidRPr="004F1E18">
          <w:rPr>
            <w:rFonts w:ascii="Verdana" w:hAnsi="Verdana"/>
            <w:sz w:val="16"/>
            <w:szCs w:val="16"/>
          </w:rPr>
          <w:instrText xml:space="preserve"> PAGE   \* MERGEFORMAT </w:instrText>
        </w:r>
        <w:r w:rsidRPr="004F1E18">
          <w:rPr>
            <w:rFonts w:ascii="Verdana" w:hAnsi="Verdana"/>
            <w:sz w:val="16"/>
            <w:szCs w:val="16"/>
          </w:rPr>
          <w:fldChar w:fldCharType="separate"/>
        </w:r>
        <w:r w:rsidR="005F0634">
          <w:rPr>
            <w:rFonts w:ascii="Verdana" w:hAnsi="Verdana"/>
            <w:noProof/>
            <w:sz w:val="16"/>
            <w:szCs w:val="16"/>
          </w:rPr>
          <w:t>7</w:t>
        </w:r>
        <w:r w:rsidRPr="004F1E18">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C8" w:rsidRDefault="009965C8">
      <w:r>
        <w:separator/>
      </w:r>
    </w:p>
  </w:footnote>
  <w:footnote w:type="continuationSeparator" w:id="0">
    <w:p w:rsidR="009965C8" w:rsidRDefault="00996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1B1"/>
    <w:rsid w:val="000042F6"/>
    <w:rsid w:val="0000470F"/>
    <w:rsid w:val="00004862"/>
    <w:rsid w:val="00005688"/>
    <w:rsid w:val="000101A6"/>
    <w:rsid w:val="000115D5"/>
    <w:rsid w:val="00016086"/>
    <w:rsid w:val="00020062"/>
    <w:rsid w:val="000200AF"/>
    <w:rsid w:val="00024421"/>
    <w:rsid w:val="0002544E"/>
    <w:rsid w:val="000257AA"/>
    <w:rsid w:val="00025DD3"/>
    <w:rsid w:val="000279C9"/>
    <w:rsid w:val="00033183"/>
    <w:rsid w:val="00033713"/>
    <w:rsid w:val="000357B4"/>
    <w:rsid w:val="00035929"/>
    <w:rsid w:val="00044E65"/>
    <w:rsid w:val="0004610E"/>
    <w:rsid w:val="00046AB8"/>
    <w:rsid w:val="00046C3E"/>
    <w:rsid w:val="00051CC2"/>
    <w:rsid w:val="0005435E"/>
    <w:rsid w:val="0005470C"/>
    <w:rsid w:val="000572CA"/>
    <w:rsid w:val="000577FB"/>
    <w:rsid w:val="0006091E"/>
    <w:rsid w:val="00062907"/>
    <w:rsid w:val="00062ADE"/>
    <w:rsid w:val="00062F02"/>
    <w:rsid w:val="000632EC"/>
    <w:rsid w:val="00063E4B"/>
    <w:rsid w:val="000673CE"/>
    <w:rsid w:val="000718C7"/>
    <w:rsid w:val="00072C56"/>
    <w:rsid w:val="00075594"/>
    <w:rsid w:val="0008079F"/>
    <w:rsid w:val="00082171"/>
    <w:rsid w:val="00084700"/>
    <w:rsid w:val="000902D1"/>
    <w:rsid w:val="00090401"/>
    <w:rsid w:val="00091E5A"/>
    <w:rsid w:val="000937D4"/>
    <w:rsid w:val="000953A8"/>
    <w:rsid w:val="00097783"/>
    <w:rsid w:val="000A1017"/>
    <w:rsid w:val="000A228F"/>
    <w:rsid w:val="000A3E16"/>
    <w:rsid w:val="000A4F9C"/>
    <w:rsid w:val="000B298E"/>
    <w:rsid w:val="000B2EB1"/>
    <w:rsid w:val="000B3D5F"/>
    <w:rsid w:val="000B6D57"/>
    <w:rsid w:val="000C0295"/>
    <w:rsid w:val="000C036A"/>
    <w:rsid w:val="000C12D7"/>
    <w:rsid w:val="000C46A7"/>
    <w:rsid w:val="000C5E61"/>
    <w:rsid w:val="000C632B"/>
    <w:rsid w:val="000C7CB3"/>
    <w:rsid w:val="000D1626"/>
    <w:rsid w:val="000D3F6C"/>
    <w:rsid w:val="000D4198"/>
    <w:rsid w:val="000D54C8"/>
    <w:rsid w:val="000D7417"/>
    <w:rsid w:val="000E16DD"/>
    <w:rsid w:val="000E3570"/>
    <w:rsid w:val="000E38E0"/>
    <w:rsid w:val="000E5520"/>
    <w:rsid w:val="000F02C5"/>
    <w:rsid w:val="000F2C2C"/>
    <w:rsid w:val="000F31C8"/>
    <w:rsid w:val="000F3490"/>
    <w:rsid w:val="000F73D3"/>
    <w:rsid w:val="0010687D"/>
    <w:rsid w:val="001143E4"/>
    <w:rsid w:val="0011484F"/>
    <w:rsid w:val="00115EDD"/>
    <w:rsid w:val="00120ABA"/>
    <w:rsid w:val="00132E3D"/>
    <w:rsid w:val="00133358"/>
    <w:rsid w:val="00133A14"/>
    <w:rsid w:val="00134E1D"/>
    <w:rsid w:val="00135AE2"/>
    <w:rsid w:val="0013629D"/>
    <w:rsid w:val="00136948"/>
    <w:rsid w:val="00141BFB"/>
    <w:rsid w:val="00144034"/>
    <w:rsid w:val="001440FE"/>
    <w:rsid w:val="0014437A"/>
    <w:rsid w:val="00155CAF"/>
    <w:rsid w:val="001621CA"/>
    <w:rsid w:val="00163AE2"/>
    <w:rsid w:val="00165DAB"/>
    <w:rsid w:val="001668E1"/>
    <w:rsid w:val="00167658"/>
    <w:rsid w:val="00175004"/>
    <w:rsid w:val="00176D23"/>
    <w:rsid w:val="00177AA6"/>
    <w:rsid w:val="001808B4"/>
    <w:rsid w:val="0018509E"/>
    <w:rsid w:val="001948B0"/>
    <w:rsid w:val="001A0680"/>
    <w:rsid w:val="001A4C54"/>
    <w:rsid w:val="001B4CD8"/>
    <w:rsid w:val="001D362A"/>
    <w:rsid w:val="001D3DE1"/>
    <w:rsid w:val="001D6512"/>
    <w:rsid w:val="001E4FE9"/>
    <w:rsid w:val="001E64F2"/>
    <w:rsid w:val="001F0567"/>
    <w:rsid w:val="001F1F60"/>
    <w:rsid w:val="001F314D"/>
    <w:rsid w:val="0020103A"/>
    <w:rsid w:val="00201455"/>
    <w:rsid w:val="0020188B"/>
    <w:rsid w:val="0020445A"/>
    <w:rsid w:val="00206678"/>
    <w:rsid w:val="0021035B"/>
    <w:rsid w:val="00212D43"/>
    <w:rsid w:val="00213781"/>
    <w:rsid w:val="00214B75"/>
    <w:rsid w:val="00215151"/>
    <w:rsid w:val="00215178"/>
    <w:rsid w:val="00221143"/>
    <w:rsid w:val="002217C0"/>
    <w:rsid w:val="00221B68"/>
    <w:rsid w:val="00230E0E"/>
    <w:rsid w:val="00233C04"/>
    <w:rsid w:val="002348DC"/>
    <w:rsid w:val="002369C8"/>
    <w:rsid w:val="002375B3"/>
    <w:rsid w:val="00237768"/>
    <w:rsid w:val="00237A17"/>
    <w:rsid w:val="00241F4C"/>
    <w:rsid w:val="00243442"/>
    <w:rsid w:val="0024444A"/>
    <w:rsid w:val="00245270"/>
    <w:rsid w:val="00247622"/>
    <w:rsid w:val="00252FB5"/>
    <w:rsid w:val="002536A8"/>
    <w:rsid w:val="0025373D"/>
    <w:rsid w:val="00253819"/>
    <w:rsid w:val="00257983"/>
    <w:rsid w:val="00260F55"/>
    <w:rsid w:val="002632C1"/>
    <w:rsid w:val="00263E76"/>
    <w:rsid w:val="002640E1"/>
    <w:rsid w:val="002670AA"/>
    <w:rsid w:val="0027210E"/>
    <w:rsid w:val="00272EE3"/>
    <w:rsid w:val="00273219"/>
    <w:rsid w:val="00275375"/>
    <w:rsid w:val="002804CF"/>
    <w:rsid w:val="002818F6"/>
    <w:rsid w:val="00282A08"/>
    <w:rsid w:val="002900C5"/>
    <w:rsid w:val="00293CA6"/>
    <w:rsid w:val="0029482B"/>
    <w:rsid w:val="00294BA7"/>
    <w:rsid w:val="00295B2B"/>
    <w:rsid w:val="002964C1"/>
    <w:rsid w:val="002A05D9"/>
    <w:rsid w:val="002A0706"/>
    <w:rsid w:val="002A0C5D"/>
    <w:rsid w:val="002A3B76"/>
    <w:rsid w:val="002A48B8"/>
    <w:rsid w:val="002A59D9"/>
    <w:rsid w:val="002A5A11"/>
    <w:rsid w:val="002A67D5"/>
    <w:rsid w:val="002B2610"/>
    <w:rsid w:val="002C03AF"/>
    <w:rsid w:val="002C5843"/>
    <w:rsid w:val="002C5E6A"/>
    <w:rsid w:val="002C7F10"/>
    <w:rsid w:val="002D083C"/>
    <w:rsid w:val="002D1428"/>
    <w:rsid w:val="002D2176"/>
    <w:rsid w:val="002E537C"/>
    <w:rsid w:val="002E57D4"/>
    <w:rsid w:val="002E5E3F"/>
    <w:rsid w:val="002E6ADF"/>
    <w:rsid w:val="002F0752"/>
    <w:rsid w:val="002F595E"/>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6856"/>
    <w:rsid w:val="00351063"/>
    <w:rsid w:val="00353C19"/>
    <w:rsid w:val="003640F0"/>
    <w:rsid w:val="0037191E"/>
    <w:rsid w:val="0037651B"/>
    <w:rsid w:val="00377A96"/>
    <w:rsid w:val="00377FE2"/>
    <w:rsid w:val="00384B8B"/>
    <w:rsid w:val="00387130"/>
    <w:rsid w:val="00387162"/>
    <w:rsid w:val="00395655"/>
    <w:rsid w:val="003A060F"/>
    <w:rsid w:val="003B0380"/>
    <w:rsid w:val="003C1F1E"/>
    <w:rsid w:val="003C563D"/>
    <w:rsid w:val="003C5C7B"/>
    <w:rsid w:val="003D60B6"/>
    <w:rsid w:val="003D6231"/>
    <w:rsid w:val="003E361D"/>
    <w:rsid w:val="003E6A62"/>
    <w:rsid w:val="003F2026"/>
    <w:rsid w:val="003F3728"/>
    <w:rsid w:val="003F7612"/>
    <w:rsid w:val="003F7CD4"/>
    <w:rsid w:val="00401D5B"/>
    <w:rsid w:val="00407013"/>
    <w:rsid w:val="00407815"/>
    <w:rsid w:val="00414F26"/>
    <w:rsid w:val="00415D7B"/>
    <w:rsid w:val="00417315"/>
    <w:rsid w:val="00420A7D"/>
    <w:rsid w:val="00420F8B"/>
    <w:rsid w:val="004224CD"/>
    <w:rsid w:val="0042418B"/>
    <w:rsid w:val="0042440B"/>
    <w:rsid w:val="00430245"/>
    <w:rsid w:val="00430323"/>
    <w:rsid w:val="004361F2"/>
    <w:rsid w:val="004367B5"/>
    <w:rsid w:val="004376C2"/>
    <w:rsid w:val="004427B2"/>
    <w:rsid w:val="00442824"/>
    <w:rsid w:val="004444E8"/>
    <w:rsid w:val="00446EC1"/>
    <w:rsid w:val="00450BCC"/>
    <w:rsid w:val="00451362"/>
    <w:rsid w:val="0045180F"/>
    <w:rsid w:val="00452217"/>
    <w:rsid w:val="00453C28"/>
    <w:rsid w:val="00453E85"/>
    <w:rsid w:val="00455D0B"/>
    <w:rsid w:val="004568F8"/>
    <w:rsid w:val="0046221D"/>
    <w:rsid w:val="0046759A"/>
    <w:rsid w:val="00467C52"/>
    <w:rsid w:val="0047261C"/>
    <w:rsid w:val="0047484F"/>
    <w:rsid w:val="00480158"/>
    <w:rsid w:val="00485398"/>
    <w:rsid w:val="00487E51"/>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1A8"/>
    <w:rsid w:val="004C0AEC"/>
    <w:rsid w:val="004C1080"/>
    <w:rsid w:val="004C420B"/>
    <w:rsid w:val="004D24E9"/>
    <w:rsid w:val="004D3191"/>
    <w:rsid w:val="004D3792"/>
    <w:rsid w:val="004D5E3A"/>
    <w:rsid w:val="004E0260"/>
    <w:rsid w:val="004E4897"/>
    <w:rsid w:val="004E6D10"/>
    <w:rsid w:val="004F17EA"/>
    <w:rsid w:val="004F1E18"/>
    <w:rsid w:val="004F2B1B"/>
    <w:rsid w:val="004F4B94"/>
    <w:rsid w:val="004F70FF"/>
    <w:rsid w:val="004F7953"/>
    <w:rsid w:val="0050084D"/>
    <w:rsid w:val="00500971"/>
    <w:rsid w:val="00501E0F"/>
    <w:rsid w:val="00501E65"/>
    <w:rsid w:val="0050754B"/>
    <w:rsid w:val="00507B53"/>
    <w:rsid w:val="005121ED"/>
    <w:rsid w:val="005130D6"/>
    <w:rsid w:val="00514AC6"/>
    <w:rsid w:val="00517A62"/>
    <w:rsid w:val="00520109"/>
    <w:rsid w:val="00520903"/>
    <w:rsid w:val="00522F35"/>
    <w:rsid w:val="00522F73"/>
    <w:rsid w:val="0052467D"/>
    <w:rsid w:val="00524AA8"/>
    <w:rsid w:val="005260B9"/>
    <w:rsid w:val="0053103C"/>
    <w:rsid w:val="005310FA"/>
    <w:rsid w:val="00532E4B"/>
    <w:rsid w:val="00534E66"/>
    <w:rsid w:val="00540C53"/>
    <w:rsid w:val="00541C72"/>
    <w:rsid w:val="005424B9"/>
    <w:rsid w:val="00543E05"/>
    <w:rsid w:val="005462B1"/>
    <w:rsid w:val="00547E36"/>
    <w:rsid w:val="00551043"/>
    <w:rsid w:val="005531AA"/>
    <w:rsid w:val="00554B28"/>
    <w:rsid w:val="00554CC1"/>
    <w:rsid w:val="00563FA3"/>
    <w:rsid w:val="005644C8"/>
    <w:rsid w:val="00564E98"/>
    <w:rsid w:val="00574D7A"/>
    <w:rsid w:val="005808D9"/>
    <w:rsid w:val="00583A7E"/>
    <w:rsid w:val="005913D0"/>
    <w:rsid w:val="00597D5D"/>
    <w:rsid w:val="005A0BE7"/>
    <w:rsid w:val="005A1FB6"/>
    <w:rsid w:val="005A338B"/>
    <w:rsid w:val="005A5DAE"/>
    <w:rsid w:val="005A6C42"/>
    <w:rsid w:val="005A7C80"/>
    <w:rsid w:val="005B435E"/>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634"/>
    <w:rsid w:val="005F0C39"/>
    <w:rsid w:val="005F421E"/>
    <w:rsid w:val="005F5564"/>
    <w:rsid w:val="005F7D1E"/>
    <w:rsid w:val="0060094C"/>
    <w:rsid w:val="00600B63"/>
    <w:rsid w:val="0060380A"/>
    <w:rsid w:val="006040E1"/>
    <w:rsid w:val="00604A61"/>
    <w:rsid w:val="00610231"/>
    <w:rsid w:val="00617D55"/>
    <w:rsid w:val="006240D8"/>
    <w:rsid w:val="00626132"/>
    <w:rsid w:val="00634DDD"/>
    <w:rsid w:val="006361E3"/>
    <w:rsid w:val="0063730A"/>
    <w:rsid w:val="00637A5C"/>
    <w:rsid w:val="00642470"/>
    <w:rsid w:val="00642D90"/>
    <w:rsid w:val="00643ECF"/>
    <w:rsid w:val="00644C7A"/>
    <w:rsid w:val="00645DFC"/>
    <w:rsid w:val="006519CD"/>
    <w:rsid w:val="00656642"/>
    <w:rsid w:val="006569B9"/>
    <w:rsid w:val="006645E4"/>
    <w:rsid w:val="00670256"/>
    <w:rsid w:val="006712A6"/>
    <w:rsid w:val="00671E4E"/>
    <w:rsid w:val="0067456E"/>
    <w:rsid w:val="00675133"/>
    <w:rsid w:val="006766C2"/>
    <w:rsid w:val="006802C1"/>
    <w:rsid w:val="00682FF4"/>
    <w:rsid w:val="00685979"/>
    <w:rsid w:val="00685A43"/>
    <w:rsid w:val="00690FE6"/>
    <w:rsid w:val="00691BD4"/>
    <w:rsid w:val="00694141"/>
    <w:rsid w:val="0069425D"/>
    <w:rsid w:val="00697863"/>
    <w:rsid w:val="006A0602"/>
    <w:rsid w:val="006A512F"/>
    <w:rsid w:val="006A558A"/>
    <w:rsid w:val="006B4070"/>
    <w:rsid w:val="006D1F20"/>
    <w:rsid w:val="006D4254"/>
    <w:rsid w:val="006D5B7E"/>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707A8E"/>
    <w:rsid w:val="0071354E"/>
    <w:rsid w:val="007160B3"/>
    <w:rsid w:val="00716B72"/>
    <w:rsid w:val="00720625"/>
    <w:rsid w:val="0072098B"/>
    <w:rsid w:val="00723D89"/>
    <w:rsid w:val="00731B88"/>
    <w:rsid w:val="00732DEB"/>
    <w:rsid w:val="007362EB"/>
    <w:rsid w:val="00736C03"/>
    <w:rsid w:val="00737BC4"/>
    <w:rsid w:val="00737D3E"/>
    <w:rsid w:val="007400BF"/>
    <w:rsid w:val="007423F8"/>
    <w:rsid w:val="007431DE"/>
    <w:rsid w:val="00745349"/>
    <w:rsid w:val="007516D1"/>
    <w:rsid w:val="0075213E"/>
    <w:rsid w:val="00756290"/>
    <w:rsid w:val="00756A19"/>
    <w:rsid w:val="007600DD"/>
    <w:rsid w:val="00760470"/>
    <w:rsid w:val="0076108C"/>
    <w:rsid w:val="00761B5E"/>
    <w:rsid w:val="0076408A"/>
    <w:rsid w:val="00774BE7"/>
    <w:rsid w:val="00777754"/>
    <w:rsid w:val="00781306"/>
    <w:rsid w:val="007836C8"/>
    <w:rsid w:val="007934F1"/>
    <w:rsid w:val="00794229"/>
    <w:rsid w:val="007966CE"/>
    <w:rsid w:val="007B1141"/>
    <w:rsid w:val="007B1397"/>
    <w:rsid w:val="007B24F7"/>
    <w:rsid w:val="007B3D33"/>
    <w:rsid w:val="007B7F6A"/>
    <w:rsid w:val="007C6C8E"/>
    <w:rsid w:val="007D3694"/>
    <w:rsid w:val="007D6B06"/>
    <w:rsid w:val="007E249E"/>
    <w:rsid w:val="007E30E7"/>
    <w:rsid w:val="007E633B"/>
    <w:rsid w:val="007E6AD6"/>
    <w:rsid w:val="007F135A"/>
    <w:rsid w:val="007F3A54"/>
    <w:rsid w:val="00801C67"/>
    <w:rsid w:val="0080232E"/>
    <w:rsid w:val="00812789"/>
    <w:rsid w:val="00816B5F"/>
    <w:rsid w:val="00826F86"/>
    <w:rsid w:val="00831124"/>
    <w:rsid w:val="00831D3C"/>
    <w:rsid w:val="00831E9A"/>
    <w:rsid w:val="00833124"/>
    <w:rsid w:val="00842C8D"/>
    <w:rsid w:val="00842E61"/>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66A8A"/>
    <w:rsid w:val="0086769D"/>
    <w:rsid w:val="00872A86"/>
    <w:rsid w:val="00874481"/>
    <w:rsid w:val="00874D03"/>
    <w:rsid w:val="00875D88"/>
    <w:rsid w:val="00880637"/>
    <w:rsid w:val="00881967"/>
    <w:rsid w:val="0089123B"/>
    <w:rsid w:val="00891BE7"/>
    <w:rsid w:val="00894946"/>
    <w:rsid w:val="008A00BC"/>
    <w:rsid w:val="008A0BCD"/>
    <w:rsid w:val="008A1687"/>
    <w:rsid w:val="008A2DF5"/>
    <w:rsid w:val="008A52D8"/>
    <w:rsid w:val="008A5E27"/>
    <w:rsid w:val="008A6C08"/>
    <w:rsid w:val="008A721D"/>
    <w:rsid w:val="008C0503"/>
    <w:rsid w:val="008C4A55"/>
    <w:rsid w:val="008C5E5E"/>
    <w:rsid w:val="008D08F5"/>
    <w:rsid w:val="008D2350"/>
    <w:rsid w:val="008D49C8"/>
    <w:rsid w:val="008D56D6"/>
    <w:rsid w:val="008D579B"/>
    <w:rsid w:val="008D583E"/>
    <w:rsid w:val="008D64AA"/>
    <w:rsid w:val="008D7657"/>
    <w:rsid w:val="008E1CC8"/>
    <w:rsid w:val="008E24D8"/>
    <w:rsid w:val="008E3AC0"/>
    <w:rsid w:val="008E6946"/>
    <w:rsid w:val="008E7705"/>
    <w:rsid w:val="008E77F4"/>
    <w:rsid w:val="008E7AF3"/>
    <w:rsid w:val="008E7E4D"/>
    <w:rsid w:val="008F35DB"/>
    <w:rsid w:val="008F4969"/>
    <w:rsid w:val="008F6393"/>
    <w:rsid w:val="008F68A0"/>
    <w:rsid w:val="0090393F"/>
    <w:rsid w:val="00905EB8"/>
    <w:rsid w:val="00905F3A"/>
    <w:rsid w:val="0090782D"/>
    <w:rsid w:val="009141DB"/>
    <w:rsid w:val="0091523F"/>
    <w:rsid w:val="0091558A"/>
    <w:rsid w:val="00917058"/>
    <w:rsid w:val="00924F7D"/>
    <w:rsid w:val="009312BE"/>
    <w:rsid w:val="00933A0B"/>
    <w:rsid w:val="0094247E"/>
    <w:rsid w:val="0094334A"/>
    <w:rsid w:val="00943E2F"/>
    <w:rsid w:val="00952D0A"/>
    <w:rsid w:val="0095371E"/>
    <w:rsid w:val="00953FD7"/>
    <w:rsid w:val="00954732"/>
    <w:rsid w:val="009551F9"/>
    <w:rsid w:val="00963AE2"/>
    <w:rsid w:val="00972F4C"/>
    <w:rsid w:val="00975F5E"/>
    <w:rsid w:val="00977612"/>
    <w:rsid w:val="009827FE"/>
    <w:rsid w:val="00983B09"/>
    <w:rsid w:val="00990860"/>
    <w:rsid w:val="00990FC4"/>
    <w:rsid w:val="0099513B"/>
    <w:rsid w:val="009965C8"/>
    <w:rsid w:val="00996B48"/>
    <w:rsid w:val="009A027A"/>
    <w:rsid w:val="009A19C4"/>
    <w:rsid w:val="009A4C23"/>
    <w:rsid w:val="009B07AB"/>
    <w:rsid w:val="009B1744"/>
    <w:rsid w:val="009B1EE9"/>
    <w:rsid w:val="009B3DAC"/>
    <w:rsid w:val="009B568A"/>
    <w:rsid w:val="009C2A16"/>
    <w:rsid w:val="009D0944"/>
    <w:rsid w:val="009D120C"/>
    <w:rsid w:val="009D6D2E"/>
    <w:rsid w:val="009D753B"/>
    <w:rsid w:val="009E0CEB"/>
    <w:rsid w:val="009E6C5E"/>
    <w:rsid w:val="009E7717"/>
    <w:rsid w:val="009E7FF1"/>
    <w:rsid w:val="00A02072"/>
    <w:rsid w:val="00A11D46"/>
    <w:rsid w:val="00A154F9"/>
    <w:rsid w:val="00A163D9"/>
    <w:rsid w:val="00A23452"/>
    <w:rsid w:val="00A26499"/>
    <w:rsid w:val="00A27F81"/>
    <w:rsid w:val="00A30636"/>
    <w:rsid w:val="00A31338"/>
    <w:rsid w:val="00A32258"/>
    <w:rsid w:val="00A3356F"/>
    <w:rsid w:val="00A3568B"/>
    <w:rsid w:val="00A377AE"/>
    <w:rsid w:val="00A448A1"/>
    <w:rsid w:val="00A4509D"/>
    <w:rsid w:val="00A4734B"/>
    <w:rsid w:val="00A50CD4"/>
    <w:rsid w:val="00A53401"/>
    <w:rsid w:val="00A53909"/>
    <w:rsid w:val="00A55A4B"/>
    <w:rsid w:val="00A56594"/>
    <w:rsid w:val="00A57A10"/>
    <w:rsid w:val="00A57F06"/>
    <w:rsid w:val="00A600FC"/>
    <w:rsid w:val="00A606F7"/>
    <w:rsid w:val="00A60884"/>
    <w:rsid w:val="00A610CB"/>
    <w:rsid w:val="00A61F5F"/>
    <w:rsid w:val="00A643D6"/>
    <w:rsid w:val="00A64DC1"/>
    <w:rsid w:val="00A6623B"/>
    <w:rsid w:val="00A7058C"/>
    <w:rsid w:val="00A70B39"/>
    <w:rsid w:val="00A754E7"/>
    <w:rsid w:val="00A85598"/>
    <w:rsid w:val="00A856B0"/>
    <w:rsid w:val="00A8607A"/>
    <w:rsid w:val="00A87257"/>
    <w:rsid w:val="00A90530"/>
    <w:rsid w:val="00A917A9"/>
    <w:rsid w:val="00A919EA"/>
    <w:rsid w:val="00A91C28"/>
    <w:rsid w:val="00A93F7F"/>
    <w:rsid w:val="00A94B87"/>
    <w:rsid w:val="00A9750F"/>
    <w:rsid w:val="00AA1F62"/>
    <w:rsid w:val="00AA599A"/>
    <w:rsid w:val="00AB2DFD"/>
    <w:rsid w:val="00AB5812"/>
    <w:rsid w:val="00AB7845"/>
    <w:rsid w:val="00AC0787"/>
    <w:rsid w:val="00AC135D"/>
    <w:rsid w:val="00AC2072"/>
    <w:rsid w:val="00AC7A6E"/>
    <w:rsid w:val="00AD265E"/>
    <w:rsid w:val="00AD3F9D"/>
    <w:rsid w:val="00AD4746"/>
    <w:rsid w:val="00AD5010"/>
    <w:rsid w:val="00AD65EA"/>
    <w:rsid w:val="00AE20C4"/>
    <w:rsid w:val="00AE2731"/>
    <w:rsid w:val="00AE4C05"/>
    <w:rsid w:val="00AE6BE8"/>
    <w:rsid w:val="00AE6FA9"/>
    <w:rsid w:val="00AF04B0"/>
    <w:rsid w:val="00AF0BD4"/>
    <w:rsid w:val="00AF2498"/>
    <w:rsid w:val="00B01A28"/>
    <w:rsid w:val="00B04F84"/>
    <w:rsid w:val="00B0691A"/>
    <w:rsid w:val="00B131A8"/>
    <w:rsid w:val="00B1358E"/>
    <w:rsid w:val="00B17C41"/>
    <w:rsid w:val="00B17FDB"/>
    <w:rsid w:val="00B24B51"/>
    <w:rsid w:val="00B31B92"/>
    <w:rsid w:val="00B320D9"/>
    <w:rsid w:val="00B321D4"/>
    <w:rsid w:val="00B330B9"/>
    <w:rsid w:val="00B3495F"/>
    <w:rsid w:val="00B34AF6"/>
    <w:rsid w:val="00B34CBF"/>
    <w:rsid w:val="00B40DAD"/>
    <w:rsid w:val="00B40FC3"/>
    <w:rsid w:val="00B42361"/>
    <w:rsid w:val="00B429D4"/>
    <w:rsid w:val="00B458D2"/>
    <w:rsid w:val="00B5191C"/>
    <w:rsid w:val="00B5751A"/>
    <w:rsid w:val="00B5758A"/>
    <w:rsid w:val="00B6355E"/>
    <w:rsid w:val="00B65B84"/>
    <w:rsid w:val="00B7272A"/>
    <w:rsid w:val="00B73133"/>
    <w:rsid w:val="00B74629"/>
    <w:rsid w:val="00B75F90"/>
    <w:rsid w:val="00B8036D"/>
    <w:rsid w:val="00B84A5C"/>
    <w:rsid w:val="00B8586A"/>
    <w:rsid w:val="00B87124"/>
    <w:rsid w:val="00B908CF"/>
    <w:rsid w:val="00B948D2"/>
    <w:rsid w:val="00BA478A"/>
    <w:rsid w:val="00BA66F5"/>
    <w:rsid w:val="00BA726F"/>
    <w:rsid w:val="00BC796A"/>
    <w:rsid w:val="00BD0FA0"/>
    <w:rsid w:val="00BD2B98"/>
    <w:rsid w:val="00BD63BB"/>
    <w:rsid w:val="00BD7BD3"/>
    <w:rsid w:val="00BE0D0E"/>
    <w:rsid w:val="00BE395D"/>
    <w:rsid w:val="00BE482D"/>
    <w:rsid w:val="00BE6BFB"/>
    <w:rsid w:val="00BF0159"/>
    <w:rsid w:val="00C03495"/>
    <w:rsid w:val="00C1385A"/>
    <w:rsid w:val="00C20CDA"/>
    <w:rsid w:val="00C2421A"/>
    <w:rsid w:val="00C27D33"/>
    <w:rsid w:val="00C3090A"/>
    <w:rsid w:val="00C31286"/>
    <w:rsid w:val="00C31357"/>
    <w:rsid w:val="00C31A5B"/>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278E"/>
    <w:rsid w:val="00C538D8"/>
    <w:rsid w:val="00C550EA"/>
    <w:rsid w:val="00C6141D"/>
    <w:rsid w:val="00C63AA7"/>
    <w:rsid w:val="00C718DA"/>
    <w:rsid w:val="00C73873"/>
    <w:rsid w:val="00C75FCC"/>
    <w:rsid w:val="00C85BA6"/>
    <w:rsid w:val="00C86431"/>
    <w:rsid w:val="00C9316D"/>
    <w:rsid w:val="00C975B4"/>
    <w:rsid w:val="00C97FB9"/>
    <w:rsid w:val="00CA155E"/>
    <w:rsid w:val="00CA2E10"/>
    <w:rsid w:val="00CA613D"/>
    <w:rsid w:val="00CA7999"/>
    <w:rsid w:val="00CB4E0C"/>
    <w:rsid w:val="00CB6814"/>
    <w:rsid w:val="00CD056E"/>
    <w:rsid w:val="00CD0F5D"/>
    <w:rsid w:val="00CD1405"/>
    <w:rsid w:val="00CE2A7F"/>
    <w:rsid w:val="00CE3610"/>
    <w:rsid w:val="00CF24CD"/>
    <w:rsid w:val="00CF5221"/>
    <w:rsid w:val="00CF5822"/>
    <w:rsid w:val="00CF5A9B"/>
    <w:rsid w:val="00CF61A2"/>
    <w:rsid w:val="00CF6672"/>
    <w:rsid w:val="00D01F1B"/>
    <w:rsid w:val="00D03A5F"/>
    <w:rsid w:val="00D05E4D"/>
    <w:rsid w:val="00D11E74"/>
    <w:rsid w:val="00D11FEB"/>
    <w:rsid w:val="00D144A4"/>
    <w:rsid w:val="00D22435"/>
    <w:rsid w:val="00D23711"/>
    <w:rsid w:val="00D25823"/>
    <w:rsid w:val="00D2649F"/>
    <w:rsid w:val="00D2742F"/>
    <w:rsid w:val="00D34BB4"/>
    <w:rsid w:val="00D367F7"/>
    <w:rsid w:val="00D36CA4"/>
    <w:rsid w:val="00D37896"/>
    <w:rsid w:val="00D41A30"/>
    <w:rsid w:val="00D4397A"/>
    <w:rsid w:val="00D469E3"/>
    <w:rsid w:val="00D514BC"/>
    <w:rsid w:val="00D519E8"/>
    <w:rsid w:val="00D51F30"/>
    <w:rsid w:val="00D532DC"/>
    <w:rsid w:val="00D55085"/>
    <w:rsid w:val="00D62680"/>
    <w:rsid w:val="00D63557"/>
    <w:rsid w:val="00D67F18"/>
    <w:rsid w:val="00D71C75"/>
    <w:rsid w:val="00D76AAD"/>
    <w:rsid w:val="00D76DCC"/>
    <w:rsid w:val="00D8041B"/>
    <w:rsid w:val="00D805DE"/>
    <w:rsid w:val="00D80F2E"/>
    <w:rsid w:val="00D82A70"/>
    <w:rsid w:val="00D83702"/>
    <w:rsid w:val="00D838C4"/>
    <w:rsid w:val="00D96DF5"/>
    <w:rsid w:val="00DA0F8B"/>
    <w:rsid w:val="00DA1AA7"/>
    <w:rsid w:val="00DA4C8E"/>
    <w:rsid w:val="00DB5EFB"/>
    <w:rsid w:val="00DB75E1"/>
    <w:rsid w:val="00DC60E2"/>
    <w:rsid w:val="00DD0465"/>
    <w:rsid w:val="00DD139E"/>
    <w:rsid w:val="00DD4DA6"/>
    <w:rsid w:val="00DD7AA4"/>
    <w:rsid w:val="00DE1C7B"/>
    <w:rsid w:val="00DE370C"/>
    <w:rsid w:val="00DE48BE"/>
    <w:rsid w:val="00DE5489"/>
    <w:rsid w:val="00DF0601"/>
    <w:rsid w:val="00DF4AC7"/>
    <w:rsid w:val="00DF568A"/>
    <w:rsid w:val="00DF5EF4"/>
    <w:rsid w:val="00E00230"/>
    <w:rsid w:val="00E00442"/>
    <w:rsid w:val="00E009B2"/>
    <w:rsid w:val="00E015B8"/>
    <w:rsid w:val="00E01D0E"/>
    <w:rsid w:val="00E02445"/>
    <w:rsid w:val="00E047E9"/>
    <w:rsid w:val="00E0521D"/>
    <w:rsid w:val="00E074E3"/>
    <w:rsid w:val="00E13B7B"/>
    <w:rsid w:val="00E158DF"/>
    <w:rsid w:val="00E21AF2"/>
    <w:rsid w:val="00E2203D"/>
    <w:rsid w:val="00E220AD"/>
    <w:rsid w:val="00E222BB"/>
    <w:rsid w:val="00E26258"/>
    <w:rsid w:val="00E2769A"/>
    <w:rsid w:val="00E27FFC"/>
    <w:rsid w:val="00E352D8"/>
    <w:rsid w:val="00E36D56"/>
    <w:rsid w:val="00E377AA"/>
    <w:rsid w:val="00E41613"/>
    <w:rsid w:val="00E41BB3"/>
    <w:rsid w:val="00E52B88"/>
    <w:rsid w:val="00E53B43"/>
    <w:rsid w:val="00E54558"/>
    <w:rsid w:val="00E55296"/>
    <w:rsid w:val="00E5708A"/>
    <w:rsid w:val="00E60EC2"/>
    <w:rsid w:val="00E61E3D"/>
    <w:rsid w:val="00E61F16"/>
    <w:rsid w:val="00E63C4D"/>
    <w:rsid w:val="00E67755"/>
    <w:rsid w:val="00E72CDA"/>
    <w:rsid w:val="00E73446"/>
    <w:rsid w:val="00E76BD1"/>
    <w:rsid w:val="00E77299"/>
    <w:rsid w:val="00E7793E"/>
    <w:rsid w:val="00E7794B"/>
    <w:rsid w:val="00E804F0"/>
    <w:rsid w:val="00E8474D"/>
    <w:rsid w:val="00E84CEA"/>
    <w:rsid w:val="00E87046"/>
    <w:rsid w:val="00E95144"/>
    <w:rsid w:val="00E9569E"/>
    <w:rsid w:val="00E959BD"/>
    <w:rsid w:val="00E96851"/>
    <w:rsid w:val="00EA151B"/>
    <w:rsid w:val="00EA28DD"/>
    <w:rsid w:val="00EA3777"/>
    <w:rsid w:val="00EA39BD"/>
    <w:rsid w:val="00EA759A"/>
    <w:rsid w:val="00EA7FE4"/>
    <w:rsid w:val="00EB06DD"/>
    <w:rsid w:val="00EB11E2"/>
    <w:rsid w:val="00EB648A"/>
    <w:rsid w:val="00EB6C95"/>
    <w:rsid w:val="00EB6E90"/>
    <w:rsid w:val="00EB71B3"/>
    <w:rsid w:val="00EC103F"/>
    <w:rsid w:val="00EC2608"/>
    <w:rsid w:val="00EC2DD4"/>
    <w:rsid w:val="00EC5DBC"/>
    <w:rsid w:val="00ED364A"/>
    <w:rsid w:val="00ED7690"/>
    <w:rsid w:val="00EE137A"/>
    <w:rsid w:val="00EE22E1"/>
    <w:rsid w:val="00EF21BC"/>
    <w:rsid w:val="00EF2931"/>
    <w:rsid w:val="00EF3B04"/>
    <w:rsid w:val="00EF4920"/>
    <w:rsid w:val="00EF72B0"/>
    <w:rsid w:val="00F0092E"/>
    <w:rsid w:val="00F00C40"/>
    <w:rsid w:val="00F00CD5"/>
    <w:rsid w:val="00F03EE5"/>
    <w:rsid w:val="00F04A79"/>
    <w:rsid w:val="00F06310"/>
    <w:rsid w:val="00F12F9E"/>
    <w:rsid w:val="00F14607"/>
    <w:rsid w:val="00F15297"/>
    <w:rsid w:val="00F23427"/>
    <w:rsid w:val="00F2644F"/>
    <w:rsid w:val="00F30240"/>
    <w:rsid w:val="00F34578"/>
    <w:rsid w:val="00F37E2C"/>
    <w:rsid w:val="00F43176"/>
    <w:rsid w:val="00F44CFD"/>
    <w:rsid w:val="00F456C2"/>
    <w:rsid w:val="00F51B36"/>
    <w:rsid w:val="00F521F4"/>
    <w:rsid w:val="00F54AC6"/>
    <w:rsid w:val="00F61E91"/>
    <w:rsid w:val="00F646B5"/>
    <w:rsid w:val="00F71ABD"/>
    <w:rsid w:val="00F7694A"/>
    <w:rsid w:val="00F80CD3"/>
    <w:rsid w:val="00F80FDF"/>
    <w:rsid w:val="00F84100"/>
    <w:rsid w:val="00F86DF8"/>
    <w:rsid w:val="00F8787B"/>
    <w:rsid w:val="00F87E94"/>
    <w:rsid w:val="00F92145"/>
    <w:rsid w:val="00F93CB3"/>
    <w:rsid w:val="00F94C2A"/>
    <w:rsid w:val="00F96E87"/>
    <w:rsid w:val="00F97925"/>
    <w:rsid w:val="00F97DD0"/>
    <w:rsid w:val="00FA26A0"/>
    <w:rsid w:val="00FA2D8D"/>
    <w:rsid w:val="00FA3B4C"/>
    <w:rsid w:val="00FB0D80"/>
    <w:rsid w:val="00FB1992"/>
    <w:rsid w:val="00FB4BB4"/>
    <w:rsid w:val="00FB55BD"/>
    <w:rsid w:val="00FC3975"/>
    <w:rsid w:val="00FD0C75"/>
    <w:rsid w:val="00FD2E83"/>
    <w:rsid w:val="00FD6185"/>
    <w:rsid w:val="00FD6F7C"/>
    <w:rsid w:val="00FE05A8"/>
    <w:rsid w:val="00FE49AA"/>
    <w:rsid w:val="00FE6EF7"/>
    <w:rsid w:val="00FF2D34"/>
    <w:rsid w:val="00FF32AE"/>
    <w:rsid w:val="00FF4113"/>
    <w:rsid w:val="00FF43DB"/>
    <w:rsid w:val="00FF4A2C"/>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4F1E18"/>
    <w:rPr>
      <w:sz w:val="24"/>
      <w:szCs w:val="24"/>
    </w:rPr>
  </w:style>
  <w:style w:type="paragraph" w:styleId="ListParagraph">
    <w:name w:val="List Paragraph"/>
    <w:basedOn w:val="Normal"/>
    <w:uiPriority w:val="34"/>
    <w:qFormat/>
    <w:rsid w:val="00522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4F1E18"/>
    <w:rPr>
      <w:sz w:val="24"/>
      <w:szCs w:val="24"/>
    </w:rPr>
  </w:style>
  <w:style w:type="paragraph" w:styleId="ListParagraph">
    <w:name w:val="List Paragraph"/>
    <w:basedOn w:val="Normal"/>
    <w:uiPriority w:val="34"/>
    <w:qFormat/>
    <w:rsid w:val="0052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35700474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24673397">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6236426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83B3-A4A8-4CE1-BB29-03417369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2019-09-09T07:44:00Z</dcterms:created>
  <dcterms:modified xsi:type="dcterms:W3CDTF">2019-10-08T06:36:00Z</dcterms:modified>
</cp:coreProperties>
</file>