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68" w:rsidRPr="006F4D7D" w:rsidRDefault="00B90C68" w:rsidP="00B90C6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  <w:r w:rsidRPr="006F4D7D">
        <w:rPr>
          <w:rFonts w:ascii="Times New Roman" w:hAnsi="Times New Roman" w:cs="Times New Roman"/>
          <w:b/>
          <w:caps/>
          <w:sz w:val="28"/>
          <w:szCs w:val="28"/>
        </w:rPr>
        <w:t>Министерство на земеделието, храните и горите</w:t>
      </w:r>
    </w:p>
    <w:p w:rsidR="00B90C68" w:rsidRPr="006F4D7D" w:rsidRDefault="00B90C68" w:rsidP="00B90C68">
      <w:pPr>
        <w:spacing w:line="360" w:lineRule="auto"/>
        <w:ind w:left="284"/>
        <w:jc w:val="right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6F4D7D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Проект</w:t>
      </w:r>
      <w:proofErr w:type="spellEnd"/>
    </w:p>
    <w:p w:rsidR="00047D2B" w:rsidRDefault="00047D2B" w:rsidP="00B9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B90C68" w:rsidRDefault="00B90C68" w:rsidP="00B9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Наредба за изменение и допълнение на Наредба № 23 от 2015 г. за условията и реда за мониторинг на пазара на зърно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C72CB5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(</w:t>
      </w:r>
      <w:proofErr w:type="spellStart"/>
      <w:r w:rsidR="00DD29F6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обн</w:t>
      </w:r>
      <w:proofErr w:type="spellEnd"/>
      <w:r w:rsidR="00C72CB5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., ДВ, бр. 8 от 2016 г.)</w:t>
      </w:r>
      <w:r w:rsidR="00C72CB5"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ab/>
      </w:r>
    </w:p>
    <w:p w:rsidR="00B90C68" w:rsidRDefault="00B90C68" w:rsidP="00B9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C72CB5" w:rsidRPr="00B90C68" w:rsidRDefault="00C72CB5" w:rsidP="00B9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ab/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ab/>
        <w:t>§ 1.</w:t>
      </w:r>
      <w:r w:rsidR="00447831"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 чл. 1 се правят следните изменения и допълнения: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 т. 1: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  <w:t>а) в б. „б“ думите „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местата на съхранение“ се заменят с „местонахождението на обектите за съхранение на зърно“;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б) в б. „в“ думите „и налично“ се заменят с „през текущата година“;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в)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б. </w:t>
      </w:r>
      <w:r w:rsidR="00A42A5A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„г“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думите „произведените количества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за“ се заличават</w:t>
      </w:r>
      <w:r w:rsidR="00A554C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  <w:bookmarkStart w:id="0" w:name="_GoBack"/>
      <w:bookmarkEnd w:id="0"/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г) създава се б. „д“: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„д) количеството преработено зърно;“.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2. Точка 2 се изменя така: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„2. водене и съхранение на публичния електронен регистър за обектите за съхранение на зърно, включващ данни за собствениците или ползвателите, за местонахождението и капацитета на обектите;“.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047D2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т. 3 накрая се добавя „и извършване на мониторинг на пристанищата от които се извършва износ, внос и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вътрешнообщностни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доставки на зърно“.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§ 2.</w:t>
      </w:r>
      <w:r w:rsidR="00B778C4"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 чл. 2 се правят следните изменения и допълнения: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 w:rsidRPr="001A7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ал. 2:</w:t>
      </w:r>
    </w:p>
    <w:p w:rsidR="0051120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  <w:t>а) точка 1 се отменя;</w:t>
      </w:r>
    </w:p>
    <w:p w:rsidR="00447831" w:rsidRPr="00B90C68" w:rsidRDefault="0051120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  <w:t xml:space="preserve">б) </w:t>
      </w:r>
      <w:r w:rsidR="00447831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точка </w:t>
      </w:r>
      <w:r w:rsidR="007E31BF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447831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изменя така:</w:t>
      </w:r>
    </w:p>
    <w:p w:rsidR="00511201" w:rsidRPr="00B90C68" w:rsidRDefault="00447831" w:rsidP="00B90C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  <w:t>„2. води и съхранява публичен електронен регистър за обектите за съхранение на зърно в страната с данни за собствениците или ползвателите, местонахождението и капацитета на обектите и при поискване издава удостоверения за вписаните обекти;“.</w:t>
      </w:r>
      <w:r w:rsidR="007E31BF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</w:p>
    <w:p w:rsidR="007E31BF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в)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3 думите „и за произведеното“  се заменят с „произведено и преработено“;</w:t>
      </w:r>
    </w:p>
    <w:p w:rsidR="007E31BF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г) точка 7 се изменя така:</w:t>
      </w:r>
    </w:p>
    <w:p w:rsidR="007E31BF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„7. обобщава и анализира информацията, постъпила от областните дирекции "Земеделие" и изготвя справки за извършените проверки по чл. 1, т. 3 и за напусналите и влезлите в страната количества зърно;“</w:t>
      </w:r>
    </w:p>
    <w:p w:rsidR="00511201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д) Създават се т. 8 и 9:</w:t>
      </w:r>
    </w:p>
    <w:p w:rsidR="007E31BF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„8. публикува на </w:t>
      </w:r>
      <w:hyperlink r:id="rId8" w:tgtFrame="_blank" w:history="1">
        <w:r w:rsidRPr="00B90C68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интернет страницата</w:t>
        </w:r>
      </w:hyperlink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МЗХГ седмичен обзор за състоянието на зърнените пазари и движението на зърното в страната; месечен оперативен баланс на зърнени и маслодайни култури в страната;</w:t>
      </w:r>
      <w:r w:rsidR="006A3A7E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месечен международен обзор на пазарите на зърнени и маслодайни култури; годишна информация за качеството на добитата реколта от пшеница, ечемик, слънчоглед, царевица и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="00FD3F6B" w:rsidRPr="00B90C68">
        <w:rPr>
          <w:rFonts w:ascii="Times New Roman" w:hAnsi="Times New Roman" w:cs="Times New Roman"/>
          <w:lang w:val="bg-BG"/>
        </w:rPr>
        <w:t xml:space="preserve"> </w:t>
      </w:r>
      <w:r w:rsidR="00FD3F6B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7E31BF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 оказва методическа помощ при изпълнение на дейностите по ал.3 и 4.“.</w:t>
      </w:r>
    </w:p>
    <w:p w:rsidR="007E31BF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ал. 3:</w:t>
      </w:r>
    </w:p>
    <w:p w:rsidR="007E31BF" w:rsidRPr="00B90C68" w:rsidRDefault="007E31BF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а) </w:t>
      </w:r>
      <w:r w:rsidR="00AA7737"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т. 2 </w:t>
      </w:r>
      <w:r w:rsidR="00AA7737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 думите „проверки на“ се добавя „декларираните обстоятелства в“, а думите „вписват ги в бази данни за обектите за съхранение на зърно на територията на областта и издават удостоверения на лицата, които ги стопанисват“ се заличават;</w:t>
      </w:r>
    </w:p>
    <w:p w:rsidR="00AA7737" w:rsidRPr="00B90C68" w:rsidRDefault="00AA7737" w:rsidP="00B90C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точка 4 се изменя така:</w:t>
      </w:r>
    </w:p>
    <w:p w:rsidR="00AA7737" w:rsidRPr="00B90C68" w:rsidRDefault="00AA773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„4. след извършване на проверка по т.2 изпращат по електронен път на специализираната структура по ал. 1, т. 1 копия на декларацията по т.1 и протокола за резултатите от проверката;“;</w:t>
      </w:r>
    </w:p>
    <w:p w:rsidR="007E31BF" w:rsidRPr="00B90C68" w:rsidRDefault="00AA773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в)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5 след думите „декларации от“ се добавя „собствениците или ползвателите на“, а думите „местата на съхранение и“ се заменят с „местонахождението на обектите и за“;</w:t>
      </w:r>
    </w:p>
    <w:p w:rsidR="00AA7737" w:rsidRPr="00B90C68" w:rsidRDefault="00AA773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г) в т. 7 числото „500“ се заменя с „5“;</w:t>
      </w:r>
    </w:p>
    <w:p w:rsidR="00AA7737" w:rsidRPr="00B90C68" w:rsidRDefault="00AA773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д) в т. 8 думите „и за количествата налично“ се заличават;</w:t>
      </w:r>
    </w:p>
    <w:p w:rsidR="00766923" w:rsidRPr="00B90C68" w:rsidRDefault="00AA773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е) </w:t>
      </w:r>
      <w:r w:rsidR="0076692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т. 9 думите „и до 30 ноември от производителите на оризова </w:t>
      </w:r>
      <w:proofErr w:type="spellStart"/>
      <w:r w:rsidR="0076692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="0076692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произведените количества“ се заличават;</w:t>
      </w:r>
    </w:p>
    <w:p w:rsidR="002B5FB0" w:rsidRPr="00B90C68" w:rsidRDefault="0076692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ж) </w:t>
      </w:r>
      <w:r w:rsidR="002B5FB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т. 10 думите „за произведените количества оризова </w:t>
      </w:r>
      <w:proofErr w:type="spellStart"/>
      <w:r w:rsidR="002B5FB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="002B5FB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и“ се заличават;</w:t>
      </w:r>
    </w:p>
    <w:p w:rsidR="00591816" w:rsidRPr="00B90C68" w:rsidRDefault="00591816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з) създават се нови т. 11 и 12:</w:t>
      </w:r>
    </w:p>
    <w:p w:rsidR="00591816" w:rsidRPr="00B90C68" w:rsidRDefault="00591816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„11. приемат тримесечните декларации от предприятията за преработка на зърно за количеството преработено от тях зърно по видове и проверяват дали всички предприятия са подали декларации;</w:t>
      </w:r>
    </w:p>
    <w:p w:rsidR="00591816" w:rsidRPr="00B90C68" w:rsidRDefault="00591816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12. обобщават информацията от декларациите по т. 11 за количествата преработено зърно по видове и я изпращат на специализираната структура по ал. 1, т. 1;“</w:t>
      </w:r>
    </w:p>
    <w:p w:rsidR="00591816" w:rsidRPr="00B90C68" w:rsidRDefault="00591816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и) досегашната т. 11 става т. 13;</w:t>
      </w:r>
    </w:p>
    <w:p w:rsidR="00591816" w:rsidRPr="00B90C68" w:rsidRDefault="00591816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й) досегашната т. 12 става т. 14 и в нея думите „и налично“ се заличават;</w:t>
      </w:r>
    </w:p>
    <w:p w:rsidR="00591816" w:rsidRPr="00B90C68" w:rsidRDefault="00591816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к) досегашната т. 13 става т. 15 и в нея думите „произведените количества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</w:t>
      </w:r>
      <w:r w:rsidR="00DE2F6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 се заличават;</w:t>
      </w:r>
    </w:p>
    <w:p w:rsidR="00661DCF" w:rsidRPr="00B90C68" w:rsidRDefault="00661DC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л) създават</w:t>
      </w:r>
      <w:r w:rsidR="00CE31A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16 и 17:</w:t>
      </w:r>
    </w:p>
    <w:p w:rsidR="00661DCF" w:rsidRPr="00B90C68" w:rsidRDefault="00661DC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„16. извършват проверки на предприятията за преработка на зърно за количество преработено зърно в съответствие с подадените декларации по т. 14, както и на лицата, които не са подали декларации;</w:t>
      </w:r>
    </w:p>
    <w:p w:rsidR="00661DCF" w:rsidRPr="00B90C68" w:rsidRDefault="00661DC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17. извършват мониторинг на пристанищата от които се извършва износ, внос и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вътрешнообщностни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доставки на зърно и изпращат ежеседмично по електронен път събраната информация за направлението, вида и количеството изнесено и внесено зърно по видове на специализираната структура по ал. 1, т. 1;</w:t>
      </w:r>
      <w:r w:rsidR="00E914E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</w:p>
    <w:p w:rsidR="00E914E1" w:rsidRPr="00B90C68" w:rsidRDefault="00E914E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м) досегашната т. 14 става т. 18;</w:t>
      </w:r>
    </w:p>
    <w:p w:rsidR="00E914E1" w:rsidRPr="00B90C68" w:rsidRDefault="00E914E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н) </w:t>
      </w:r>
      <w:r w:rsidR="007C55A5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досегашната т. 15 става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A6B44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т.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19</w:t>
      </w:r>
      <w:r w:rsidR="007C55A5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се изменя така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:rsidR="00E914E1" w:rsidRPr="00B90C68" w:rsidRDefault="00E914E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„19. въз основа на проверките по т. 13, 14, 15 и 16 съставят констативни протоколи и/или актове за установяване на нарушения и издават наказателни постановления.“.</w:t>
      </w:r>
    </w:p>
    <w:p w:rsidR="00E914E1" w:rsidRPr="00B90C68" w:rsidRDefault="00E914E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4, т. 1 думите „т. 14“ се заменят с „т. 18“.</w:t>
      </w:r>
    </w:p>
    <w:p w:rsidR="00E914E1" w:rsidRPr="00B90C68" w:rsidRDefault="00E914E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3.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заглави</w:t>
      </w:r>
      <w:r w:rsidR="00A87C4F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A87C4F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</w:t>
      </w:r>
      <w:r w:rsidR="007C55A5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Глава втора думите „БАЗИ ДАННИ“ се заменят с „РЕГИСТЪРА“.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4.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 чл. 3 се правят следните изменения: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ал. 1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числото „200“ се заменя с „50“.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2 се отменя.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3 се изменя така: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„(3) Декларацията по ал. 1 се подава от физическите или юридическите лица - собственици или ползватели на обектите за съхранение на зърно. Когато обектът за съхранение на зърно е собственост или се ползва от повече от едно физическо или юридическо лице, всички собственици и ползватели подават декларация по ал. 1 за складовете, които са тяхна собственост или ползват.“.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5.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4 ал. 3 се отменя.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6.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 чл. 6 се правят следните изменения и допълнения: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ал. 1 след думата „нея“ се добавя „както и копие на подадената декларация  по чл. 3, ал. 1“, а думите „базата данни“ се заменят с „регистъра“.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Алинея 2 се отменя.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ал. 3 думите „удостоверенията по ал. 2 и“ се заличават, а думите „базата данни“ се заменят с „регистъра“. </w:t>
      </w:r>
    </w:p>
    <w:p w:rsidR="00591816" w:rsidRPr="00B90C68" w:rsidRDefault="00591816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>§ 7.</w:t>
      </w:r>
      <w:r w:rsidRPr="00B9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 чл. 7 се правят следните изменения и допълнения: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ал.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 след думата „обстоятелства“ се добавя „собственика или“.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2 се изменя така: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„(2) Въз основа на уведомителното писмо по ал. 1 директорът на областната дирекция "Земеделие" разпорежда извършване на проверка на място по реда на чл.</w:t>
      </w:r>
      <w:r w:rsidR="00237245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5, когато промяната е свързана с формата на стопанисване, увеличение или намаление капацитета на вместимостите или собствеността на обекта за съхранение на зърно. Резултатите от проверката се отразяват в констативен протокол.“.</w:t>
      </w:r>
    </w:p>
    <w:p w:rsidR="00447831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="00447831"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44783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Алинея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3 </w:t>
      </w:r>
      <w:r w:rsidR="0044783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изменя така:</w:t>
      </w:r>
    </w:p>
    <w:p w:rsidR="00964608" w:rsidRPr="00B90C68" w:rsidRDefault="0044783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„(3) При промяна на ползвателя на вписан в регистъра обект за съхранение на зърно или на включени в него складове новият ползвател подава уведомително писмо в едноседмичен срок. Когато промяната се отнася за складове, включени в обекта, в уведомителното писмо се посочват техните номера.“.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Създават се ал. 4, 5 и 6: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„(4) В тридневен срок от извършване на проверката по ал.</w:t>
      </w:r>
      <w:r w:rsidR="00663036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 или получаване на уведомителното писмо по ал.</w:t>
      </w:r>
      <w:r w:rsidR="00663036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3,  съответната областна дирекция "Земеделие</w:t>
      </w:r>
      <w:r w:rsidR="00663036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изпраща по електронен път на специализираната структура по чл. 2, ал. 1, т. 1 копия на уведомителното писмо и протокола от проверката. Специализираната структура по чл. 2, ал. 1, т. 1 вписва в регистъра промените, след което уведомява съответната областна дирекция "Земеделие" за вписаните обстоятелства.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В случаите, когато не е спазен срока по чл.</w:t>
      </w:r>
      <w:r w:rsidR="00663036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5, ал.1 съответната областна дирекция "Земеделие" по електронен път изпраща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копиe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подадената декларация на специализираната структура по чл. 2, ал. 1, т. 1,</w:t>
      </w:r>
      <w:r w:rsidR="00663036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която вписва обекта за съхранение на зърно в регистъра с данните посочени в декларацията. </w:t>
      </w:r>
    </w:p>
    <w:p w:rsidR="00964608" w:rsidRPr="00B90C68" w:rsidRDefault="00964608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(6) При поискване от собственика или ползвателя, специализираната структура по чл. 2, ал. 1, т. 1 му издава удостоверение, по образец, утвърден от министъра на земеделието, храните и горите, за вписан обект в регистъра на обектите за съхранение на зърно.“.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8. </w:t>
      </w:r>
      <w:r w:rsidRPr="00B90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 чл. 8 се правят следните изменения и допълнения: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1 се изменя така: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„(1) Специализираната структура по чл. 2, ал. 1, т. 1 води и съхранява публичен електронен регистър на обектите за съхранение на зърно в страната.“.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2: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а) </w:t>
      </w:r>
      <w:r w:rsidR="001C3647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текста преди точк</w:t>
      </w:r>
      <w:r w:rsidR="0081293D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1</w:t>
      </w:r>
      <w:r w:rsidR="001C3647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думите „Базата данни“ се заменят с „Регистъра“;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б) </w:t>
      </w:r>
      <w:r w:rsidR="001C3647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точка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 се изменя така: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„2. наименование и правна форма на юридическото лице или трите имена на физическото лице, което е собственик или ползвател на вписания обект.“;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в)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4 думите „и на складовите помещения - населено място и адрес или местност“ се заличават;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г) </w:t>
      </w:r>
      <w:r w:rsidR="001C3647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точка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 се изменя така: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„7. капацитет на отделните складове и общ капацитет на обекта - определени съгласно чл. 5, ал. 5.“.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3 се изменя така: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„(3) Областните дирекции „Земеделие“ водят и съхраняват електронни бази данни за обектите за съхранение на зърно на територията на съответната област, в които се вписват данни за собствениците или ползвателите, местонахождението и капацитета на обектите.“.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4 се изменя така: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„(4) Областните дирекции „Земеделие“ създават и съхраняват електронно досие за всеки обект за съхранение на зърно на територията на съответната област, което съдържа всички постъпили документи от собствениците или ползвателите и документите отразяващи резултатите от проверките свързани с регистрацията.“.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Създава се ал. 5: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„(5) Специализираната структура по чл. 2, ал. 1, т. 1, поддържа на интернет страницата на Министерството на земеделието</w:t>
      </w:r>
      <w:r w:rsidR="00CC68D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храните</w:t>
      </w:r>
      <w:r w:rsidR="00CC68D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горите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достъп до публичния регистър на обектите за съхранение на зърно, с данни за техните собственици или ползватели, местонахождението и капацитета на обектите.“.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9.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Член 9 се изменя така: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„Чл. 9. (1) Вписан обект за съхранение на зърно се заличава от регистъра по чл.8, ал.1, когато собственика на обекта подаде в съответната ОД „Земеделие“ искане на едно от следните основания: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обекта трайно е променил предназначението си;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на обекта са нанесени непоправими повреди, довели до нарушаване на условията за съхранение на зърното.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Въз основа на искането по ал. 1 директорът на областната дирекция "Земеделие" разпорежда извършване на проверка на място. Проверката се извършва в срок до  7 дни след получаване на искането. Резултатите от проверката се отразяват в констативен протокол, в който служителя извършил проверката дава становище в каква степен са на лице основанията по ал.1.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(3) В 3 </w:t>
      </w:r>
      <w:r w:rsidR="001563A6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дневен срок след извършване на проверката по ал. 2, служителя</w:t>
      </w:r>
      <w:r w:rsidR="00AC62CB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извършил проверката изпраща копие на искането и на констативния протокол по електронната поща на специализираната структура по чл. 2, ал. 1, т. 1, която вписва промените в регистъра на обектите за съхранение на зърно.“.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10.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Член 10 се отменя.</w:t>
      </w:r>
    </w:p>
    <w:p w:rsidR="001A7F1D" w:rsidRPr="00B90C68" w:rsidRDefault="001A7F1D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заглавието на Глава трета думите „И ПРОИЗВЕДЕНО“ се заменят с „ПРОИЗВЕДЕНО И ПРЕРАБОТЕНО“.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11 се правят следните изменения:</w:t>
      </w:r>
    </w:p>
    <w:p w:rsidR="00447831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4783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Алинея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</w:t>
      </w:r>
      <w:r w:rsidR="0044783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изменя така:</w:t>
      </w:r>
    </w:p>
    <w:p w:rsidR="00447831" w:rsidRPr="00B90C68" w:rsidRDefault="0044783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„(1) Собствениците или ползвателите на обекти за съхранение на зърно или складове в тях, вписани в регистъра по чл. 8. ал. 1, подават декларация за местонахождението на обектите местата на съхранение и наличното количество зърно в тях съгласно приложение № 2. Декларация се подава за всеки обект за съхранение на зърно или склад.“.</w:t>
      </w:r>
    </w:p>
    <w:p w:rsidR="005F302C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3 се изменя така:</w:t>
      </w:r>
    </w:p>
    <w:p w:rsidR="005F302C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„(3) Декларациите по ал. 1 се подават: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на хартиен носител;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по електронен път, съгласно изискванията на </w:t>
      </w:r>
      <w:hyperlink r:id="rId9" w:history="1">
        <w:r w:rsidRPr="00B90C68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Регламент (ЕС) № 910/2014</w:t>
        </w:r>
      </w:hyperlink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10" w:history="1">
        <w:r w:rsidRPr="00B90C68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Директива 1999/93/ЕО</w:t>
        </w:r>
      </w:hyperlink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(OB, L 257/73 от 28 август 2014 г.) </w:t>
      </w:r>
      <w:r w:rsidR="00526D1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на </w:t>
      </w:r>
      <w:hyperlink r:id="rId11" w:history="1">
        <w:r w:rsidR="00526D13" w:rsidRPr="00B90C68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Закона за електронния документ и електронните удостоверителни услуги</w:t>
        </w:r>
      </w:hyperlink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в единната електронна система.“.</w:t>
      </w:r>
    </w:p>
    <w:p w:rsidR="005F302C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12, ал. 2 думите „базата данни по чл. 9“ се заменят с „регистъра по </w:t>
      </w:r>
      <w:r w:rsidR="00047D2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8“.</w:t>
      </w:r>
    </w:p>
    <w:p w:rsidR="005F302C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14.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13, ал. 1 думите „базата данни по чл. 9“ се заменят с „регистъра по </w:t>
      </w:r>
      <w:r w:rsidR="00047D2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8“.</w:t>
      </w:r>
    </w:p>
    <w:p w:rsidR="005F302C" w:rsidRPr="00B90C68" w:rsidRDefault="005F302C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15.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14 се правят следните изменения: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Алинеи 1 и 2 се изменят така: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„(1) Декларация за количеството произведено и налично зърно от земеделските стопанства съгласно приложение № 3 подават всички земеделски производители, които произвеждат зърно - обикновена пшеница, твърда пшеница, ечемик, ръж, овес,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тритикале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рапица, царевица, слънчоглед и соя на обща площи от 5 или повече декара. Производителите на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подават произведените количества съгласно приложение № 5. Когато лицето произвежда и/или съхранява зърно на територията на повече от една област, подава отделна декларация за зърното, произведено и/или налично във всяка една от тях.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Декларациите по ал. 1 се подават ежегодно от земеделския производител в областната дирекция "Земеделие" по местонахождението на площите за производство за съответната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реколтна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година в срок до: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30 септември за обикновена пшеница, твърда пшеница, ечемик, ръж, овес,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тритикале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рапица;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30 ноември за царевица, слънчоглед, соя и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.“.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Алинеи 3 и 5 се отменят.</w:t>
      </w: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302C" w:rsidRPr="00B90C68" w:rsidRDefault="005F30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16.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E7AB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16, ал. 1 числото „500“ се заменя с „5“.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17.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17 се правят следните изменения и допълнения: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1 се изменя така: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„(1) Оризовите мелници и земеделските производители подават ежегодно до 30 септември в съответната областна дирекция „Земеделие“ по местонахождение на местата за съхранение декларация за запасите от ориз по видове, които са налични към 31 август. Земеделските производители подават декларацията по приложение № 4, а оризовите мелници – декларацията по приложение № 6.“.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2 след думите „подават от“ се добавя „оризовите мелници и“, а думите „на площите за производство и/или“ и думите „по един от начините, посочени в чл. 11, ал. 3“ се заличават.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18.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18 се правят следните изменения и допълнения: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2 се изменя така: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„(2) Когато областната дирекция "Земеделие" установи, че оризови мелници или земеделски производители не са подали декларации по чл. 17, ал. 1, ги уведомява, че в срок до 2 работни дни трябва да подадат декларация.“.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Създават се ал. 3 и 4: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„(3) Когато оризова мелница или производител на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не подаде декларация по чл. 17, ал. 1 в определения срок по ал.</w:t>
      </w:r>
      <w:r w:rsidR="000141DC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директорът на областната дирекция "Земеделие" разпорежда извършването на проверка на място.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Специализираната структура по чл. 2, ал. 1, т. 1 обобщава информацията, постъпила от таблиците по ал. 1 и от таблиците по чл. 15, ал. 2 за произведената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страната, и я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нотифицира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Европейската комисия съгласно Регламент за изпълнение (ЕС) 2017/1185 на Комисията от 20 април 2017 година за определяне на правила за прилагане на регламенти (ЕС) № 1307/2013 и (ЕС) № 1308/2013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(OB L 171, 4.7.2017г.).“.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19.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Член</w:t>
      </w:r>
      <w:r w:rsidR="00C742C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ове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19, 20 и 21 се изменят така: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„Чл. 19. (1) Лицата, които представляват предприятия за преработка на зърно подават декларации за количеството преработено зърно по видове през съответното тримесечие, съгласно приложение № 7. 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Декларацията по ал.1 се подава до 3-то число на месеца следващ съответното тримесечие в Областната дирекция „Земеделие“ по местонахождение на предприятието по един от начините, посочени в чл. 11, ал. 3.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Когато областната дирекция "Земеделие" установи, че предприятия които преработват зърно не са подали декларации по ал. 1, ги уведомява, че в срок до 2 работни дни трябва да подадат декларация.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Когато лицето, което представлява предприятието за преработка на зърно не подаде декларация по ал. 1 в определения по ал. 3 срок, директорът на областната дирекция "Земеделие" разпорежда извършването на проверка на място.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20. (1) Подадената декларация по чл. 19, ал. 1 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Въз основа на получените декларации служителят по ал. 1 попълва таблица, в която вписва данните от подадената от предприятията за преработка на зърно декларация. В последния ред на таблицата се попълват общите количества преработено зърно за областта по видове и се изпращат на специализираната структура по чл. 2, ал. 1, т. 1.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Специализираната структура по чл. 2, ал. 1, т. 1 обобщава информацията, постъпила от таблиците по ал. 2, за страната. 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Чл. 21. Подадените декларации по чл.11, ал.1, чл.14</w:t>
      </w:r>
      <w:r w:rsidR="00D86A2C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 1, чл. 17, ал.1 и чл.19, ал.1 се съхраняват в продължение на </w:t>
      </w:r>
      <w:r w:rsidR="00CE6F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години в съответната областна дирекция "Земеделие".</w:t>
      </w:r>
    </w:p>
    <w:p w:rsidR="00687760" w:rsidRDefault="00687760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20.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заглавието на Глава четвърта съюзът „И“ се заличава, а накрая се добавя „И ИЗВЪРШВАНЕ НА МОНИТОРИНГ НА ПРИСТАНИЩАТА“.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22 се правят следните изменения: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1:</w:t>
      </w:r>
    </w:p>
    <w:p w:rsidR="004E7AB3" w:rsidRPr="00B90C68" w:rsidRDefault="004E7AB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т</w:t>
      </w:r>
      <w:r w:rsidR="001C3647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очка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 се изменя така:</w:t>
      </w:r>
    </w:p>
    <w:p w:rsidR="004E7AB3" w:rsidRPr="00B90C68" w:rsidRDefault="001C364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„1. подаването на декларациите в случаите по чл. 13, ал. 2, чл. 16, ал. 3, чл.18, ал.3 и чл. 19, ал.4;“;</w:t>
      </w:r>
    </w:p>
    <w:p w:rsidR="001C3647" w:rsidRPr="00B90C68" w:rsidRDefault="001C364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в т. 2 думите „чл. 20“ се заменят с „чл. 19“;</w:t>
      </w:r>
    </w:p>
    <w:p w:rsidR="001C3647" w:rsidRPr="00B90C68" w:rsidRDefault="001C364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в)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т. 3 числото „200“ се заменя с „50“.</w:t>
      </w:r>
    </w:p>
    <w:p w:rsidR="001C3647" w:rsidRPr="00B90C68" w:rsidRDefault="001C364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5:</w:t>
      </w:r>
    </w:p>
    <w:p w:rsidR="001C3647" w:rsidRPr="00B90C68" w:rsidRDefault="001C364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в текста преди точк</w:t>
      </w:r>
      <w:r w:rsidR="00C742C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1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думите „и произвеждат“ се заменят с „произвеждат и преработват“, а думите „или ориз“</w:t>
      </w:r>
      <w:r w:rsidR="0078531F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заличават;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точка 3 се изменя така: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„3. достъп до складовите помещения за съхранение и до местата, в които се преработва зърно, както и до площите, на които се произвежда зърното.“.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22.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23 се правят следните допълнения: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1, т. 2 след думата „обекти“ се добавя „предприятия“.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7 се </w:t>
      </w:r>
      <w:r w:rsidR="00C742C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създава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изречение второ: „Резултатите от проверките се отразяват в констативни протоколи, копия от които се предоставят на възложителя на проверката, в срок от 2 работни дни след нейното приключване.“.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24 се правят следните допълнения: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1 след думата „обектите“ се добавя „предприятията“.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2 след думата „лице“ се добавя „собственик или“, а след думата „обекта“ се добавя „управител на предприятието“.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24.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25, ал. 2 думите „</w:t>
      </w:r>
      <w:r w:rsidR="00625CC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базата данни по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9, ал. 1“  се заменят с „</w:t>
      </w:r>
      <w:r w:rsidR="00625CC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регистъра по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чл.8, ал.</w:t>
      </w:r>
      <w:r w:rsidR="00625CC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25.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26 се правят следните изменения: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1 т. 4 се отменя.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2 се отменя.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3 числото „500“ се заменя с „5“.</w:t>
      </w:r>
    </w:p>
    <w:p w:rsidR="00770844" w:rsidRPr="00B90C68" w:rsidRDefault="0077084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26.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27 се правят следните изменения и допълнения: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1: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точки 1 и 2 се отменят;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създава се т. 5: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„5. съпоставят установените резултати от проверката с данните подадени в декларацията.“.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2 думите „и процентът на добив на цели зърна оризова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арпа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 се заличават.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3 се изменя така: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„(3) Когато при проверка по ал. 1 бъде установена над 5% разлика между резултатите от проверката и подадената декларация, служителите по чл. 22, ал. 2 съставят констативни протоколи или актове за установяване на нарушения.“.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27.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28 се правят следните изменения: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1 думите „чл. 20, ал. 1“ се заменят с „чл. 19 ал. 1., като извършват стокова инвентаризация по документи на движението на зърното, съгласно контролен лист за проверка на предприятие за преработка на зърно, утвърден със заповед на министъра на земеделието, храните и горите.“.</w:t>
      </w:r>
    </w:p>
    <w:p w:rsidR="00447831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4783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Алинея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</w:t>
      </w:r>
      <w:r w:rsidR="00447831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изменя така:</w:t>
      </w:r>
    </w:p>
    <w:p w:rsidR="00447831" w:rsidRPr="00B90C68" w:rsidRDefault="00447831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„(2) Когато при извършване на проверка по ал. 1 се установи над 5% разлика между резултатите от проверката и подадената декларация,служителите по чл. 22, ал. 2 съставят констативен протокол или акт за установяване на нарушение.“.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28.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Създава се чл. 28а: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„Чл. 28а. (1) Директорите на областните дирекции "Земеделие" определят със заповед длъжностни лица, които извършват мониторинг на пристанищата, от които се извършват износ, внос и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вътрешнообщностни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доставки на зърно. 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При извършване на мониторинга по ал. 1 длъжностните лица имат право: 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на свободен достъп до всички терминали на морските и речните пристанища за обществен транспорт, на които се обработват зърнени товари за износ и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вътрешнообщностни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доставки съгласно издаденото удостоверение за експлоатационна годност; 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2. да получат информация за направлението, вида и количеството зърно, предмет на износ, внос или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вътрешнообщностна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доставка. 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Длъжностните лица по ал. 1 събират и ежеседмично обработват информацията за напусналите и влезлите в страната количества зърно по видове от терми</w:t>
      </w:r>
      <w:r w:rsidR="00526D1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лите на речните и морски пристанища, обработващи зърнени товари, намиращи се на територията на съответната област. </w:t>
      </w:r>
    </w:p>
    <w:p w:rsidR="004F072C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Въз основа на получената информация по ал. 3 служителят по ал. 1 попълва таблица, в която записва направлението, вида и количеството зърно предмет на износа или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вътрешнообщностната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доставка. В края на всяка седмица  служителят по ал. 1 изпраща попълнената таблица по електронната поща на специализираната структура по чл. 2, ал. 1, т. 1.“.</w:t>
      </w:r>
    </w:p>
    <w:p w:rsidR="0078531F" w:rsidRPr="00B90C68" w:rsidRDefault="0078531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3C492A" w:rsidRPr="00B90C68" w:rsidRDefault="004F072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29.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C492A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29, ал. 1 се правят следните изменения и допълнения:</w:t>
      </w:r>
    </w:p>
    <w:p w:rsidR="003C492A" w:rsidRPr="00B90C68" w:rsidRDefault="003C492A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текста преди точк</w:t>
      </w:r>
      <w:r w:rsidR="00F97282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 1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след думите „чл. 74“  се добавя „ал. 2“.</w:t>
      </w:r>
    </w:p>
    <w:p w:rsidR="003C492A" w:rsidRPr="00B90C68" w:rsidRDefault="003C492A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т. 2 думите „чл. 19, ал. 2 и чл. 21, ал. 2“ се заменят с „чл. 18, ал. 2 и чл. 19, ал. 3“.</w:t>
      </w:r>
    </w:p>
    <w:p w:rsidR="003C492A" w:rsidRPr="00B90C68" w:rsidRDefault="003C492A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т. 3 числото „200“ се заменя с „50“</w:t>
      </w:r>
      <w:r w:rsidR="009F2CA6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 думите „място което“ се заменят с „обект който“.</w:t>
      </w:r>
    </w:p>
    <w:p w:rsidR="00BE235F" w:rsidRPr="00B90C68" w:rsidRDefault="00BE235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т. 4 думите „чл. 20“ се заменят с „чл. 19“.</w:t>
      </w:r>
    </w:p>
    <w:p w:rsidR="00BE235F" w:rsidRPr="00B90C68" w:rsidRDefault="00BE235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BE235F" w:rsidRPr="00B90C68" w:rsidRDefault="00BE235F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30.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30, ал. 2 след думата „сборни“ се добавя „средни“ и накрая се добавя „от минимум 35% от произведените количества за съответната област“. </w:t>
      </w:r>
    </w:p>
    <w:p w:rsidR="00630D94" w:rsidRPr="00B90C68" w:rsidRDefault="00630D9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30D94" w:rsidRPr="00B90C68" w:rsidRDefault="00630D9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31.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чл. 31 се правят следните изменения:</w:t>
      </w:r>
    </w:p>
    <w:p w:rsidR="00630D94" w:rsidRPr="00B90C68" w:rsidRDefault="00630D9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Алинея 1 се изменя така:</w:t>
      </w:r>
    </w:p>
    <w:p w:rsidR="00630D94" w:rsidRPr="00B90C68" w:rsidRDefault="00630D9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„(1) Ежегодно в срок до 30 май специализираната структура по чл. 2, ал. 1, т. 1 изготвя указания за провеждане на представително окачествяване на добитата реколта от културите посочени в чл.30, ал.1 и ги изпраща на БАБХ и на областните дирекции "Земеделие".</w:t>
      </w:r>
    </w:p>
    <w:p w:rsidR="00630D94" w:rsidRPr="00B90C68" w:rsidRDefault="00630D9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2 думата „разпределението“ се заменя с „указанията“, а думите „1 юни“ се заменят с „10 юни“. </w:t>
      </w:r>
    </w:p>
    <w:p w:rsidR="00630D94" w:rsidRPr="00B90C68" w:rsidRDefault="00630D9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B31BF3" w:rsidRPr="00B90C68" w:rsidRDefault="00630D94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32. </w:t>
      </w:r>
      <w:r w:rsidR="00B31BF3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32, ал. 2 думата „указания“ се заменя с „указанията“.</w:t>
      </w:r>
    </w:p>
    <w:p w:rsidR="00B31BF3" w:rsidRPr="00B90C68" w:rsidRDefault="00B31BF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630D94" w:rsidRPr="00B90C68" w:rsidRDefault="00B31BF3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33.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C2389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35 се правят следните изменения и допълнения:</w:t>
      </w:r>
    </w:p>
    <w:p w:rsidR="003C2389" w:rsidRPr="00B90C68" w:rsidRDefault="003C238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55C1C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ал. 1 и ал. 4 думите „чл. 32, ал. 2“ се заменят с „чл. 31, ал. 1“.</w:t>
      </w:r>
    </w:p>
    <w:p w:rsidR="00555C1C" w:rsidRPr="00B90C68" w:rsidRDefault="00555C1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A7F1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2.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ал. 2 се създава изречение второ: „Осреднените резултати за всяка култура се предоставят и на съответната Областна дирекция „Земеделие“.</w:t>
      </w:r>
    </w:p>
    <w:p w:rsidR="006344F7" w:rsidRPr="00B90C68" w:rsidRDefault="006344F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344F7" w:rsidRPr="00B90C68" w:rsidRDefault="006344F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3</w:t>
      </w:r>
      <w:r w:rsidR="00B31BF3"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4</w:t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E7488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§ 1, т. 2 на Допълнителн</w:t>
      </w:r>
      <w:r w:rsidR="00D1435E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ата</w:t>
      </w:r>
      <w:r w:rsidR="00FE7488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разпоредб</w:t>
      </w:r>
      <w:r w:rsidR="00D1435E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="00FE7488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числото „200“ се заменя с „50</w:t>
      </w:r>
      <w:r w:rsidR="00BC004C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“.</w:t>
      </w:r>
    </w:p>
    <w:p w:rsidR="00BC004C" w:rsidRPr="00B90C68" w:rsidRDefault="00BC004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BC004C" w:rsidRDefault="00BC004C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3</w:t>
      </w:r>
      <w:r w:rsidR="00B31BF3"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5</w:t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Приложение № </w:t>
      </w:r>
      <w:r w:rsidR="00D27C69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към чл. </w:t>
      </w:r>
      <w:r w:rsidR="00D27C69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14</w:t>
      </w:r>
      <w:r w:rsidR="00D03E4E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ал. 1 се изменя така:</w:t>
      </w:r>
    </w:p>
    <w:p w:rsidR="00F55A7D" w:rsidRPr="00F55A7D" w:rsidRDefault="00F55A7D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F1D" w:rsidRPr="006F4D7D" w:rsidRDefault="00D27C69" w:rsidP="006F4D7D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F4D7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1A7F1D" w:rsidRPr="006F4D7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Приложение № 3 </w:t>
      </w:r>
    </w:p>
    <w:p w:rsidR="001A7F1D" w:rsidRDefault="001A7F1D" w:rsidP="006F4D7D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F4D7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 чл.  14, ал. 1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ОБЛАСТНА ДИРЕКЦИЯ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„ЗЕМЕДЕЛИЕ“</w:t>
      </w:r>
    </w:p>
    <w:p w:rsidR="00D27C69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гр. …………………………….</w:t>
      </w:r>
    </w:p>
    <w:p w:rsidR="00F05AE7" w:rsidRDefault="00F05AE7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F05AE7" w:rsidRPr="00B90C68" w:rsidRDefault="00F05AE7" w:rsidP="00047D2B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ДЕКЛАРАЦИЯ</w:t>
      </w:r>
    </w:p>
    <w:p w:rsidR="00F05AE7" w:rsidRDefault="00F05AE7" w:rsidP="00047D2B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количеството произведено и налично зърно</w:t>
      </w:r>
    </w:p>
    <w:p w:rsidR="00F05AE7" w:rsidRDefault="00F05AE7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F05AE7" w:rsidRPr="00B90C68" w:rsidRDefault="00F05AE7" w:rsidP="00F05AE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земеделски производител..............................................................................................</w:t>
      </w:r>
    </w:p>
    <w:p w:rsidR="00F05AE7" w:rsidRPr="00241038" w:rsidRDefault="00F05AE7" w:rsidP="00241038">
      <w:pPr>
        <w:spacing w:after="0" w:line="360" w:lineRule="auto"/>
        <w:ind w:left="2160"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bg-BG"/>
        </w:rPr>
      </w:pPr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 xml:space="preserve">       (трите имена на физическото лице или наименование на юридическото лице)</w:t>
      </w:r>
    </w:p>
    <w:p w:rsidR="00F05AE7" w:rsidRDefault="00F05AE7" w:rsidP="00F05AE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постоянен адрес (на физическото лице) гр./с. ………………………………</w:t>
      </w:r>
      <w:r w:rsidR="002410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………., общ. ……………………………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2410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кв. …………………………… ул. 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№………………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 ЕГН……………………………………..</w:t>
      </w:r>
    </w:p>
    <w:p w:rsidR="00F05AE7" w:rsidRDefault="00241038" w:rsidP="0024103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.......................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email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</w:t>
      </w:r>
    </w:p>
    <w:p w:rsidR="00241038" w:rsidRPr="00B90C68" w:rsidRDefault="00241038" w:rsidP="00241038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адрес на управление (на юридическото лице)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…………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……………………………………………….…………………………………………………, ЕИК по БУЛСТ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АТ …………………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…………………………..</w:t>
      </w:r>
    </w:p>
    <w:p w:rsidR="00241038" w:rsidRPr="00B90C68" w:rsidRDefault="00241038" w:rsidP="0024103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Декларирам, че за 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....................., произведеното количество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зърно</w:t>
      </w:r>
    </w:p>
    <w:p w:rsidR="00241038" w:rsidRPr="00241038" w:rsidRDefault="00241038" w:rsidP="0024103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</w:t>
      </w:r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>(</w:t>
      </w:r>
      <w:proofErr w:type="spellStart"/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>реколтна</w:t>
      </w:r>
      <w:proofErr w:type="spellEnd"/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 xml:space="preserve"> година)</w:t>
      </w:r>
    </w:p>
    <w:p w:rsidR="00F05AE7" w:rsidRDefault="00241038" w:rsidP="0024103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видове е следното:</w:t>
      </w:r>
    </w:p>
    <w:tbl>
      <w:tblPr>
        <w:tblpPr w:leftFromText="141" w:rightFromText="141" w:vertAnchor="text" w:horzAnchor="margin" w:tblpXSpec="center" w:tblpY="303"/>
        <w:tblOverlap w:val="never"/>
        <w:tblW w:w="6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114"/>
      </w:tblGrid>
      <w:tr w:rsidR="00241038" w:rsidRPr="00B90C68" w:rsidTr="00FE0E6F">
        <w:trPr>
          <w:trHeight w:val="696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241038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Вид зърно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241038" w:rsidRPr="00B90C68" w:rsidRDefault="00241038" w:rsidP="00241038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Произведено</w:t>
            </w:r>
          </w:p>
          <w:p w:rsidR="00241038" w:rsidRPr="00B90C68" w:rsidRDefault="00241038" w:rsidP="00241038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(тона)</w:t>
            </w:r>
          </w:p>
        </w:tc>
      </w:tr>
      <w:tr w:rsidR="00241038" w:rsidRPr="00B90C68" w:rsidTr="00FE0E6F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Обикновена пшеница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Твърда пшеница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Ечемик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Царевица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Ръж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Овес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Тритикале</w:t>
            </w:r>
            <w:proofErr w:type="spellEnd"/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Оризова </w:t>
            </w:r>
            <w:proofErr w:type="spellStart"/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арпа</w:t>
            </w:r>
            <w:proofErr w:type="spellEnd"/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41038" w:rsidRPr="00B90C68" w:rsidTr="00FE0E6F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Соя</w:t>
            </w:r>
          </w:p>
        </w:tc>
        <w:tc>
          <w:tcPr>
            <w:tcW w:w="3114" w:type="dxa"/>
            <w:shd w:val="clear" w:color="auto" w:fill="auto"/>
          </w:tcPr>
          <w:p w:rsidR="00241038" w:rsidRPr="00B90C68" w:rsidRDefault="00241038" w:rsidP="00FE0E6F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F05AE7" w:rsidRDefault="00F05AE7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Default="00241038" w:rsidP="0024103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Pr="00B90C68" w:rsidRDefault="00241038" w:rsidP="0024103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Известна ми е наказателната отговорност по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313 от Наказателния кодекс при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деклариране на неверни данни.</w:t>
      </w:r>
    </w:p>
    <w:p w:rsidR="00241038" w:rsidRPr="00B90C68" w:rsidRDefault="00241038" w:rsidP="0024103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Забележка: Декларацията се подава ежегодно: за обикновена и твърда пшеница, ечемик, ръж,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тритикале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рапица до 30 септември; за царевица, слънчоглед и соя до 30 ноември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24103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41038" w:rsidRPr="00B90C68" w:rsidRDefault="00241038" w:rsidP="0024103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Подпис:......................“.</w:t>
      </w:r>
    </w:p>
    <w:p w:rsidR="00241038" w:rsidRPr="00B90C68" w:rsidRDefault="00241038" w:rsidP="00F05AE7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03E4E" w:rsidRPr="00B90C68" w:rsidRDefault="00D03E4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3</w:t>
      </w:r>
      <w:r w:rsidR="00B31BF3"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6</w:t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Създава се Приложение № 7 към чл. </w:t>
      </w:r>
      <w:r w:rsidR="00650B4F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19, ал. 1:</w:t>
      </w:r>
    </w:p>
    <w:p w:rsidR="00F55A7D" w:rsidRDefault="00F55A7D" w:rsidP="00241038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038" w:rsidRPr="006F4D7D" w:rsidRDefault="00D27C69" w:rsidP="00241038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F4D7D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241038" w:rsidRPr="006F4D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Приложение № 7 </w:t>
      </w:r>
    </w:p>
    <w:p w:rsidR="00241038" w:rsidRPr="006F4D7D" w:rsidRDefault="00241038" w:rsidP="00241038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F4D7D">
        <w:rPr>
          <w:rFonts w:ascii="Times New Roman" w:eastAsia="Times New Roman" w:hAnsi="Times New Roman" w:cs="Times New Roman"/>
          <w:sz w:val="24"/>
          <w:szCs w:val="24"/>
          <w:lang w:val="bg-BG"/>
        </w:rPr>
        <w:t>към чл. 19, ал. 1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ОБЛАСТНА ДИРЕКЦИЯ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„ЗЕМЕДЕЛИЕ“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гр. …………………………….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241038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ДЕКЛАРАЦИЯ</w:t>
      </w:r>
    </w:p>
    <w:p w:rsidR="00D27C69" w:rsidRPr="00B90C68" w:rsidRDefault="00D27C69" w:rsidP="00241038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преработеното количество зърно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</w:t>
      </w:r>
      <w:r w:rsidR="002410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</w:t>
      </w:r>
    </w:p>
    <w:p w:rsidR="00D27C69" w:rsidRPr="00241038" w:rsidRDefault="00D27C69" w:rsidP="00241038">
      <w:pPr>
        <w:spacing w:after="0" w:line="360" w:lineRule="auto"/>
        <w:ind w:left="144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</w:pPr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>(на</w:t>
      </w:r>
      <w:r w:rsidR="00561438"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>и</w:t>
      </w:r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 xml:space="preserve">менование и правна </w:t>
      </w:r>
      <w:r w:rsidR="00561438"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>ф</w:t>
      </w:r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>орма на  юридическото лице или името н</w:t>
      </w:r>
      <w:r w:rsidR="00561438"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>а</w:t>
      </w:r>
      <w:r w:rsidRPr="00241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/>
        </w:rPr>
        <w:t xml:space="preserve"> ФЛ)</w:t>
      </w:r>
    </w:p>
    <w:p w:rsidR="00D27C69" w:rsidRPr="00B90C68" w:rsidRDefault="00D27C69" w:rsidP="0024103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адрес на управление (постоянен адрес на физическото лице)</w:t>
      </w:r>
      <w:r w:rsidR="002410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.....…….....................</w:t>
      </w:r>
      <w:r w:rsidR="002410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</w:t>
      </w:r>
    </w:p>
    <w:p w:rsidR="00D27C69" w:rsidRPr="00B90C68" w:rsidRDefault="00D27C69" w:rsidP="00B62838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ЕИК по БУЛСТАТ </w:t>
      </w:r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………………………………………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телефон</w:t>
      </w:r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</w:t>
      </w:r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e-mail</w:t>
      </w:r>
      <w:proofErr w:type="spellEnd"/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</w:t>
      </w:r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………………………………………,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стопанисващ предприятие за преработка на зърно с местонахожден</w:t>
      </w:r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ие,  гр. /с.  …………………………… </w:t>
      </w:r>
      <w:proofErr w:type="spellStart"/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обл</w:t>
      </w:r>
      <w:proofErr w:type="spellEnd"/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………………………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Декларирам, че за ............ тримесечие на ..........</w:t>
      </w:r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...........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г. са преработени следните количества зърно, по видове: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D27C69" w:rsidRPr="00B90C68" w:rsidTr="00876E6F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62838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7C69" w:rsidRPr="00B90C68" w:rsidRDefault="00D27C69" w:rsidP="00B62838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Количество общо</w:t>
            </w:r>
          </w:p>
          <w:p w:rsidR="00D27C69" w:rsidRPr="00B90C68" w:rsidRDefault="00D27C69" w:rsidP="00B62838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(тона)</w:t>
            </w:r>
          </w:p>
        </w:tc>
      </w:tr>
      <w:tr w:rsidR="00D27C69" w:rsidRPr="00B90C68" w:rsidTr="00876E6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Тритикале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Оризова </w:t>
            </w:r>
            <w:proofErr w:type="spellStart"/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арпа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27C69" w:rsidRPr="00B90C68" w:rsidTr="00876E6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9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D27C69" w:rsidRPr="00B90C68" w:rsidRDefault="00D27C69" w:rsidP="00B90C68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0127E" w:rsidRPr="00B90C68" w:rsidRDefault="0060127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27E" w:rsidRPr="00B90C68" w:rsidRDefault="0060127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27E" w:rsidRPr="00B90C68" w:rsidRDefault="0060127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27E" w:rsidRPr="00B90C68" w:rsidRDefault="0060127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27E" w:rsidRPr="00B90C68" w:rsidRDefault="0060127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27E" w:rsidRPr="00B90C68" w:rsidRDefault="0060127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838" w:rsidRDefault="00D27C69" w:rsidP="00B6283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Известна ми е наказателна</w:t>
      </w:r>
      <w:r w:rsidR="00FB0849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отговорност по чл.</w:t>
      </w:r>
      <w:r w:rsidR="00561438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313 от Наказателния кодекс при деклариране на неверни данни.</w:t>
      </w:r>
    </w:p>
    <w:p w:rsidR="00D27C69" w:rsidRPr="00B90C68" w:rsidRDefault="00D27C69" w:rsidP="00B6283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Забележка: Информацията се предоставя до 3-то число на следващия месец след изтичане на съответното тримесечие на хартиен носител или по електронен път в </w:t>
      </w:r>
      <w:r w:rsidR="00B628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ОД „Земеделие“ по местонахождение на обекта. </w:t>
      </w:r>
    </w:p>
    <w:p w:rsidR="00D27C69" w:rsidRPr="00B90C68" w:rsidRDefault="00D27C69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0127E" w:rsidRPr="006F4D7D" w:rsidRDefault="0060127E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62838">
      <w:pPr>
        <w:spacing w:after="0" w:line="360" w:lineRule="auto"/>
        <w:jc w:val="both"/>
        <w:textAlignment w:val="center"/>
        <w:rPr>
          <w:rFonts w:ascii="Times New Roman" w:hAnsi="Times New Roman" w:cs="Times New Roman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Дата:………………….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Подпис:................“.</w:t>
      </w:r>
    </w:p>
    <w:p w:rsidR="00650B4F" w:rsidRPr="00B90C68" w:rsidRDefault="00650B4F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F55A7D" w:rsidRDefault="00F55A7D" w:rsidP="00B90C68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B4F" w:rsidRPr="00B90C68" w:rsidRDefault="00544415" w:rsidP="00B90C68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Допълнителна </w:t>
      </w:r>
      <w:r w:rsidR="00650B4F"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разпоредба</w:t>
      </w:r>
    </w:p>
    <w:p w:rsidR="00650B4F" w:rsidRPr="00B90C68" w:rsidRDefault="00650B4F" w:rsidP="00B90C68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C72CB5" w:rsidRPr="00B90C68" w:rsidRDefault="00650B4F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  <w:t>§ 3</w:t>
      </w:r>
      <w:r w:rsidR="00B31BF3"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7</w:t>
      </w: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047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Навсякъде в наредбата думите</w:t>
      </w:r>
      <w:r w:rsidR="00C72CB5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:rsidR="00650B4F" w:rsidRPr="00B90C68" w:rsidRDefault="00C72CB5" w:rsidP="00B90C68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="00650B4F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„</w:t>
      </w:r>
      <w:r w:rsidR="00AA365F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Министерството на земеделието и храните“ се заменят с „Министерството на земеделието, храните и горите“, а съкращението „МЗХ“ се заменя с „МЗХГ“.</w:t>
      </w:r>
    </w:p>
    <w:p w:rsidR="00AA7737" w:rsidRDefault="003206C6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ab/>
        <w:t>2</w:t>
      </w:r>
      <w:r w:rsidR="00C72CB5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50D3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„министъра на земеделието и храните“ се заменя</w:t>
      </w:r>
      <w:r w:rsidR="00561438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650D30" w:rsidRPr="00B90C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„министъра на земеделието, храните и горите“.</w:t>
      </w:r>
    </w:p>
    <w:p w:rsidR="00B90C68" w:rsidRDefault="00B90C68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47D2B" w:rsidRDefault="00047D2B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B90C68" w:rsidRPr="00B90C68" w:rsidRDefault="00B90C68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27C69" w:rsidRPr="00B90C68" w:rsidRDefault="00D27C69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B9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ДЕСИСЛАВА ТАНЕВА</w:t>
      </w:r>
    </w:p>
    <w:p w:rsidR="00D27C69" w:rsidRPr="006F4D7D" w:rsidRDefault="00D27C69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047D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Министър на земеделието, храните и горите</w:t>
      </w:r>
    </w:p>
    <w:p w:rsidR="00A632CB" w:rsidRPr="006F4D7D" w:rsidRDefault="00A632CB" w:rsidP="00B90C6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A632CB" w:rsidRPr="00B90C68" w:rsidRDefault="00A632CB" w:rsidP="00D27C6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32CB" w:rsidRPr="00B90C68" w:rsidSect="0091078F">
      <w:headerReference w:type="default" r:id="rId12"/>
      <w:footerReference w:type="default" r:id="rId13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7B" w:rsidRDefault="000B047B" w:rsidP="00C72CB5">
      <w:pPr>
        <w:spacing w:after="0" w:line="240" w:lineRule="auto"/>
      </w:pPr>
      <w:r>
        <w:separator/>
      </w:r>
    </w:p>
  </w:endnote>
  <w:endnote w:type="continuationSeparator" w:id="0">
    <w:p w:rsidR="000B047B" w:rsidRDefault="000B047B" w:rsidP="00C7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866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B62838" w:rsidRPr="00B62838" w:rsidRDefault="00B62838" w:rsidP="00B6283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628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283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28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54C6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B6283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7B" w:rsidRDefault="000B047B" w:rsidP="00C72CB5">
      <w:pPr>
        <w:spacing w:after="0" w:line="240" w:lineRule="auto"/>
      </w:pPr>
      <w:r>
        <w:separator/>
      </w:r>
    </w:p>
  </w:footnote>
  <w:footnote w:type="continuationSeparator" w:id="0">
    <w:p w:rsidR="000B047B" w:rsidRDefault="000B047B" w:rsidP="00C7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B5" w:rsidRPr="00016CE3" w:rsidRDefault="00C72CB5" w:rsidP="00447831">
    <w:pPr>
      <w:pStyle w:val="Header"/>
      <w:tabs>
        <w:tab w:val="clear" w:pos="4703"/>
        <w:tab w:val="clear" w:pos="9406"/>
        <w:tab w:val="left" w:pos="62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C1D"/>
    <w:multiLevelType w:val="hybridMultilevel"/>
    <w:tmpl w:val="7F625470"/>
    <w:lvl w:ilvl="0" w:tplc="1E18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C40D43"/>
    <w:multiLevelType w:val="hybridMultilevel"/>
    <w:tmpl w:val="35A2DF9A"/>
    <w:lvl w:ilvl="0" w:tplc="E9A26A4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A2"/>
    <w:rsid w:val="00007344"/>
    <w:rsid w:val="000141DC"/>
    <w:rsid w:val="00016B33"/>
    <w:rsid w:val="00016CE3"/>
    <w:rsid w:val="00047D2B"/>
    <w:rsid w:val="000931DE"/>
    <w:rsid w:val="0009573C"/>
    <w:rsid w:val="000B047B"/>
    <w:rsid w:val="000C1ABA"/>
    <w:rsid w:val="000F3FB9"/>
    <w:rsid w:val="0010129D"/>
    <w:rsid w:val="001563A6"/>
    <w:rsid w:val="0018382C"/>
    <w:rsid w:val="001A7F1D"/>
    <w:rsid w:val="001C3647"/>
    <w:rsid w:val="002160E8"/>
    <w:rsid w:val="00237245"/>
    <w:rsid w:val="00241038"/>
    <w:rsid w:val="002B5FB0"/>
    <w:rsid w:val="002D7979"/>
    <w:rsid w:val="00302A22"/>
    <w:rsid w:val="003206C6"/>
    <w:rsid w:val="00342177"/>
    <w:rsid w:val="003769BA"/>
    <w:rsid w:val="003779F8"/>
    <w:rsid w:val="003C2389"/>
    <w:rsid w:val="003C492A"/>
    <w:rsid w:val="00400CCB"/>
    <w:rsid w:val="004403DC"/>
    <w:rsid w:val="00447831"/>
    <w:rsid w:val="00490D2A"/>
    <w:rsid w:val="004E7AB3"/>
    <w:rsid w:val="004F072C"/>
    <w:rsid w:val="004F3B6E"/>
    <w:rsid w:val="004F6438"/>
    <w:rsid w:val="00511201"/>
    <w:rsid w:val="00526D13"/>
    <w:rsid w:val="0053182C"/>
    <w:rsid w:val="00544415"/>
    <w:rsid w:val="00551998"/>
    <w:rsid w:val="00555C1C"/>
    <w:rsid w:val="00561438"/>
    <w:rsid w:val="00591816"/>
    <w:rsid w:val="005F302C"/>
    <w:rsid w:val="0060127E"/>
    <w:rsid w:val="00625CC3"/>
    <w:rsid w:val="00630D94"/>
    <w:rsid w:val="006344F7"/>
    <w:rsid w:val="00650B4F"/>
    <w:rsid w:val="00650D30"/>
    <w:rsid w:val="00652A76"/>
    <w:rsid w:val="00661DCF"/>
    <w:rsid w:val="00663036"/>
    <w:rsid w:val="00687760"/>
    <w:rsid w:val="006A3A7E"/>
    <w:rsid w:val="006F4D7D"/>
    <w:rsid w:val="006F7166"/>
    <w:rsid w:val="00710D5E"/>
    <w:rsid w:val="00754AFA"/>
    <w:rsid w:val="00766923"/>
    <w:rsid w:val="00770844"/>
    <w:rsid w:val="0078531F"/>
    <w:rsid w:val="0078701F"/>
    <w:rsid w:val="00790E1F"/>
    <w:rsid w:val="007C1F62"/>
    <w:rsid w:val="007C55A5"/>
    <w:rsid w:val="007E31BF"/>
    <w:rsid w:val="00804F97"/>
    <w:rsid w:val="0081293D"/>
    <w:rsid w:val="00844CF8"/>
    <w:rsid w:val="00866513"/>
    <w:rsid w:val="00896471"/>
    <w:rsid w:val="008B3937"/>
    <w:rsid w:val="008E4340"/>
    <w:rsid w:val="008F69D4"/>
    <w:rsid w:val="0090495B"/>
    <w:rsid w:val="0090606E"/>
    <w:rsid w:val="0091078F"/>
    <w:rsid w:val="009168A2"/>
    <w:rsid w:val="0093382F"/>
    <w:rsid w:val="00964608"/>
    <w:rsid w:val="009B4649"/>
    <w:rsid w:val="009F2CA6"/>
    <w:rsid w:val="009F7C4F"/>
    <w:rsid w:val="00A42A5A"/>
    <w:rsid w:val="00A432B1"/>
    <w:rsid w:val="00A54895"/>
    <w:rsid w:val="00A554C6"/>
    <w:rsid w:val="00A613F4"/>
    <w:rsid w:val="00A632CB"/>
    <w:rsid w:val="00A87C4F"/>
    <w:rsid w:val="00AA365F"/>
    <w:rsid w:val="00AA7370"/>
    <w:rsid w:val="00AA7737"/>
    <w:rsid w:val="00AB35C7"/>
    <w:rsid w:val="00AC62CB"/>
    <w:rsid w:val="00B037C9"/>
    <w:rsid w:val="00B0625A"/>
    <w:rsid w:val="00B31BF3"/>
    <w:rsid w:val="00B62838"/>
    <w:rsid w:val="00B778C4"/>
    <w:rsid w:val="00B90C68"/>
    <w:rsid w:val="00B92283"/>
    <w:rsid w:val="00BC004C"/>
    <w:rsid w:val="00BD0825"/>
    <w:rsid w:val="00BE235F"/>
    <w:rsid w:val="00C125CF"/>
    <w:rsid w:val="00C72CB5"/>
    <w:rsid w:val="00C742C0"/>
    <w:rsid w:val="00C820C9"/>
    <w:rsid w:val="00C91B1A"/>
    <w:rsid w:val="00CA6B44"/>
    <w:rsid w:val="00CB4393"/>
    <w:rsid w:val="00CC68D0"/>
    <w:rsid w:val="00CE31A1"/>
    <w:rsid w:val="00CE6F8C"/>
    <w:rsid w:val="00D03E4E"/>
    <w:rsid w:val="00D1435E"/>
    <w:rsid w:val="00D27C69"/>
    <w:rsid w:val="00D326D7"/>
    <w:rsid w:val="00D34FE0"/>
    <w:rsid w:val="00D74CF8"/>
    <w:rsid w:val="00D86A2C"/>
    <w:rsid w:val="00D971E4"/>
    <w:rsid w:val="00DD29F6"/>
    <w:rsid w:val="00DE2F60"/>
    <w:rsid w:val="00DE46C1"/>
    <w:rsid w:val="00E04AA6"/>
    <w:rsid w:val="00E4709A"/>
    <w:rsid w:val="00E914E1"/>
    <w:rsid w:val="00F05AE7"/>
    <w:rsid w:val="00F22DB8"/>
    <w:rsid w:val="00F30577"/>
    <w:rsid w:val="00F55A7D"/>
    <w:rsid w:val="00F67D86"/>
    <w:rsid w:val="00F97282"/>
    <w:rsid w:val="00FB0849"/>
    <w:rsid w:val="00FC155D"/>
    <w:rsid w:val="00FD3F6B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1"/>
    <w:pPr>
      <w:ind w:left="720"/>
      <w:contextualSpacing/>
    </w:pPr>
  </w:style>
  <w:style w:type="paragraph" w:customStyle="1" w:styleId="Style">
    <w:name w:val="Style"/>
    <w:rsid w:val="00D27C6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B5"/>
  </w:style>
  <w:style w:type="paragraph" w:styleId="Footer">
    <w:name w:val="footer"/>
    <w:basedOn w:val="Normal"/>
    <w:link w:val="FooterChar"/>
    <w:uiPriority w:val="99"/>
    <w:unhideWhenUsed/>
    <w:rsid w:val="00C72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B5"/>
  </w:style>
  <w:style w:type="character" w:styleId="Hyperlink">
    <w:name w:val="Hyperlink"/>
    <w:basedOn w:val="DefaultParagraphFont"/>
    <w:uiPriority w:val="99"/>
    <w:semiHidden/>
    <w:unhideWhenUsed/>
    <w:rsid w:val="00007344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1"/>
    <w:pPr>
      <w:ind w:left="720"/>
      <w:contextualSpacing/>
    </w:pPr>
  </w:style>
  <w:style w:type="paragraph" w:customStyle="1" w:styleId="Style">
    <w:name w:val="Style"/>
    <w:rsid w:val="00D27C6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B5"/>
  </w:style>
  <w:style w:type="paragraph" w:styleId="Footer">
    <w:name w:val="footer"/>
    <w:basedOn w:val="Normal"/>
    <w:link w:val="FooterChar"/>
    <w:uiPriority w:val="99"/>
    <w:unhideWhenUsed/>
    <w:rsid w:val="00C72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B5"/>
  </w:style>
  <w:style w:type="character" w:styleId="Hyperlink">
    <w:name w:val="Hyperlink"/>
    <w:basedOn w:val="DefaultParagraphFont"/>
    <w:uiPriority w:val="99"/>
    <w:semiHidden/>
    <w:unhideWhenUsed/>
    <w:rsid w:val="0000734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53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APEV&amp;CELEX=31999L0093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APEV&amp;CELEX=32014R0910&amp;Type=2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</dc:creator>
  <cp:lastModifiedBy>Nataliya Slavova</cp:lastModifiedBy>
  <cp:revision>4</cp:revision>
  <cp:lastPrinted>2019-09-09T12:04:00Z</cp:lastPrinted>
  <dcterms:created xsi:type="dcterms:W3CDTF">2019-09-27T09:17:00Z</dcterms:created>
  <dcterms:modified xsi:type="dcterms:W3CDTF">2019-10-02T07:45:00Z</dcterms:modified>
</cp:coreProperties>
</file>