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A8" w:rsidRDefault="002A05D9" w:rsidP="002A05D9">
      <w:pPr>
        <w:spacing w:line="360" w:lineRule="auto"/>
        <w:ind w:left="4956"/>
        <w:rPr>
          <w:rFonts w:ascii="Verdana" w:hAnsi="Verdana"/>
          <w:b/>
          <w:caps/>
          <w:sz w:val="20"/>
          <w:szCs w:val="20"/>
          <w:lang w:val="af-ZA"/>
        </w:rPr>
      </w:pPr>
      <w:r w:rsidRPr="00E45762">
        <w:rPr>
          <w:rFonts w:ascii="Verdana" w:hAnsi="Verdana"/>
          <w:b/>
          <w:caps/>
          <w:sz w:val="20"/>
          <w:szCs w:val="20"/>
          <w:lang w:val="af-ZA"/>
        </w:rPr>
        <w:t xml:space="preserve"> </w:t>
      </w:r>
      <w:r w:rsidR="00961B12">
        <w:rPr>
          <w:rFonts w:ascii="Verdana" w:hAnsi="Verdana"/>
          <w:b/>
          <w:caps/>
          <w:sz w:val="20"/>
          <w:szCs w:val="20"/>
          <w:lang w:val="af-ZA"/>
        </w:rPr>
        <w:t xml:space="preserve">        </w:t>
      </w:r>
      <w:r w:rsidRPr="00E45762">
        <w:rPr>
          <w:rFonts w:ascii="Verdana" w:hAnsi="Verdana"/>
          <w:b/>
          <w:caps/>
          <w:sz w:val="20"/>
          <w:szCs w:val="20"/>
          <w:lang w:val="af-ZA"/>
        </w:rPr>
        <w:t xml:space="preserve">  </w:t>
      </w:r>
    </w:p>
    <w:p w:rsidR="007F18A8" w:rsidRPr="007F18A8" w:rsidRDefault="007F18A8" w:rsidP="002A05D9">
      <w:pPr>
        <w:ind w:left="10620"/>
        <w:rPr>
          <w:rFonts w:ascii="Verdana" w:hAnsi="Verdana"/>
          <w:b/>
          <w:bCs/>
          <w:caps/>
          <w:sz w:val="20"/>
          <w:szCs w:val="20"/>
          <w:lang w:val="ru-RU"/>
        </w:rPr>
      </w:pPr>
    </w:p>
    <w:p w:rsidR="00451362" w:rsidRDefault="00451362" w:rsidP="002A05D9">
      <w:pPr>
        <w:pStyle w:val="Heading1"/>
        <w:spacing w:line="276" w:lineRule="auto"/>
        <w:rPr>
          <w:rFonts w:ascii="Verdana" w:hAnsi="Verdana" w:cs="Verdana"/>
          <w:caps/>
          <w:noProof/>
          <w:sz w:val="20"/>
          <w:lang w:val="af-ZA"/>
        </w:rPr>
      </w:pPr>
    </w:p>
    <w:p w:rsidR="00C5749B" w:rsidRPr="00C5749B" w:rsidRDefault="00C5749B" w:rsidP="00C5749B">
      <w:pPr>
        <w:rPr>
          <w:lang w:val="af-ZA" w:eastAsia="en-US"/>
        </w:rPr>
      </w:pPr>
    </w:p>
    <w:p w:rsidR="003D60B6" w:rsidRPr="009B1913" w:rsidRDefault="003D60B6">
      <w:pPr>
        <w:rPr>
          <w:rFonts w:ascii="Verdana" w:hAnsi="Verdan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E45762" w:rsidTr="0069425D">
        <w:trPr>
          <w:trHeight w:val="958"/>
          <w:jc w:val="center"/>
        </w:trPr>
        <w:tc>
          <w:tcPr>
            <w:tcW w:w="15650" w:type="dxa"/>
            <w:shd w:val="clear" w:color="auto" w:fill="BDD6EE"/>
          </w:tcPr>
          <w:p w:rsidR="002A05D9" w:rsidRPr="00911019" w:rsidRDefault="002A05D9" w:rsidP="001C3E89">
            <w:pPr>
              <w:tabs>
                <w:tab w:val="left" w:pos="2190"/>
              </w:tabs>
              <w:spacing w:before="100" w:line="360" w:lineRule="auto"/>
              <w:jc w:val="center"/>
              <w:rPr>
                <w:rFonts w:ascii="Verdana" w:hAnsi="Verdana"/>
                <w:b/>
                <w:spacing w:val="70"/>
                <w:lang w:val="af-ZA"/>
              </w:rPr>
            </w:pPr>
            <w:r w:rsidRPr="00911019">
              <w:rPr>
                <w:rFonts w:ascii="Verdana" w:hAnsi="Verdana"/>
                <w:b/>
                <w:spacing w:val="70"/>
                <w:lang w:val="af-ZA"/>
              </w:rPr>
              <w:t>СПРАВКА</w:t>
            </w:r>
          </w:p>
          <w:p w:rsidR="00E220AD" w:rsidRPr="00E45762" w:rsidRDefault="001C3E89" w:rsidP="001C3E89">
            <w:pPr>
              <w:tabs>
                <w:tab w:val="left" w:pos="2190"/>
              </w:tabs>
              <w:spacing w:after="40" w:line="360" w:lineRule="auto"/>
              <w:jc w:val="center"/>
              <w:rPr>
                <w:rFonts w:ascii="Verdana" w:hAnsi="Verdana"/>
                <w:b/>
                <w:sz w:val="20"/>
                <w:szCs w:val="20"/>
                <w:lang w:val="af-ZA"/>
              </w:rPr>
            </w:pPr>
            <w:r w:rsidRPr="00E45762">
              <w:rPr>
                <w:rFonts w:ascii="Verdana" w:hAnsi="Verdana"/>
                <w:b/>
                <w:sz w:val="20"/>
                <w:szCs w:val="20"/>
                <w:lang w:val="af-ZA"/>
              </w:rPr>
              <w:t>ЗА ОТРАЗЯВАНЕ НА ПРЕДЛОЖЕНИЯТА И СТАНОВИЩАТА</w:t>
            </w:r>
            <w:r w:rsidR="00BB7469" w:rsidRPr="00E45762">
              <w:rPr>
                <w:rFonts w:ascii="Verdana" w:hAnsi="Verdana"/>
                <w:b/>
                <w:sz w:val="20"/>
                <w:szCs w:val="20"/>
                <w:lang w:val="af-ZA"/>
              </w:rPr>
              <w:t xml:space="preserve"> ОТ ПРОВЕДЕНАТА ОБЩЕСТВЕНА КОНСУЛТАЦИЯ НА ПРОЕКТ</w:t>
            </w:r>
            <w:r w:rsidRPr="00E45762">
              <w:rPr>
                <w:rFonts w:ascii="Verdana" w:hAnsi="Verdana"/>
                <w:b/>
                <w:sz w:val="20"/>
                <w:szCs w:val="20"/>
                <w:lang w:val="af-ZA"/>
              </w:rPr>
              <w:t>А</w:t>
            </w:r>
            <w:r w:rsidR="00BB7469" w:rsidRPr="00E45762">
              <w:rPr>
                <w:rFonts w:ascii="Verdana" w:hAnsi="Verdana"/>
                <w:b/>
                <w:sz w:val="20"/>
                <w:szCs w:val="20"/>
                <w:lang w:val="af-ZA"/>
              </w:rPr>
              <w:t xml:space="preserve"> НА НАРЕДБА </w:t>
            </w:r>
            <w:r w:rsidRPr="00E45762">
              <w:rPr>
                <w:rFonts w:ascii="Verdana" w:hAnsi="Verdana"/>
                <w:b/>
                <w:sz w:val="20"/>
                <w:szCs w:val="20"/>
                <w:lang w:val="af-ZA"/>
              </w:rPr>
              <w:t>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rsidR="00801C67" w:rsidRPr="00E45762" w:rsidRDefault="00801C67">
      <w:pPr>
        <w:rPr>
          <w:sz w:val="4"/>
          <w:szCs w:val="4"/>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520"/>
        <w:gridCol w:w="1676"/>
        <w:gridCol w:w="4422"/>
      </w:tblGrid>
      <w:tr w:rsidR="00E220AD" w:rsidRPr="00E45762" w:rsidTr="008E14A9">
        <w:trPr>
          <w:tblHeader/>
          <w:jc w:val="center"/>
        </w:trPr>
        <w:tc>
          <w:tcPr>
            <w:tcW w:w="622" w:type="dxa"/>
            <w:tcBorders>
              <w:bottom w:val="single" w:sz="36" w:space="0" w:color="2E74B5"/>
            </w:tcBorders>
            <w:shd w:val="clear" w:color="auto" w:fill="DEEAF6"/>
            <w:vAlign w:val="center"/>
          </w:tcPr>
          <w:p w:rsidR="00E220AD" w:rsidRPr="00E45762" w:rsidRDefault="00E220AD" w:rsidP="00E220AD">
            <w:pPr>
              <w:tabs>
                <w:tab w:val="left" w:pos="192"/>
              </w:tabs>
              <w:jc w:val="center"/>
              <w:rPr>
                <w:rFonts w:ascii="Verdana" w:hAnsi="Verdana"/>
                <w:b/>
                <w:sz w:val="20"/>
                <w:szCs w:val="20"/>
                <w:lang w:val="af-ZA"/>
              </w:rPr>
            </w:pPr>
            <w:r w:rsidRPr="00E45762">
              <w:rPr>
                <w:rFonts w:ascii="Verdana" w:hAnsi="Verdana"/>
                <w:b/>
                <w:sz w:val="20"/>
                <w:szCs w:val="20"/>
                <w:lang w:val="af-ZA"/>
              </w:rPr>
              <w:t>№</w:t>
            </w:r>
          </w:p>
        </w:tc>
        <w:tc>
          <w:tcPr>
            <w:tcW w:w="2410" w:type="dxa"/>
            <w:tcBorders>
              <w:bottom w:val="single" w:sz="36" w:space="0" w:color="2E74B5"/>
            </w:tcBorders>
            <w:shd w:val="clear" w:color="auto" w:fill="DEEAF6"/>
            <w:vAlign w:val="center"/>
          </w:tcPr>
          <w:p w:rsidR="00E220AD" w:rsidRPr="00E45762" w:rsidRDefault="00E220AD" w:rsidP="00911019">
            <w:pPr>
              <w:spacing w:before="40"/>
              <w:jc w:val="center"/>
              <w:rPr>
                <w:rFonts w:ascii="Verdana" w:hAnsi="Verdana"/>
                <w:b/>
                <w:sz w:val="20"/>
                <w:szCs w:val="20"/>
                <w:lang w:val="af-ZA"/>
              </w:rPr>
            </w:pPr>
            <w:r w:rsidRPr="00E45762">
              <w:rPr>
                <w:rFonts w:ascii="Verdana" w:hAnsi="Verdana"/>
                <w:b/>
                <w:sz w:val="20"/>
                <w:szCs w:val="20"/>
                <w:lang w:val="af-ZA"/>
              </w:rPr>
              <w:t>Организация/</w:t>
            </w:r>
            <w:r w:rsidR="00911019">
              <w:rPr>
                <w:rFonts w:ascii="Verdana" w:hAnsi="Verdana"/>
                <w:b/>
                <w:sz w:val="20"/>
                <w:szCs w:val="20"/>
              </w:rPr>
              <w:t xml:space="preserve"> </w:t>
            </w:r>
            <w:r w:rsidRPr="00E45762">
              <w:rPr>
                <w:rFonts w:ascii="Verdana" w:hAnsi="Verdana"/>
                <w:b/>
                <w:sz w:val="20"/>
                <w:szCs w:val="20"/>
                <w:lang w:val="af-ZA"/>
              </w:rPr>
              <w:t>потребител</w:t>
            </w:r>
          </w:p>
          <w:p w:rsidR="005424B9" w:rsidRPr="00911019" w:rsidRDefault="00911019" w:rsidP="00911019">
            <w:pPr>
              <w:spacing w:after="40"/>
              <w:jc w:val="center"/>
              <w:rPr>
                <w:rFonts w:ascii="Verdana" w:hAnsi="Verdana"/>
                <w:b/>
                <w:sz w:val="13"/>
                <w:szCs w:val="13"/>
                <w:lang w:val="af-ZA"/>
              </w:rPr>
            </w:pPr>
            <w:r w:rsidRPr="00911019">
              <w:rPr>
                <w:rFonts w:ascii="Verdana" w:hAnsi="Verdana"/>
                <w:b/>
                <w:sz w:val="13"/>
                <w:szCs w:val="13"/>
              </w:rPr>
              <w:t>(</w:t>
            </w:r>
            <w:r w:rsidR="005424B9" w:rsidRPr="00911019">
              <w:rPr>
                <w:rFonts w:ascii="Verdana" w:hAnsi="Verdana"/>
                <w:b/>
                <w:sz w:val="13"/>
                <w:szCs w:val="13"/>
                <w:lang w:val="af-ZA"/>
              </w:rPr>
              <w:t>вкл. начина на получаване на предложението</w:t>
            </w:r>
            <w:r w:rsidRPr="00911019">
              <w:rPr>
                <w:rFonts w:ascii="Verdana" w:hAnsi="Verdana"/>
                <w:b/>
                <w:sz w:val="13"/>
                <w:szCs w:val="13"/>
              </w:rPr>
              <w:t>)</w:t>
            </w:r>
          </w:p>
        </w:tc>
        <w:tc>
          <w:tcPr>
            <w:tcW w:w="6520" w:type="dxa"/>
            <w:tcBorders>
              <w:bottom w:val="single" w:sz="36" w:space="0" w:color="2E74B5"/>
            </w:tcBorders>
            <w:shd w:val="clear" w:color="auto" w:fill="DEEAF6"/>
            <w:vAlign w:val="center"/>
          </w:tcPr>
          <w:p w:rsidR="00E220AD" w:rsidRPr="00E45762" w:rsidRDefault="00E220AD" w:rsidP="00E220AD">
            <w:pPr>
              <w:jc w:val="center"/>
              <w:rPr>
                <w:rFonts w:ascii="Verdana" w:hAnsi="Verdana"/>
                <w:b/>
                <w:sz w:val="20"/>
                <w:szCs w:val="20"/>
                <w:lang w:val="af-ZA"/>
              </w:rPr>
            </w:pPr>
            <w:r w:rsidRPr="00E45762">
              <w:rPr>
                <w:rFonts w:ascii="Verdana" w:hAnsi="Verdana"/>
                <w:b/>
                <w:sz w:val="20"/>
                <w:szCs w:val="20"/>
                <w:lang w:val="af-ZA"/>
              </w:rPr>
              <w:t>Бележки и предложения</w:t>
            </w:r>
          </w:p>
        </w:tc>
        <w:tc>
          <w:tcPr>
            <w:tcW w:w="1676" w:type="dxa"/>
            <w:tcBorders>
              <w:bottom w:val="single" w:sz="36" w:space="0" w:color="2E74B5"/>
            </w:tcBorders>
            <w:shd w:val="clear" w:color="auto" w:fill="DEEAF6"/>
            <w:vAlign w:val="center"/>
          </w:tcPr>
          <w:p w:rsidR="00E220AD" w:rsidRPr="00E45762" w:rsidRDefault="00E220AD" w:rsidP="00E220AD">
            <w:pPr>
              <w:jc w:val="center"/>
              <w:rPr>
                <w:rFonts w:ascii="Verdana" w:hAnsi="Verdana"/>
                <w:b/>
                <w:sz w:val="20"/>
                <w:szCs w:val="20"/>
                <w:lang w:val="af-ZA"/>
              </w:rPr>
            </w:pPr>
            <w:r w:rsidRPr="00E45762">
              <w:rPr>
                <w:rFonts w:ascii="Verdana" w:hAnsi="Verdana"/>
                <w:b/>
                <w:sz w:val="20"/>
                <w:szCs w:val="20"/>
                <w:lang w:val="af-ZA"/>
              </w:rPr>
              <w:t>Приети/</w:t>
            </w:r>
          </w:p>
          <w:p w:rsidR="00E220AD" w:rsidRPr="00E45762" w:rsidRDefault="00E220AD" w:rsidP="00E220AD">
            <w:pPr>
              <w:jc w:val="center"/>
              <w:rPr>
                <w:rFonts w:ascii="Verdana" w:hAnsi="Verdana"/>
                <w:b/>
                <w:sz w:val="20"/>
                <w:szCs w:val="20"/>
                <w:lang w:val="af-ZA"/>
              </w:rPr>
            </w:pPr>
            <w:r w:rsidRPr="00E45762">
              <w:rPr>
                <w:rFonts w:ascii="Verdana" w:hAnsi="Verdana"/>
                <w:b/>
                <w:sz w:val="20"/>
                <w:szCs w:val="20"/>
                <w:lang w:val="af-ZA"/>
              </w:rPr>
              <w:t>неприети</w:t>
            </w:r>
          </w:p>
        </w:tc>
        <w:tc>
          <w:tcPr>
            <w:tcW w:w="4422" w:type="dxa"/>
            <w:tcBorders>
              <w:bottom w:val="single" w:sz="36" w:space="0" w:color="2E74B5"/>
            </w:tcBorders>
            <w:shd w:val="clear" w:color="auto" w:fill="DEEAF6"/>
            <w:vAlign w:val="center"/>
          </w:tcPr>
          <w:p w:rsidR="00E220AD" w:rsidRPr="00E45762" w:rsidRDefault="00E220AD" w:rsidP="00E220AD">
            <w:pPr>
              <w:jc w:val="center"/>
              <w:rPr>
                <w:rFonts w:ascii="Verdana" w:hAnsi="Verdana"/>
                <w:sz w:val="20"/>
                <w:szCs w:val="20"/>
                <w:lang w:val="af-ZA"/>
              </w:rPr>
            </w:pPr>
            <w:r w:rsidRPr="00E45762">
              <w:rPr>
                <w:rFonts w:ascii="Verdana" w:hAnsi="Verdana"/>
                <w:b/>
                <w:sz w:val="20"/>
                <w:szCs w:val="20"/>
                <w:lang w:val="af-ZA"/>
              </w:rPr>
              <w:t>Мотиви</w:t>
            </w:r>
          </w:p>
        </w:tc>
      </w:tr>
      <w:tr w:rsidR="00E65957" w:rsidRPr="00E45762" w:rsidTr="00EF593A">
        <w:trPr>
          <w:trHeight w:val="596"/>
          <w:jc w:val="center"/>
        </w:trPr>
        <w:tc>
          <w:tcPr>
            <w:tcW w:w="622" w:type="dxa"/>
            <w:vMerge w:val="restart"/>
            <w:shd w:val="clear" w:color="auto" w:fill="auto"/>
          </w:tcPr>
          <w:p w:rsidR="00E65957" w:rsidRPr="00E45762" w:rsidRDefault="00E65957" w:rsidP="00911019">
            <w:pPr>
              <w:numPr>
                <w:ilvl w:val="0"/>
                <w:numId w:val="6"/>
              </w:numPr>
              <w:tabs>
                <w:tab w:val="left" w:pos="192"/>
              </w:tabs>
              <w:spacing w:before="60" w:after="40"/>
              <w:jc w:val="center"/>
              <w:rPr>
                <w:rFonts w:ascii="Verdana" w:hAnsi="Verdana"/>
                <w:b/>
                <w:sz w:val="20"/>
                <w:szCs w:val="20"/>
                <w:lang w:val="af-ZA"/>
              </w:rPr>
            </w:pPr>
          </w:p>
        </w:tc>
        <w:tc>
          <w:tcPr>
            <w:tcW w:w="2410" w:type="dxa"/>
            <w:vMerge w:val="restart"/>
            <w:shd w:val="clear" w:color="auto" w:fill="auto"/>
          </w:tcPr>
          <w:p w:rsidR="00E65957" w:rsidRPr="00E45762" w:rsidRDefault="00E65957" w:rsidP="00911019">
            <w:pPr>
              <w:spacing w:before="60" w:after="40"/>
              <w:jc w:val="both"/>
              <w:rPr>
                <w:rFonts w:ascii="Verdana" w:hAnsi="Verdana"/>
                <w:sz w:val="20"/>
                <w:szCs w:val="20"/>
                <w:lang w:val="af-ZA"/>
              </w:rPr>
            </w:pPr>
            <w:r w:rsidRPr="00E45762">
              <w:rPr>
                <w:rFonts w:ascii="Verdana" w:hAnsi="Verdana"/>
                <w:sz w:val="20"/>
                <w:szCs w:val="20"/>
                <w:lang w:val="af-ZA"/>
              </w:rPr>
              <w:t>mig_kostenets</w:t>
            </w:r>
          </w:p>
          <w:p w:rsidR="00E65957" w:rsidRPr="00E45762" w:rsidRDefault="00E65957" w:rsidP="00911019">
            <w:pPr>
              <w:spacing w:before="60" w:after="40"/>
              <w:rPr>
                <w:rFonts w:ascii="Verdana" w:hAnsi="Verdana"/>
                <w:b/>
                <w:sz w:val="20"/>
                <w:szCs w:val="20"/>
                <w:lang w:val="af-ZA"/>
              </w:rPr>
            </w:pPr>
            <w:r w:rsidRPr="00E45762">
              <w:rPr>
                <w:rFonts w:ascii="Verdana" w:hAnsi="Verdana"/>
                <w:sz w:val="20"/>
                <w:szCs w:val="20"/>
                <w:lang w:val="af-ZA"/>
              </w:rPr>
              <w:t>(от Портала за обществени консултации)</w:t>
            </w:r>
          </w:p>
        </w:tc>
        <w:tc>
          <w:tcPr>
            <w:tcW w:w="6520" w:type="dxa"/>
            <w:tcBorders>
              <w:bottom w:val="nil"/>
            </w:tcBorders>
            <w:shd w:val="clear" w:color="auto" w:fill="auto"/>
          </w:tcPr>
          <w:p w:rsidR="00E65957" w:rsidRPr="00E45762" w:rsidRDefault="00E45762" w:rsidP="00DA6BB3">
            <w:pPr>
              <w:spacing w:before="60" w:after="120"/>
              <w:jc w:val="both"/>
              <w:outlineLvl w:val="3"/>
              <w:rPr>
                <w:rFonts w:ascii="Verdana" w:hAnsi="Verdana"/>
                <w:bCs/>
                <w:sz w:val="20"/>
                <w:szCs w:val="20"/>
                <w:lang w:val="af-ZA"/>
              </w:rPr>
            </w:pPr>
            <w:r w:rsidRPr="00DA6BB3">
              <w:rPr>
                <w:rFonts w:ascii="Verdana" w:hAnsi="Verdana"/>
                <w:bCs/>
                <w:sz w:val="20"/>
                <w:szCs w:val="20"/>
                <w:lang w:val="af-ZA"/>
              </w:rPr>
              <w:t>I</w:t>
            </w:r>
            <w:r>
              <w:rPr>
                <w:rFonts w:ascii="Verdana" w:hAnsi="Verdana"/>
                <w:bCs/>
                <w:sz w:val="20"/>
                <w:szCs w:val="20"/>
              </w:rPr>
              <w:t xml:space="preserve">. </w:t>
            </w:r>
            <w:r w:rsidR="00E65957" w:rsidRPr="00E65957">
              <w:rPr>
                <w:rFonts w:ascii="Verdana" w:hAnsi="Verdana"/>
                <w:bCs/>
                <w:sz w:val="20"/>
                <w:szCs w:val="20"/>
                <w:lang w:val="af-ZA"/>
              </w:rPr>
              <w:t>Коментари по проекта на Наредба за изменение и допълнение на Наредба № 4 от 2018 г.</w:t>
            </w:r>
          </w:p>
        </w:tc>
        <w:tc>
          <w:tcPr>
            <w:tcW w:w="1676" w:type="dxa"/>
            <w:tcBorders>
              <w:bottom w:val="nil"/>
            </w:tcBorders>
            <w:shd w:val="clear" w:color="auto" w:fill="auto"/>
          </w:tcPr>
          <w:p w:rsidR="00E65957" w:rsidRPr="00E45762" w:rsidRDefault="00E65957" w:rsidP="00911019">
            <w:pPr>
              <w:spacing w:before="60" w:after="40"/>
              <w:rPr>
                <w:rFonts w:ascii="Verdana" w:hAnsi="Verdana"/>
                <w:color w:val="FF0000"/>
                <w:sz w:val="20"/>
                <w:szCs w:val="20"/>
                <w:lang w:val="af-ZA"/>
              </w:rPr>
            </w:pPr>
          </w:p>
        </w:tc>
        <w:tc>
          <w:tcPr>
            <w:tcW w:w="4422" w:type="dxa"/>
            <w:tcBorders>
              <w:bottom w:val="nil"/>
            </w:tcBorders>
            <w:shd w:val="clear" w:color="auto" w:fill="auto"/>
          </w:tcPr>
          <w:p w:rsidR="00E65957" w:rsidRPr="00E45762" w:rsidRDefault="00E65957" w:rsidP="00911019">
            <w:pPr>
              <w:spacing w:before="60" w:after="40"/>
              <w:jc w:val="both"/>
              <w:rPr>
                <w:rFonts w:ascii="Verdana" w:hAnsi="Verdana"/>
                <w:color w:val="000000"/>
                <w:sz w:val="20"/>
                <w:szCs w:val="20"/>
                <w:lang w:val="af-ZA"/>
              </w:rPr>
            </w:pPr>
          </w:p>
        </w:tc>
      </w:tr>
      <w:tr w:rsidR="00E65957" w:rsidRPr="00E45762" w:rsidTr="00EF593A">
        <w:trPr>
          <w:trHeight w:val="596"/>
          <w:jc w:val="center"/>
        </w:trPr>
        <w:tc>
          <w:tcPr>
            <w:tcW w:w="622" w:type="dxa"/>
            <w:vMerge/>
            <w:tcBorders>
              <w:bottom w:val="nil"/>
            </w:tcBorders>
            <w:shd w:val="clear" w:color="auto" w:fill="auto"/>
          </w:tcPr>
          <w:p w:rsidR="00E65957" w:rsidRPr="00E45762" w:rsidRDefault="00E65957" w:rsidP="00911019">
            <w:pPr>
              <w:tabs>
                <w:tab w:val="left" w:pos="192"/>
              </w:tabs>
              <w:spacing w:before="60" w:after="40"/>
              <w:ind w:left="340"/>
              <w:rPr>
                <w:rFonts w:ascii="Verdana" w:hAnsi="Verdana"/>
                <w:b/>
                <w:sz w:val="20"/>
                <w:szCs w:val="20"/>
                <w:lang w:val="af-ZA"/>
              </w:rPr>
            </w:pPr>
          </w:p>
        </w:tc>
        <w:tc>
          <w:tcPr>
            <w:tcW w:w="2410" w:type="dxa"/>
            <w:vMerge/>
            <w:tcBorders>
              <w:bottom w:val="nil"/>
            </w:tcBorders>
            <w:shd w:val="clear" w:color="auto" w:fill="auto"/>
          </w:tcPr>
          <w:p w:rsidR="00E65957" w:rsidRPr="00E45762" w:rsidRDefault="00E65957"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E65957" w:rsidRDefault="00E45762" w:rsidP="00911019">
            <w:pPr>
              <w:spacing w:before="60" w:after="40"/>
              <w:jc w:val="both"/>
              <w:rPr>
                <w:rFonts w:ascii="Verdana" w:hAnsi="Verdana"/>
                <w:spacing w:val="-2"/>
                <w:sz w:val="20"/>
                <w:szCs w:val="20"/>
              </w:rPr>
            </w:pPr>
            <w:r w:rsidRPr="00E45762">
              <w:rPr>
                <w:rFonts w:ascii="Verdana" w:hAnsi="Verdana"/>
                <w:spacing w:val="-2"/>
                <w:sz w:val="20"/>
                <w:szCs w:val="20"/>
                <w:lang w:val="af-ZA"/>
              </w:rPr>
              <w:t>При изпълнението на подмярка 19.4 от мярка 19 „Водено от общностите местно развитие“  в България, на практика не се прилагат опростени разходи.  Доколкото местните инициативни групи са възложители по ЗОП, те не се възползват от намалената административна тежест, свързана с тяхното отчитане. В работата на МИГ ролята на така наречените „опростени разходи“ е единствено на пределни стойности, с които МИГ трябва да се съобразяват при възлагане на дейностите си, като по никакъв начин не облекчават работата им, дори напротив – за извършването на разходи с ниска стойност МИГ трябва да изготви и представи множество документи.</w:t>
            </w:r>
          </w:p>
          <w:p w:rsidR="00E45762" w:rsidRPr="00E45762" w:rsidRDefault="00E45762" w:rsidP="00911019">
            <w:pPr>
              <w:spacing w:before="60" w:after="40"/>
              <w:jc w:val="both"/>
              <w:rPr>
                <w:rFonts w:ascii="Verdana" w:hAnsi="Verdana"/>
                <w:spacing w:val="-2"/>
                <w:sz w:val="20"/>
                <w:szCs w:val="20"/>
              </w:rPr>
            </w:pPr>
            <w:r w:rsidRPr="00E45762">
              <w:rPr>
                <w:rFonts w:ascii="Verdana" w:hAnsi="Verdana"/>
                <w:spacing w:val="-2"/>
                <w:sz w:val="20"/>
                <w:szCs w:val="20"/>
              </w:rPr>
              <w:t xml:space="preserve">В Наредба № 1 от 22.01.2016 г. за прилагане на </w:t>
            </w:r>
            <w:proofErr w:type="spellStart"/>
            <w:r w:rsidRPr="00E45762">
              <w:rPr>
                <w:rFonts w:ascii="Verdana" w:hAnsi="Verdana"/>
                <w:spacing w:val="-2"/>
                <w:sz w:val="20"/>
                <w:szCs w:val="20"/>
              </w:rPr>
              <w:t>подмярка</w:t>
            </w:r>
            <w:proofErr w:type="spellEnd"/>
            <w:r w:rsidRPr="00E45762">
              <w:rPr>
                <w:rFonts w:ascii="Verdana" w:hAnsi="Verdana"/>
                <w:spacing w:val="-2"/>
                <w:sz w:val="20"/>
                <w:szCs w:val="20"/>
              </w:rPr>
              <w:t xml:space="preserve"> 19.4 „Текущи разходи и популяризиране на стратегия за Водено от общностите местно развитие" на мярка 19 ВОМР от ПРСР за периода 2014 - 2020 г., текстът под „списъка с опростени разходи и документи, доказващи извършването на дейностите, в приложение Приложение № 1 към чл. 5,   т. 2, гласи, че „За дейностите, за които е проведена процедура по Закона за обществените поръчки, се прилагат и всички документи, свързани с проведената процедура, както и фактури, платежни нареждания и банкови извлечения за извършените разходи.“</w:t>
            </w:r>
          </w:p>
          <w:p w:rsidR="00E45762" w:rsidRPr="00E45762" w:rsidRDefault="009B1913" w:rsidP="00911019">
            <w:pPr>
              <w:spacing w:before="60" w:after="40"/>
              <w:jc w:val="both"/>
              <w:rPr>
                <w:rFonts w:ascii="Verdana" w:hAnsi="Verdana"/>
                <w:spacing w:val="-2"/>
                <w:sz w:val="20"/>
                <w:szCs w:val="20"/>
              </w:rPr>
            </w:pPr>
            <w:r>
              <w:rPr>
                <w:rFonts w:ascii="Verdana" w:hAnsi="Verdana"/>
                <w:spacing w:val="-2"/>
                <w:sz w:val="20"/>
                <w:szCs w:val="20"/>
              </w:rPr>
              <w:lastRenderedPageBreak/>
              <w:t xml:space="preserve">В член </w:t>
            </w:r>
            <w:r w:rsidR="00E45762" w:rsidRPr="00E45762">
              <w:rPr>
                <w:rFonts w:ascii="Verdana" w:hAnsi="Verdana"/>
                <w:spacing w:val="-2"/>
                <w:sz w:val="20"/>
                <w:szCs w:val="20"/>
              </w:rPr>
              <w:t>17 ал. 1 от Наредба 1/2016 г. е посочено, че Местната инициативна група прилага съответните процедури от Закона за обществените поръчки при избор на изпълнител за текущи разходи и популяризиране на стратегията на т</w:t>
            </w:r>
            <w:r w:rsidR="00E45762" w:rsidRPr="00E45762">
              <w:rPr>
                <w:rFonts w:ascii="Verdana" w:hAnsi="Verdana"/>
                <w:spacing w:val="-2"/>
                <w:sz w:val="20"/>
                <w:szCs w:val="20"/>
              </w:rPr>
              <w:t>е</w:t>
            </w:r>
            <w:r w:rsidR="00E45762" w:rsidRPr="00E45762">
              <w:rPr>
                <w:rFonts w:ascii="Verdana" w:hAnsi="Verdana"/>
                <w:spacing w:val="-2"/>
                <w:sz w:val="20"/>
                <w:szCs w:val="20"/>
              </w:rPr>
              <w:t>риторията си на действие.</w:t>
            </w:r>
          </w:p>
          <w:p w:rsidR="00E45762" w:rsidRPr="00E45762" w:rsidRDefault="009B1913" w:rsidP="00911019">
            <w:pPr>
              <w:spacing w:before="60" w:after="40"/>
              <w:jc w:val="both"/>
              <w:rPr>
                <w:rFonts w:ascii="Verdana" w:hAnsi="Verdana"/>
                <w:spacing w:val="-2"/>
                <w:sz w:val="20"/>
                <w:szCs w:val="20"/>
              </w:rPr>
            </w:pPr>
            <w:r>
              <w:rPr>
                <w:rFonts w:ascii="Verdana" w:hAnsi="Verdana"/>
                <w:spacing w:val="-2"/>
                <w:sz w:val="20"/>
                <w:szCs w:val="20"/>
              </w:rPr>
              <w:t xml:space="preserve">В Чл. </w:t>
            </w:r>
            <w:r w:rsidR="00E45762" w:rsidRPr="00E45762">
              <w:rPr>
                <w:rFonts w:ascii="Verdana" w:hAnsi="Verdana"/>
                <w:spacing w:val="-2"/>
                <w:sz w:val="20"/>
                <w:szCs w:val="20"/>
              </w:rPr>
              <w:t>18. Ал. 1 от същата наредба е посочено, че „Когато дейност от приложение № 1 е възложена на външен изпълнител по реда на Закона за обществените поръчки, сто</w:t>
            </w:r>
            <w:r w:rsidR="00E45762" w:rsidRPr="00E45762">
              <w:rPr>
                <w:rFonts w:ascii="Verdana" w:hAnsi="Verdana"/>
                <w:spacing w:val="-2"/>
                <w:sz w:val="20"/>
                <w:szCs w:val="20"/>
              </w:rPr>
              <w:t>й</w:t>
            </w:r>
            <w:r w:rsidR="00E45762" w:rsidRPr="00E45762">
              <w:rPr>
                <w:rFonts w:ascii="Verdana" w:hAnsi="Verdana"/>
                <w:spacing w:val="-2"/>
                <w:sz w:val="20"/>
                <w:szCs w:val="20"/>
              </w:rPr>
              <w:t>ността на разходите, определени в приложението, се изпо</w:t>
            </w:r>
            <w:r w:rsidR="00E45762" w:rsidRPr="00E45762">
              <w:rPr>
                <w:rFonts w:ascii="Verdana" w:hAnsi="Verdana"/>
                <w:spacing w:val="-2"/>
                <w:sz w:val="20"/>
                <w:szCs w:val="20"/>
              </w:rPr>
              <w:t>л</w:t>
            </w:r>
            <w:r w:rsidR="00E45762" w:rsidRPr="00E45762">
              <w:rPr>
                <w:rFonts w:ascii="Verdana" w:hAnsi="Verdana"/>
                <w:spacing w:val="-2"/>
                <w:sz w:val="20"/>
                <w:szCs w:val="20"/>
              </w:rPr>
              <w:t>зва от МИГ за определяне на прогнозната стойност за въ</w:t>
            </w:r>
            <w:r w:rsidR="00E45762" w:rsidRPr="00E45762">
              <w:rPr>
                <w:rFonts w:ascii="Verdana" w:hAnsi="Verdana"/>
                <w:spacing w:val="-2"/>
                <w:sz w:val="20"/>
                <w:szCs w:val="20"/>
              </w:rPr>
              <w:t>з</w:t>
            </w:r>
            <w:r w:rsidR="00E45762" w:rsidRPr="00E45762">
              <w:rPr>
                <w:rFonts w:ascii="Verdana" w:hAnsi="Verdana"/>
                <w:spacing w:val="-2"/>
                <w:sz w:val="20"/>
                <w:szCs w:val="20"/>
              </w:rPr>
              <w:t>лагане на обществена поръчка.“</w:t>
            </w:r>
          </w:p>
          <w:p w:rsidR="00E45762" w:rsidRDefault="00E45762" w:rsidP="00911019">
            <w:pPr>
              <w:spacing w:before="60" w:after="40"/>
              <w:jc w:val="both"/>
              <w:rPr>
                <w:rFonts w:ascii="Verdana" w:hAnsi="Verdana"/>
                <w:spacing w:val="-2"/>
                <w:sz w:val="20"/>
                <w:szCs w:val="20"/>
              </w:rPr>
            </w:pPr>
            <w:r w:rsidRPr="00E45762">
              <w:rPr>
                <w:rFonts w:ascii="Verdana" w:hAnsi="Verdana"/>
                <w:spacing w:val="-2"/>
                <w:sz w:val="20"/>
                <w:szCs w:val="20"/>
              </w:rPr>
              <w:t>В чл. 67 ал. 4 от Регламент 1303 е посочено че, „4. Когато дадена операция или проект, част от операция, се осъществява изключително чрез възлагане на обществени поръчки за строителни работи, стоки или услуги, се прилага единс</w:t>
            </w:r>
            <w:r w:rsidRPr="00E45762">
              <w:rPr>
                <w:rFonts w:ascii="Verdana" w:hAnsi="Verdana"/>
                <w:spacing w:val="-2"/>
                <w:sz w:val="20"/>
                <w:szCs w:val="20"/>
              </w:rPr>
              <w:t>т</w:t>
            </w:r>
            <w:r w:rsidRPr="00E45762">
              <w:rPr>
                <w:rFonts w:ascii="Verdana" w:hAnsi="Verdana"/>
                <w:spacing w:val="-2"/>
                <w:sz w:val="20"/>
                <w:szCs w:val="20"/>
              </w:rPr>
              <w:t>вено първа алинея, буква а). Когато възлагането на поръ</w:t>
            </w:r>
            <w:r w:rsidRPr="00E45762">
              <w:rPr>
                <w:rFonts w:ascii="Verdana" w:hAnsi="Verdana"/>
                <w:spacing w:val="-2"/>
                <w:sz w:val="20"/>
                <w:szCs w:val="20"/>
              </w:rPr>
              <w:t>ч</w:t>
            </w:r>
            <w:r w:rsidRPr="00E45762">
              <w:rPr>
                <w:rFonts w:ascii="Verdana" w:hAnsi="Verdana"/>
                <w:spacing w:val="-2"/>
                <w:sz w:val="20"/>
                <w:szCs w:val="20"/>
              </w:rPr>
              <w:t>ки в рамките на дадена операция или проект, част от операция, е ограничено само до определени категории разходи, могат да бъдат прилагани всички възможности, посоч</w:t>
            </w:r>
            <w:r w:rsidRPr="00E45762">
              <w:rPr>
                <w:rFonts w:ascii="Verdana" w:hAnsi="Verdana"/>
                <w:spacing w:val="-2"/>
                <w:sz w:val="20"/>
                <w:szCs w:val="20"/>
              </w:rPr>
              <w:t>е</w:t>
            </w:r>
            <w:r w:rsidRPr="00E45762">
              <w:rPr>
                <w:rFonts w:ascii="Verdana" w:hAnsi="Verdana"/>
                <w:spacing w:val="-2"/>
                <w:sz w:val="20"/>
                <w:szCs w:val="20"/>
              </w:rPr>
              <w:t>ни в параграф 1.“</w:t>
            </w:r>
          </w:p>
          <w:p w:rsidR="00E45762" w:rsidRPr="00C5749B" w:rsidRDefault="00C5749B" w:rsidP="00911019">
            <w:pPr>
              <w:spacing w:before="60" w:after="40"/>
              <w:jc w:val="both"/>
              <w:rPr>
                <w:rFonts w:ascii="Verdana" w:hAnsi="Verdana"/>
                <w:spacing w:val="-4"/>
                <w:sz w:val="20"/>
                <w:szCs w:val="20"/>
              </w:rPr>
            </w:pPr>
            <w:r w:rsidRPr="00C5749B">
              <w:rPr>
                <w:rFonts w:ascii="Verdana" w:hAnsi="Verdana"/>
                <w:spacing w:val="-4"/>
                <w:sz w:val="20"/>
                <w:szCs w:val="20"/>
              </w:rPr>
              <w:t>П</w:t>
            </w:r>
            <w:r w:rsidR="00E45762" w:rsidRPr="00C5749B">
              <w:rPr>
                <w:rFonts w:ascii="Verdana" w:hAnsi="Verdana"/>
                <w:spacing w:val="-4"/>
                <w:sz w:val="20"/>
                <w:szCs w:val="20"/>
              </w:rPr>
              <w:t xml:space="preserve">озовавайки се на тези разпоредби, Държавен фонд „Земеделие“ отказва да приеме опростено отчитане на разходите по </w:t>
            </w:r>
            <w:proofErr w:type="spellStart"/>
            <w:r w:rsidR="00E45762" w:rsidRPr="00C5749B">
              <w:rPr>
                <w:rFonts w:ascii="Verdana" w:hAnsi="Verdana"/>
                <w:spacing w:val="-4"/>
                <w:sz w:val="20"/>
                <w:szCs w:val="20"/>
              </w:rPr>
              <w:t>подмярка</w:t>
            </w:r>
            <w:proofErr w:type="spellEnd"/>
            <w:r w:rsidR="00E45762" w:rsidRPr="00C5749B">
              <w:rPr>
                <w:rFonts w:ascii="Verdana" w:hAnsi="Verdana"/>
                <w:spacing w:val="-4"/>
                <w:sz w:val="20"/>
                <w:szCs w:val="20"/>
              </w:rPr>
              <w:t xml:space="preserve"> 19.4. Всички текущи разходи на МИГ се отчитат по най-сложния начин (дори когато не са възложени чрез процедури по смисъла на ЗОП), като за възстановяването им се прилагат, както доказателства за възлаг</w:t>
            </w:r>
            <w:r w:rsidR="009B1913" w:rsidRPr="00C5749B">
              <w:rPr>
                <w:rFonts w:ascii="Verdana" w:hAnsi="Verdana"/>
                <w:spacing w:val="-4"/>
                <w:sz w:val="20"/>
                <w:szCs w:val="20"/>
              </w:rPr>
              <w:t>ане и изпълнението на дейността,</w:t>
            </w:r>
            <w:r w:rsidR="00E45762" w:rsidRPr="00C5749B">
              <w:rPr>
                <w:rFonts w:ascii="Verdana" w:hAnsi="Verdana"/>
                <w:spacing w:val="-4"/>
                <w:sz w:val="20"/>
                <w:szCs w:val="20"/>
              </w:rPr>
              <w:t xml:space="preserve"> така и всички финансови и платежни д</w:t>
            </w:r>
            <w:r w:rsidR="00E45762" w:rsidRPr="00C5749B">
              <w:rPr>
                <w:rFonts w:ascii="Verdana" w:hAnsi="Verdana"/>
                <w:spacing w:val="-4"/>
                <w:sz w:val="20"/>
                <w:szCs w:val="20"/>
              </w:rPr>
              <w:t>о</w:t>
            </w:r>
            <w:r w:rsidR="00E45762" w:rsidRPr="00C5749B">
              <w:rPr>
                <w:rFonts w:ascii="Verdana" w:hAnsi="Verdana"/>
                <w:spacing w:val="-4"/>
                <w:sz w:val="20"/>
                <w:szCs w:val="20"/>
              </w:rPr>
              <w:t>кументи  (включително за 15% те процента непреки разх</w:t>
            </w:r>
            <w:r w:rsidR="00E45762" w:rsidRPr="00C5749B">
              <w:rPr>
                <w:rFonts w:ascii="Verdana" w:hAnsi="Verdana"/>
                <w:spacing w:val="-4"/>
                <w:sz w:val="20"/>
                <w:szCs w:val="20"/>
              </w:rPr>
              <w:t>о</w:t>
            </w:r>
            <w:r w:rsidR="00E45762" w:rsidRPr="00C5749B">
              <w:rPr>
                <w:rFonts w:ascii="Verdana" w:hAnsi="Verdana"/>
                <w:spacing w:val="-4"/>
                <w:sz w:val="20"/>
                <w:szCs w:val="20"/>
              </w:rPr>
              <w:t>ди, който също би следвало да са опростен разхода под формата на единна ставка  – например куриерски разходи в размер на 5 лева, пощенски разходи за 1 лв. или офис ко</w:t>
            </w:r>
            <w:r w:rsidR="00E45762" w:rsidRPr="00C5749B">
              <w:rPr>
                <w:rFonts w:ascii="Verdana" w:hAnsi="Verdana"/>
                <w:spacing w:val="-4"/>
                <w:sz w:val="20"/>
                <w:szCs w:val="20"/>
              </w:rPr>
              <w:t>н</w:t>
            </w:r>
            <w:r w:rsidR="00E45762" w:rsidRPr="00C5749B">
              <w:rPr>
                <w:rFonts w:ascii="Verdana" w:hAnsi="Verdana"/>
                <w:spacing w:val="-4"/>
                <w:sz w:val="20"/>
                <w:szCs w:val="20"/>
              </w:rPr>
              <w:t>суматив – химикал за 0.50 лв.) и същите се описват подро</w:t>
            </w:r>
            <w:r w:rsidR="00E45762" w:rsidRPr="00C5749B">
              <w:rPr>
                <w:rFonts w:ascii="Verdana" w:hAnsi="Verdana"/>
                <w:spacing w:val="-4"/>
                <w:sz w:val="20"/>
                <w:szCs w:val="20"/>
              </w:rPr>
              <w:t>б</w:t>
            </w:r>
            <w:r w:rsidR="00E45762" w:rsidRPr="00C5749B">
              <w:rPr>
                <w:rFonts w:ascii="Verdana" w:hAnsi="Verdana"/>
                <w:spacing w:val="-4"/>
                <w:sz w:val="20"/>
                <w:szCs w:val="20"/>
              </w:rPr>
              <w:t>но в отчетните таблици за разходите.</w:t>
            </w:r>
          </w:p>
          <w:p w:rsidR="00E45762" w:rsidRPr="00C5749B" w:rsidRDefault="00E45762" w:rsidP="00911019">
            <w:pPr>
              <w:spacing w:before="60" w:after="40"/>
              <w:jc w:val="both"/>
              <w:rPr>
                <w:rFonts w:ascii="Verdana" w:hAnsi="Verdana"/>
                <w:spacing w:val="-4"/>
                <w:sz w:val="20"/>
                <w:szCs w:val="20"/>
              </w:rPr>
            </w:pPr>
            <w:r w:rsidRPr="00C5749B">
              <w:rPr>
                <w:rFonts w:ascii="Verdana" w:hAnsi="Verdana"/>
                <w:spacing w:val="-4"/>
                <w:sz w:val="20"/>
                <w:szCs w:val="20"/>
              </w:rPr>
              <w:lastRenderedPageBreak/>
              <w:t>За отчитане, например, на „опростен разход” за информационна среща на стойност  210 лв. (съгласно новите цени 152 лв. без ДДС/182лв. с ДДС ) МИГ прилага:  1) договори; 2) доклад за извършената работа; 3) приемно-предавателен протокол; 4) сметки за изплатени суми по граждански договори; 5) справка за изплатените възнаграждения и осиг</w:t>
            </w:r>
            <w:r w:rsidRPr="00C5749B">
              <w:rPr>
                <w:rFonts w:ascii="Verdana" w:hAnsi="Verdana"/>
                <w:spacing w:val="-4"/>
                <w:sz w:val="20"/>
                <w:szCs w:val="20"/>
              </w:rPr>
              <w:t>у</w:t>
            </w:r>
            <w:r w:rsidRPr="00C5749B">
              <w:rPr>
                <w:rFonts w:ascii="Verdana" w:hAnsi="Verdana"/>
                <w:spacing w:val="-4"/>
                <w:sz w:val="20"/>
                <w:szCs w:val="20"/>
              </w:rPr>
              <w:t>ровки по граждански договори; 6) платежни нареждания за внесени данъци и осигуровки и банково извлечение (за граждански договори); 7) фактура, платежно нареждане и банково извлечение; 8) снимки; 9) списъци на участниците, съдържащи име и фамилия, адрес, телефон и e-mail за контакти, наименование на организаци</w:t>
            </w:r>
            <w:r w:rsidRPr="00C5749B">
              <w:rPr>
                <w:rFonts w:ascii="Verdana" w:hAnsi="Verdana"/>
                <w:spacing w:val="-4"/>
                <w:sz w:val="20"/>
                <w:szCs w:val="20"/>
              </w:rPr>
              <w:t>я</w:t>
            </w:r>
            <w:r w:rsidRPr="00C5749B">
              <w:rPr>
                <w:rFonts w:ascii="Verdana" w:hAnsi="Verdana"/>
                <w:spacing w:val="-4"/>
                <w:sz w:val="20"/>
                <w:szCs w:val="20"/>
              </w:rPr>
              <w:t>та/институцията, която представляват, и подпис на участн</w:t>
            </w:r>
            <w:r w:rsidRPr="00C5749B">
              <w:rPr>
                <w:rFonts w:ascii="Verdana" w:hAnsi="Verdana"/>
                <w:spacing w:val="-4"/>
                <w:sz w:val="20"/>
                <w:szCs w:val="20"/>
              </w:rPr>
              <w:t>и</w:t>
            </w:r>
            <w:r w:rsidRPr="00C5749B">
              <w:rPr>
                <w:rFonts w:ascii="Verdana" w:hAnsi="Verdana"/>
                <w:spacing w:val="-4"/>
                <w:sz w:val="20"/>
                <w:szCs w:val="20"/>
              </w:rPr>
              <w:t>ка; 10) копия от презентации, материали, които са изпол</w:t>
            </w:r>
            <w:r w:rsidRPr="00C5749B">
              <w:rPr>
                <w:rFonts w:ascii="Verdana" w:hAnsi="Verdana"/>
                <w:spacing w:val="-4"/>
                <w:sz w:val="20"/>
                <w:szCs w:val="20"/>
              </w:rPr>
              <w:t>з</w:t>
            </w:r>
            <w:r w:rsidRPr="00C5749B">
              <w:rPr>
                <w:rFonts w:ascii="Verdana" w:hAnsi="Verdana"/>
                <w:spacing w:val="-4"/>
                <w:sz w:val="20"/>
                <w:szCs w:val="20"/>
              </w:rPr>
              <w:t xml:space="preserve">вани за дейността; 11) детайлна </w:t>
            </w:r>
            <w:proofErr w:type="spellStart"/>
            <w:r w:rsidRPr="00C5749B">
              <w:rPr>
                <w:rFonts w:ascii="Verdana" w:hAnsi="Verdana"/>
                <w:spacing w:val="-4"/>
                <w:sz w:val="20"/>
                <w:szCs w:val="20"/>
              </w:rPr>
              <w:t>проглама</w:t>
            </w:r>
            <w:proofErr w:type="spellEnd"/>
            <w:r w:rsidRPr="00C5749B">
              <w:rPr>
                <w:rFonts w:ascii="Verdana" w:hAnsi="Verdana"/>
                <w:spacing w:val="-4"/>
                <w:sz w:val="20"/>
                <w:szCs w:val="20"/>
              </w:rPr>
              <w:t xml:space="preserve"> за срещите; 12) протокол от срещата. 13) Допълнително прилагат копия от уведомителните писма  до УО и ДФЗ с входящ номер, за д</w:t>
            </w:r>
            <w:r w:rsidRPr="00C5749B">
              <w:rPr>
                <w:rFonts w:ascii="Verdana" w:hAnsi="Verdana"/>
                <w:spacing w:val="-4"/>
                <w:sz w:val="20"/>
                <w:szCs w:val="20"/>
              </w:rPr>
              <w:t>о</w:t>
            </w:r>
            <w:r w:rsidRPr="00C5749B">
              <w:rPr>
                <w:rFonts w:ascii="Verdana" w:hAnsi="Verdana"/>
                <w:spacing w:val="-4"/>
                <w:sz w:val="20"/>
                <w:szCs w:val="20"/>
              </w:rPr>
              <w:t>казателство, че са уведомени 10 работни дни преди прове</w:t>
            </w:r>
            <w:r w:rsidRPr="00C5749B">
              <w:rPr>
                <w:rFonts w:ascii="Verdana" w:hAnsi="Verdana"/>
                <w:spacing w:val="-4"/>
                <w:sz w:val="20"/>
                <w:szCs w:val="20"/>
              </w:rPr>
              <w:t>ж</w:t>
            </w:r>
            <w:r w:rsidRPr="00C5749B">
              <w:rPr>
                <w:rFonts w:ascii="Verdana" w:hAnsi="Verdana"/>
                <w:spacing w:val="-4"/>
                <w:sz w:val="20"/>
                <w:szCs w:val="20"/>
              </w:rPr>
              <w:t>дането на събитието.</w:t>
            </w:r>
          </w:p>
          <w:p w:rsidR="00E45762" w:rsidRPr="00E45762" w:rsidRDefault="00E45762" w:rsidP="00911019">
            <w:pPr>
              <w:spacing w:before="60" w:after="40"/>
              <w:jc w:val="both"/>
              <w:rPr>
                <w:rFonts w:ascii="Verdana" w:hAnsi="Verdana"/>
                <w:spacing w:val="-2"/>
                <w:sz w:val="20"/>
                <w:szCs w:val="20"/>
              </w:rPr>
            </w:pPr>
            <w:r w:rsidRPr="00E45762">
              <w:rPr>
                <w:rFonts w:ascii="Verdana" w:hAnsi="Verdana"/>
                <w:spacing w:val="-2"/>
                <w:sz w:val="20"/>
                <w:szCs w:val="20"/>
              </w:rPr>
              <w:t xml:space="preserve">В такъв случай приемането в нормативни </w:t>
            </w:r>
            <w:r>
              <w:rPr>
                <w:rFonts w:ascii="Verdana" w:hAnsi="Verdana"/>
                <w:spacing w:val="-2"/>
                <w:sz w:val="20"/>
                <w:szCs w:val="20"/>
              </w:rPr>
              <w:t>актове (Наредба № 1 и Наредба 4</w:t>
            </w:r>
            <w:r w:rsidRPr="00E45762">
              <w:rPr>
                <w:rFonts w:ascii="Verdana" w:hAnsi="Verdana"/>
                <w:spacing w:val="-2"/>
                <w:sz w:val="20"/>
                <w:szCs w:val="20"/>
              </w:rPr>
              <w:t>) както и в ПРСР 2014-2020 на таблици с наименованието „Опростени разходи“  е терминологически некоректно и подвеждащо, включително и за европейските институции.</w:t>
            </w:r>
          </w:p>
          <w:p w:rsidR="00E45762" w:rsidRPr="00E45762" w:rsidRDefault="00E45762" w:rsidP="00911019">
            <w:pPr>
              <w:spacing w:before="60" w:after="40"/>
              <w:jc w:val="both"/>
              <w:rPr>
                <w:rFonts w:ascii="Verdana" w:hAnsi="Verdana"/>
                <w:spacing w:val="-2"/>
                <w:sz w:val="20"/>
                <w:szCs w:val="20"/>
              </w:rPr>
            </w:pPr>
            <w:r w:rsidRPr="00E45762">
              <w:rPr>
                <w:rFonts w:ascii="Verdana" w:hAnsi="Verdana"/>
                <w:spacing w:val="-2"/>
                <w:sz w:val="20"/>
                <w:szCs w:val="20"/>
              </w:rPr>
              <w:t xml:space="preserve">Съгласно Указанията за опростените варианти на разходи на Европейската комисия  „Когато се използват опростени разходи, допустимите разходи се изчисляват в съответствие с предварително определен метод, въз основа на крайните продукти, резултатите или някакви други разходи. Вече не е необходимо проследяване на всяко евро от </w:t>
            </w:r>
            <w:proofErr w:type="spellStart"/>
            <w:r w:rsidRPr="00E45762">
              <w:rPr>
                <w:rFonts w:ascii="Verdana" w:hAnsi="Verdana"/>
                <w:spacing w:val="-2"/>
                <w:sz w:val="20"/>
                <w:szCs w:val="20"/>
              </w:rPr>
              <w:t>съфинансир</w:t>
            </w:r>
            <w:r w:rsidRPr="00E45762">
              <w:rPr>
                <w:rFonts w:ascii="Verdana" w:hAnsi="Verdana"/>
                <w:spacing w:val="-2"/>
                <w:sz w:val="20"/>
                <w:szCs w:val="20"/>
              </w:rPr>
              <w:t>а</w:t>
            </w:r>
            <w:r w:rsidRPr="00E45762">
              <w:rPr>
                <w:rFonts w:ascii="Verdana" w:hAnsi="Verdana"/>
                <w:spacing w:val="-2"/>
                <w:sz w:val="20"/>
                <w:szCs w:val="20"/>
              </w:rPr>
              <w:t>ните</w:t>
            </w:r>
            <w:proofErr w:type="spellEnd"/>
            <w:r w:rsidRPr="00E45762">
              <w:rPr>
                <w:rFonts w:ascii="Verdana" w:hAnsi="Verdana"/>
                <w:spacing w:val="-2"/>
                <w:sz w:val="20"/>
                <w:szCs w:val="20"/>
              </w:rPr>
              <w:t xml:space="preserve"> разходи по отделните </w:t>
            </w:r>
            <w:proofErr w:type="spellStart"/>
            <w:r w:rsidRPr="00E45762">
              <w:rPr>
                <w:rFonts w:ascii="Verdana" w:hAnsi="Verdana"/>
                <w:spacing w:val="-2"/>
                <w:sz w:val="20"/>
                <w:szCs w:val="20"/>
              </w:rPr>
              <w:t>разходооправдателни</w:t>
            </w:r>
            <w:proofErr w:type="spellEnd"/>
            <w:r w:rsidRPr="00E45762">
              <w:rPr>
                <w:rFonts w:ascii="Verdana" w:hAnsi="Verdana"/>
                <w:spacing w:val="-2"/>
                <w:sz w:val="20"/>
                <w:szCs w:val="20"/>
              </w:rPr>
              <w:t xml:space="preserve"> докуме</w:t>
            </w:r>
            <w:r w:rsidRPr="00E45762">
              <w:rPr>
                <w:rFonts w:ascii="Verdana" w:hAnsi="Verdana"/>
                <w:spacing w:val="-2"/>
                <w:sz w:val="20"/>
                <w:szCs w:val="20"/>
              </w:rPr>
              <w:t>н</w:t>
            </w:r>
            <w:r w:rsidRPr="00E45762">
              <w:rPr>
                <w:rFonts w:ascii="Verdana" w:hAnsi="Verdana"/>
                <w:spacing w:val="-2"/>
                <w:sz w:val="20"/>
                <w:szCs w:val="20"/>
              </w:rPr>
              <w:t xml:space="preserve">ти. Този е основен елемент при опростените разходи, тъй като значително се облекчава административната тежест. Използването на опростени разходи означава също така, че </w:t>
            </w:r>
            <w:r w:rsidRPr="00E45762">
              <w:rPr>
                <w:rFonts w:ascii="Verdana" w:hAnsi="Verdana"/>
                <w:spacing w:val="-2"/>
                <w:sz w:val="20"/>
                <w:szCs w:val="20"/>
              </w:rPr>
              <w:lastRenderedPageBreak/>
              <w:t>човешките ресурси и административните усилия, които са необходими за управлението на ЕСИФ, могат да бъдат съ</w:t>
            </w:r>
            <w:r w:rsidRPr="00E45762">
              <w:rPr>
                <w:rFonts w:ascii="Verdana" w:hAnsi="Verdana"/>
                <w:spacing w:val="-2"/>
                <w:sz w:val="20"/>
                <w:szCs w:val="20"/>
              </w:rPr>
              <w:t>с</w:t>
            </w:r>
            <w:r w:rsidRPr="00E45762">
              <w:rPr>
                <w:rFonts w:ascii="Verdana" w:hAnsi="Verdana"/>
                <w:spacing w:val="-2"/>
                <w:sz w:val="20"/>
                <w:szCs w:val="20"/>
              </w:rPr>
              <w:t>редоточени в по-голяма степен върху постигането на целите на политиките, вместо да са насочени към събирането и проверяването на финансови документи“</w:t>
            </w:r>
          </w:p>
          <w:p w:rsidR="00E45762" w:rsidRPr="00E45762" w:rsidRDefault="00E45762" w:rsidP="00DA6BB3">
            <w:pPr>
              <w:spacing w:before="60" w:after="120"/>
              <w:jc w:val="both"/>
              <w:rPr>
                <w:rFonts w:ascii="Verdana" w:hAnsi="Verdana"/>
                <w:spacing w:val="-2"/>
                <w:sz w:val="20"/>
                <w:szCs w:val="20"/>
              </w:rPr>
            </w:pPr>
            <w:r w:rsidRPr="00E45762">
              <w:rPr>
                <w:rFonts w:ascii="Verdana" w:hAnsi="Verdana"/>
                <w:spacing w:val="-4"/>
                <w:sz w:val="20"/>
                <w:szCs w:val="20"/>
              </w:rPr>
              <w:t>Пределните цени в Наредба 1/2016 г. и Наредба 4/2018 г. не съответстват на целите на чл. 67 от регламент 1303/2013 г. и на</w:t>
            </w:r>
            <w:r w:rsidRPr="00E45762">
              <w:rPr>
                <w:rFonts w:ascii="Verdana" w:hAnsi="Verdana"/>
                <w:spacing w:val="-2"/>
                <w:sz w:val="20"/>
                <w:szCs w:val="20"/>
              </w:rPr>
              <w:t xml:space="preserve"> метода за отпускане на БФП под форма на опростени разходи, поради което предлагаме тези приложения или да бъдат премахнати и МИГ да определя стойностите на де</w:t>
            </w:r>
            <w:r w:rsidRPr="00E45762">
              <w:rPr>
                <w:rFonts w:ascii="Verdana" w:hAnsi="Verdana"/>
                <w:spacing w:val="-2"/>
                <w:sz w:val="20"/>
                <w:szCs w:val="20"/>
              </w:rPr>
              <w:t>й</w:t>
            </w:r>
            <w:r w:rsidRPr="00E45762">
              <w:rPr>
                <w:rFonts w:ascii="Verdana" w:hAnsi="Verdana"/>
                <w:spacing w:val="-2"/>
                <w:sz w:val="20"/>
                <w:szCs w:val="20"/>
              </w:rPr>
              <w:t>ностите в бюджетите си съобразно пазарните цени, или в случай, че УО на ПРСР счита, че е необходимо да бъде по</w:t>
            </w:r>
            <w:r w:rsidRPr="00E45762">
              <w:rPr>
                <w:rFonts w:ascii="Verdana" w:hAnsi="Verdana"/>
                <w:spacing w:val="-2"/>
                <w:sz w:val="20"/>
                <w:szCs w:val="20"/>
              </w:rPr>
              <w:t>с</w:t>
            </w:r>
            <w:r w:rsidRPr="00E45762">
              <w:rPr>
                <w:rFonts w:ascii="Verdana" w:hAnsi="Verdana"/>
                <w:spacing w:val="-2"/>
                <w:sz w:val="20"/>
                <w:szCs w:val="20"/>
              </w:rPr>
              <w:t>тавен унифициран таван на допустимите разходи за отде</w:t>
            </w:r>
            <w:r w:rsidRPr="00E45762">
              <w:rPr>
                <w:rFonts w:ascii="Verdana" w:hAnsi="Verdana"/>
                <w:spacing w:val="-2"/>
                <w:sz w:val="20"/>
                <w:szCs w:val="20"/>
              </w:rPr>
              <w:t>л</w:t>
            </w:r>
            <w:r w:rsidRPr="00E45762">
              <w:rPr>
                <w:rFonts w:ascii="Verdana" w:hAnsi="Verdana"/>
                <w:spacing w:val="-2"/>
                <w:sz w:val="20"/>
                <w:szCs w:val="20"/>
              </w:rPr>
              <w:t>ните дейности на МИГ,  предлагаме:</w:t>
            </w:r>
          </w:p>
        </w:tc>
        <w:tc>
          <w:tcPr>
            <w:tcW w:w="1676" w:type="dxa"/>
            <w:tcBorders>
              <w:top w:val="nil"/>
              <w:bottom w:val="nil"/>
            </w:tcBorders>
            <w:shd w:val="clear" w:color="auto" w:fill="auto"/>
          </w:tcPr>
          <w:p w:rsidR="00E65957" w:rsidRPr="00E45762" w:rsidRDefault="00E65957" w:rsidP="00911019">
            <w:pPr>
              <w:spacing w:before="60" w:after="40"/>
              <w:rPr>
                <w:rFonts w:ascii="Verdana" w:hAnsi="Verdana"/>
                <w:color w:val="FF0000"/>
                <w:sz w:val="20"/>
                <w:szCs w:val="20"/>
                <w:lang w:val="af-ZA"/>
              </w:rPr>
            </w:pPr>
          </w:p>
        </w:tc>
        <w:tc>
          <w:tcPr>
            <w:tcW w:w="4422" w:type="dxa"/>
            <w:tcBorders>
              <w:top w:val="nil"/>
              <w:bottom w:val="nil"/>
            </w:tcBorders>
            <w:shd w:val="clear" w:color="auto" w:fill="auto"/>
          </w:tcPr>
          <w:p w:rsidR="00E65957" w:rsidRPr="00E45762" w:rsidRDefault="00E65957" w:rsidP="00911019">
            <w:pPr>
              <w:spacing w:before="60" w:after="40"/>
              <w:jc w:val="both"/>
              <w:rPr>
                <w:rFonts w:ascii="Verdana" w:hAnsi="Verdana"/>
                <w:color w:val="000000"/>
                <w:sz w:val="20"/>
                <w:szCs w:val="20"/>
                <w:lang w:val="af-ZA"/>
              </w:rPr>
            </w:pPr>
          </w:p>
        </w:tc>
      </w:tr>
      <w:tr w:rsidR="008E14A9" w:rsidRPr="00E45762" w:rsidTr="008E14A9">
        <w:trPr>
          <w:trHeight w:val="596"/>
          <w:jc w:val="center"/>
        </w:trPr>
        <w:tc>
          <w:tcPr>
            <w:tcW w:w="622" w:type="dxa"/>
            <w:tcBorders>
              <w:top w:val="nil"/>
              <w:bottom w:val="nil"/>
            </w:tcBorders>
            <w:shd w:val="clear" w:color="auto" w:fill="auto"/>
          </w:tcPr>
          <w:p w:rsidR="008E14A9" w:rsidRPr="00E45762" w:rsidRDefault="008E14A9"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8E14A9" w:rsidRPr="00E45762" w:rsidRDefault="008E14A9"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8E14A9" w:rsidRPr="00E45762" w:rsidRDefault="00E45762" w:rsidP="00911019">
            <w:pPr>
              <w:spacing w:before="60" w:after="40"/>
              <w:jc w:val="both"/>
              <w:rPr>
                <w:rFonts w:ascii="Verdana" w:hAnsi="Verdana"/>
                <w:spacing w:val="-2"/>
                <w:sz w:val="20"/>
                <w:szCs w:val="20"/>
              </w:rPr>
            </w:pPr>
            <w:r>
              <w:rPr>
                <w:rFonts w:ascii="Verdana" w:hAnsi="Verdana"/>
                <w:spacing w:val="-2"/>
                <w:sz w:val="20"/>
                <w:szCs w:val="20"/>
                <w:lang w:val="af-ZA"/>
              </w:rPr>
              <w:t>1.</w:t>
            </w:r>
            <w:r w:rsidR="00C5749B">
              <w:rPr>
                <w:rFonts w:ascii="Verdana" w:hAnsi="Verdana"/>
                <w:spacing w:val="-2"/>
                <w:sz w:val="20"/>
                <w:szCs w:val="20"/>
              </w:rPr>
              <w:t xml:space="preserve"> </w:t>
            </w:r>
            <w:r w:rsidRPr="00E45762">
              <w:rPr>
                <w:rFonts w:ascii="Verdana" w:hAnsi="Verdana"/>
                <w:spacing w:val="-2"/>
                <w:sz w:val="20"/>
                <w:szCs w:val="20"/>
                <w:lang w:val="af-ZA"/>
              </w:rPr>
              <w:t>Приложението „6а” да бъде преименувано на „максимални допустими цени за дейностите“ или „референти цени“,  като наименованието да съответства на действителната им правна същност</w:t>
            </w:r>
            <w:r>
              <w:rPr>
                <w:rFonts w:ascii="Verdana" w:hAnsi="Verdana"/>
                <w:spacing w:val="-2"/>
                <w:sz w:val="20"/>
                <w:szCs w:val="20"/>
              </w:rPr>
              <w:t>;</w:t>
            </w:r>
          </w:p>
        </w:tc>
        <w:tc>
          <w:tcPr>
            <w:tcW w:w="1676" w:type="dxa"/>
            <w:tcBorders>
              <w:top w:val="nil"/>
              <w:bottom w:val="nil"/>
            </w:tcBorders>
            <w:shd w:val="clear" w:color="auto" w:fill="auto"/>
          </w:tcPr>
          <w:p w:rsidR="008E14A9" w:rsidRPr="00291B19" w:rsidRDefault="008E14A9" w:rsidP="00911019">
            <w:pPr>
              <w:spacing w:before="60" w:after="40"/>
              <w:rPr>
                <w:rFonts w:ascii="Verdana" w:hAnsi="Verdana"/>
                <w:sz w:val="20"/>
                <w:szCs w:val="20"/>
                <w:lang w:val="af-ZA"/>
              </w:rPr>
            </w:pPr>
            <w:r w:rsidRPr="00291B19">
              <w:rPr>
                <w:rFonts w:ascii="Verdana" w:hAnsi="Verdana"/>
                <w:sz w:val="20"/>
                <w:szCs w:val="20"/>
                <w:lang w:val="af-ZA"/>
              </w:rPr>
              <w:t>Не се приема</w:t>
            </w:r>
          </w:p>
        </w:tc>
        <w:tc>
          <w:tcPr>
            <w:tcW w:w="4422" w:type="dxa"/>
            <w:tcBorders>
              <w:top w:val="nil"/>
              <w:bottom w:val="nil"/>
            </w:tcBorders>
            <w:shd w:val="clear" w:color="auto" w:fill="auto"/>
          </w:tcPr>
          <w:p w:rsidR="008E14A9" w:rsidRPr="00804F6F" w:rsidRDefault="00804F6F" w:rsidP="00DA6BB3">
            <w:pPr>
              <w:spacing w:before="60" w:after="120"/>
              <w:jc w:val="both"/>
              <w:rPr>
                <w:rFonts w:ascii="Verdana" w:hAnsi="Verdana"/>
                <w:color w:val="000000"/>
                <w:sz w:val="20"/>
                <w:szCs w:val="20"/>
              </w:rPr>
            </w:pPr>
            <w:r w:rsidRPr="00804F6F">
              <w:rPr>
                <w:rFonts w:ascii="Verdana" w:hAnsi="Verdana"/>
                <w:color w:val="000000"/>
                <w:sz w:val="20"/>
                <w:szCs w:val="20"/>
              </w:rPr>
              <w:t>Приложението съдържа таблица с о</w:t>
            </w:r>
            <w:r w:rsidRPr="00804F6F">
              <w:rPr>
                <w:rFonts w:ascii="Verdana" w:hAnsi="Verdana"/>
                <w:color w:val="000000"/>
                <w:sz w:val="20"/>
                <w:szCs w:val="20"/>
              </w:rPr>
              <w:t>п</w:t>
            </w:r>
            <w:r w:rsidRPr="00804F6F">
              <w:rPr>
                <w:rFonts w:ascii="Verdana" w:hAnsi="Verdana"/>
                <w:color w:val="000000"/>
                <w:sz w:val="20"/>
                <w:szCs w:val="20"/>
              </w:rPr>
              <w:t>ростени разходи, така както са одо</w:t>
            </w:r>
            <w:r w:rsidRPr="00804F6F">
              <w:rPr>
                <w:rFonts w:ascii="Verdana" w:hAnsi="Verdana"/>
                <w:color w:val="000000"/>
                <w:sz w:val="20"/>
                <w:szCs w:val="20"/>
              </w:rPr>
              <w:t>б</w:t>
            </w:r>
            <w:r w:rsidRPr="00804F6F">
              <w:rPr>
                <w:rFonts w:ascii="Verdana" w:hAnsi="Verdana"/>
                <w:color w:val="000000"/>
                <w:sz w:val="20"/>
                <w:szCs w:val="20"/>
              </w:rPr>
              <w:t xml:space="preserve">рени в ПРСР 2014-2020 г. </w:t>
            </w:r>
            <w:r w:rsidRPr="00804F6F">
              <w:rPr>
                <w:rFonts w:ascii="Verdana" w:hAnsi="Verdana"/>
                <w:sz w:val="20"/>
                <w:szCs w:val="20"/>
              </w:rPr>
              <w:t xml:space="preserve">като част от петата нотификация на </w:t>
            </w:r>
            <w:r w:rsidR="007E6BFF">
              <w:rPr>
                <w:rFonts w:ascii="Verdana" w:hAnsi="Verdana"/>
                <w:sz w:val="20"/>
                <w:szCs w:val="20"/>
              </w:rPr>
              <w:t xml:space="preserve">програмата </w:t>
            </w:r>
            <w:r w:rsidRPr="00804F6F">
              <w:rPr>
                <w:rFonts w:ascii="Verdana" w:hAnsi="Verdana"/>
                <w:sz w:val="20"/>
                <w:szCs w:val="20"/>
              </w:rPr>
              <w:t>с Решение за изпълнение на Комисията от 30.04.2019 г. за одобряване на и</w:t>
            </w:r>
            <w:r w:rsidRPr="00804F6F">
              <w:rPr>
                <w:rFonts w:ascii="Verdana" w:hAnsi="Verdana"/>
                <w:sz w:val="20"/>
                <w:szCs w:val="20"/>
              </w:rPr>
              <w:t>з</w:t>
            </w:r>
            <w:r w:rsidRPr="00804F6F">
              <w:rPr>
                <w:rFonts w:ascii="Verdana" w:hAnsi="Verdana"/>
                <w:sz w:val="20"/>
                <w:szCs w:val="20"/>
              </w:rPr>
              <w:t>менението на програмата за развитие на селските райони на България за подпомагане от Европейския земедел</w:t>
            </w:r>
            <w:r w:rsidRPr="00804F6F">
              <w:rPr>
                <w:rFonts w:ascii="Verdana" w:hAnsi="Verdana"/>
                <w:sz w:val="20"/>
                <w:szCs w:val="20"/>
              </w:rPr>
              <w:t>с</w:t>
            </w:r>
            <w:r w:rsidRPr="00804F6F">
              <w:rPr>
                <w:rFonts w:ascii="Verdana" w:hAnsi="Verdana"/>
                <w:sz w:val="20"/>
                <w:szCs w:val="20"/>
              </w:rPr>
              <w:t>ки фонд за развитие на селските рай</w:t>
            </w:r>
            <w:r w:rsidRPr="00804F6F">
              <w:rPr>
                <w:rFonts w:ascii="Verdana" w:hAnsi="Verdana"/>
                <w:sz w:val="20"/>
                <w:szCs w:val="20"/>
              </w:rPr>
              <w:t>о</w:t>
            </w:r>
            <w:r w:rsidRPr="00804F6F">
              <w:rPr>
                <w:rFonts w:ascii="Verdana" w:hAnsi="Verdana"/>
                <w:sz w:val="20"/>
                <w:szCs w:val="20"/>
              </w:rPr>
              <w:t>ни CCI 2014BG06RDNP001.</w:t>
            </w:r>
          </w:p>
        </w:tc>
      </w:tr>
      <w:tr w:rsidR="008E14A9" w:rsidRPr="00E45762" w:rsidTr="008E14A9">
        <w:trPr>
          <w:trHeight w:val="596"/>
          <w:jc w:val="center"/>
        </w:trPr>
        <w:tc>
          <w:tcPr>
            <w:tcW w:w="622" w:type="dxa"/>
            <w:tcBorders>
              <w:top w:val="nil"/>
              <w:bottom w:val="nil"/>
            </w:tcBorders>
            <w:shd w:val="clear" w:color="auto" w:fill="auto"/>
          </w:tcPr>
          <w:p w:rsidR="008E14A9" w:rsidRPr="00E45762" w:rsidRDefault="008E14A9"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8E14A9" w:rsidRPr="00E45762" w:rsidRDefault="008E14A9"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8E14A9" w:rsidRPr="00E45762" w:rsidRDefault="00E45762" w:rsidP="00911019">
            <w:pPr>
              <w:spacing w:before="60" w:after="40"/>
              <w:jc w:val="both"/>
              <w:rPr>
                <w:rFonts w:ascii="Verdana" w:hAnsi="Verdana"/>
                <w:spacing w:val="-2"/>
                <w:sz w:val="20"/>
                <w:szCs w:val="20"/>
              </w:rPr>
            </w:pPr>
            <w:r>
              <w:rPr>
                <w:rFonts w:ascii="Verdana" w:hAnsi="Verdana"/>
                <w:spacing w:val="-2"/>
                <w:sz w:val="20"/>
                <w:szCs w:val="20"/>
                <w:lang w:val="af-ZA"/>
              </w:rPr>
              <w:t>2.</w:t>
            </w:r>
            <w:r>
              <w:rPr>
                <w:rFonts w:ascii="Verdana" w:hAnsi="Verdana"/>
                <w:spacing w:val="-2"/>
                <w:sz w:val="20"/>
                <w:szCs w:val="20"/>
              </w:rPr>
              <w:t xml:space="preserve"> </w:t>
            </w:r>
            <w:r w:rsidRPr="00E45762">
              <w:rPr>
                <w:rFonts w:ascii="Verdana" w:hAnsi="Verdana"/>
                <w:spacing w:val="-2"/>
                <w:sz w:val="20"/>
                <w:szCs w:val="20"/>
                <w:lang w:val="af-ZA"/>
              </w:rPr>
              <w:t>От таблицата да се премахне колоната „Документи за отчитане“ тъй като тя е неприложима и не отговаря на действително изискваните от ДФЗ и представяни от МИГ документи за отчитане на тези дейности.</w:t>
            </w:r>
          </w:p>
        </w:tc>
        <w:tc>
          <w:tcPr>
            <w:tcW w:w="1676" w:type="dxa"/>
            <w:tcBorders>
              <w:top w:val="nil"/>
              <w:bottom w:val="nil"/>
            </w:tcBorders>
            <w:shd w:val="clear" w:color="auto" w:fill="auto"/>
          </w:tcPr>
          <w:p w:rsidR="008E14A9" w:rsidRPr="00291B19" w:rsidRDefault="008E14A9" w:rsidP="00911019">
            <w:pPr>
              <w:spacing w:before="60" w:after="40"/>
              <w:rPr>
                <w:rFonts w:ascii="Verdana" w:hAnsi="Verdana"/>
                <w:sz w:val="20"/>
                <w:szCs w:val="20"/>
                <w:lang w:val="af-ZA"/>
              </w:rPr>
            </w:pPr>
            <w:r w:rsidRPr="00291B19">
              <w:rPr>
                <w:rFonts w:ascii="Verdana" w:hAnsi="Verdana"/>
                <w:sz w:val="20"/>
                <w:szCs w:val="20"/>
                <w:lang w:val="af-ZA"/>
              </w:rPr>
              <w:t>Не се приема</w:t>
            </w:r>
          </w:p>
        </w:tc>
        <w:tc>
          <w:tcPr>
            <w:tcW w:w="4422" w:type="dxa"/>
            <w:tcBorders>
              <w:top w:val="nil"/>
              <w:bottom w:val="nil"/>
            </w:tcBorders>
            <w:shd w:val="clear" w:color="auto" w:fill="auto"/>
          </w:tcPr>
          <w:p w:rsidR="008E14A9" w:rsidRPr="00804F6F" w:rsidRDefault="00804F6F" w:rsidP="00DA6BB3">
            <w:pPr>
              <w:spacing w:before="60" w:after="120"/>
              <w:jc w:val="both"/>
              <w:rPr>
                <w:rFonts w:ascii="Verdana" w:hAnsi="Verdana"/>
                <w:color w:val="000000"/>
                <w:sz w:val="20"/>
                <w:szCs w:val="20"/>
              </w:rPr>
            </w:pPr>
            <w:r>
              <w:rPr>
                <w:rFonts w:ascii="Verdana" w:hAnsi="Verdana"/>
                <w:color w:val="000000"/>
                <w:sz w:val="20"/>
                <w:szCs w:val="20"/>
              </w:rPr>
              <w:t>В колоната са описани изискуемите документи</w:t>
            </w:r>
            <w:r w:rsidR="00691BB4">
              <w:rPr>
                <w:rFonts w:ascii="Verdana" w:hAnsi="Verdana"/>
                <w:color w:val="000000"/>
                <w:sz w:val="20"/>
                <w:szCs w:val="20"/>
              </w:rPr>
              <w:t>, необходими</w:t>
            </w:r>
            <w:r>
              <w:rPr>
                <w:rFonts w:ascii="Verdana" w:hAnsi="Verdana"/>
                <w:color w:val="000000"/>
                <w:sz w:val="20"/>
                <w:szCs w:val="20"/>
              </w:rPr>
              <w:t xml:space="preserve"> за отчитане на съответния разход</w:t>
            </w:r>
            <w:r w:rsidR="00691BB4">
              <w:rPr>
                <w:rFonts w:ascii="Verdana" w:hAnsi="Verdana"/>
                <w:color w:val="000000"/>
                <w:sz w:val="20"/>
                <w:szCs w:val="20"/>
              </w:rPr>
              <w:t xml:space="preserve"> като опростен</w:t>
            </w:r>
            <w:r>
              <w:rPr>
                <w:rFonts w:ascii="Verdana" w:hAnsi="Verdana"/>
                <w:color w:val="000000"/>
                <w:sz w:val="20"/>
                <w:szCs w:val="20"/>
              </w:rPr>
              <w:t xml:space="preserve">. </w:t>
            </w:r>
            <w:r w:rsidR="00691BB4">
              <w:rPr>
                <w:rFonts w:ascii="Verdana" w:hAnsi="Verdana"/>
                <w:color w:val="000000"/>
                <w:sz w:val="20"/>
                <w:szCs w:val="20"/>
              </w:rPr>
              <w:t>При отчитане на разхода като действително извършен, ДФЗ изисква по-г</w:t>
            </w:r>
            <w:r w:rsidR="00A94EB7">
              <w:rPr>
                <w:rFonts w:ascii="Verdana" w:hAnsi="Verdana"/>
                <w:color w:val="000000"/>
                <w:sz w:val="20"/>
                <w:szCs w:val="20"/>
              </w:rPr>
              <w:t>о</w:t>
            </w:r>
            <w:r w:rsidR="00691BB4">
              <w:rPr>
                <w:rFonts w:ascii="Verdana" w:hAnsi="Verdana"/>
                <w:color w:val="000000"/>
                <w:sz w:val="20"/>
                <w:szCs w:val="20"/>
              </w:rPr>
              <w:t>лям брой</w:t>
            </w:r>
            <w:r>
              <w:rPr>
                <w:rFonts w:ascii="Verdana" w:hAnsi="Verdana"/>
                <w:color w:val="000000"/>
                <w:sz w:val="20"/>
                <w:szCs w:val="20"/>
              </w:rPr>
              <w:t xml:space="preserve"> документи</w:t>
            </w:r>
            <w:r w:rsidR="007F0EC1">
              <w:rPr>
                <w:rFonts w:ascii="Verdana" w:hAnsi="Verdana"/>
                <w:color w:val="000000"/>
                <w:sz w:val="20"/>
                <w:szCs w:val="20"/>
              </w:rPr>
              <w:t>, посочени в Наредба № 1 от 2016 г.</w:t>
            </w:r>
            <w:r>
              <w:rPr>
                <w:rFonts w:ascii="Verdana" w:hAnsi="Verdana"/>
                <w:color w:val="000000"/>
                <w:sz w:val="20"/>
                <w:szCs w:val="20"/>
              </w:rPr>
              <w:t xml:space="preserve"> </w:t>
            </w:r>
          </w:p>
        </w:tc>
      </w:tr>
      <w:tr w:rsidR="008E14A9" w:rsidRPr="00E45762" w:rsidTr="009F1B30">
        <w:trPr>
          <w:trHeight w:val="596"/>
          <w:jc w:val="center"/>
        </w:trPr>
        <w:tc>
          <w:tcPr>
            <w:tcW w:w="622" w:type="dxa"/>
            <w:tcBorders>
              <w:top w:val="nil"/>
              <w:bottom w:val="nil"/>
            </w:tcBorders>
            <w:shd w:val="clear" w:color="auto" w:fill="auto"/>
          </w:tcPr>
          <w:p w:rsidR="008E14A9" w:rsidRPr="00E45762" w:rsidRDefault="008E14A9"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8E14A9" w:rsidRPr="00E45762" w:rsidRDefault="008E14A9"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8E14A9" w:rsidRPr="00E45762" w:rsidRDefault="00E45762" w:rsidP="00911019">
            <w:pPr>
              <w:spacing w:before="60" w:after="40"/>
              <w:jc w:val="both"/>
              <w:rPr>
                <w:rFonts w:ascii="Verdana" w:hAnsi="Verdana"/>
                <w:spacing w:val="-2"/>
                <w:sz w:val="20"/>
                <w:szCs w:val="20"/>
                <w:lang w:val="af-ZA"/>
              </w:rPr>
            </w:pPr>
            <w:r w:rsidRPr="00E45762">
              <w:rPr>
                <w:rFonts w:ascii="Verdana" w:hAnsi="Verdana"/>
                <w:spacing w:val="-2"/>
                <w:sz w:val="20"/>
                <w:szCs w:val="20"/>
                <w:lang w:val="af-ZA"/>
              </w:rPr>
              <w:t>Освен това, доколкото в проекта за изменение не е посочено, че новото приложение 6а към Наредба 4/2018</w:t>
            </w:r>
            <w:r>
              <w:rPr>
                <w:rFonts w:ascii="Verdana" w:hAnsi="Verdana"/>
                <w:spacing w:val="-2"/>
                <w:sz w:val="20"/>
                <w:szCs w:val="20"/>
              </w:rPr>
              <w:t xml:space="preserve"> </w:t>
            </w:r>
            <w:r w:rsidRPr="00E45762">
              <w:rPr>
                <w:rFonts w:ascii="Verdana" w:hAnsi="Verdana"/>
                <w:spacing w:val="-2"/>
                <w:sz w:val="20"/>
                <w:szCs w:val="20"/>
                <w:lang w:val="af-ZA"/>
              </w:rPr>
              <w:t>г.  отменя съществуващото приложение Приложение № 1 към чл. 5, т. 2 от  Наредба № 1/2016</w:t>
            </w:r>
            <w:r>
              <w:rPr>
                <w:rFonts w:ascii="Verdana" w:hAnsi="Verdana"/>
                <w:spacing w:val="-2"/>
                <w:sz w:val="20"/>
                <w:szCs w:val="20"/>
              </w:rPr>
              <w:t xml:space="preserve"> </w:t>
            </w:r>
            <w:r w:rsidRPr="00E45762">
              <w:rPr>
                <w:rFonts w:ascii="Verdana" w:hAnsi="Verdana"/>
                <w:spacing w:val="-2"/>
                <w:sz w:val="20"/>
                <w:szCs w:val="20"/>
                <w:lang w:val="af-ZA"/>
              </w:rPr>
              <w:t>г., след приемане на измененията на наредба 4  ще съществуват две паралелни таблици с опростени разходи с различни стойности, в действащи нормативни актове, касаещи прилагането на подмярка 19.4,  което считаме за юридически неприемливо.</w:t>
            </w:r>
          </w:p>
        </w:tc>
        <w:tc>
          <w:tcPr>
            <w:tcW w:w="1676" w:type="dxa"/>
            <w:tcBorders>
              <w:top w:val="nil"/>
              <w:bottom w:val="nil"/>
            </w:tcBorders>
            <w:shd w:val="clear" w:color="auto" w:fill="auto"/>
          </w:tcPr>
          <w:p w:rsidR="008E14A9" w:rsidRPr="00291B19" w:rsidRDefault="008E14A9" w:rsidP="00911019">
            <w:pPr>
              <w:spacing w:before="60" w:after="40"/>
              <w:rPr>
                <w:rFonts w:ascii="Verdana" w:hAnsi="Verdana"/>
                <w:sz w:val="20"/>
                <w:szCs w:val="20"/>
                <w:lang w:val="af-ZA"/>
              </w:rPr>
            </w:pPr>
            <w:r w:rsidRPr="00291B19">
              <w:rPr>
                <w:rFonts w:ascii="Verdana" w:hAnsi="Verdana"/>
                <w:sz w:val="20"/>
                <w:szCs w:val="20"/>
                <w:lang w:val="af-ZA"/>
              </w:rPr>
              <w:t>Не се приема</w:t>
            </w:r>
          </w:p>
        </w:tc>
        <w:tc>
          <w:tcPr>
            <w:tcW w:w="4422" w:type="dxa"/>
            <w:tcBorders>
              <w:top w:val="nil"/>
              <w:bottom w:val="nil"/>
            </w:tcBorders>
            <w:shd w:val="clear" w:color="auto" w:fill="auto"/>
          </w:tcPr>
          <w:p w:rsidR="008E14A9" w:rsidRPr="00804F6F" w:rsidRDefault="00804F6F" w:rsidP="00DA6BB3">
            <w:pPr>
              <w:spacing w:before="60" w:after="120"/>
              <w:jc w:val="both"/>
              <w:rPr>
                <w:rFonts w:ascii="Verdana" w:hAnsi="Verdana"/>
                <w:color w:val="000000"/>
                <w:sz w:val="20"/>
                <w:szCs w:val="20"/>
              </w:rPr>
            </w:pPr>
            <w:r>
              <w:rPr>
                <w:rFonts w:ascii="Verdana" w:hAnsi="Verdana"/>
                <w:color w:val="000000"/>
                <w:sz w:val="20"/>
                <w:szCs w:val="20"/>
              </w:rPr>
              <w:t>О</w:t>
            </w:r>
            <w:r w:rsidRPr="00804F6F">
              <w:rPr>
                <w:rFonts w:ascii="Verdana" w:hAnsi="Verdana"/>
                <w:color w:val="000000"/>
                <w:sz w:val="20"/>
                <w:szCs w:val="20"/>
              </w:rPr>
              <w:t>простени</w:t>
            </w:r>
            <w:r>
              <w:rPr>
                <w:rFonts w:ascii="Verdana" w:hAnsi="Verdana"/>
                <w:color w:val="000000"/>
                <w:sz w:val="20"/>
                <w:szCs w:val="20"/>
              </w:rPr>
              <w:t>те</w:t>
            </w:r>
            <w:r w:rsidRPr="00804F6F">
              <w:rPr>
                <w:rFonts w:ascii="Verdana" w:hAnsi="Verdana"/>
                <w:color w:val="000000"/>
                <w:sz w:val="20"/>
                <w:szCs w:val="20"/>
              </w:rPr>
              <w:t xml:space="preserve"> разходи</w:t>
            </w:r>
            <w:r>
              <w:rPr>
                <w:rFonts w:ascii="Verdana" w:hAnsi="Verdana"/>
                <w:color w:val="000000"/>
                <w:sz w:val="20"/>
                <w:szCs w:val="20"/>
              </w:rPr>
              <w:t xml:space="preserve"> са</w:t>
            </w:r>
            <w:r w:rsidRPr="00804F6F">
              <w:rPr>
                <w:rFonts w:ascii="Verdana" w:hAnsi="Verdana"/>
                <w:sz w:val="20"/>
                <w:szCs w:val="20"/>
              </w:rPr>
              <w:t xml:space="preserve"> част от петата нотификация на</w:t>
            </w:r>
            <w:r w:rsidR="007E6BFF">
              <w:rPr>
                <w:rFonts w:ascii="Verdana" w:hAnsi="Verdana"/>
                <w:sz w:val="20"/>
                <w:szCs w:val="20"/>
              </w:rPr>
              <w:t xml:space="preserve"> програмата, одобрена</w:t>
            </w:r>
            <w:r w:rsidRPr="00804F6F">
              <w:rPr>
                <w:rFonts w:ascii="Verdana" w:hAnsi="Verdana"/>
                <w:sz w:val="20"/>
                <w:szCs w:val="20"/>
              </w:rPr>
              <w:t xml:space="preserve"> с Решение за изпълнение на Комисията от 30.04.2019 г. за одобряване на и</w:t>
            </w:r>
            <w:r w:rsidRPr="00804F6F">
              <w:rPr>
                <w:rFonts w:ascii="Verdana" w:hAnsi="Verdana"/>
                <w:sz w:val="20"/>
                <w:szCs w:val="20"/>
              </w:rPr>
              <w:t>з</w:t>
            </w:r>
            <w:r w:rsidRPr="00804F6F">
              <w:rPr>
                <w:rFonts w:ascii="Verdana" w:hAnsi="Verdana"/>
                <w:sz w:val="20"/>
                <w:szCs w:val="20"/>
              </w:rPr>
              <w:t>мене</w:t>
            </w:r>
            <w:r>
              <w:rPr>
                <w:rFonts w:ascii="Verdana" w:hAnsi="Verdana"/>
                <w:sz w:val="20"/>
                <w:szCs w:val="20"/>
              </w:rPr>
              <w:t>нието на П</w:t>
            </w:r>
            <w:r w:rsidRPr="00804F6F">
              <w:rPr>
                <w:rFonts w:ascii="Verdana" w:hAnsi="Verdana"/>
                <w:sz w:val="20"/>
                <w:szCs w:val="20"/>
              </w:rPr>
              <w:t>рограмата за развитие на селските райони на България за подпомагане от Европейския земедел</w:t>
            </w:r>
            <w:r w:rsidRPr="00804F6F">
              <w:rPr>
                <w:rFonts w:ascii="Verdana" w:hAnsi="Verdana"/>
                <w:sz w:val="20"/>
                <w:szCs w:val="20"/>
              </w:rPr>
              <w:t>с</w:t>
            </w:r>
            <w:r w:rsidRPr="00804F6F">
              <w:rPr>
                <w:rFonts w:ascii="Verdana" w:hAnsi="Verdana"/>
                <w:sz w:val="20"/>
                <w:szCs w:val="20"/>
              </w:rPr>
              <w:t>ки фонд за развитие на селските рай</w:t>
            </w:r>
            <w:r w:rsidRPr="00804F6F">
              <w:rPr>
                <w:rFonts w:ascii="Verdana" w:hAnsi="Verdana"/>
                <w:sz w:val="20"/>
                <w:szCs w:val="20"/>
              </w:rPr>
              <w:t>о</w:t>
            </w:r>
            <w:r w:rsidRPr="00804F6F">
              <w:rPr>
                <w:rFonts w:ascii="Verdana" w:hAnsi="Verdana"/>
                <w:sz w:val="20"/>
                <w:szCs w:val="20"/>
              </w:rPr>
              <w:t>ни CCI 2014BG06RDNP001.</w:t>
            </w:r>
            <w:r>
              <w:rPr>
                <w:rFonts w:ascii="Verdana" w:hAnsi="Verdana"/>
                <w:sz w:val="20"/>
                <w:szCs w:val="20"/>
              </w:rPr>
              <w:t xml:space="preserve"> </w:t>
            </w:r>
            <w:r>
              <w:rPr>
                <w:rFonts w:ascii="Verdana" w:hAnsi="Verdana"/>
                <w:color w:val="000000"/>
                <w:sz w:val="20"/>
                <w:szCs w:val="20"/>
              </w:rPr>
              <w:t>По-новият нормативен акт отменя по-стария от същата степен.</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F1B30" w:rsidRDefault="00C079C7" w:rsidP="00911019">
            <w:pPr>
              <w:spacing w:before="60" w:after="40"/>
              <w:jc w:val="both"/>
              <w:rPr>
                <w:rFonts w:ascii="Verdana" w:hAnsi="Verdana"/>
                <w:spacing w:val="-2"/>
                <w:sz w:val="20"/>
                <w:szCs w:val="20"/>
              </w:rPr>
            </w:pPr>
            <w:r w:rsidRPr="00C079C7">
              <w:rPr>
                <w:rFonts w:ascii="Verdana" w:hAnsi="Verdana"/>
                <w:spacing w:val="-2"/>
                <w:sz w:val="20"/>
                <w:szCs w:val="20"/>
                <w:lang w:val="af-ZA"/>
              </w:rPr>
              <w:t>II. Предлагаме изменението на Наредбата да влезе в сила от 2020 г.</w:t>
            </w:r>
          </w:p>
          <w:p w:rsidR="00C079C7" w:rsidRPr="00C079C7" w:rsidRDefault="00C079C7" w:rsidP="00DA6BB3">
            <w:pPr>
              <w:spacing w:before="60" w:after="120"/>
              <w:jc w:val="both"/>
              <w:rPr>
                <w:rFonts w:ascii="Verdana" w:hAnsi="Verdana"/>
                <w:spacing w:val="-2"/>
                <w:sz w:val="20"/>
                <w:szCs w:val="20"/>
              </w:rPr>
            </w:pPr>
            <w:r w:rsidRPr="00C079C7">
              <w:rPr>
                <w:rFonts w:ascii="Verdana" w:hAnsi="Verdana"/>
                <w:spacing w:val="-2"/>
                <w:sz w:val="20"/>
                <w:szCs w:val="20"/>
              </w:rPr>
              <w:t>Местните инициативни групи вече работят по одобрените бюджети за 2019 г., които са съобразени със стойностите, посочени в Приложение № 1 към чл. 5, т. 2 от Наредба № 1 от 2016 г. Доколкото с предложението за изменение се предлага не само промяна в стойности, но и въвеждане в списъка на нови дейности, както и различна формулировка на досега включени такива, това ще породи неяснота при проверката на разходите от ДФЗ. На следващо място ще ощети МИГ, тъй като ако новите цени са по-ниски от одо</w:t>
            </w:r>
            <w:r w:rsidRPr="00C079C7">
              <w:rPr>
                <w:rFonts w:ascii="Verdana" w:hAnsi="Verdana"/>
                <w:spacing w:val="-2"/>
                <w:sz w:val="20"/>
                <w:szCs w:val="20"/>
              </w:rPr>
              <w:t>б</w:t>
            </w:r>
            <w:r w:rsidRPr="00C079C7">
              <w:rPr>
                <w:rFonts w:ascii="Verdana" w:hAnsi="Verdana"/>
                <w:spacing w:val="-2"/>
                <w:sz w:val="20"/>
                <w:szCs w:val="20"/>
              </w:rPr>
              <w:t>рените в бюджета те следва да възлагат дейностите си на по-ниски цени, но ако са по-високи, за да ги приложат следва да поискат изменение на бюджета.  Изменението на планираните дейности и разходите за тях по средата кале</w:t>
            </w:r>
            <w:r w:rsidRPr="00C079C7">
              <w:rPr>
                <w:rFonts w:ascii="Verdana" w:hAnsi="Verdana"/>
                <w:spacing w:val="-2"/>
                <w:sz w:val="20"/>
                <w:szCs w:val="20"/>
              </w:rPr>
              <w:t>н</w:t>
            </w:r>
            <w:r w:rsidRPr="00C079C7">
              <w:rPr>
                <w:rFonts w:ascii="Verdana" w:hAnsi="Verdana"/>
                <w:spacing w:val="-2"/>
                <w:sz w:val="20"/>
                <w:szCs w:val="20"/>
              </w:rPr>
              <w:t xml:space="preserve">дарна година ще ангажира ресурс както в МИГ, така и в УО на ПРСР, ще забави изпълнението на дейности от страна на МИГ, а тъй като е дълъг процес е възможно и да не стане факт до края на годината.  </w:t>
            </w:r>
          </w:p>
        </w:tc>
        <w:tc>
          <w:tcPr>
            <w:tcW w:w="1676" w:type="dxa"/>
            <w:tcBorders>
              <w:top w:val="nil"/>
              <w:bottom w:val="nil"/>
            </w:tcBorders>
            <w:shd w:val="clear" w:color="auto" w:fill="auto"/>
          </w:tcPr>
          <w:p w:rsidR="009F1B30" w:rsidRPr="00291B19" w:rsidRDefault="00C079C7" w:rsidP="00911019">
            <w:pPr>
              <w:spacing w:before="60" w:after="40"/>
              <w:rPr>
                <w:rFonts w:ascii="Verdana" w:hAnsi="Verdana"/>
                <w:sz w:val="20"/>
                <w:szCs w:val="20"/>
              </w:rPr>
            </w:pPr>
            <w:r w:rsidRPr="00291B19">
              <w:rPr>
                <w:rFonts w:ascii="Verdana" w:hAnsi="Verdana"/>
                <w:sz w:val="20"/>
                <w:szCs w:val="20"/>
              </w:rPr>
              <w:t>Не се приема</w:t>
            </w:r>
          </w:p>
        </w:tc>
        <w:tc>
          <w:tcPr>
            <w:tcW w:w="4422" w:type="dxa"/>
            <w:tcBorders>
              <w:top w:val="nil"/>
              <w:bottom w:val="nil"/>
            </w:tcBorders>
            <w:shd w:val="clear" w:color="auto" w:fill="auto"/>
          </w:tcPr>
          <w:p w:rsidR="009F1B30" w:rsidRPr="00E45762" w:rsidRDefault="00804F6F" w:rsidP="000B347E">
            <w:pPr>
              <w:spacing w:before="60" w:after="40"/>
              <w:jc w:val="both"/>
              <w:rPr>
                <w:rFonts w:ascii="Verdana" w:hAnsi="Verdana"/>
                <w:color w:val="000000"/>
                <w:sz w:val="20"/>
                <w:szCs w:val="20"/>
                <w:lang w:val="af-ZA"/>
              </w:rPr>
            </w:pPr>
            <w:r>
              <w:rPr>
                <w:rFonts w:ascii="Verdana" w:hAnsi="Verdana"/>
                <w:color w:val="000000"/>
                <w:sz w:val="20"/>
                <w:szCs w:val="20"/>
              </w:rPr>
              <w:t>О</w:t>
            </w:r>
            <w:r w:rsidRPr="00804F6F">
              <w:rPr>
                <w:rFonts w:ascii="Verdana" w:hAnsi="Verdana"/>
                <w:color w:val="000000"/>
                <w:sz w:val="20"/>
                <w:szCs w:val="20"/>
              </w:rPr>
              <w:t>простени</w:t>
            </w:r>
            <w:r>
              <w:rPr>
                <w:rFonts w:ascii="Verdana" w:hAnsi="Verdana"/>
                <w:color w:val="000000"/>
                <w:sz w:val="20"/>
                <w:szCs w:val="20"/>
              </w:rPr>
              <w:t>те</w:t>
            </w:r>
            <w:r w:rsidRPr="00804F6F">
              <w:rPr>
                <w:rFonts w:ascii="Verdana" w:hAnsi="Verdana"/>
                <w:color w:val="000000"/>
                <w:sz w:val="20"/>
                <w:szCs w:val="20"/>
              </w:rPr>
              <w:t xml:space="preserve"> разходи</w:t>
            </w:r>
            <w:r>
              <w:rPr>
                <w:rFonts w:ascii="Verdana" w:hAnsi="Verdana"/>
                <w:color w:val="000000"/>
                <w:sz w:val="20"/>
                <w:szCs w:val="20"/>
              </w:rPr>
              <w:t xml:space="preserve"> са</w:t>
            </w:r>
            <w:r w:rsidRPr="00804F6F">
              <w:rPr>
                <w:rFonts w:ascii="Verdana" w:hAnsi="Verdana"/>
                <w:sz w:val="20"/>
                <w:szCs w:val="20"/>
              </w:rPr>
              <w:t xml:space="preserve"> част от петата нотификация</w:t>
            </w:r>
            <w:r w:rsidR="007E6BFF">
              <w:rPr>
                <w:rFonts w:ascii="Verdana" w:hAnsi="Verdana"/>
                <w:sz w:val="20"/>
                <w:szCs w:val="20"/>
              </w:rPr>
              <w:t>, одобрена</w:t>
            </w:r>
            <w:r w:rsidRPr="00804F6F">
              <w:rPr>
                <w:rFonts w:ascii="Verdana" w:hAnsi="Verdana"/>
                <w:sz w:val="20"/>
                <w:szCs w:val="20"/>
              </w:rPr>
              <w:t xml:space="preserve"> с Решение за изпълнение на Комисията от 30.04.2019 г. за одобряване на изм</w:t>
            </w:r>
            <w:r w:rsidRPr="00804F6F">
              <w:rPr>
                <w:rFonts w:ascii="Verdana" w:hAnsi="Verdana"/>
                <w:sz w:val="20"/>
                <w:szCs w:val="20"/>
              </w:rPr>
              <w:t>е</w:t>
            </w:r>
            <w:r w:rsidRPr="00804F6F">
              <w:rPr>
                <w:rFonts w:ascii="Verdana" w:hAnsi="Verdana"/>
                <w:sz w:val="20"/>
                <w:szCs w:val="20"/>
              </w:rPr>
              <w:t>не</w:t>
            </w:r>
            <w:r>
              <w:rPr>
                <w:rFonts w:ascii="Verdana" w:hAnsi="Verdana"/>
                <w:sz w:val="20"/>
                <w:szCs w:val="20"/>
              </w:rPr>
              <w:t>нието на П</w:t>
            </w:r>
            <w:r w:rsidRPr="00804F6F">
              <w:rPr>
                <w:rFonts w:ascii="Verdana" w:hAnsi="Verdana"/>
                <w:sz w:val="20"/>
                <w:szCs w:val="20"/>
              </w:rPr>
              <w:t>рограмата за развитие на селските райони на България за по</w:t>
            </w:r>
            <w:r w:rsidRPr="00804F6F">
              <w:rPr>
                <w:rFonts w:ascii="Verdana" w:hAnsi="Verdana"/>
                <w:sz w:val="20"/>
                <w:szCs w:val="20"/>
              </w:rPr>
              <w:t>д</w:t>
            </w:r>
            <w:r w:rsidRPr="00804F6F">
              <w:rPr>
                <w:rFonts w:ascii="Verdana" w:hAnsi="Verdana"/>
                <w:sz w:val="20"/>
                <w:szCs w:val="20"/>
              </w:rPr>
              <w:t>помагане от Европейския земеделски фонд за развитие на селските райони CCI 2014BG06RDNP001.</w:t>
            </w:r>
          </w:p>
        </w:tc>
      </w:tr>
      <w:tr w:rsidR="00B215BD" w:rsidRPr="00E45762" w:rsidTr="009156DE">
        <w:trPr>
          <w:trHeight w:val="402"/>
          <w:jc w:val="center"/>
        </w:trPr>
        <w:tc>
          <w:tcPr>
            <w:tcW w:w="622" w:type="dxa"/>
            <w:vMerge w:val="restart"/>
            <w:tcBorders>
              <w:top w:val="nil"/>
            </w:tcBorders>
            <w:shd w:val="clear" w:color="auto" w:fill="auto"/>
          </w:tcPr>
          <w:p w:rsidR="00B215BD" w:rsidRPr="00E45762" w:rsidRDefault="00B215BD" w:rsidP="00911019">
            <w:pPr>
              <w:tabs>
                <w:tab w:val="left" w:pos="192"/>
              </w:tabs>
              <w:spacing w:before="60" w:after="40"/>
              <w:ind w:left="340"/>
              <w:rPr>
                <w:rFonts w:ascii="Verdana" w:hAnsi="Verdana"/>
                <w:b/>
                <w:sz w:val="20"/>
                <w:szCs w:val="20"/>
                <w:lang w:val="af-ZA"/>
              </w:rPr>
            </w:pPr>
          </w:p>
        </w:tc>
        <w:tc>
          <w:tcPr>
            <w:tcW w:w="2410" w:type="dxa"/>
            <w:vMerge w:val="restart"/>
            <w:tcBorders>
              <w:top w:val="nil"/>
            </w:tcBorders>
            <w:shd w:val="clear" w:color="auto" w:fill="auto"/>
          </w:tcPr>
          <w:p w:rsidR="00B215BD" w:rsidRPr="00E45762" w:rsidRDefault="00B215BD"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B215BD" w:rsidRPr="00C079C7" w:rsidRDefault="00B215BD" w:rsidP="00911019">
            <w:pPr>
              <w:spacing w:before="60" w:after="40"/>
              <w:jc w:val="both"/>
              <w:rPr>
                <w:rFonts w:ascii="Verdana" w:hAnsi="Verdana"/>
                <w:spacing w:val="-2"/>
                <w:sz w:val="20"/>
                <w:szCs w:val="20"/>
              </w:rPr>
            </w:pPr>
            <w:r w:rsidRPr="009F1B30">
              <w:rPr>
                <w:rFonts w:ascii="Verdana" w:hAnsi="Verdana"/>
                <w:spacing w:val="-2"/>
                <w:sz w:val="20"/>
                <w:szCs w:val="20"/>
                <w:lang w:val="af-ZA"/>
              </w:rPr>
              <w:t>В предложените изменения има неясни моменти:</w:t>
            </w:r>
          </w:p>
        </w:tc>
        <w:tc>
          <w:tcPr>
            <w:tcW w:w="1676" w:type="dxa"/>
            <w:tcBorders>
              <w:top w:val="nil"/>
              <w:bottom w:val="nil"/>
            </w:tcBorders>
            <w:shd w:val="clear" w:color="auto" w:fill="auto"/>
          </w:tcPr>
          <w:p w:rsidR="00B215BD" w:rsidRPr="00291B19" w:rsidRDefault="00B215BD" w:rsidP="00911019">
            <w:pPr>
              <w:spacing w:before="60" w:after="40"/>
              <w:rPr>
                <w:rFonts w:ascii="Verdana" w:hAnsi="Verdana"/>
                <w:sz w:val="20"/>
                <w:szCs w:val="20"/>
              </w:rPr>
            </w:pPr>
          </w:p>
        </w:tc>
        <w:tc>
          <w:tcPr>
            <w:tcW w:w="4422" w:type="dxa"/>
            <w:tcBorders>
              <w:top w:val="nil"/>
              <w:bottom w:val="nil"/>
            </w:tcBorders>
            <w:shd w:val="clear" w:color="auto" w:fill="auto"/>
          </w:tcPr>
          <w:p w:rsidR="00B215BD" w:rsidRPr="00E45762" w:rsidRDefault="00B215BD" w:rsidP="00911019">
            <w:pPr>
              <w:spacing w:before="60" w:after="40"/>
              <w:jc w:val="both"/>
              <w:rPr>
                <w:rFonts w:ascii="Verdana" w:hAnsi="Verdana"/>
                <w:color w:val="000000"/>
                <w:sz w:val="20"/>
                <w:szCs w:val="20"/>
                <w:lang w:val="af-ZA"/>
              </w:rPr>
            </w:pPr>
          </w:p>
        </w:tc>
      </w:tr>
      <w:tr w:rsidR="00B215BD" w:rsidRPr="00E45762" w:rsidTr="009156DE">
        <w:trPr>
          <w:trHeight w:val="596"/>
          <w:jc w:val="center"/>
        </w:trPr>
        <w:tc>
          <w:tcPr>
            <w:tcW w:w="622" w:type="dxa"/>
            <w:vMerge/>
            <w:tcBorders>
              <w:bottom w:val="nil"/>
            </w:tcBorders>
            <w:shd w:val="clear" w:color="auto" w:fill="auto"/>
          </w:tcPr>
          <w:p w:rsidR="00B215BD" w:rsidRPr="00E45762" w:rsidRDefault="00B215BD" w:rsidP="00911019">
            <w:pPr>
              <w:tabs>
                <w:tab w:val="left" w:pos="192"/>
              </w:tabs>
              <w:spacing w:before="60" w:after="40"/>
              <w:ind w:left="340"/>
              <w:rPr>
                <w:rFonts w:ascii="Verdana" w:hAnsi="Verdana"/>
                <w:b/>
                <w:sz w:val="20"/>
                <w:szCs w:val="20"/>
                <w:lang w:val="af-ZA"/>
              </w:rPr>
            </w:pPr>
          </w:p>
        </w:tc>
        <w:tc>
          <w:tcPr>
            <w:tcW w:w="2410" w:type="dxa"/>
            <w:vMerge/>
            <w:tcBorders>
              <w:bottom w:val="nil"/>
            </w:tcBorders>
            <w:shd w:val="clear" w:color="auto" w:fill="auto"/>
          </w:tcPr>
          <w:p w:rsidR="00B215BD" w:rsidRPr="00E45762" w:rsidRDefault="00B215BD"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B215BD" w:rsidRPr="00E45762" w:rsidRDefault="00B215BD" w:rsidP="00911019">
            <w:pPr>
              <w:spacing w:before="60" w:after="40"/>
              <w:jc w:val="both"/>
              <w:rPr>
                <w:rFonts w:ascii="Verdana" w:hAnsi="Verdana"/>
                <w:spacing w:val="-2"/>
                <w:sz w:val="20"/>
                <w:szCs w:val="20"/>
                <w:lang w:val="af-ZA"/>
              </w:rPr>
            </w:pPr>
            <w:r w:rsidRPr="00C079C7">
              <w:rPr>
                <w:rFonts w:ascii="Verdana" w:hAnsi="Verdana"/>
                <w:spacing w:val="-2"/>
                <w:sz w:val="20"/>
                <w:szCs w:val="20"/>
                <w:lang w:val="af-ZA"/>
              </w:rPr>
              <w:t>В досега съществуващия опис на „опростените разходи“ е включена цена за двудневно обучение, а в Приложение 6а само на еднодневно. Остава въпросът цената за двудневно обучение равна ли е на удвоената цена за еднодневно, или двудневните обучения нямат определена цена или, че вече е допустимо провеждане само на еднодневни такива.</w:t>
            </w:r>
          </w:p>
        </w:tc>
        <w:tc>
          <w:tcPr>
            <w:tcW w:w="1676" w:type="dxa"/>
            <w:tcBorders>
              <w:top w:val="nil"/>
              <w:bottom w:val="nil"/>
            </w:tcBorders>
            <w:shd w:val="clear" w:color="auto" w:fill="auto"/>
          </w:tcPr>
          <w:p w:rsidR="00B215BD" w:rsidRPr="00291B19" w:rsidRDefault="00B215BD" w:rsidP="00911019">
            <w:pPr>
              <w:spacing w:before="60" w:after="40"/>
              <w:rPr>
                <w:rFonts w:ascii="Verdana" w:hAnsi="Verdana"/>
                <w:sz w:val="20"/>
                <w:szCs w:val="20"/>
              </w:rPr>
            </w:pPr>
            <w:r w:rsidRPr="00291B19">
              <w:rPr>
                <w:rFonts w:ascii="Verdana" w:hAnsi="Verdana"/>
                <w:sz w:val="20"/>
                <w:szCs w:val="20"/>
              </w:rPr>
              <w:t>Приема се</w:t>
            </w:r>
            <w:r w:rsidR="001B26B0" w:rsidRPr="00291B19">
              <w:rPr>
                <w:rFonts w:ascii="Verdana" w:hAnsi="Verdana"/>
                <w:sz w:val="20"/>
                <w:szCs w:val="20"/>
              </w:rPr>
              <w:t xml:space="preserve"> по принцип</w:t>
            </w:r>
          </w:p>
        </w:tc>
        <w:tc>
          <w:tcPr>
            <w:tcW w:w="4422" w:type="dxa"/>
            <w:tcBorders>
              <w:top w:val="nil"/>
              <w:bottom w:val="nil"/>
            </w:tcBorders>
            <w:shd w:val="clear" w:color="auto" w:fill="auto"/>
          </w:tcPr>
          <w:p w:rsidR="00B215BD" w:rsidRPr="00C5749B" w:rsidRDefault="00B96713" w:rsidP="00DA6BB3">
            <w:pPr>
              <w:spacing w:before="60" w:after="120"/>
              <w:jc w:val="both"/>
              <w:rPr>
                <w:rFonts w:ascii="Verdana" w:hAnsi="Verdana"/>
                <w:color w:val="000000"/>
                <w:spacing w:val="-2"/>
                <w:sz w:val="20"/>
                <w:szCs w:val="20"/>
                <w:lang w:val="af-ZA"/>
              </w:rPr>
            </w:pPr>
            <w:r w:rsidRPr="00C5749B">
              <w:rPr>
                <w:rFonts w:ascii="Verdana" w:hAnsi="Verdana"/>
                <w:color w:val="000000"/>
                <w:spacing w:val="-2"/>
                <w:sz w:val="20"/>
                <w:szCs w:val="20"/>
              </w:rPr>
              <w:t xml:space="preserve">Таблицата с опростените разходи </w:t>
            </w:r>
            <w:r w:rsidR="009C74C9" w:rsidRPr="00C5749B">
              <w:rPr>
                <w:rFonts w:ascii="Verdana" w:hAnsi="Verdana"/>
                <w:color w:val="000000"/>
                <w:spacing w:val="-2"/>
                <w:sz w:val="20"/>
                <w:szCs w:val="20"/>
              </w:rPr>
              <w:t>е</w:t>
            </w:r>
            <w:r w:rsidRPr="00C5749B">
              <w:rPr>
                <w:rFonts w:ascii="Verdana" w:hAnsi="Verdana"/>
                <w:spacing w:val="-2"/>
                <w:sz w:val="20"/>
                <w:szCs w:val="20"/>
              </w:rPr>
              <w:t xml:space="preserve"> част от петата нотификация, одобрена с Р</w:t>
            </w:r>
            <w:r w:rsidRPr="00C5749B">
              <w:rPr>
                <w:rFonts w:ascii="Verdana" w:hAnsi="Verdana"/>
                <w:spacing w:val="-2"/>
                <w:sz w:val="20"/>
                <w:szCs w:val="20"/>
              </w:rPr>
              <w:t>е</w:t>
            </w:r>
            <w:r w:rsidRPr="00C5749B">
              <w:rPr>
                <w:rFonts w:ascii="Verdana" w:hAnsi="Verdana"/>
                <w:spacing w:val="-2"/>
                <w:sz w:val="20"/>
                <w:szCs w:val="20"/>
              </w:rPr>
              <w:t>шение за изпълнение на Комисията от 30.04.2019 г. за одобряване на измен</w:t>
            </w:r>
            <w:r w:rsidRPr="00C5749B">
              <w:rPr>
                <w:rFonts w:ascii="Verdana" w:hAnsi="Verdana"/>
                <w:spacing w:val="-2"/>
                <w:sz w:val="20"/>
                <w:szCs w:val="20"/>
              </w:rPr>
              <w:t>е</w:t>
            </w:r>
            <w:r w:rsidRPr="00C5749B">
              <w:rPr>
                <w:rFonts w:ascii="Verdana" w:hAnsi="Verdana"/>
                <w:spacing w:val="-2"/>
                <w:sz w:val="20"/>
                <w:szCs w:val="20"/>
              </w:rPr>
              <w:t>нието на Програмата за развитие на селските райони на България за подп</w:t>
            </w:r>
            <w:r w:rsidRPr="00C5749B">
              <w:rPr>
                <w:rFonts w:ascii="Verdana" w:hAnsi="Verdana"/>
                <w:spacing w:val="-2"/>
                <w:sz w:val="20"/>
                <w:szCs w:val="20"/>
              </w:rPr>
              <w:t>о</w:t>
            </w:r>
            <w:r w:rsidRPr="00C5749B">
              <w:rPr>
                <w:rFonts w:ascii="Verdana" w:hAnsi="Verdana"/>
                <w:spacing w:val="-2"/>
                <w:sz w:val="20"/>
                <w:szCs w:val="20"/>
              </w:rPr>
              <w:t>магане от Европейския земеделски фонд за развитие на селските райони CCI 2014BG06RDNP001 и не може да бъде измен</w:t>
            </w:r>
            <w:r w:rsidR="009C74C9" w:rsidRPr="00C5749B">
              <w:rPr>
                <w:rFonts w:ascii="Verdana" w:hAnsi="Verdana"/>
                <w:spacing w:val="-2"/>
                <w:sz w:val="20"/>
                <w:szCs w:val="20"/>
              </w:rPr>
              <w:t>е</w:t>
            </w:r>
            <w:r w:rsidRPr="00C5749B">
              <w:rPr>
                <w:rFonts w:ascii="Verdana" w:hAnsi="Verdana"/>
                <w:spacing w:val="-2"/>
                <w:sz w:val="20"/>
                <w:szCs w:val="20"/>
              </w:rPr>
              <w:t>на в наредбата. Поставен</w:t>
            </w:r>
            <w:r w:rsidRPr="00C5749B">
              <w:rPr>
                <w:rFonts w:ascii="Verdana" w:hAnsi="Verdana"/>
                <w:spacing w:val="-2"/>
                <w:sz w:val="20"/>
                <w:szCs w:val="20"/>
              </w:rPr>
              <w:t>и</w:t>
            </w:r>
            <w:r w:rsidRPr="00C5749B">
              <w:rPr>
                <w:rFonts w:ascii="Verdana" w:hAnsi="Verdana"/>
                <w:spacing w:val="-2"/>
                <w:sz w:val="20"/>
                <w:szCs w:val="20"/>
              </w:rPr>
              <w:t xml:space="preserve">ят въпрос е от оперативно естество и не </w:t>
            </w:r>
            <w:r w:rsidR="009C74C9" w:rsidRPr="00C5749B">
              <w:rPr>
                <w:rFonts w:ascii="Verdana" w:hAnsi="Verdana"/>
                <w:spacing w:val="-2"/>
                <w:sz w:val="20"/>
                <w:szCs w:val="20"/>
              </w:rPr>
              <w:t xml:space="preserve">е предмет на </w:t>
            </w:r>
            <w:r w:rsidR="00A94EB7" w:rsidRPr="00C5749B">
              <w:rPr>
                <w:rFonts w:ascii="Verdana" w:hAnsi="Verdana"/>
                <w:spacing w:val="-2"/>
                <w:sz w:val="20"/>
                <w:szCs w:val="20"/>
              </w:rPr>
              <w:t>наредбата за изменение и допълнение на наредба № 4 (</w:t>
            </w:r>
            <w:r w:rsidR="009C74C9" w:rsidRPr="00C5749B">
              <w:rPr>
                <w:rFonts w:ascii="Verdana" w:hAnsi="Verdana"/>
                <w:spacing w:val="-2"/>
                <w:sz w:val="20"/>
                <w:szCs w:val="20"/>
              </w:rPr>
              <w:t>НИД</w:t>
            </w:r>
            <w:r w:rsidR="00A94EB7" w:rsidRPr="00C5749B">
              <w:rPr>
                <w:rFonts w:ascii="Verdana" w:hAnsi="Verdana"/>
                <w:spacing w:val="-2"/>
                <w:sz w:val="20"/>
                <w:szCs w:val="20"/>
              </w:rPr>
              <w:t>)</w:t>
            </w:r>
            <w:r w:rsidR="009C74C9" w:rsidRPr="00C5749B">
              <w:rPr>
                <w:rFonts w:ascii="Verdana" w:hAnsi="Verdana"/>
                <w:spacing w:val="-2"/>
                <w:sz w:val="20"/>
                <w:szCs w:val="20"/>
              </w:rPr>
              <w:t>.</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F1B30" w:rsidRPr="00E45762" w:rsidRDefault="00C079C7" w:rsidP="00911019">
            <w:pPr>
              <w:spacing w:before="60" w:after="40"/>
              <w:jc w:val="both"/>
              <w:rPr>
                <w:rFonts w:ascii="Verdana" w:hAnsi="Verdana"/>
                <w:spacing w:val="-2"/>
                <w:sz w:val="20"/>
                <w:szCs w:val="20"/>
                <w:lang w:val="af-ZA"/>
              </w:rPr>
            </w:pPr>
            <w:r w:rsidRPr="00C079C7">
              <w:rPr>
                <w:rFonts w:ascii="Verdana" w:hAnsi="Verdana"/>
                <w:spacing w:val="-2"/>
                <w:sz w:val="20"/>
                <w:szCs w:val="20"/>
                <w:lang w:val="af-ZA"/>
              </w:rPr>
              <w:t>Неясно е какво означава, че § 2 се прилага по отношение на дейности, изпълнението, на които не е започнало към момента навлизане в сила на наредбата. МИГ вече имат сключени договори с изпълнители, като за някои от тях е уговорена месечна цена (например за поддръжка на интернет страница), в този случай от кога ще започнат да се прилагат новите по-ниски стойности – за месеците след влизане в сила на наредба, или по-високата сума ще е допустим разход за срока на действие на договора? Същото важи и за сключени договори за няколко дейности (обучения, информационни срещи), част от които са осъществени, а други предстои да бъдат реализирани след влизане в сила на изменението.</w:t>
            </w:r>
          </w:p>
        </w:tc>
        <w:tc>
          <w:tcPr>
            <w:tcW w:w="1676" w:type="dxa"/>
            <w:tcBorders>
              <w:top w:val="nil"/>
              <w:bottom w:val="nil"/>
            </w:tcBorders>
            <w:shd w:val="clear" w:color="auto" w:fill="auto"/>
          </w:tcPr>
          <w:p w:rsidR="009F1B30" w:rsidRPr="00291B19" w:rsidRDefault="00804F6F" w:rsidP="00911019">
            <w:pPr>
              <w:spacing w:before="60" w:after="40"/>
              <w:rPr>
                <w:rFonts w:ascii="Verdana" w:hAnsi="Verdana"/>
                <w:sz w:val="20"/>
                <w:szCs w:val="20"/>
              </w:rPr>
            </w:pPr>
            <w:r w:rsidRPr="00291B19">
              <w:rPr>
                <w:rFonts w:ascii="Verdana" w:hAnsi="Verdana"/>
                <w:sz w:val="20"/>
                <w:szCs w:val="20"/>
              </w:rPr>
              <w:t>Приема се по принцип</w:t>
            </w:r>
          </w:p>
        </w:tc>
        <w:tc>
          <w:tcPr>
            <w:tcW w:w="4422" w:type="dxa"/>
            <w:tcBorders>
              <w:top w:val="nil"/>
              <w:bottom w:val="nil"/>
            </w:tcBorders>
            <w:shd w:val="clear" w:color="auto" w:fill="auto"/>
          </w:tcPr>
          <w:p w:rsidR="009F1B30" w:rsidRPr="00804F6F" w:rsidRDefault="00804F6F" w:rsidP="00911019">
            <w:pPr>
              <w:spacing w:before="60" w:after="40"/>
              <w:jc w:val="both"/>
              <w:rPr>
                <w:rFonts w:ascii="Verdana" w:hAnsi="Verdana"/>
                <w:color w:val="000000"/>
                <w:sz w:val="20"/>
                <w:szCs w:val="20"/>
              </w:rPr>
            </w:pPr>
            <w:r>
              <w:rPr>
                <w:rFonts w:ascii="Verdana" w:hAnsi="Verdana"/>
                <w:color w:val="000000"/>
                <w:sz w:val="20"/>
                <w:szCs w:val="20"/>
              </w:rPr>
              <w:t>Текст</w:t>
            </w:r>
            <w:r w:rsidR="00B96713">
              <w:rPr>
                <w:rFonts w:ascii="Verdana" w:hAnsi="Verdana"/>
                <w:color w:val="000000"/>
                <w:sz w:val="20"/>
                <w:szCs w:val="20"/>
              </w:rPr>
              <w:t>ът</w:t>
            </w:r>
            <w:r>
              <w:rPr>
                <w:rFonts w:ascii="Verdana" w:hAnsi="Verdana"/>
                <w:color w:val="000000"/>
                <w:sz w:val="20"/>
                <w:szCs w:val="20"/>
              </w:rPr>
              <w:t xml:space="preserve"> е редактиран.</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F1B30" w:rsidRPr="00E45762" w:rsidRDefault="00C079C7" w:rsidP="00DA6BB3">
            <w:pPr>
              <w:spacing w:before="60" w:after="120"/>
              <w:jc w:val="both"/>
              <w:rPr>
                <w:rFonts w:ascii="Verdana" w:hAnsi="Verdana"/>
                <w:spacing w:val="-2"/>
                <w:sz w:val="20"/>
                <w:szCs w:val="20"/>
                <w:lang w:val="af-ZA"/>
              </w:rPr>
            </w:pPr>
            <w:r w:rsidRPr="00C079C7">
              <w:rPr>
                <w:rFonts w:ascii="Verdana" w:hAnsi="Verdana"/>
                <w:spacing w:val="-2"/>
                <w:sz w:val="20"/>
                <w:szCs w:val="20"/>
                <w:lang w:val="af-ZA"/>
              </w:rPr>
              <w:t xml:space="preserve">Има неяснота какво включва новия опростен разход за „Извършване на експертна работа – Оценка на проекти“ с мерна единица „оценен проект от 1 оценител“ и стойност 149 лева без ДДС или 179 лева с ДДС.  В одобрените бюджети на МИГ този разход е планиран като оценка на проект на всеки от двата етапа – административно съответствие и допустимост или техническа и финансова </w:t>
            </w:r>
            <w:r w:rsidRPr="00C079C7">
              <w:rPr>
                <w:rFonts w:ascii="Verdana" w:hAnsi="Verdana"/>
                <w:spacing w:val="-2"/>
                <w:sz w:val="20"/>
                <w:szCs w:val="20"/>
                <w:lang w:val="af-ZA"/>
              </w:rPr>
              <w:lastRenderedPageBreak/>
              <w:t>оценка, поради спецификата на оценката в ИСУН. Предлагаме да бъде уточнено дали тази стойност се отнася до извършване на оценка на отделните етапи или за цялостна оценка на проект. Също така, тъй като външните оценители са физически лица и не са регистрирани по ДДС – в този случай коя от двете посочени в таблицата стойности е максималната за договаряне?</w:t>
            </w:r>
          </w:p>
        </w:tc>
        <w:tc>
          <w:tcPr>
            <w:tcW w:w="1676" w:type="dxa"/>
            <w:tcBorders>
              <w:top w:val="nil"/>
              <w:bottom w:val="nil"/>
            </w:tcBorders>
            <w:shd w:val="clear" w:color="auto" w:fill="auto"/>
          </w:tcPr>
          <w:p w:rsidR="009F1B30" w:rsidRPr="00291B19" w:rsidRDefault="00C079C7" w:rsidP="00911019">
            <w:pPr>
              <w:spacing w:before="60" w:after="40"/>
              <w:rPr>
                <w:rFonts w:ascii="Verdana" w:hAnsi="Verdana"/>
                <w:sz w:val="20"/>
                <w:szCs w:val="20"/>
                <w:lang w:val="af-ZA"/>
              </w:rPr>
            </w:pPr>
            <w:r w:rsidRPr="00291B19">
              <w:rPr>
                <w:rFonts w:ascii="Verdana" w:hAnsi="Verdana"/>
                <w:sz w:val="20"/>
                <w:szCs w:val="20"/>
              </w:rPr>
              <w:lastRenderedPageBreak/>
              <w:t>Приема се</w:t>
            </w:r>
            <w:r w:rsidR="009C74C9" w:rsidRPr="00291B19">
              <w:rPr>
                <w:rFonts w:ascii="Verdana" w:hAnsi="Verdana"/>
                <w:sz w:val="20"/>
                <w:szCs w:val="20"/>
              </w:rPr>
              <w:t xml:space="preserve"> по принцип</w:t>
            </w:r>
          </w:p>
        </w:tc>
        <w:tc>
          <w:tcPr>
            <w:tcW w:w="4422" w:type="dxa"/>
            <w:tcBorders>
              <w:top w:val="nil"/>
              <w:bottom w:val="nil"/>
            </w:tcBorders>
            <w:shd w:val="clear" w:color="auto" w:fill="auto"/>
          </w:tcPr>
          <w:p w:rsidR="009F1B30" w:rsidRPr="00957F81" w:rsidRDefault="009C74C9" w:rsidP="000B347E">
            <w:pPr>
              <w:spacing w:before="60" w:after="40"/>
              <w:jc w:val="both"/>
              <w:rPr>
                <w:rFonts w:ascii="Verdana" w:hAnsi="Verdana"/>
                <w:sz w:val="20"/>
                <w:szCs w:val="20"/>
              </w:rPr>
            </w:pPr>
            <w:r w:rsidRPr="00A94EB7">
              <w:rPr>
                <w:rFonts w:ascii="Verdana" w:hAnsi="Verdana"/>
                <w:sz w:val="20"/>
                <w:szCs w:val="20"/>
              </w:rPr>
              <w:t>Таблицата с опростените разходи е</w:t>
            </w:r>
            <w:r w:rsidRPr="00804F6F">
              <w:rPr>
                <w:rFonts w:ascii="Verdana" w:hAnsi="Verdana"/>
                <w:sz w:val="20"/>
                <w:szCs w:val="20"/>
              </w:rPr>
              <w:t xml:space="preserve"> част от петата нотификация</w:t>
            </w:r>
            <w:r>
              <w:rPr>
                <w:rFonts w:ascii="Verdana" w:hAnsi="Verdana"/>
                <w:sz w:val="20"/>
                <w:szCs w:val="20"/>
              </w:rPr>
              <w:t>, одобрена</w:t>
            </w:r>
            <w:r w:rsidRPr="00804F6F">
              <w:rPr>
                <w:rFonts w:ascii="Verdana" w:hAnsi="Verdana"/>
                <w:sz w:val="20"/>
                <w:szCs w:val="20"/>
              </w:rPr>
              <w:t xml:space="preserve"> с Решение за изпълнение на Комисията от 30.04.2019 г. за одобряване на и</w:t>
            </w:r>
            <w:r w:rsidRPr="00804F6F">
              <w:rPr>
                <w:rFonts w:ascii="Verdana" w:hAnsi="Verdana"/>
                <w:sz w:val="20"/>
                <w:szCs w:val="20"/>
              </w:rPr>
              <w:t>з</w:t>
            </w:r>
            <w:r w:rsidRPr="00804F6F">
              <w:rPr>
                <w:rFonts w:ascii="Verdana" w:hAnsi="Verdana"/>
                <w:sz w:val="20"/>
                <w:szCs w:val="20"/>
              </w:rPr>
              <w:t>мене</w:t>
            </w:r>
            <w:r>
              <w:rPr>
                <w:rFonts w:ascii="Verdana" w:hAnsi="Verdana"/>
                <w:sz w:val="20"/>
                <w:szCs w:val="20"/>
              </w:rPr>
              <w:t>нието на П</w:t>
            </w:r>
            <w:r w:rsidRPr="00804F6F">
              <w:rPr>
                <w:rFonts w:ascii="Verdana" w:hAnsi="Verdana"/>
                <w:sz w:val="20"/>
                <w:szCs w:val="20"/>
              </w:rPr>
              <w:t>рограмата за развитие на селските райони на България за подпомагане от Европейския земедел</w:t>
            </w:r>
            <w:r w:rsidRPr="00804F6F">
              <w:rPr>
                <w:rFonts w:ascii="Verdana" w:hAnsi="Verdana"/>
                <w:sz w:val="20"/>
                <w:szCs w:val="20"/>
              </w:rPr>
              <w:t>с</w:t>
            </w:r>
            <w:r w:rsidRPr="00804F6F">
              <w:rPr>
                <w:rFonts w:ascii="Verdana" w:hAnsi="Verdana"/>
                <w:sz w:val="20"/>
                <w:szCs w:val="20"/>
              </w:rPr>
              <w:lastRenderedPageBreak/>
              <w:t>ки фонд за развитие на селските рай</w:t>
            </w:r>
            <w:r w:rsidRPr="00804F6F">
              <w:rPr>
                <w:rFonts w:ascii="Verdana" w:hAnsi="Verdana"/>
                <w:sz w:val="20"/>
                <w:szCs w:val="20"/>
              </w:rPr>
              <w:t>о</w:t>
            </w:r>
            <w:r w:rsidRPr="00804F6F">
              <w:rPr>
                <w:rFonts w:ascii="Verdana" w:hAnsi="Verdana"/>
                <w:sz w:val="20"/>
                <w:szCs w:val="20"/>
              </w:rPr>
              <w:t>ни CCI 2014BG06RDNP001</w:t>
            </w:r>
            <w:r>
              <w:rPr>
                <w:rFonts w:ascii="Verdana" w:hAnsi="Verdana"/>
                <w:sz w:val="20"/>
                <w:szCs w:val="20"/>
              </w:rPr>
              <w:t xml:space="preserve"> и не може да бъде изменена в наредбата. Постав</w:t>
            </w:r>
            <w:r>
              <w:rPr>
                <w:rFonts w:ascii="Verdana" w:hAnsi="Verdana"/>
                <w:sz w:val="20"/>
                <w:szCs w:val="20"/>
              </w:rPr>
              <w:t>е</w:t>
            </w:r>
            <w:r>
              <w:rPr>
                <w:rFonts w:ascii="Verdana" w:hAnsi="Verdana"/>
                <w:sz w:val="20"/>
                <w:szCs w:val="20"/>
              </w:rPr>
              <w:t>ният въпрос е от оперативно естество и не е предмет на НИД.</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F1B30" w:rsidRDefault="00724692" w:rsidP="00911019">
            <w:pPr>
              <w:spacing w:before="60" w:after="40"/>
              <w:jc w:val="both"/>
              <w:rPr>
                <w:rFonts w:ascii="Verdana" w:hAnsi="Verdana"/>
                <w:spacing w:val="-2"/>
                <w:sz w:val="20"/>
                <w:szCs w:val="20"/>
              </w:rPr>
            </w:pPr>
            <w:r w:rsidRPr="00724692">
              <w:rPr>
                <w:rFonts w:ascii="Verdana" w:hAnsi="Verdana"/>
                <w:spacing w:val="-2"/>
                <w:sz w:val="20"/>
                <w:szCs w:val="20"/>
                <w:lang w:val="af-ZA"/>
              </w:rPr>
              <w:t>III. На следващо място считаме че цените в приложението са занижени и не съответстват на пазарните</w:t>
            </w:r>
            <w:r>
              <w:rPr>
                <w:rFonts w:ascii="Verdana" w:hAnsi="Verdana"/>
                <w:spacing w:val="-2"/>
                <w:sz w:val="20"/>
                <w:szCs w:val="20"/>
              </w:rPr>
              <w:t>.</w:t>
            </w:r>
          </w:p>
          <w:p w:rsidR="00724692" w:rsidRPr="00724692" w:rsidRDefault="00724692" w:rsidP="00DA6BB3">
            <w:pPr>
              <w:spacing w:before="60" w:after="120"/>
              <w:jc w:val="both"/>
              <w:rPr>
                <w:rFonts w:ascii="Verdana" w:hAnsi="Verdana"/>
                <w:spacing w:val="-2"/>
                <w:sz w:val="20"/>
                <w:szCs w:val="20"/>
              </w:rPr>
            </w:pPr>
            <w:r w:rsidRPr="00724692">
              <w:rPr>
                <w:rFonts w:ascii="Verdana" w:hAnsi="Verdana"/>
                <w:spacing w:val="-2"/>
                <w:sz w:val="20"/>
                <w:szCs w:val="20"/>
              </w:rPr>
              <w:t xml:space="preserve">Дори и в настоящия си размер тези максимални цени водят до затруднения за намиране на изпълнители към МИГ. Ако се приеме, че същите ще бъдат прилагани в следващите 5 години  до края на изпълнение на </w:t>
            </w:r>
            <w:proofErr w:type="spellStart"/>
            <w:r w:rsidRPr="00724692">
              <w:rPr>
                <w:rFonts w:ascii="Verdana" w:hAnsi="Verdana"/>
                <w:spacing w:val="-2"/>
                <w:sz w:val="20"/>
                <w:szCs w:val="20"/>
              </w:rPr>
              <w:t>подмярка</w:t>
            </w:r>
            <w:proofErr w:type="spellEnd"/>
            <w:r w:rsidRPr="00724692">
              <w:rPr>
                <w:rFonts w:ascii="Verdana" w:hAnsi="Verdana"/>
                <w:spacing w:val="-2"/>
                <w:sz w:val="20"/>
                <w:szCs w:val="20"/>
              </w:rPr>
              <w:t xml:space="preserve"> 19.4 – а именно септември 2023 година, то тяхната стойност ще става още по-необективна и недостатъчна с всяка следваща година. В противоречие на икономическата логика, без отчитане на инфлацията, реалното повишение на пазарните цени или минималната работна заплата, новите цени за услуги са по-ниски от тези приети преди 4 години, и многократно по-ниски от прилаганите по подготвителната мярка за ЛИДЕР през 2010 година, както и за изпълнение на Стратегиите за местно развитие в предходния програмен период (2007-2013).</w:t>
            </w:r>
          </w:p>
        </w:tc>
        <w:tc>
          <w:tcPr>
            <w:tcW w:w="1676" w:type="dxa"/>
            <w:tcBorders>
              <w:top w:val="nil"/>
              <w:bottom w:val="nil"/>
            </w:tcBorders>
            <w:shd w:val="clear" w:color="auto" w:fill="auto"/>
          </w:tcPr>
          <w:p w:rsidR="00724692" w:rsidRPr="00291B19" w:rsidRDefault="00724692" w:rsidP="00911019">
            <w:pPr>
              <w:spacing w:before="60" w:after="40"/>
              <w:rPr>
                <w:rFonts w:ascii="Verdana" w:hAnsi="Verdana"/>
                <w:sz w:val="20"/>
                <w:szCs w:val="20"/>
              </w:rPr>
            </w:pPr>
            <w:r w:rsidRPr="00291B19">
              <w:rPr>
                <w:rFonts w:ascii="Verdana" w:hAnsi="Verdana"/>
                <w:sz w:val="20"/>
                <w:szCs w:val="20"/>
              </w:rPr>
              <w:t>Не се приема</w:t>
            </w:r>
          </w:p>
        </w:tc>
        <w:tc>
          <w:tcPr>
            <w:tcW w:w="4422" w:type="dxa"/>
            <w:tcBorders>
              <w:top w:val="nil"/>
              <w:bottom w:val="nil"/>
            </w:tcBorders>
            <w:shd w:val="clear" w:color="auto" w:fill="auto"/>
          </w:tcPr>
          <w:p w:rsidR="009F1B30" w:rsidRPr="00957F81" w:rsidRDefault="00957F81" w:rsidP="000B347E">
            <w:pPr>
              <w:spacing w:before="60" w:after="40"/>
              <w:jc w:val="both"/>
              <w:rPr>
                <w:rFonts w:ascii="Verdana" w:hAnsi="Verdana"/>
                <w:sz w:val="20"/>
                <w:szCs w:val="20"/>
              </w:rPr>
            </w:pPr>
            <w:r w:rsidRPr="00A94EB7">
              <w:rPr>
                <w:rFonts w:ascii="Verdana" w:hAnsi="Verdana"/>
                <w:spacing w:val="-2"/>
                <w:sz w:val="20"/>
                <w:szCs w:val="20"/>
              </w:rPr>
              <w:t>Стойностите, посочени в приложението са определени от екип, който е фун</w:t>
            </w:r>
            <w:r w:rsidRPr="00A94EB7">
              <w:rPr>
                <w:rFonts w:ascii="Verdana" w:hAnsi="Verdana"/>
                <w:spacing w:val="-2"/>
                <w:sz w:val="20"/>
                <w:szCs w:val="20"/>
              </w:rPr>
              <w:t>к</w:t>
            </w:r>
            <w:r w:rsidRPr="00A94EB7">
              <w:rPr>
                <w:rFonts w:ascii="Verdana" w:hAnsi="Verdana"/>
                <w:spacing w:val="-2"/>
                <w:sz w:val="20"/>
                <w:szCs w:val="20"/>
              </w:rPr>
              <w:t>ционално независим от органите, отг</w:t>
            </w:r>
            <w:r w:rsidRPr="00A94EB7">
              <w:rPr>
                <w:rFonts w:ascii="Verdana" w:hAnsi="Verdana"/>
                <w:spacing w:val="-2"/>
                <w:sz w:val="20"/>
                <w:szCs w:val="20"/>
              </w:rPr>
              <w:t>о</w:t>
            </w:r>
            <w:r w:rsidRPr="00A94EB7">
              <w:rPr>
                <w:rFonts w:ascii="Verdana" w:hAnsi="Verdana"/>
                <w:spacing w:val="-2"/>
                <w:sz w:val="20"/>
                <w:szCs w:val="20"/>
              </w:rPr>
              <w:t>варящи за изпълнението на програмата, и който притежава подходящите ек</w:t>
            </w:r>
            <w:r w:rsidRPr="00A94EB7">
              <w:rPr>
                <w:rFonts w:ascii="Verdana" w:hAnsi="Verdana"/>
                <w:spacing w:val="-2"/>
                <w:sz w:val="20"/>
                <w:szCs w:val="20"/>
              </w:rPr>
              <w:t>с</w:t>
            </w:r>
            <w:r w:rsidRPr="00A94EB7">
              <w:rPr>
                <w:rFonts w:ascii="Verdana" w:hAnsi="Verdana"/>
                <w:spacing w:val="-2"/>
                <w:sz w:val="20"/>
                <w:szCs w:val="20"/>
              </w:rPr>
              <w:t>пертни знания да направи съответните изчисления, използвайки подходящи за целта методи</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F1B30" w:rsidRPr="00911019" w:rsidRDefault="00207147" w:rsidP="00DA6BB3">
            <w:pPr>
              <w:spacing w:before="60" w:after="120"/>
              <w:jc w:val="both"/>
              <w:rPr>
                <w:rFonts w:ascii="Verdana" w:hAnsi="Verdana"/>
                <w:spacing w:val="4"/>
                <w:sz w:val="20"/>
                <w:szCs w:val="20"/>
              </w:rPr>
            </w:pPr>
            <w:r>
              <w:rPr>
                <w:rFonts w:ascii="Verdana" w:hAnsi="Verdana"/>
                <w:spacing w:val="-2"/>
                <w:sz w:val="20"/>
                <w:szCs w:val="20"/>
                <w:lang w:val="af-ZA"/>
              </w:rPr>
              <w:t>1.</w:t>
            </w:r>
            <w:r>
              <w:rPr>
                <w:rFonts w:ascii="Verdana" w:hAnsi="Verdana"/>
                <w:spacing w:val="-2"/>
                <w:sz w:val="20"/>
                <w:szCs w:val="20"/>
              </w:rPr>
              <w:t xml:space="preserve"> </w:t>
            </w:r>
            <w:r w:rsidR="00724692" w:rsidRPr="00207147">
              <w:rPr>
                <w:rFonts w:ascii="Verdana" w:hAnsi="Verdana"/>
                <w:spacing w:val="4"/>
                <w:sz w:val="20"/>
                <w:szCs w:val="20"/>
                <w:lang w:val="af-ZA"/>
              </w:rPr>
              <w:t>Тъй като цените са посочени със и бе</w:t>
            </w:r>
            <w:r w:rsidRPr="00207147">
              <w:rPr>
                <w:rFonts w:ascii="Verdana" w:hAnsi="Verdana"/>
                <w:spacing w:val="4"/>
                <w:sz w:val="20"/>
                <w:szCs w:val="20"/>
                <w:lang w:val="af-ZA"/>
              </w:rPr>
              <w:t>з ДДС,</w:t>
            </w:r>
            <w:r w:rsidRPr="00207147">
              <w:rPr>
                <w:rFonts w:ascii="Verdana" w:hAnsi="Verdana"/>
                <w:spacing w:val="4"/>
                <w:sz w:val="20"/>
                <w:szCs w:val="20"/>
              </w:rPr>
              <w:t xml:space="preserve"> </w:t>
            </w:r>
            <w:r w:rsidR="00724692" w:rsidRPr="00207147">
              <w:rPr>
                <w:rFonts w:ascii="Verdana" w:hAnsi="Verdana"/>
                <w:spacing w:val="4"/>
                <w:sz w:val="20"/>
                <w:szCs w:val="20"/>
                <w:lang w:val="af-ZA"/>
              </w:rPr>
              <w:t xml:space="preserve">ако изпълнителят на дейността не е регистриран по ДДС или е физическо лице, което получава заплащане по граждански договор във основа на сметка за изплатени суми, това означава, че би следвало да се използва цената от колоната „цена без ДДС“. В този случай  някои от посочените цени са още по-ниски от досегашните (например за еднодневно обучение за мин. 10 участника става 596 лв. при досегашни 610лв., за еднодневна </w:t>
            </w:r>
            <w:r>
              <w:rPr>
                <w:rFonts w:ascii="Verdana" w:hAnsi="Verdana"/>
                <w:spacing w:val="4"/>
                <w:sz w:val="20"/>
                <w:szCs w:val="20"/>
                <w:lang w:val="af-ZA"/>
              </w:rPr>
              <w:t>работна среща за мин. 10 човека</w:t>
            </w:r>
            <w:r>
              <w:rPr>
                <w:rFonts w:ascii="Verdana" w:hAnsi="Verdana"/>
                <w:spacing w:val="4"/>
                <w:sz w:val="20"/>
                <w:szCs w:val="20"/>
              </w:rPr>
              <w:t xml:space="preserve"> </w:t>
            </w:r>
            <w:r w:rsidR="00724692" w:rsidRPr="00207147">
              <w:rPr>
                <w:rFonts w:ascii="Verdana" w:hAnsi="Verdana"/>
                <w:spacing w:val="4"/>
                <w:sz w:val="20"/>
                <w:szCs w:val="20"/>
                <w:lang w:val="af-ZA"/>
              </w:rPr>
              <w:t>152</w:t>
            </w:r>
            <w:r>
              <w:rPr>
                <w:rFonts w:ascii="Verdana" w:hAnsi="Verdana"/>
                <w:spacing w:val="4"/>
                <w:sz w:val="20"/>
                <w:szCs w:val="20"/>
              </w:rPr>
              <w:t xml:space="preserve"> </w:t>
            </w:r>
            <w:r w:rsidR="00724692" w:rsidRPr="00207147">
              <w:rPr>
                <w:rFonts w:ascii="Verdana" w:hAnsi="Verdana"/>
                <w:spacing w:val="4"/>
                <w:sz w:val="20"/>
                <w:szCs w:val="20"/>
                <w:lang w:val="af-ZA"/>
              </w:rPr>
              <w:t xml:space="preserve">лв. при </w:t>
            </w:r>
            <w:r w:rsidR="00724692" w:rsidRPr="00207147">
              <w:rPr>
                <w:rFonts w:ascii="Verdana" w:hAnsi="Verdana"/>
                <w:spacing w:val="4"/>
                <w:sz w:val="20"/>
                <w:szCs w:val="20"/>
                <w:lang w:val="af-ZA"/>
              </w:rPr>
              <w:lastRenderedPageBreak/>
              <w:t>досегашната 210</w:t>
            </w:r>
            <w:r w:rsidRPr="00207147">
              <w:rPr>
                <w:rFonts w:ascii="Verdana" w:hAnsi="Verdana"/>
                <w:spacing w:val="4"/>
                <w:sz w:val="20"/>
                <w:szCs w:val="20"/>
              </w:rPr>
              <w:t xml:space="preserve"> </w:t>
            </w:r>
            <w:r w:rsidR="00724692" w:rsidRPr="00207147">
              <w:rPr>
                <w:rFonts w:ascii="Verdana" w:hAnsi="Verdana"/>
                <w:spacing w:val="4"/>
                <w:sz w:val="20"/>
                <w:szCs w:val="20"/>
                <w:lang w:val="af-ZA"/>
              </w:rPr>
              <w:t xml:space="preserve">лв.) </w:t>
            </w:r>
          </w:p>
        </w:tc>
        <w:tc>
          <w:tcPr>
            <w:tcW w:w="1676" w:type="dxa"/>
            <w:tcBorders>
              <w:top w:val="nil"/>
              <w:bottom w:val="nil"/>
            </w:tcBorders>
            <w:shd w:val="clear" w:color="auto" w:fill="auto"/>
          </w:tcPr>
          <w:p w:rsidR="00C5749B" w:rsidRDefault="00C5749B" w:rsidP="00911019">
            <w:pPr>
              <w:spacing w:before="60" w:after="40"/>
              <w:rPr>
                <w:rFonts w:ascii="Verdana" w:hAnsi="Verdana"/>
                <w:sz w:val="20"/>
                <w:szCs w:val="20"/>
              </w:rPr>
            </w:pPr>
          </w:p>
          <w:p w:rsidR="009F1B30" w:rsidRPr="00291B19" w:rsidRDefault="009F1B30" w:rsidP="00911019">
            <w:pPr>
              <w:spacing w:before="60" w:after="40"/>
              <w:rPr>
                <w:rFonts w:ascii="Verdana" w:hAnsi="Verdana"/>
                <w:sz w:val="20"/>
                <w:szCs w:val="20"/>
              </w:rPr>
            </w:pPr>
          </w:p>
        </w:tc>
        <w:tc>
          <w:tcPr>
            <w:tcW w:w="4422" w:type="dxa"/>
            <w:tcBorders>
              <w:top w:val="nil"/>
              <w:bottom w:val="nil"/>
            </w:tcBorders>
            <w:shd w:val="clear" w:color="auto" w:fill="auto"/>
          </w:tcPr>
          <w:p w:rsidR="00C5749B" w:rsidRDefault="00C5749B" w:rsidP="00911019">
            <w:pPr>
              <w:spacing w:before="60" w:after="40"/>
              <w:jc w:val="both"/>
              <w:rPr>
                <w:rFonts w:ascii="Verdana" w:hAnsi="Verdana"/>
                <w:sz w:val="20"/>
                <w:szCs w:val="20"/>
              </w:rPr>
            </w:pPr>
          </w:p>
          <w:p w:rsidR="00C5749B" w:rsidRDefault="00C5749B" w:rsidP="00911019">
            <w:pPr>
              <w:spacing w:before="60" w:after="40"/>
              <w:jc w:val="both"/>
              <w:rPr>
                <w:rFonts w:ascii="Verdana" w:hAnsi="Verdana"/>
                <w:sz w:val="20"/>
                <w:szCs w:val="20"/>
              </w:rPr>
            </w:pPr>
          </w:p>
          <w:p w:rsidR="00C5749B" w:rsidRDefault="00C5749B" w:rsidP="00911019">
            <w:pPr>
              <w:spacing w:before="60" w:after="40"/>
              <w:jc w:val="both"/>
              <w:rPr>
                <w:rFonts w:ascii="Verdana" w:hAnsi="Verdana"/>
                <w:sz w:val="20"/>
                <w:szCs w:val="20"/>
              </w:rPr>
            </w:pPr>
          </w:p>
          <w:p w:rsidR="00C5749B" w:rsidRDefault="00C5749B" w:rsidP="00911019">
            <w:pPr>
              <w:spacing w:before="60" w:after="40"/>
              <w:jc w:val="both"/>
              <w:rPr>
                <w:rFonts w:ascii="Verdana" w:hAnsi="Verdana"/>
                <w:sz w:val="20"/>
                <w:szCs w:val="20"/>
              </w:rPr>
            </w:pPr>
          </w:p>
          <w:p w:rsidR="009F1B30" w:rsidRPr="00E45762" w:rsidRDefault="009F1B30" w:rsidP="00911019">
            <w:pPr>
              <w:spacing w:before="60" w:after="40"/>
              <w:jc w:val="both"/>
              <w:rPr>
                <w:rFonts w:ascii="Verdana" w:hAnsi="Verdana"/>
                <w:color w:val="000000"/>
                <w:sz w:val="20"/>
                <w:szCs w:val="20"/>
                <w:lang w:val="af-ZA"/>
              </w:rPr>
            </w:pPr>
          </w:p>
        </w:tc>
      </w:tr>
      <w:tr w:rsidR="00911019" w:rsidRPr="00E45762" w:rsidTr="009F1B30">
        <w:trPr>
          <w:trHeight w:val="596"/>
          <w:jc w:val="center"/>
        </w:trPr>
        <w:tc>
          <w:tcPr>
            <w:tcW w:w="622" w:type="dxa"/>
            <w:tcBorders>
              <w:top w:val="nil"/>
              <w:bottom w:val="nil"/>
            </w:tcBorders>
            <w:shd w:val="clear" w:color="auto" w:fill="auto"/>
          </w:tcPr>
          <w:p w:rsidR="00911019" w:rsidRPr="00E45762" w:rsidRDefault="00911019"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11019" w:rsidRPr="00E45762" w:rsidRDefault="00911019"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911019" w:rsidRDefault="00911019" w:rsidP="00911019">
            <w:pPr>
              <w:spacing w:before="60" w:after="40"/>
              <w:jc w:val="both"/>
              <w:rPr>
                <w:rFonts w:ascii="Verdana" w:hAnsi="Verdana"/>
                <w:spacing w:val="-2"/>
                <w:sz w:val="20"/>
                <w:szCs w:val="20"/>
                <w:lang w:val="af-ZA"/>
              </w:rPr>
            </w:pPr>
            <w:r w:rsidRPr="00724692">
              <w:rPr>
                <w:rFonts w:ascii="Verdana" w:hAnsi="Verdana"/>
                <w:spacing w:val="-2"/>
                <w:sz w:val="20"/>
                <w:szCs w:val="20"/>
                <w:lang w:val="af-ZA"/>
              </w:rPr>
              <w:t>Предлагаме да отпаднат колоните със и без ДДС и да се остави само втората крайна</w:t>
            </w:r>
            <w:r>
              <w:rPr>
                <w:rFonts w:ascii="Verdana" w:hAnsi="Verdana"/>
                <w:spacing w:val="-2"/>
                <w:sz w:val="20"/>
                <w:szCs w:val="20"/>
                <w:lang w:val="af-ZA"/>
              </w:rPr>
              <w:t xml:space="preserve"> цена, както е в Наредба 1/2016</w:t>
            </w:r>
            <w:r>
              <w:rPr>
                <w:rFonts w:ascii="Verdana" w:hAnsi="Verdana"/>
                <w:spacing w:val="-2"/>
                <w:sz w:val="20"/>
                <w:szCs w:val="20"/>
              </w:rPr>
              <w:t>;</w:t>
            </w:r>
          </w:p>
        </w:tc>
        <w:tc>
          <w:tcPr>
            <w:tcW w:w="1676" w:type="dxa"/>
            <w:tcBorders>
              <w:top w:val="nil"/>
              <w:bottom w:val="nil"/>
            </w:tcBorders>
            <w:shd w:val="clear" w:color="auto" w:fill="auto"/>
          </w:tcPr>
          <w:p w:rsidR="00911019" w:rsidRPr="00291B19" w:rsidRDefault="00911019" w:rsidP="00911019">
            <w:pPr>
              <w:spacing w:before="60" w:after="40"/>
              <w:rPr>
                <w:rFonts w:ascii="Verdana" w:hAnsi="Verdana"/>
                <w:sz w:val="20"/>
                <w:szCs w:val="20"/>
              </w:rPr>
            </w:pPr>
            <w:r w:rsidRPr="00291B19">
              <w:rPr>
                <w:rFonts w:ascii="Verdana" w:hAnsi="Verdana"/>
                <w:sz w:val="20"/>
                <w:szCs w:val="20"/>
              </w:rPr>
              <w:t>Не се приема</w:t>
            </w:r>
          </w:p>
        </w:tc>
        <w:tc>
          <w:tcPr>
            <w:tcW w:w="4422" w:type="dxa"/>
            <w:tcBorders>
              <w:top w:val="nil"/>
              <w:bottom w:val="nil"/>
            </w:tcBorders>
            <w:shd w:val="clear" w:color="auto" w:fill="auto"/>
          </w:tcPr>
          <w:p w:rsidR="00911019" w:rsidRPr="007E5206" w:rsidRDefault="00911019" w:rsidP="000B347E">
            <w:pPr>
              <w:spacing w:before="60" w:after="120"/>
              <w:jc w:val="both"/>
              <w:rPr>
                <w:rFonts w:ascii="Verdana" w:hAnsi="Verdana"/>
                <w:sz w:val="20"/>
                <w:szCs w:val="20"/>
              </w:rPr>
            </w:pPr>
            <w:r w:rsidRPr="007E5206">
              <w:rPr>
                <w:rFonts w:ascii="Verdana" w:hAnsi="Verdana"/>
                <w:sz w:val="20"/>
                <w:szCs w:val="20"/>
              </w:rPr>
              <w:t>Таблицата с опростените разходи е</w:t>
            </w:r>
            <w:r w:rsidRPr="00804F6F">
              <w:rPr>
                <w:rFonts w:ascii="Verdana" w:hAnsi="Verdana"/>
                <w:sz w:val="20"/>
                <w:szCs w:val="20"/>
              </w:rPr>
              <w:t xml:space="preserve"> част от петата нотификация</w:t>
            </w:r>
            <w:r>
              <w:rPr>
                <w:rFonts w:ascii="Verdana" w:hAnsi="Verdana"/>
                <w:sz w:val="20"/>
                <w:szCs w:val="20"/>
              </w:rPr>
              <w:t>, одобрена</w:t>
            </w:r>
            <w:r w:rsidRPr="00804F6F">
              <w:rPr>
                <w:rFonts w:ascii="Verdana" w:hAnsi="Verdana"/>
                <w:sz w:val="20"/>
                <w:szCs w:val="20"/>
              </w:rPr>
              <w:t xml:space="preserve"> с Решение за изпълнение на Комисията от 30.04.2019 г. за одобряване на и</w:t>
            </w:r>
            <w:r w:rsidRPr="00804F6F">
              <w:rPr>
                <w:rFonts w:ascii="Verdana" w:hAnsi="Verdana"/>
                <w:sz w:val="20"/>
                <w:szCs w:val="20"/>
              </w:rPr>
              <w:t>з</w:t>
            </w:r>
            <w:r w:rsidRPr="00804F6F">
              <w:rPr>
                <w:rFonts w:ascii="Verdana" w:hAnsi="Verdana"/>
                <w:sz w:val="20"/>
                <w:szCs w:val="20"/>
              </w:rPr>
              <w:t>мене</w:t>
            </w:r>
            <w:r>
              <w:rPr>
                <w:rFonts w:ascii="Verdana" w:hAnsi="Verdana"/>
                <w:sz w:val="20"/>
                <w:szCs w:val="20"/>
              </w:rPr>
              <w:t>нието на П</w:t>
            </w:r>
            <w:r w:rsidRPr="00804F6F">
              <w:rPr>
                <w:rFonts w:ascii="Verdana" w:hAnsi="Verdana"/>
                <w:sz w:val="20"/>
                <w:szCs w:val="20"/>
              </w:rPr>
              <w:t>рограмата за развитие на селските райони на България за подпомагане от Европейския земедел</w:t>
            </w:r>
            <w:r w:rsidRPr="00804F6F">
              <w:rPr>
                <w:rFonts w:ascii="Verdana" w:hAnsi="Verdana"/>
                <w:sz w:val="20"/>
                <w:szCs w:val="20"/>
              </w:rPr>
              <w:t>с</w:t>
            </w:r>
            <w:r w:rsidRPr="00804F6F">
              <w:rPr>
                <w:rFonts w:ascii="Verdana" w:hAnsi="Verdana"/>
                <w:sz w:val="20"/>
                <w:szCs w:val="20"/>
              </w:rPr>
              <w:t>ки фонд за развитие на селските рай</w:t>
            </w:r>
            <w:r w:rsidRPr="00804F6F">
              <w:rPr>
                <w:rFonts w:ascii="Verdana" w:hAnsi="Verdana"/>
                <w:sz w:val="20"/>
                <w:szCs w:val="20"/>
              </w:rPr>
              <w:t>о</w:t>
            </w:r>
            <w:r w:rsidRPr="00804F6F">
              <w:rPr>
                <w:rFonts w:ascii="Verdana" w:hAnsi="Verdana"/>
                <w:sz w:val="20"/>
                <w:szCs w:val="20"/>
              </w:rPr>
              <w:t>ни CCI 2014BG06RDNP001</w:t>
            </w:r>
            <w:r>
              <w:rPr>
                <w:rFonts w:ascii="Verdana" w:hAnsi="Verdana"/>
                <w:sz w:val="20"/>
                <w:szCs w:val="20"/>
              </w:rPr>
              <w:t xml:space="preserve"> и не може да бъде изменена в наредбата.</w:t>
            </w:r>
          </w:p>
        </w:tc>
      </w:tr>
      <w:tr w:rsidR="009F1B30" w:rsidRPr="00E45762" w:rsidTr="009F1B30">
        <w:trPr>
          <w:trHeight w:val="596"/>
          <w:jc w:val="center"/>
        </w:trPr>
        <w:tc>
          <w:tcPr>
            <w:tcW w:w="622" w:type="dxa"/>
            <w:tcBorders>
              <w:top w:val="nil"/>
              <w:bottom w:val="nil"/>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207147" w:rsidRPr="00207147" w:rsidRDefault="00207147" w:rsidP="00911019">
            <w:pPr>
              <w:spacing w:before="60" w:after="40"/>
              <w:jc w:val="both"/>
              <w:rPr>
                <w:rFonts w:ascii="Verdana" w:hAnsi="Verdana"/>
                <w:spacing w:val="-2"/>
                <w:sz w:val="20"/>
                <w:szCs w:val="20"/>
                <w:lang w:val="af-ZA"/>
              </w:rPr>
            </w:pPr>
            <w:r>
              <w:rPr>
                <w:rFonts w:ascii="Verdana" w:hAnsi="Verdana"/>
                <w:spacing w:val="-2"/>
                <w:sz w:val="20"/>
                <w:szCs w:val="20"/>
                <w:lang w:val="af-ZA"/>
              </w:rPr>
              <w:t>2.</w:t>
            </w:r>
            <w:r>
              <w:rPr>
                <w:rFonts w:ascii="Verdana" w:hAnsi="Verdana"/>
                <w:spacing w:val="-2"/>
                <w:sz w:val="20"/>
                <w:szCs w:val="20"/>
              </w:rPr>
              <w:t xml:space="preserve"> </w:t>
            </w:r>
            <w:r w:rsidRPr="00207147">
              <w:rPr>
                <w:rFonts w:ascii="Verdana" w:hAnsi="Verdana"/>
                <w:spacing w:val="-2"/>
                <w:sz w:val="20"/>
                <w:szCs w:val="20"/>
                <w:lang w:val="af-ZA"/>
              </w:rPr>
              <w:t>В описанието на разхода за провеждане на работни/информационни срещи/семинари  вече включено само „кафе-пауза и наем на зала". В него не са включени материали за срещите (папки, химикали, листа, разпечатване на материали и др. за участниците)  които са необходими за провеждането им. В досегашните цени в Наредба 1/2016 г. беше включено „консумативи и хартия“.</w:t>
            </w:r>
          </w:p>
          <w:p w:rsidR="009F1B30" w:rsidRPr="00207147" w:rsidRDefault="00207147" w:rsidP="00911019">
            <w:pPr>
              <w:spacing w:before="60" w:after="40"/>
              <w:jc w:val="both"/>
              <w:rPr>
                <w:rFonts w:ascii="Verdana" w:hAnsi="Verdana"/>
                <w:spacing w:val="-2"/>
                <w:sz w:val="20"/>
                <w:szCs w:val="20"/>
              </w:rPr>
            </w:pPr>
            <w:r w:rsidRPr="00207147">
              <w:rPr>
                <w:rFonts w:ascii="Verdana" w:hAnsi="Verdana"/>
                <w:spacing w:val="-2"/>
                <w:sz w:val="20"/>
                <w:szCs w:val="20"/>
                <w:lang w:val="af-ZA"/>
              </w:rPr>
              <w:t>Предлагаме крайната цена да се завиши или  да остане досегашната цена за среща от Наредба № 1 (210 лв. за мин. 10 човека и 380 лв.  за мин. 20 човека), като в описанието на разхода се добави „материали за участниците“.</w:t>
            </w:r>
          </w:p>
        </w:tc>
        <w:tc>
          <w:tcPr>
            <w:tcW w:w="1676" w:type="dxa"/>
            <w:tcBorders>
              <w:top w:val="nil"/>
              <w:bottom w:val="nil"/>
            </w:tcBorders>
            <w:shd w:val="clear" w:color="auto" w:fill="auto"/>
          </w:tcPr>
          <w:p w:rsidR="009F1B30" w:rsidRPr="00291B19" w:rsidRDefault="00207147" w:rsidP="00911019">
            <w:pPr>
              <w:spacing w:before="60" w:after="40"/>
              <w:rPr>
                <w:rFonts w:ascii="Verdana" w:hAnsi="Verdana"/>
                <w:sz w:val="20"/>
                <w:szCs w:val="20"/>
              </w:rPr>
            </w:pPr>
            <w:r w:rsidRPr="00291B19">
              <w:rPr>
                <w:rFonts w:ascii="Verdana" w:hAnsi="Verdana"/>
                <w:sz w:val="20"/>
                <w:szCs w:val="20"/>
              </w:rPr>
              <w:t>Не се приема</w:t>
            </w:r>
          </w:p>
        </w:tc>
        <w:tc>
          <w:tcPr>
            <w:tcW w:w="4422" w:type="dxa"/>
            <w:tcBorders>
              <w:top w:val="nil"/>
              <w:bottom w:val="nil"/>
            </w:tcBorders>
            <w:shd w:val="clear" w:color="auto" w:fill="auto"/>
          </w:tcPr>
          <w:p w:rsidR="009F1B30" w:rsidRPr="00E45762" w:rsidRDefault="00CA7E0C" w:rsidP="000B347E">
            <w:pPr>
              <w:spacing w:before="60" w:after="40"/>
              <w:jc w:val="both"/>
              <w:rPr>
                <w:rFonts w:ascii="Verdana" w:hAnsi="Verdana"/>
                <w:color w:val="000000"/>
                <w:sz w:val="20"/>
                <w:szCs w:val="20"/>
                <w:lang w:val="af-ZA"/>
              </w:rPr>
            </w:pPr>
            <w:r w:rsidRPr="007E5206">
              <w:rPr>
                <w:rFonts w:ascii="Verdana" w:hAnsi="Verdana"/>
                <w:sz w:val="20"/>
                <w:szCs w:val="20"/>
              </w:rPr>
              <w:t>Таблицата с опростените разходи е</w:t>
            </w:r>
            <w:r w:rsidRPr="00804F6F">
              <w:rPr>
                <w:rFonts w:ascii="Verdana" w:hAnsi="Verdana"/>
                <w:sz w:val="20"/>
                <w:szCs w:val="20"/>
              </w:rPr>
              <w:t xml:space="preserve"> част от петата нотификация</w:t>
            </w:r>
            <w:r>
              <w:rPr>
                <w:rFonts w:ascii="Verdana" w:hAnsi="Verdana"/>
                <w:sz w:val="20"/>
                <w:szCs w:val="20"/>
              </w:rPr>
              <w:t>, одобрена</w:t>
            </w:r>
            <w:r w:rsidRPr="00804F6F">
              <w:rPr>
                <w:rFonts w:ascii="Verdana" w:hAnsi="Verdana"/>
                <w:sz w:val="20"/>
                <w:szCs w:val="20"/>
              </w:rPr>
              <w:t xml:space="preserve"> с Решение за изпълнение на Комисията от 30.04.2019 г. за одобряване на и</w:t>
            </w:r>
            <w:r w:rsidRPr="00804F6F">
              <w:rPr>
                <w:rFonts w:ascii="Verdana" w:hAnsi="Verdana"/>
                <w:sz w:val="20"/>
                <w:szCs w:val="20"/>
              </w:rPr>
              <w:t>з</w:t>
            </w:r>
            <w:r w:rsidRPr="00804F6F">
              <w:rPr>
                <w:rFonts w:ascii="Verdana" w:hAnsi="Verdana"/>
                <w:sz w:val="20"/>
                <w:szCs w:val="20"/>
              </w:rPr>
              <w:t>мене</w:t>
            </w:r>
            <w:r>
              <w:rPr>
                <w:rFonts w:ascii="Verdana" w:hAnsi="Verdana"/>
                <w:sz w:val="20"/>
                <w:szCs w:val="20"/>
              </w:rPr>
              <w:t>нието на П</w:t>
            </w:r>
            <w:r w:rsidRPr="00804F6F">
              <w:rPr>
                <w:rFonts w:ascii="Verdana" w:hAnsi="Verdana"/>
                <w:sz w:val="20"/>
                <w:szCs w:val="20"/>
              </w:rPr>
              <w:t>рограмата за развитие на селските райони на България за подпомагане от Европейския земедел</w:t>
            </w:r>
            <w:r w:rsidRPr="00804F6F">
              <w:rPr>
                <w:rFonts w:ascii="Verdana" w:hAnsi="Verdana"/>
                <w:sz w:val="20"/>
                <w:szCs w:val="20"/>
              </w:rPr>
              <w:t>с</w:t>
            </w:r>
            <w:r w:rsidRPr="00804F6F">
              <w:rPr>
                <w:rFonts w:ascii="Verdana" w:hAnsi="Verdana"/>
                <w:sz w:val="20"/>
                <w:szCs w:val="20"/>
              </w:rPr>
              <w:t>ки фонд за развитие на селските рай</w:t>
            </w:r>
            <w:r w:rsidRPr="00804F6F">
              <w:rPr>
                <w:rFonts w:ascii="Verdana" w:hAnsi="Verdana"/>
                <w:sz w:val="20"/>
                <w:szCs w:val="20"/>
              </w:rPr>
              <w:t>о</w:t>
            </w:r>
            <w:r w:rsidRPr="00804F6F">
              <w:rPr>
                <w:rFonts w:ascii="Verdana" w:hAnsi="Verdana"/>
                <w:sz w:val="20"/>
                <w:szCs w:val="20"/>
              </w:rPr>
              <w:t>ни CCI 2014BG06RDNP001</w:t>
            </w:r>
            <w:r>
              <w:rPr>
                <w:rFonts w:ascii="Verdana" w:hAnsi="Verdana"/>
                <w:sz w:val="20"/>
                <w:szCs w:val="20"/>
              </w:rPr>
              <w:t xml:space="preserve"> и не може да бъде изменена в наредбата.</w:t>
            </w:r>
          </w:p>
        </w:tc>
      </w:tr>
      <w:tr w:rsidR="00724692" w:rsidRPr="00E45762" w:rsidTr="009F1B30">
        <w:trPr>
          <w:trHeight w:val="596"/>
          <w:jc w:val="center"/>
        </w:trPr>
        <w:tc>
          <w:tcPr>
            <w:tcW w:w="622" w:type="dxa"/>
            <w:tcBorders>
              <w:top w:val="nil"/>
              <w:bottom w:val="nil"/>
            </w:tcBorders>
            <w:shd w:val="clear" w:color="auto" w:fill="auto"/>
          </w:tcPr>
          <w:p w:rsidR="00724692" w:rsidRPr="00E45762" w:rsidRDefault="00724692"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724692" w:rsidRPr="00E45762" w:rsidRDefault="00724692"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724692" w:rsidRPr="00E45762" w:rsidRDefault="00207147" w:rsidP="00DA6BB3">
            <w:pPr>
              <w:spacing w:before="60" w:after="120"/>
              <w:jc w:val="both"/>
              <w:rPr>
                <w:rFonts w:ascii="Verdana" w:hAnsi="Verdana"/>
                <w:spacing w:val="-2"/>
                <w:sz w:val="20"/>
                <w:szCs w:val="20"/>
                <w:lang w:val="af-ZA"/>
              </w:rPr>
            </w:pPr>
            <w:r w:rsidRPr="00207147">
              <w:rPr>
                <w:rFonts w:ascii="Verdana" w:hAnsi="Verdana"/>
                <w:spacing w:val="-2"/>
                <w:sz w:val="20"/>
                <w:szCs w:val="20"/>
                <w:lang w:val="af-ZA"/>
              </w:rPr>
              <w:t>(Отделно отбелязваме</w:t>
            </w:r>
            <w:r>
              <w:rPr>
                <w:rFonts w:ascii="Verdana" w:hAnsi="Verdana"/>
                <w:spacing w:val="-2"/>
                <w:sz w:val="20"/>
                <w:szCs w:val="20"/>
              </w:rPr>
              <w:t>, че</w:t>
            </w:r>
            <w:r w:rsidRPr="00207147">
              <w:rPr>
                <w:rFonts w:ascii="Verdana" w:hAnsi="Verdana"/>
                <w:spacing w:val="-2"/>
                <w:sz w:val="20"/>
                <w:szCs w:val="20"/>
                <w:lang w:val="af-ZA"/>
              </w:rPr>
              <w:t xml:space="preserve"> цената не отчит</w:t>
            </w:r>
            <w:r>
              <w:rPr>
                <w:rFonts w:ascii="Verdana" w:hAnsi="Verdana"/>
                <w:spacing w:val="-2"/>
                <w:sz w:val="20"/>
                <w:szCs w:val="20"/>
                <w:lang w:val="af-ZA"/>
              </w:rPr>
              <w:t>а действителния брой</w:t>
            </w:r>
            <w:r>
              <w:rPr>
                <w:rFonts w:ascii="Verdana" w:hAnsi="Verdana"/>
                <w:spacing w:val="-2"/>
                <w:sz w:val="20"/>
                <w:szCs w:val="20"/>
              </w:rPr>
              <w:t xml:space="preserve"> </w:t>
            </w:r>
            <w:r w:rsidRPr="00207147">
              <w:rPr>
                <w:rFonts w:ascii="Verdana" w:hAnsi="Verdana"/>
                <w:spacing w:val="-2"/>
                <w:sz w:val="20"/>
                <w:szCs w:val="20"/>
                <w:lang w:val="af-ZA"/>
              </w:rPr>
              <w:t>на</w:t>
            </w:r>
            <w:r>
              <w:rPr>
                <w:rFonts w:ascii="Verdana" w:hAnsi="Verdana"/>
                <w:spacing w:val="-2"/>
                <w:sz w:val="20"/>
                <w:szCs w:val="20"/>
              </w:rPr>
              <w:t xml:space="preserve"> </w:t>
            </w:r>
            <w:r w:rsidRPr="00207147">
              <w:rPr>
                <w:rFonts w:ascii="Verdana" w:hAnsi="Verdana"/>
                <w:spacing w:val="-2"/>
                <w:sz w:val="20"/>
                <w:szCs w:val="20"/>
                <w:lang w:val="af-ZA"/>
              </w:rPr>
              <w:t>участниците в събитията, като например за провеждане на информационни срещи цената от 182 лв. с ДДС е една и съща, както за 10</w:t>
            </w:r>
            <w:r>
              <w:rPr>
                <w:rFonts w:ascii="Verdana" w:hAnsi="Verdana"/>
                <w:spacing w:val="-2"/>
                <w:sz w:val="20"/>
                <w:szCs w:val="20"/>
              </w:rPr>
              <w:t>,</w:t>
            </w:r>
            <w:r w:rsidRPr="00207147">
              <w:rPr>
                <w:rFonts w:ascii="Verdana" w:hAnsi="Verdana"/>
                <w:spacing w:val="-2"/>
                <w:sz w:val="20"/>
                <w:szCs w:val="20"/>
                <w:lang w:val="af-ZA"/>
              </w:rPr>
              <w:t xml:space="preserve"> така и за 19 участника, а от 291 лв. с ДДС, както за 20 така и за 50 участника. Същото се отнася и за цените за обучения. За поддръжка на интернет цената вече е намалявана от комисията за одобрение на планирани дейности и разходи, като основанието за намалението е „Разходът се редуцира на </w:t>
            </w:r>
            <w:r w:rsidRPr="00207147">
              <w:rPr>
                <w:rFonts w:ascii="Verdana" w:hAnsi="Verdana"/>
                <w:spacing w:val="-2"/>
                <w:sz w:val="20"/>
                <w:szCs w:val="20"/>
                <w:lang w:val="af-ZA"/>
              </w:rPr>
              <w:lastRenderedPageBreak/>
              <w:t xml:space="preserve">базата на извършено пазарно проучване“. Периодът в който </w:t>
            </w:r>
            <w:r w:rsidRPr="00207147">
              <w:rPr>
                <w:rFonts w:ascii="Verdana" w:hAnsi="Verdana"/>
                <w:spacing w:val="-4"/>
                <w:sz w:val="20"/>
                <w:szCs w:val="20"/>
                <w:lang w:val="af-ZA"/>
              </w:rPr>
              <w:t>бюджетът на МИГ е одобряван обхваща 30 септември 2018 г.</w:t>
            </w:r>
            <w:r w:rsidRPr="00207147">
              <w:rPr>
                <w:rFonts w:ascii="Verdana" w:hAnsi="Verdana"/>
                <w:spacing w:val="-2"/>
                <w:sz w:val="20"/>
                <w:szCs w:val="20"/>
                <w:lang w:val="af-ZA"/>
              </w:rPr>
              <w:t xml:space="preserve"> – февруари 2019 г. Доколко е реално разход определен с пазарно проучване в посочения период на стойност от </w:t>
            </w:r>
            <w:r>
              <w:rPr>
                <w:rFonts w:ascii="Verdana" w:hAnsi="Verdana"/>
                <w:spacing w:val="-2"/>
                <w:sz w:val="20"/>
                <w:szCs w:val="20"/>
              </w:rPr>
              <w:t xml:space="preserve">   </w:t>
            </w:r>
            <w:r w:rsidRPr="00207147">
              <w:rPr>
                <w:rFonts w:ascii="Verdana" w:hAnsi="Verdana"/>
                <w:spacing w:val="-2"/>
                <w:sz w:val="20"/>
                <w:szCs w:val="20"/>
                <w:lang w:val="af-ZA"/>
              </w:rPr>
              <w:t>144 лева на месец да бъде намален с определянето му като „опростен разход“ на 89 лева с ДДС въз основа на пазарно проучване провеждано в същия период.)</w:t>
            </w:r>
          </w:p>
        </w:tc>
        <w:tc>
          <w:tcPr>
            <w:tcW w:w="1676" w:type="dxa"/>
            <w:tcBorders>
              <w:top w:val="nil"/>
              <w:bottom w:val="nil"/>
            </w:tcBorders>
            <w:shd w:val="clear" w:color="auto" w:fill="auto"/>
          </w:tcPr>
          <w:p w:rsidR="00724692" w:rsidRPr="00291B19" w:rsidRDefault="00207147" w:rsidP="00911019">
            <w:pPr>
              <w:spacing w:before="60" w:after="40"/>
              <w:rPr>
                <w:rFonts w:ascii="Verdana" w:hAnsi="Verdana"/>
                <w:sz w:val="20"/>
                <w:szCs w:val="20"/>
              </w:rPr>
            </w:pPr>
            <w:r w:rsidRPr="00291B19">
              <w:rPr>
                <w:rFonts w:ascii="Verdana" w:hAnsi="Verdana"/>
                <w:sz w:val="20"/>
                <w:szCs w:val="20"/>
              </w:rPr>
              <w:lastRenderedPageBreak/>
              <w:t>Не се приема</w:t>
            </w:r>
          </w:p>
        </w:tc>
        <w:tc>
          <w:tcPr>
            <w:tcW w:w="4422" w:type="dxa"/>
            <w:tcBorders>
              <w:top w:val="nil"/>
              <w:bottom w:val="nil"/>
            </w:tcBorders>
            <w:shd w:val="clear" w:color="auto" w:fill="auto"/>
          </w:tcPr>
          <w:p w:rsidR="003A4E7D" w:rsidRDefault="003A4E7D" w:rsidP="000B347E">
            <w:pPr>
              <w:spacing w:before="60" w:after="40"/>
              <w:jc w:val="both"/>
              <w:rPr>
                <w:rFonts w:ascii="Verdana" w:hAnsi="Verdana"/>
                <w:spacing w:val="-2"/>
                <w:sz w:val="20"/>
                <w:szCs w:val="20"/>
              </w:rPr>
            </w:pPr>
            <w:r w:rsidRPr="007E5206">
              <w:rPr>
                <w:rFonts w:ascii="Verdana" w:hAnsi="Verdana"/>
                <w:spacing w:val="-2"/>
                <w:sz w:val="20"/>
                <w:szCs w:val="20"/>
              </w:rPr>
              <w:t>Стойностите, посочени в приложението са определени от екип, който е фун</w:t>
            </w:r>
            <w:r w:rsidRPr="007E5206">
              <w:rPr>
                <w:rFonts w:ascii="Verdana" w:hAnsi="Verdana"/>
                <w:spacing w:val="-2"/>
                <w:sz w:val="20"/>
                <w:szCs w:val="20"/>
              </w:rPr>
              <w:t>к</w:t>
            </w:r>
            <w:r w:rsidRPr="007E5206">
              <w:rPr>
                <w:rFonts w:ascii="Verdana" w:hAnsi="Verdana"/>
                <w:spacing w:val="-2"/>
                <w:sz w:val="20"/>
                <w:szCs w:val="20"/>
              </w:rPr>
              <w:t>ционално независим от органите, отг</w:t>
            </w:r>
            <w:r w:rsidRPr="007E5206">
              <w:rPr>
                <w:rFonts w:ascii="Verdana" w:hAnsi="Verdana"/>
                <w:spacing w:val="-2"/>
                <w:sz w:val="20"/>
                <w:szCs w:val="20"/>
              </w:rPr>
              <w:t>о</w:t>
            </w:r>
            <w:r w:rsidRPr="007E5206">
              <w:rPr>
                <w:rFonts w:ascii="Verdana" w:hAnsi="Verdana"/>
                <w:spacing w:val="-2"/>
                <w:sz w:val="20"/>
                <w:szCs w:val="20"/>
              </w:rPr>
              <w:t>варящи за изпълнението на програмата, и който притежава подходящите ек</w:t>
            </w:r>
            <w:r w:rsidRPr="007E5206">
              <w:rPr>
                <w:rFonts w:ascii="Verdana" w:hAnsi="Verdana"/>
                <w:spacing w:val="-2"/>
                <w:sz w:val="20"/>
                <w:szCs w:val="20"/>
              </w:rPr>
              <w:t>с</w:t>
            </w:r>
            <w:r w:rsidRPr="007E5206">
              <w:rPr>
                <w:rFonts w:ascii="Verdana" w:hAnsi="Verdana"/>
                <w:spacing w:val="-2"/>
                <w:sz w:val="20"/>
                <w:szCs w:val="20"/>
              </w:rPr>
              <w:t>пертни знания да направи съответните изчисления, използвайки подходящи за целта методи</w:t>
            </w:r>
            <w:r>
              <w:rPr>
                <w:rFonts w:ascii="Verdana" w:hAnsi="Verdana"/>
                <w:spacing w:val="-2"/>
                <w:sz w:val="20"/>
                <w:szCs w:val="20"/>
              </w:rPr>
              <w:t>.</w:t>
            </w:r>
          </w:p>
          <w:p w:rsidR="00724692" w:rsidRDefault="00B83376" w:rsidP="000B347E">
            <w:pPr>
              <w:spacing w:before="60" w:after="40"/>
              <w:jc w:val="both"/>
              <w:rPr>
                <w:rFonts w:ascii="Verdana" w:hAnsi="Verdana"/>
                <w:spacing w:val="-2"/>
                <w:sz w:val="20"/>
                <w:szCs w:val="20"/>
              </w:rPr>
            </w:pPr>
            <w:r>
              <w:rPr>
                <w:rFonts w:ascii="Verdana" w:hAnsi="Verdana"/>
                <w:spacing w:val="-2"/>
                <w:sz w:val="20"/>
                <w:szCs w:val="20"/>
              </w:rPr>
              <w:t>По отношение на</w:t>
            </w:r>
            <w:r w:rsidR="003A4E7D">
              <w:rPr>
                <w:rFonts w:ascii="Verdana" w:hAnsi="Verdana"/>
                <w:spacing w:val="-2"/>
                <w:sz w:val="20"/>
                <w:szCs w:val="20"/>
              </w:rPr>
              <w:t xml:space="preserve"> разходи за срещи, </w:t>
            </w:r>
            <w:r w:rsidR="003A4E7D">
              <w:rPr>
                <w:rFonts w:ascii="Verdana" w:hAnsi="Verdana"/>
                <w:spacing w:val="-2"/>
                <w:sz w:val="20"/>
                <w:szCs w:val="20"/>
              </w:rPr>
              <w:lastRenderedPageBreak/>
              <w:t xml:space="preserve">обучения и т.н. </w:t>
            </w:r>
            <w:r>
              <w:rPr>
                <w:rFonts w:ascii="Verdana" w:hAnsi="Verdana"/>
                <w:spacing w:val="-2"/>
                <w:sz w:val="20"/>
                <w:szCs w:val="20"/>
              </w:rPr>
              <w:t xml:space="preserve">същите са определени за минимален брой участници, но при изчисляване на тяхната стойност е взет предвид по-голям брой участници от минималния определен. </w:t>
            </w:r>
          </w:p>
          <w:p w:rsidR="003A4E7D" w:rsidRPr="00A94EB7" w:rsidRDefault="003A4E7D" w:rsidP="00911019">
            <w:pPr>
              <w:spacing w:before="60" w:after="40"/>
              <w:jc w:val="both"/>
              <w:rPr>
                <w:rFonts w:ascii="Verdana" w:hAnsi="Verdana"/>
                <w:color w:val="000000"/>
                <w:sz w:val="20"/>
                <w:szCs w:val="20"/>
              </w:rPr>
            </w:pPr>
          </w:p>
        </w:tc>
      </w:tr>
      <w:tr w:rsidR="00207147" w:rsidRPr="00E45762" w:rsidTr="005B434C">
        <w:trPr>
          <w:trHeight w:val="596"/>
          <w:jc w:val="center"/>
        </w:trPr>
        <w:tc>
          <w:tcPr>
            <w:tcW w:w="622" w:type="dxa"/>
            <w:vMerge w:val="restart"/>
            <w:tcBorders>
              <w:top w:val="nil"/>
            </w:tcBorders>
            <w:shd w:val="clear" w:color="auto" w:fill="auto"/>
          </w:tcPr>
          <w:p w:rsidR="00207147" w:rsidRPr="00E45762" w:rsidRDefault="00207147" w:rsidP="00911019">
            <w:pPr>
              <w:tabs>
                <w:tab w:val="left" w:pos="192"/>
              </w:tabs>
              <w:spacing w:before="60" w:after="40"/>
              <w:ind w:left="340"/>
              <w:rPr>
                <w:rFonts w:ascii="Verdana" w:hAnsi="Verdana"/>
                <w:b/>
                <w:sz w:val="20"/>
                <w:szCs w:val="20"/>
                <w:lang w:val="af-ZA"/>
              </w:rPr>
            </w:pPr>
          </w:p>
        </w:tc>
        <w:tc>
          <w:tcPr>
            <w:tcW w:w="2410" w:type="dxa"/>
            <w:vMerge w:val="restart"/>
            <w:tcBorders>
              <w:top w:val="nil"/>
            </w:tcBorders>
            <w:shd w:val="clear" w:color="auto" w:fill="auto"/>
          </w:tcPr>
          <w:p w:rsidR="00207147" w:rsidRPr="00E45762" w:rsidRDefault="00207147"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207147" w:rsidRDefault="00207147" w:rsidP="00911019">
            <w:pPr>
              <w:spacing w:before="60" w:after="40"/>
              <w:jc w:val="both"/>
              <w:rPr>
                <w:rFonts w:ascii="Verdana" w:hAnsi="Verdana"/>
                <w:spacing w:val="-2"/>
                <w:sz w:val="20"/>
                <w:szCs w:val="20"/>
              </w:rPr>
            </w:pPr>
            <w:r w:rsidRPr="00207147">
              <w:rPr>
                <w:rFonts w:ascii="Verdana" w:hAnsi="Verdana"/>
                <w:spacing w:val="-2"/>
                <w:sz w:val="20"/>
                <w:szCs w:val="20"/>
                <w:lang w:val="af-ZA"/>
              </w:rPr>
              <w:t xml:space="preserve">IV. В доклада </w:t>
            </w:r>
            <w:r>
              <w:rPr>
                <w:rFonts w:ascii="Verdana" w:hAnsi="Verdana"/>
                <w:spacing w:val="-2"/>
                <w:sz w:val="20"/>
                <w:szCs w:val="20"/>
                <w:lang w:val="af-ZA"/>
              </w:rPr>
              <w:t>към предложението за изменение</w:t>
            </w:r>
            <w:r w:rsidRPr="00207147">
              <w:rPr>
                <w:rFonts w:ascii="Verdana" w:hAnsi="Verdana"/>
                <w:spacing w:val="-2"/>
                <w:sz w:val="20"/>
                <w:szCs w:val="20"/>
                <w:lang w:val="af-ZA"/>
              </w:rPr>
              <w:t xml:space="preserve"> на Наредбата е посочено „Необходимо е да се предвиди изключение по отношение на опростените разходи обаче, с което ще се постигне бързина при разглеждане на исканията за плащане и ще се облекчи процедурата по предоставяне на безвъзмездна финансова помощ.“</w:t>
            </w:r>
          </w:p>
          <w:p w:rsidR="00207147" w:rsidRPr="00207147" w:rsidRDefault="00207147" w:rsidP="00DA6BB3">
            <w:pPr>
              <w:spacing w:before="60" w:after="120"/>
              <w:jc w:val="both"/>
              <w:rPr>
                <w:rFonts w:ascii="Verdana" w:hAnsi="Verdana"/>
                <w:spacing w:val="-2"/>
                <w:sz w:val="20"/>
                <w:szCs w:val="20"/>
              </w:rPr>
            </w:pPr>
            <w:r w:rsidRPr="00207147">
              <w:rPr>
                <w:rFonts w:ascii="Verdana" w:hAnsi="Verdana"/>
                <w:spacing w:val="-2"/>
                <w:sz w:val="20"/>
                <w:szCs w:val="20"/>
              </w:rPr>
              <w:t xml:space="preserve">Поради реалното неприлагане на методите за опростени разходи по </w:t>
            </w:r>
            <w:proofErr w:type="spellStart"/>
            <w:r w:rsidRPr="00207147">
              <w:rPr>
                <w:rFonts w:ascii="Verdana" w:hAnsi="Verdana"/>
                <w:spacing w:val="-2"/>
                <w:sz w:val="20"/>
                <w:szCs w:val="20"/>
              </w:rPr>
              <w:t>подмярка</w:t>
            </w:r>
            <w:proofErr w:type="spellEnd"/>
            <w:r w:rsidRPr="00207147">
              <w:rPr>
                <w:rFonts w:ascii="Verdana" w:hAnsi="Verdana"/>
                <w:spacing w:val="-2"/>
                <w:sz w:val="20"/>
                <w:szCs w:val="20"/>
              </w:rPr>
              <w:t xml:space="preserve"> 19.4, посочените таблици и предлаг</w:t>
            </w:r>
            <w:r w:rsidRPr="00207147">
              <w:rPr>
                <w:rFonts w:ascii="Verdana" w:hAnsi="Verdana"/>
                <w:spacing w:val="-2"/>
                <w:sz w:val="20"/>
                <w:szCs w:val="20"/>
              </w:rPr>
              <w:t>а</w:t>
            </w:r>
            <w:r w:rsidRPr="00207147">
              <w:rPr>
                <w:rFonts w:ascii="Verdana" w:hAnsi="Verdana"/>
                <w:spacing w:val="-2"/>
                <w:sz w:val="20"/>
                <w:szCs w:val="20"/>
              </w:rPr>
              <w:t>ните изменения чрез Наредба 4 /2018  няма да имат за р</w:t>
            </w:r>
            <w:r w:rsidRPr="00207147">
              <w:rPr>
                <w:rFonts w:ascii="Verdana" w:hAnsi="Verdana"/>
                <w:spacing w:val="-2"/>
                <w:sz w:val="20"/>
                <w:szCs w:val="20"/>
              </w:rPr>
              <w:t>е</w:t>
            </w:r>
            <w:r w:rsidRPr="00207147">
              <w:rPr>
                <w:rFonts w:ascii="Verdana" w:hAnsi="Verdana"/>
                <w:spacing w:val="-2"/>
                <w:sz w:val="20"/>
                <w:szCs w:val="20"/>
              </w:rPr>
              <w:t>зултат ускоряване разглеждането на исканията за плащане и предоставяне на БФП, нито ще улеснят работата на МИГ, тъй като те ще продължат да представят всички документи, които внасят и в момента, но за разходи на по-ниска сто</w:t>
            </w:r>
            <w:r w:rsidRPr="00207147">
              <w:rPr>
                <w:rFonts w:ascii="Verdana" w:hAnsi="Verdana"/>
                <w:spacing w:val="-2"/>
                <w:sz w:val="20"/>
                <w:szCs w:val="20"/>
              </w:rPr>
              <w:t>й</w:t>
            </w:r>
            <w:r w:rsidRPr="00207147">
              <w:rPr>
                <w:rFonts w:ascii="Verdana" w:hAnsi="Verdana"/>
                <w:spacing w:val="-2"/>
                <w:sz w:val="20"/>
                <w:szCs w:val="20"/>
              </w:rPr>
              <w:t>ност.</w:t>
            </w:r>
          </w:p>
        </w:tc>
        <w:tc>
          <w:tcPr>
            <w:tcW w:w="1676" w:type="dxa"/>
            <w:tcBorders>
              <w:top w:val="nil"/>
              <w:bottom w:val="nil"/>
            </w:tcBorders>
            <w:shd w:val="clear" w:color="auto" w:fill="auto"/>
          </w:tcPr>
          <w:p w:rsidR="00207147" w:rsidRPr="00291B19" w:rsidRDefault="00207147" w:rsidP="00911019">
            <w:pPr>
              <w:spacing w:before="60" w:after="40"/>
              <w:rPr>
                <w:rFonts w:ascii="Verdana" w:hAnsi="Verdana"/>
                <w:sz w:val="20"/>
                <w:szCs w:val="20"/>
                <w:lang w:val="af-ZA"/>
              </w:rPr>
            </w:pPr>
          </w:p>
        </w:tc>
        <w:tc>
          <w:tcPr>
            <w:tcW w:w="4422" w:type="dxa"/>
            <w:tcBorders>
              <w:top w:val="nil"/>
              <w:bottom w:val="nil"/>
            </w:tcBorders>
            <w:shd w:val="clear" w:color="auto" w:fill="auto"/>
          </w:tcPr>
          <w:p w:rsidR="00207147" w:rsidRPr="00E45762" w:rsidRDefault="00207147" w:rsidP="00911019">
            <w:pPr>
              <w:spacing w:before="60" w:after="40"/>
              <w:jc w:val="both"/>
              <w:rPr>
                <w:rFonts w:ascii="Verdana" w:hAnsi="Verdana"/>
                <w:color w:val="000000"/>
                <w:sz w:val="20"/>
                <w:szCs w:val="20"/>
                <w:lang w:val="af-ZA"/>
              </w:rPr>
            </w:pPr>
          </w:p>
        </w:tc>
      </w:tr>
      <w:tr w:rsidR="00207147" w:rsidRPr="00E45762" w:rsidTr="005B434C">
        <w:trPr>
          <w:trHeight w:val="596"/>
          <w:jc w:val="center"/>
        </w:trPr>
        <w:tc>
          <w:tcPr>
            <w:tcW w:w="622" w:type="dxa"/>
            <w:vMerge/>
            <w:tcBorders>
              <w:bottom w:val="nil"/>
            </w:tcBorders>
            <w:shd w:val="clear" w:color="auto" w:fill="auto"/>
          </w:tcPr>
          <w:p w:rsidR="00207147" w:rsidRPr="00E45762" w:rsidRDefault="00207147" w:rsidP="00911019">
            <w:pPr>
              <w:tabs>
                <w:tab w:val="left" w:pos="192"/>
              </w:tabs>
              <w:spacing w:before="60" w:after="40"/>
              <w:ind w:left="340"/>
              <w:rPr>
                <w:rFonts w:ascii="Verdana" w:hAnsi="Verdana"/>
                <w:b/>
                <w:sz w:val="20"/>
                <w:szCs w:val="20"/>
                <w:lang w:val="af-ZA"/>
              </w:rPr>
            </w:pPr>
          </w:p>
        </w:tc>
        <w:tc>
          <w:tcPr>
            <w:tcW w:w="2410" w:type="dxa"/>
            <w:vMerge/>
            <w:tcBorders>
              <w:bottom w:val="nil"/>
            </w:tcBorders>
            <w:shd w:val="clear" w:color="auto" w:fill="auto"/>
          </w:tcPr>
          <w:p w:rsidR="00207147" w:rsidRPr="00E45762" w:rsidRDefault="00207147"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207147" w:rsidRPr="00E45762" w:rsidRDefault="00E72A7C" w:rsidP="00DA6BB3">
            <w:pPr>
              <w:spacing w:before="60" w:after="120"/>
              <w:jc w:val="both"/>
              <w:rPr>
                <w:rFonts w:ascii="Verdana" w:hAnsi="Verdana"/>
                <w:spacing w:val="-2"/>
                <w:sz w:val="20"/>
                <w:szCs w:val="20"/>
                <w:lang w:val="af-ZA"/>
              </w:rPr>
            </w:pPr>
            <w:r w:rsidRPr="00E72A7C">
              <w:rPr>
                <w:rFonts w:ascii="Verdana" w:hAnsi="Verdana"/>
                <w:spacing w:val="-2"/>
                <w:sz w:val="20"/>
                <w:szCs w:val="20"/>
                <w:lang w:val="af-ZA"/>
              </w:rPr>
              <w:t>Предлагаме да се поиска тълкуване от Ев</w:t>
            </w:r>
            <w:proofErr w:type="spellStart"/>
            <w:r w:rsidR="007E6BFF">
              <w:rPr>
                <w:rFonts w:ascii="Verdana" w:hAnsi="Verdana"/>
                <w:spacing w:val="-2"/>
                <w:sz w:val="20"/>
                <w:szCs w:val="20"/>
              </w:rPr>
              <w:t>роп</w:t>
            </w:r>
            <w:proofErr w:type="spellEnd"/>
            <w:r w:rsidRPr="00E72A7C">
              <w:rPr>
                <w:rFonts w:ascii="Verdana" w:hAnsi="Verdana"/>
                <w:spacing w:val="-2"/>
                <w:sz w:val="20"/>
                <w:szCs w:val="20"/>
                <w:lang w:val="af-ZA"/>
              </w:rPr>
              <w:t xml:space="preserve">ейската комисия на „Съвместното изявление на Съвета и на Комисията във връзка с член 67”, което гласи „Съветът и Комисията изразяват съгласие, че член 67, параграф 4, който изключва прилагането на опростените разходи, посочени в член 67, параграф 1, букви б)—г), в случаите когато дадена операция или проект, част от операция, се осъществява изключително чрез процедури за възлагане на обществени поръчки, не изключва осъществяването на операция чрез такива процедури, водещи до плащания от бенефициера за предприемача въз основа на </w:t>
            </w:r>
            <w:r w:rsidRPr="00E72A7C">
              <w:rPr>
                <w:rFonts w:ascii="Verdana" w:hAnsi="Verdana"/>
                <w:spacing w:val="-2"/>
                <w:sz w:val="20"/>
                <w:szCs w:val="20"/>
                <w:lang w:val="af-ZA"/>
              </w:rPr>
              <w:lastRenderedPageBreak/>
              <w:t>предварително определени разходи за единица продукт. Съветът и Комисията изразяват съгласие, че разходите, определени и заплатени от бенефициера въз основа на тези разходи за единица продукт, установени чрез процедурите за възлагане на обществени поръчки, представляват истински и действително направени разходи, които бенефициерът е платил, по силата на член 67, параграф 1, буква а).”</w:t>
            </w:r>
          </w:p>
        </w:tc>
        <w:tc>
          <w:tcPr>
            <w:tcW w:w="1676" w:type="dxa"/>
            <w:tcBorders>
              <w:top w:val="nil"/>
              <w:bottom w:val="nil"/>
            </w:tcBorders>
            <w:shd w:val="clear" w:color="auto" w:fill="auto"/>
          </w:tcPr>
          <w:p w:rsidR="00207147" w:rsidRPr="00291B19" w:rsidRDefault="00E72A7C" w:rsidP="00911019">
            <w:pPr>
              <w:spacing w:before="60" w:after="40"/>
              <w:rPr>
                <w:rFonts w:ascii="Verdana" w:hAnsi="Verdana"/>
                <w:sz w:val="20"/>
                <w:szCs w:val="20"/>
              </w:rPr>
            </w:pPr>
            <w:r w:rsidRPr="00291B19">
              <w:rPr>
                <w:rFonts w:ascii="Verdana" w:hAnsi="Verdana"/>
                <w:sz w:val="20"/>
                <w:szCs w:val="20"/>
              </w:rPr>
              <w:lastRenderedPageBreak/>
              <w:t>Не се приема</w:t>
            </w:r>
          </w:p>
        </w:tc>
        <w:tc>
          <w:tcPr>
            <w:tcW w:w="4422" w:type="dxa"/>
            <w:tcBorders>
              <w:top w:val="nil"/>
              <w:bottom w:val="nil"/>
            </w:tcBorders>
            <w:shd w:val="clear" w:color="auto" w:fill="auto"/>
          </w:tcPr>
          <w:p w:rsidR="00207147" w:rsidRPr="00804F6F" w:rsidRDefault="00804F6F" w:rsidP="00911019">
            <w:pPr>
              <w:spacing w:before="60" w:after="40"/>
              <w:jc w:val="both"/>
              <w:rPr>
                <w:rFonts w:ascii="Verdana" w:hAnsi="Verdana"/>
                <w:color w:val="000000"/>
                <w:sz w:val="20"/>
                <w:szCs w:val="20"/>
              </w:rPr>
            </w:pPr>
            <w:r>
              <w:rPr>
                <w:rFonts w:ascii="Verdana" w:hAnsi="Verdana"/>
                <w:color w:val="000000"/>
                <w:sz w:val="20"/>
                <w:szCs w:val="20"/>
              </w:rPr>
              <w:t>Не е предмет на НИД</w:t>
            </w:r>
          </w:p>
        </w:tc>
      </w:tr>
      <w:tr w:rsidR="00724692" w:rsidRPr="00E45762" w:rsidTr="009F1B30">
        <w:trPr>
          <w:trHeight w:val="596"/>
          <w:jc w:val="center"/>
        </w:trPr>
        <w:tc>
          <w:tcPr>
            <w:tcW w:w="622" w:type="dxa"/>
            <w:tcBorders>
              <w:top w:val="nil"/>
              <w:bottom w:val="nil"/>
            </w:tcBorders>
            <w:shd w:val="clear" w:color="auto" w:fill="auto"/>
          </w:tcPr>
          <w:p w:rsidR="00724692" w:rsidRPr="00E45762" w:rsidRDefault="00724692" w:rsidP="00911019">
            <w:pPr>
              <w:tabs>
                <w:tab w:val="left" w:pos="192"/>
              </w:tabs>
              <w:spacing w:before="60" w:after="40"/>
              <w:ind w:left="340"/>
              <w:rPr>
                <w:rFonts w:ascii="Verdana" w:hAnsi="Verdana"/>
                <w:b/>
                <w:sz w:val="20"/>
                <w:szCs w:val="20"/>
                <w:lang w:val="af-ZA"/>
              </w:rPr>
            </w:pPr>
          </w:p>
        </w:tc>
        <w:tc>
          <w:tcPr>
            <w:tcW w:w="2410" w:type="dxa"/>
            <w:tcBorders>
              <w:top w:val="nil"/>
              <w:bottom w:val="nil"/>
            </w:tcBorders>
            <w:shd w:val="clear" w:color="auto" w:fill="auto"/>
          </w:tcPr>
          <w:p w:rsidR="00724692" w:rsidRPr="00E45762" w:rsidRDefault="00724692" w:rsidP="00911019">
            <w:pPr>
              <w:spacing w:before="60" w:after="40"/>
              <w:jc w:val="both"/>
              <w:rPr>
                <w:rFonts w:ascii="Verdana" w:hAnsi="Verdana"/>
                <w:b/>
                <w:sz w:val="20"/>
                <w:szCs w:val="20"/>
                <w:lang w:val="af-ZA"/>
              </w:rPr>
            </w:pPr>
          </w:p>
        </w:tc>
        <w:tc>
          <w:tcPr>
            <w:tcW w:w="6520" w:type="dxa"/>
            <w:tcBorders>
              <w:top w:val="nil"/>
              <w:bottom w:val="nil"/>
            </w:tcBorders>
            <w:shd w:val="clear" w:color="auto" w:fill="auto"/>
          </w:tcPr>
          <w:p w:rsidR="00724692" w:rsidRPr="00E45762" w:rsidRDefault="00E72A7C" w:rsidP="00DA6BB3">
            <w:pPr>
              <w:spacing w:before="60" w:after="120"/>
              <w:jc w:val="both"/>
              <w:rPr>
                <w:rFonts w:ascii="Verdana" w:hAnsi="Verdana"/>
                <w:spacing w:val="-2"/>
                <w:sz w:val="20"/>
                <w:szCs w:val="20"/>
                <w:lang w:val="af-ZA"/>
              </w:rPr>
            </w:pPr>
            <w:r w:rsidRPr="00E72A7C">
              <w:rPr>
                <w:rFonts w:ascii="Verdana" w:hAnsi="Verdana"/>
                <w:spacing w:val="-2"/>
                <w:sz w:val="20"/>
                <w:szCs w:val="20"/>
                <w:lang w:val="af-ZA"/>
              </w:rPr>
              <w:t xml:space="preserve">В случай, че ограничението за прилагане на опростени разходи е приложимо, само когато дейностите са възложени чрез процедура за възлагане на обществени поръчки (по смисъла на </w:t>
            </w:r>
            <w:r>
              <w:rPr>
                <w:rFonts w:ascii="Verdana" w:hAnsi="Verdana"/>
                <w:spacing w:val="-2"/>
                <w:sz w:val="20"/>
                <w:szCs w:val="20"/>
                <w:lang w:val="af-ZA"/>
              </w:rPr>
              <w:t>Закона за обществените поръчки</w:t>
            </w:r>
            <w:r>
              <w:rPr>
                <w:rFonts w:ascii="Verdana" w:hAnsi="Verdana"/>
                <w:spacing w:val="-2"/>
                <w:sz w:val="20"/>
                <w:szCs w:val="20"/>
              </w:rPr>
              <w:t xml:space="preserve"> </w:t>
            </w:r>
            <w:r>
              <w:rPr>
                <w:rFonts w:ascii="Verdana" w:hAnsi="Verdana"/>
                <w:spacing w:val="-2"/>
                <w:sz w:val="20"/>
                <w:szCs w:val="20"/>
                <w:lang w:val="af-ZA"/>
              </w:rPr>
              <w:t>това</w:t>
            </w:r>
            <w:r>
              <w:rPr>
                <w:rFonts w:ascii="Verdana" w:hAnsi="Verdana"/>
                <w:spacing w:val="-2"/>
                <w:sz w:val="20"/>
                <w:szCs w:val="20"/>
              </w:rPr>
              <w:t xml:space="preserve"> </w:t>
            </w:r>
            <w:r w:rsidRPr="00E72A7C">
              <w:rPr>
                <w:rFonts w:ascii="Verdana" w:hAnsi="Verdana"/>
                <w:spacing w:val="-2"/>
                <w:sz w:val="20"/>
                <w:szCs w:val="20"/>
                <w:lang w:val="af-ZA"/>
              </w:rPr>
              <w:t xml:space="preserve">са процедурите за разходи на висока стойност, изброени в </w:t>
            </w:r>
            <w:r>
              <w:rPr>
                <w:rFonts w:ascii="Verdana" w:hAnsi="Verdana"/>
                <w:spacing w:val="-2"/>
                <w:sz w:val="20"/>
                <w:szCs w:val="20"/>
              </w:rPr>
              <w:t xml:space="preserve">  </w:t>
            </w:r>
            <w:r w:rsidRPr="00E72A7C">
              <w:rPr>
                <w:rFonts w:ascii="Verdana" w:hAnsi="Verdana"/>
                <w:spacing w:val="-2"/>
                <w:sz w:val="20"/>
                <w:szCs w:val="20"/>
                <w:lang w:val="af-ZA"/>
              </w:rPr>
              <w:t>чл.</w:t>
            </w:r>
            <w:r>
              <w:rPr>
                <w:rFonts w:ascii="Verdana" w:hAnsi="Verdana"/>
                <w:spacing w:val="-2"/>
                <w:sz w:val="20"/>
                <w:szCs w:val="20"/>
              </w:rPr>
              <w:t xml:space="preserve"> </w:t>
            </w:r>
            <w:r w:rsidRPr="00E72A7C">
              <w:rPr>
                <w:rFonts w:ascii="Verdana" w:hAnsi="Verdana"/>
                <w:spacing w:val="-2"/>
                <w:sz w:val="20"/>
                <w:szCs w:val="20"/>
                <w:lang w:val="af-ZA"/>
              </w:rPr>
              <w:t>18 от ЗОП), а не и когато разходите са на ниска стойност и се възлагат чрез директно възлагане и събиране на оферти чрез покана/обява, които не са процедури, то за МИГ да се въведе действително опростено отчитане на разходите по смисъла на чл. 67 параграф 1, букви б)—г).</w:t>
            </w:r>
          </w:p>
        </w:tc>
        <w:tc>
          <w:tcPr>
            <w:tcW w:w="1676" w:type="dxa"/>
            <w:tcBorders>
              <w:top w:val="nil"/>
              <w:bottom w:val="nil"/>
            </w:tcBorders>
            <w:shd w:val="clear" w:color="auto" w:fill="auto"/>
          </w:tcPr>
          <w:p w:rsidR="00724692" w:rsidRPr="00291B19" w:rsidRDefault="00E72A7C" w:rsidP="00911019">
            <w:pPr>
              <w:spacing w:before="60" w:after="40"/>
              <w:rPr>
                <w:rFonts w:ascii="Verdana" w:hAnsi="Verdana"/>
                <w:sz w:val="20"/>
                <w:szCs w:val="20"/>
              </w:rPr>
            </w:pPr>
            <w:r w:rsidRPr="00291B19">
              <w:rPr>
                <w:rFonts w:ascii="Verdana" w:hAnsi="Verdana"/>
                <w:sz w:val="20"/>
                <w:szCs w:val="20"/>
              </w:rPr>
              <w:t>Приема се</w:t>
            </w:r>
            <w:r w:rsidR="004B0107" w:rsidRPr="00291B19">
              <w:rPr>
                <w:rFonts w:ascii="Verdana" w:hAnsi="Verdana"/>
                <w:sz w:val="20"/>
                <w:szCs w:val="20"/>
              </w:rPr>
              <w:t xml:space="preserve"> по принцип</w:t>
            </w:r>
          </w:p>
        </w:tc>
        <w:tc>
          <w:tcPr>
            <w:tcW w:w="4422" w:type="dxa"/>
            <w:tcBorders>
              <w:top w:val="nil"/>
              <w:bottom w:val="nil"/>
            </w:tcBorders>
            <w:shd w:val="clear" w:color="auto" w:fill="auto"/>
          </w:tcPr>
          <w:p w:rsidR="00724692" w:rsidRPr="00E45762" w:rsidRDefault="0009028B" w:rsidP="000B347E">
            <w:pPr>
              <w:spacing w:before="60" w:after="40"/>
              <w:jc w:val="both"/>
              <w:rPr>
                <w:rFonts w:ascii="Verdana" w:hAnsi="Verdana"/>
                <w:color w:val="000000"/>
                <w:sz w:val="20"/>
                <w:szCs w:val="20"/>
                <w:lang w:val="af-ZA"/>
              </w:rPr>
            </w:pPr>
            <w:r>
              <w:rPr>
                <w:rFonts w:ascii="Verdana" w:hAnsi="Verdana"/>
                <w:color w:val="000000"/>
                <w:sz w:val="20"/>
                <w:szCs w:val="20"/>
              </w:rPr>
              <w:t>Случаите, в които се прилагат опро</w:t>
            </w:r>
            <w:r>
              <w:rPr>
                <w:rFonts w:ascii="Verdana" w:hAnsi="Verdana"/>
                <w:color w:val="000000"/>
                <w:sz w:val="20"/>
                <w:szCs w:val="20"/>
              </w:rPr>
              <w:t>с</w:t>
            </w:r>
            <w:r>
              <w:rPr>
                <w:rFonts w:ascii="Verdana" w:hAnsi="Verdana"/>
                <w:color w:val="000000"/>
                <w:sz w:val="20"/>
                <w:szCs w:val="20"/>
              </w:rPr>
              <w:t>тени разходи по</w:t>
            </w:r>
            <w:r w:rsidR="00A94EB7">
              <w:rPr>
                <w:rFonts w:ascii="Verdana" w:hAnsi="Verdana"/>
                <w:color w:val="000000"/>
                <w:sz w:val="20"/>
                <w:szCs w:val="20"/>
              </w:rPr>
              <w:t xml:space="preserve"> </w:t>
            </w:r>
            <w:r>
              <w:rPr>
                <w:rFonts w:ascii="Verdana" w:hAnsi="Verdana"/>
                <w:color w:val="000000"/>
                <w:sz w:val="20"/>
                <w:szCs w:val="20"/>
              </w:rPr>
              <w:t>отношение на МИГ</w:t>
            </w:r>
            <w:r w:rsidR="00A94EB7">
              <w:rPr>
                <w:rFonts w:ascii="Verdana" w:hAnsi="Verdana"/>
                <w:color w:val="000000"/>
                <w:sz w:val="20"/>
                <w:szCs w:val="20"/>
              </w:rPr>
              <w:t>,</w:t>
            </w:r>
            <w:r>
              <w:rPr>
                <w:rFonts w:ascii="Verdana" w:hAnsi="Verdana"/>
                <w:color w:val="000000"/>
                <w:sz w:val="20"/>
                <w:szCs w:val="20"/>
              </w:rPr>
              <w:t xml:space="preserve"> са описани в Наредба № 1 от 2016 г. </w:t>
            </w:r>
          </w:p>
        </w:tc>
      </w:tr>
      <w:tr w:rsidR="009F1B30" w:rsidRPr="00E45762" w:rsidTr="009F1B30">
        <w:trPr>
          <w:trHeight w:val="596"/>
          <w:jc w:val="center"/>
        </w:trPr>
        <w:tc>
          <w:tcPr>
            <w:tcW w:w="622" w:type="dxa"/>
            <w:tcBorders>
              <w:top w:val="nil"/>
              <w:bottom w:val="single" w:sz="36" w:space="0" w:color="2E74B5"/>
            </w:tcBorders>
            <w:shd w:val="clear" w:color="auto" w:fill="auto"/>
          </w:tcPr>
          <w:p w:rsidR="009F1B30" w:rsidRPr="00E45762" w:rsidRDefault="009F1B30" w:rsidP="00911019">
            <w:pPr>
              <w:tabs>
                <w:tab w:val="left" w:pos="192"/>
              </w:tabs>
              <w:spacing w:before="60" w:after="40"/>
              <w:ind w:left="340"/>
              <w:rPr>
                <w:rFonts w:ascii="Verdana" w:hAnsi="Verdana"/>
                <w:b/>
                <w:sz w:val="20"/>
                <w:szCs w:val="20"/>
                <w:lang w:val="af-ZA"/>
              </w:rPr>
            </w:pPr>
          </w:p>
        </w:tc>
        <w:tc>
          <w:tcPr>
            <w:tcW w:w="2410" w:type="dxa"/>
            <w:tcBorders>
              <w:top w:val="nil"/>
              <w:bottom w:val="single" w:sz="36" w:space="0" w:color="2E74B5"/>
            </w:tcBorders>
            <w:shd w:val="clear" w:color="auto" w:fill="auto"/>
          </w:tcPr>
          <w:p w:rsidR="009F1B30" w:rsidRPr="00E45762" w:rsidRDefault="009F1B30" w:rsidP="00911019">
            <w:pPr>
              <w:spacing w:before="60" w:after="40"/>
              <w:jc w:val="both"/>
              <w:rPr>
                <w:rFonts w:ascii="Verdana" w:hAnsi="Verdana"/>
                <w:b/>
                <w:sz w:val="20"/>
                <w:szCs w:val="20"/>
                <w:lang w:val="af-ZA"/>
              </w:rPr>
            </w:pPr>
          </w:p>
        </w:tc>
        <w:tc>
          <w:tcPr>
            <w:tcW w:w="6520" w:type="dxa"/>
            <w:tcBorders>
              <w:top w:val="nil"/>
              <w:bottom w:val="single" w:sz="36" w:space="0" w:color="2E74B5"/>
            </w:tcBorders>
            <w:shd w:val="clear" w:color="auto" w:fill="auto"/>
          </w:tcPr>
          <w:p w:rsidR="00207147" w:rsidRPr="00207147" w:rsidRDefault="00207147" w:rsidP="00911019">
            <w:pPr>
              <w:spacing w:before="60" w:after="40"/>
              <w:jc w:val="both"/>
              <w:rPr>
                <w:rFonts w:ascii="Verdana" w:hAnsi="Verdana"/>
                <w:spacing w:val="-2"/>
                <w:sz w:val="20"/>
                <w:szCs w:val="20"/>
                <w:lang w:val="af-ZA"/>
              </w:rPr>
            </w:pPr>
            <w:r w:rsidRPr="00207147">
              <w:rPr>
                <w:rFonts w:ascii="Verdana" w:hAnsi="Verdana"/>
                <w:spacing w:val="-2"/>
                <w:sz w:val="20"/>
                <w:szCs w:val="20"/>
                <w:lang w:val="af-ZA"/>
              </w:rPr>
              <w:t>Същото важи и в случай, че това изявление на Съвета и Комисията означава, че използването на опростени разходи при процедури възложени чрез обществени поръчки допускат отчитането им по-облекчен начин и намаляване на документите, представяни за проверка (какъв</w:t>
            </w:r>
            <w:r w:rsidR="00C76485">
              <w:rPr>
                <w:rFonts w:ascii="Verdana" w:hAnsi="Verdana"/>
                <w:spacing w:val="-2"/>
                <w:sz w:val="20"/>
                <w:szCs w:val="20"/>
                <w:lang w:val="af-ZA"/>
              </w:rPr>
              <w:t xml:space="preserve">то пример е даден в т. 1.6 от  </w:t>
            </w:r>
            <w:r w:rsidR="00C76485">
              <w:rPr>
                <w:rFonts w:ascii="Verdana" w:hAnsi="Verdana"/>
                <w:spacing w:val="-2"/>
                <w:sz w:val="20"/>
                <w:szCs w:val="20"/>
              </w:rPr>
              <w:t>„</w:t>
            </w:r>
            <w:r w:rsidRPr="00207147">
              <w:rPr>
                <w:rFonts w:ascii="Verdana" w:hAnsi="Verdana"/>
                <w:spacing w:val="-2"/>
                <w:sz w:val="20"/>
                <w:szCs w:val="20"/>
                <w:lang w:val="af-ZA"/>
              </w:rPr>
              <w:t xml:space="preserve">Указанията за опростените варианти на разходи" на Европейската комисия.)  </w:t>
            </w:r>
          </w:p>
          <w:p w:rsidR="009F1B30" w:rsidRPr="00E45762" w:rsidRDefault="00207147" w:rsidP="00DA6BB3">
            <w:pPr>
              <w:spacing w:before="60" w:after="120"/>
              <w:jc w:val="both"/>
              <w:rPr>
                <w:rFonts w:ascii="Verdana" w:hAnsi="Verdana"/>
                <w:spacing w:val="-2"/>
                <w:sz w:val="20"/>
                <w:szCs w:val="20"/>
                <w:lang w:val="af-ZA"/>
              </w:rPr>
            </w:pPr>
            <w:r w:rsidRPr="00207147">
              <w:rPr>
                <w:rFonts w:ascii="Verdana" w:hAnsi="Verdana"/>
                <w:spacing w:val="-2"/>
                <w:sz w:val="20"/>
                <w:szCs w:val="20"/>
                <w:lang w:val="af-ZA"/>
              </w:rPr>
              <w:t>Това би имало за реален резултат</w:t>
            </w:r>
            <w:r w:rsidR="00C76485">
              <w:rPr>
                <w:rFonts w:ascii="Verdana" w:hAnsi="Verdana"/>
                <w:spacing w:val="-2"/>
                <w:sz w:val="20"/>
                <w:szCs w:val="20"/>
                <w:lang w:val="af-ZA"/>
              </w:rPr>
              <w:t xml:space="preserve"> намаляване на административна</w:t>
            </w:r>
            <w:r w:rsidR="00C76485">
              <w:rPr>
                <w:rFonts w:ascii="Verdana" w:hAnsi="Verdana"/>
                <w:spacing w:val="-2"/>
                <w:sz w:val="20"/>
                <w:szCs w:val="20"/>
              </w:rPr>
              <w:t>т</w:t>
            </w:r>
            <w:r w:rsidRPr="00207147">
              <w:rPr>
                <w:rFonts w:ascii="Verdana" w:hAnsi="Verdana"/>
                <w:spacing w:val="-2"/>
                <w:sz w:val="20"/>
                <w:szCs w:val="20"/>
                <w:lang w:val="af-ZA"/>
              </w:rPr>
              <w:t>а</w:t>
            </w:r>
            <w:r w:rsidR="00C76485">
              <w:rPr>
                <w:rFonts w:ascii="Verdana" w:hAnsi="Verdana"/>
                <w:spacing w:val="-2"/>
                <w:sz w:val="20"/>
                <w:szCs w:val="20"/>
              </w:rPr>
              <w:t xml:space="preserve"> </w:t>
            </w:r>
            <w:r w:rsidRPr="00207147">
              <w:rPr>
                <w:rFonts w:ascii="Verdana" w:hAnsi="Verdana"/>
                <w:spacing w:val="-2"/>
                <w:sz w:val="20"/>
                <w:szCs w:val="20"/>
                <w:lang w:val="af-ZA"/>
              </w:rPr>
              <w:t>тежест върху МИГ, бързина и ефективност при разходване на европейските средства.</w:t>
            </w:r>
          </w:p>
        </w:tc>
        <w:tc>
          <w:tcPr>
            <w:tcW w:w="1676" w:type="dxa"/>
            <w:tcBorders>
              <w:top w:val="nil"/>
              <w:bottom w:val="single" w:sz="36" w:space="0" w:color="2E74B5"/>
            </w:tcBorders>
            <w:shd w:val="clear" w:color="auto" w:fill="auto"/>
          </w:tcPr>
          <w:p w:rsidR="009F1B30" w:rsidRPr="00C76485" w:rsidRDefault="009F1B30" w:rsidP="00911019">
            <w:pPr>
              <w:spacing w:before="60" w:after="40"/>
              <w:rPr>
                <w:rFonts w:ascii="Verdana" w:hAnsi="Verdana"/>
                <w:color w:val="FF0000"/>
                <w:sz w:val="20"/>
                <w:szCs w:val="20"/>
              </w:rPr>
            </w:pPr>
          </w:p>
        </w:tc>
        <w:tc>
          <w:tcPr>
            <w:tcW w:w="4422" w:type="dxa"/>
            <w:tcBorders>
              <w:top w:val="nil"/>
              <w:bottom w:val="single" w:sz="36" w:space="0" w:color="2E74B5"/>
            </w:tcBorders>
            <w:shd w:val="clear" w:color="auto" w:fill="auto"/>
          </w:tcPr>
          <w:p w:rsidR="009F1B30" w:rsidRPr="00E45762" w:rsidRDefault="009F1B30" w:rsidP="00911019">
            <w:pPr>
              <w:spacing w:before="60" w:after="40"/>
              <w:jc w:val="both"/>
              <w:rPr>
                <w:rFonts w:ascii="Verdana" w:hAnsi="Verdana"/>
                <w:color w:val="000000"/>
                <w:sz w:val="20"/>
                <w:szCs w:val="20"/>
                <w:lang w:val="af-ZA"/>
              </w:rPr>
            </w:pPr>
          </w:p>
        </w:tc>
      </w:tr>
    </w:tbl>
    <w:p w:rsidR="002F6D66" w:rsidRPr="00E45762" w:rsidRDefault="002F6D66" w:rsidP="00FD6F7C">
      <w:pPr>
        <w:rPr>
          <w:rFonts w:ascii="Verdana" w:hAnsi="Verdana"/>
          <w:smallCaps/>
          <w:sz w:val="20"/>
          <w:szCs w:val="20"/>
          <w:lang w:val="af-ZA" w:eastAsia="en-US"/>
        </w:rPr>
      </w:pPr>
    </w:p>
    <w:p w:rsidR="008D64AA" w:rsidRPr="00E45762" w:rsidRDefault="008D64AA" w:rsidP="00133358">
      <w:pPr>
        <w:rPr>
          <w:rFonts w:ascii="Verdana" w:hAnsi="Verdana"/>
          <w:smallCaps/>
          <w:color w:val="000000"/>
          <w:sz w:val="20"/>
          <w:szCs w:val="20"/>
          <w:lang w:val="af-ZA" w:eastAsia="en-US"/>
        </w:rPr>
      </w:pPr>
    </w:p>
    <w:p w:rsidR="00FF32AE" w:rsidRDefault="00FF32AE" w:rsidP="00133358">
      <w:pPr>
        <w:rPr>
          <w:rFonts w:ascii="Verdana" w:hAnsi="Verdana"/>
          <w:smallCaps/>
          <w:color w:val="000000"/>
          <w:sz w:val="20"/>
          <w:szCs w:val="20"/>
          <w:lang w:eastAsia="en-US"/>
        </w:rPr>
      </w:pPr>
    </w:p>
    <w:p w:rsidR="00911019" w:rsidRPr="004F0377" w:rsidRDefault="00911019" w:rsidP="00133358">
      <w:pPr>
        <w:rPr>
          <w:rFonts w:ascii="Verdana" w:hAnsi="Verdana"/>
          <w:smallCaps/>
          <w:color w:val="000000"/>
          <w:sz w:val="20"/>
          <w:szCs w:val="20"/>
          <w:lang w:val="ru-RU" w:eastAsia="en-US"/>
        </w:rPr>
      </w:pPr>
      <w:bookmarkStart w:id="0" w:name="_GoBack"/>
      <w:bookmarkEnd w:id="0"/>
    </w:p>
    <w:sectPr w:rsidR="00911019" w:rsidRPr="004F0377" w:rsidSect="004F0377">
      <w:headerReference w:type="default" r:id="rId9"/>
      <w:footerReference w:type="even" r:id="rId10"/>
      <w:footerReference w:type="default" r:id="rId11"/>
      <w:pgSz w:w="16838" w:h="11906" w:orient="landscape" w:code="9"/>
      <w:pgMar w:top="284"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41" w:rsidRDefault="00110141">
      <w:r>
        <w:separator/>
      </w:r>
    </w:p>
  </w:endnote>
  <w:endnote w:type="continuationSeparator" w:id="0">
    <w:p w:rsidR="00110141" w:rsidRDefault="0011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186179"/>
      <w:docPartObj>
        <w:docPartGallery w:val="Page Numbers (Bottom of Page)"/>
        <w:docPartUnique/>
      </w:docPartObj>
    </w:sdtPr>
    <w:sdtEndPr>
      <w:rPr>
        <w:rFonts w:ascii="Verdana" w:hAnsi="Verdana"/>
        <w:noProof/>
        <w:sz w:val="16"/>
        <w:szCs w:val="16"/>
      </w:rPr>
    </w:sdtEndPr>
    <w:sdtContent>
      <w:p w:rsidR="00046C3E" w:rsidRPr="00911019" w:rsidRDefault="00911019" w:rsidP="00911019">
        <w:pPr>
          <w:pStyle w:val="Footer"/>
          <w:jc w:val="right"/>
          <w:rPr>
            <w:rFonts w:ascii="Verdana" w:hAnsi="Verdana"/>
            <w:sz w:val="16"/>
            <w:szCs w:val="16"/>
          </w:rPr>
        </w:pPr>
        <w:r w:rsidRPr="00911019">
          <w:rPr>
            <w:rFonts w:ascii="Verdana" w:hAnsi="Verdana"/>
            <w:sz w:val="16"/>
            <w:szCs w:val="16"/>
          </w:rPr>
          <w:fldChar w:fldCharType="begin"/>
        </w:r>
        <w:r w:rsidRPr="00911019">
          <w:rPr>
            <w:rFonts w:ascii="Verdana" w:hAnsi="Verdana"/>
            <w:sz w:val="16"/>
            <w:szCs w:val="16"/>
          </w:rPr>
          <w:instrText xml:space="preserve"> PAGE   \* MERGEFORMAT </w:instrText>
        </w:r>
        <w:r w:rsidRPr="00911019">
          <w:rPr>
            <w:rFonts w:ascii="Verdana" w:hAnsi="Verdana"/>
            <w:sz w:val="16"/>
            <w:szCs w:val="16"/>
          </w:rPr>
          <w:fldChar w:fldCharType="separate"/>
        </w:r>
        <w:r w:rsidR="004F0377">
          <w:rPr>
            <w:rFonts w:ascii="Verdana" w:hAnsi="Verdana"/>
            <w:noProof/>
            <w:sz w:val="16"/>
            <w:szCs w:val="16"/>
          </w:rPr>
          <w:t>10</w:t>
        </w:r>
        <w:r w:rsidRPr="00911019">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41" w:rsidRDefault="00110141">
      <w:r>
        <w:separator/>
      </w:r>
    </w:p>
  </w:footnote>
  <w:footnote w:type="continuationSeparator" w:id="0">
    <w:p w:rsidR="00110141" w:rsidRDefault="00110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62"/>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8B"/>
    <w:rsid w:val="000902D1"/>
    <w:rsid w:val="00090401"/>
    <w:rsid w:val="00091E5A"/>
    <w:rsid w:val="000937D4"/>
    <w:rsid w:val="000953A8"/>
    <w:rsid w:val="00097783"/>
    <w:rsid w:val="000A1017"/>
    <w:rsid w:val="000A228F"/>
    <w:rsid w:val="000A3E16"/>
    <w:rsid w:val="000B298E"/>
    <w:rsid w:val="000B2EB1"/>
    <w:rsid w:val="000B347E"/>
    <w:rsid w:val="000B3D5F"/>
    <w:rsid w:val="000B6D57"/>
    <w:rsid w:val="000C0295"/>
    <w:rsid w:val="000C036A"/>
    <w:rsid w:val="000C12D7"/>
    <w:rsid w:val="000C46A7"/>
    <w:rsid w:val="000C5E61"/>
    <w:rsid w:val="000C7CB3"/>
    <w:rsid w:val="000D1626"/>
    <w:rsid w:val="000D3F6C"/>
    <w:rsid w:val="000D4198"/>
    <w:rsid w:val="000D54C8"/>
    <w:rsid w:val="000D7417"/>
    <w:rsid w:val="000E3570"/>
    <w:rsid w:val="000E38E0"/>
    <w:rsid w:val="000F02C5"/>
    <w:rsid w:val="000F1653"/>
    <w:rsid w:val="000F2C2C"/>
    <w:rsid w:val="000F31C8"/>
    <w:rsid w:val="000F3490"/>
    <w:rsid w:val="000F534A"/>
    <w:rsid w:val="000F73D3"/>
    <w:rsid w:val="0010687D"/>
    <w:rsid w:val="00110141"/>
    <w:rsid w:val="001143E4"/>
    <w:rsid w:val="0011484F"/>
    <w:rsid w:val="00115EDD"/>
    <w:rsid w:val="00120ABA"/>
    <w:rsid w:val="001213DB"/>
    <w:rsid w:val="00132E3D"/>
    <w:rsid w:val="00133358"/>
    <w:rsid w:val="00133A14"/>
    <w:rsid w:val="00134E1D"/>
    <w:rsid w:val="00135AE2"/>
    <w:rsid w:val="0013629D"/>
    <w:rsid w:val="00141BFB"/>
    <w:rsid w:val="00144034"/>
    <w:rsid w:val="001440FE"/>
    <w:rsid w:val="0014437A"/>
    <w:rsid w:val="00155CAF"/>
    <w:rsid w:val="00163AE2"/>
    <w:rsid w:val="00165DAB"/>
    <w:rsid w:val="001668E1"/>
    <w:rsid w:val="00167658"/>
    <w:rsid w:val="00175004"/>
    <w:rsid w:val="00176D23"/>
    <w:rsid w:val="00177AA6"/>
    <w:rsid w:val="001808B4"/>
    <w:rsid w:val="0018509E"/>
    <w:rsid w:val="001948B0"/>
    <w:rsid w:val="001A0680"/>
    <w:rsid w:val="001B26B0"/>
    <w:rsid w:val="001B4CD8"/>
    <w:rsid w:val="001C3E89"/>
    <w:rsid w:val="001D362A"/>
    <w:rsid w:val="001D3DE1"/>
    <w:rsid w:val="001E4FE9"/>
    <w:rsid w:val="001E64F2"/>
    <w:rsid w:val="001F0567"/>
    <w:rsid w:val="001F1F60"/>
    <w:rsid w:val="001F314D"/>
    <w:rsid w:val="0020103A"/>
    <w:rsid w:val="00201455"/>
    <w:rsid w:val="00206678"/>
    <w:rsid w:val="00207147"/>
    <w:rsid w:val="0021035B"/>
    <w:rsid w:val="00212D43"/>
    <w:rsid w:val="00213781"/>
    <w:rsid w:val="00214B75"/>
    <w:rsid w:val="00215178"/>
    <w:rsid w:val="00220DEA"/>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70AA"/>
    <w:rsid w:val="0027210E"/>
    <w:rsid w:val="00272EE3"/>
    <w:rsid w:val="00273219"/>
    <w:rsid w:val="00275375"/>
    <w:rsid w:val="002804CF"/>
    <w:rsid w:val="00282A08"/>
    <w:rsid w:val="002900C5"/>
    <w:rsid w:val="00291B19"/>
    <w:rsid w:val="00293CA6"/>
    <w:rsid w:val="0029482B"/>
    <w:rsid w:val="00295B2B"/>
    <w:rsid w:val="002964C1"/>
    <w:rsid w:val="002A05D9"/>
    <w:rsid w:val="002A0706"/>
    <w:rsid w:val="002A0C5D"/>
    <w:rsid w:val="002A3B76"/>
    <w:rsid w:val="002A59D9"/>
    <w:rsid w:val="002A5A11"/>
    <w:rsid w:val="002A67D5"/>
    <w:rsid w:val="002B2610"/>
    <w:rsid w:val="002C03AF"/>
    <w:rsid w:val="002C2CD6"/>
    <w:rsid w:val="002C5843"/>
    <w:rsid w:val="002C5E6A"/>
    <w:rsid w:val="002C7F10"/>
    <w:rsid w:val="002D083C"/>
    <w:rsid w:val="002D2176"/>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791"/>
    <w:rsid w:val="00333BD7"/>
    <w:rsid w:val="00346856"/>
    <w:rsid w:val="00351063"/>
    <w:rsid w:val="00354BE1"/>
    <w:rsid w:val="003640F0"/>
    <w:rsid w:val="0037191E"/>
    <w:rsid w:val="00377A96"/>
    <w:rsid w:val="00377FE2"/>
    <w:rsid w:val="00384B8B"/>
    <w:rsid w:val="00387130"/>
    <w:rsid w:val="00387162"/>
    <w:rsid w:val="00395655"/>
    <w:rsid w:val="003A060F"/>
    <w:rsid w:val="003A4E7D"/>
    <w:rsid w:val="003B0380"/>
    <w:rsid w:val="003C1F1E"/>
    <w:rsid w:val="003C563D"/>
    <w:rsid w:val="003C5C7B"/>
    <w:rsid w:val="003D60B6"/>
    <w:rsid w:val="003D6231"/>
    <w:rsid w:val="003E361D"/>
    <w:rsid w:val="003F2026"/>
    <w:rsid w:val="003F3728"/>
    <w:rsid w:val="003F7612"/>
    <w:rsid w:val="003F7CD4"/>
    <w:rsid w:val="00407815"/>
    <w:rsid w:val="00414F26"/>
    <w:rsid w:val="00415D7B"/>
    <w:rsid w:val="00417315"/>
    <w:rsid w:val="00420A7D"/>
    <w:rsid w:val="00420F8B"/>
    <w:rsid w:val="004224CD"/>
    <w:rsid w:val="0042418B"/>
    <w:rsid w:val="0042440B"/>
    <w:rsid w:val="004267E7"/>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568F8"/>
    <w:rsid w:val="0046759A"/>
    <w:rsid w:val="00467C52"/>
    <w:rsid w:val="0047261C"/>
    <w:rsid w:val="0047484F"/>
    <w:rsid w:val="00487E51"/>
    <w:rsid w:val="00496618"/>
    <w:rsid w:val="004A0A82"/>
    <w:rsid w:val="004A207E"/>
    <w:rsid w:val="004A27CC"/>
    <w:rsid w:val="004A285F"/>
    <w:rsid w:val="004A2FEB"/>
    <w:rsid w:val="004A55AC"/>
    <w:rsid w:val="004A5E2A"/>
    <w:rsid w:val="004A6AE4"/>
    <w:rsid w:val="004A70C4"/>
    <w:rsid w:val="004B0107"/>
    <w:rsid w:val="004B290C"/>
    <w:rsid w:val="004B2E13"/>
    <w:rsid w:val="004B4FC8"/>
    <w:rsid w:val="004B5B51"/>
    <w:rsid w:val="004B735F"/>
    <w:rsid w:val="004C01A8"/>
    <w:rsid w:val="004C1080"/>
    <w:rsid w:val="004C420B"/>
    <w:rsid w:val="004D24E9"/>
    <w:rsid w:val="004D3191"/>
    <w:rsid w:val="004D3792"/>
    <w:rsid w:val="004D5E3A"/>
    <w:rsid w:val="004E0260"/>
    <w:rsid w:val="004E4897"/>
    <w:rsid w:val="004E6D10"/>
    <w:rsid w:val="004F0377"/>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1C72"/>
    <w:rsid w:val="005424B9"/>
    <w:rsid w:val="00543E05"/>
    <w:rsid w:val="005462B1"/>
    <w:rsid w:val="005531AA"/>
    <w:rsid w:val="00554B28"/>
    <w:rsid w:val="00554CC1"/>
    <w:rsid w:val="00563FA3"/>
    <w:rsid w:val="005644C8"/>
    <w:rsid w:val="00564E98"/>
    <w:rsid w:val="00574D7A"/>
    <w:rsid w:val="005808D9"/>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3A6C"/>
    <w:rsid w:val="00617D55"/>
    <w:rsid w:val="006240D8"/>
    <w:rsid w:val="00626132"/>
    <w:rsid w:val="00634DDD"/>
    <w:rsid w:val="006361E3"/>
    <w:rsid w:val="0063730A"/>
    <w:rsid w:val="00642470"/>
    <w:rsid w:val="00642D90"/>
    <w:rsid w:val="00644C7A"/>
    <w:rsid w:val="00645DFC"/>
    <w:rsid w:val="00652152"/>
    <w:rsid w:val="00656642"/>
    <w:rsid w:val="006712A6"/>
    <w:rsid w:val="00671E4E"/>
    <w:rsid w:val="0067456E"/>
    <w:rsid w:val="00675133"/>
    <w:rsid w:val="006802C1"/>
    <w:rsid w:val="00682FF4"/>
    <w:rsid w:val="00685979"/>
    <w:rsid w:val="00690FE6"/>
    <w:rsid w:val="00691BB4"/>
    <w:rsid w:val="00691BD4"/>
    <w:rsid w:val="00694141"/>
    <w:rsid w:val="0069425D"/>
    <w:rsid w:val="00697863"/>
    <w:rsid w:val="006A512F"/>
    <w:rsid w:val="006B4070"/>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54E"/>
    <w:rsid w:val="007160B3"/>
    <w:rsid w:val="00716B72"/>
    <w:rsid w:val="00720625"/>
    <w:rsid w:val="0072098B"/>
    <w:rsid w:val="00723D89"/>
    <w:rsid w:val="00724692"/>
    <w:rsid w:val="00731B88"/>
    <w:rsid w:val="00732DEB"/>
    <w:rsid w:val="007362EB"/>
    <w:rsid w:val="00736C03"/>
    <w:rsid w:val="00737BC4"/>
    <w:rsid w:val="00737D3E"/>
    <w:rsid w:val="007400BF"/>
    <w:rsid w:val="007423F8"/>
    <w:rsid w:val="00742D3B"/>
    <w:rsid w:val="007431DE"/>
    <w:rsid w:val="00745349"/>
    <w:rsid w:val="007516D1"/>
    <w:rsid w:val="0075213E"/>
    <w:rsid w:val="00756290"/>
    <w:rsid w:val="00756A19"/>
    <w:rsid w:val="0076108C"/>
    <w:rsid w:val="00761B5E"/>
    <w:rsid w:val="0076408A"/>
    <w:rsid w:val="00774BE7"/>
    <w:rsid w:val="00777754"/>
    <w:rsid w:val="00781306"/>
    <w:rsid w:val="007836C8"/>
    <w:rsid w:val="007934F1"/>
    <w:rsid w:val="00794229"/>
    <w:rsid w:val="007966CE"/>
    <w:rsid w:val="007B1141"/>
    <w:rsid w:val="007B24F7"/>
    <w:rsid w:val="007B3D33"/>
    <w:rsid w:val="007C6C8E"/>
    <w:rsid w:val="007D3694"/>
    <w:rsid w:val="007D444A"/>
    <w:rsid w:val="007D6B06"/>
    <w:rsid w:val="007E249E"/>
    <w:rsid w:val="007E30E7"/>
    <w:rsid w:val="007E633B"/>
    <w:rsid w:val="007E6AD6"/>
    <w:rsid w:val="007E6BFF"/>
    <w:rsid w:val="007F0EC1"/>
    <w:rsid w:val="007F135A"/>
    <w:rsid w:val="007F18A8"/>
    <w:rsid w:val="007F3A54"/>
    <w:rsid w:val="00801C67"/>
    <w:rsid w:val="0080232E"/>
    <w:rsid w:val="008038AF"/>
    <w:rsid w:val="00804F6F"/>
    <w:rsid w:val="00805B47"/>
    <w:rsid w:val="00812789"/>
    <w:rsid w:val="00826F86"/>
    <w:rsid w:val="00831124"/>
    <w:rsid w:val="00831D3C"/>
    <w:rsid w:val="00831E9A"/>
    <w:rsid w:val="00833124"/>
    <w:rsid w:val="00842C8D"/>
    <w:rsid w:val="0084478A"/>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4481"/>
    <w:rsid w:val="00875D88"/>
    <w:rsid w:val="00881967"/>
    <w:rsid w:val="0089123B"/>
    <w:rsid w:val="00891BE7"/>
    <w:rsid w:val="00894946"/>
    <w:rsid w:val="008A00BC"/>
    <w:rsid w:val="008A0BCD"/>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14A9"/>
    <w:rsid w:val="008E1CC8"/>
    <w:rsid w:val="008E24D8"/>
    <w:rsid w:val="008E3AC0"/>
    <w:rsid w:val="008E6946"/>
    <w:rsid w:val="008E7705"/>
    <w:rsid w:val="008E77F4"/>
    <w:rsid w:val="008E7AF3"/>
    <w:rsid w:val="008E7E4D"/>
    <w:rsid w:val="008F35DB"/>
    <w:rsid w:val="008F4969"/>
    <w:rsid w:val="008F6393"/>
    <w:rsid w:val="0090393F"/>
    <w:rsid w:val="00905EB8"/>
    <w:rsid w:val="00905F3A"/>
    <w:rsid w:val="0090782D"/>
    <w:rsid w:val="00911019"/>
    <w:rsid w:val="009141DB"/>
    <w:rsid w:val="0091523F"/>
    <w:rsid w:val="0091558A"/>
    <w:rsid w:val="00917058"/>
    <w:rsid w:val="00924F7D"/>
    <w:rsid w:val="009312BE"/>
    <w:rsid w:val="0094334A"/>
    <w:rsid w:val="00943E2F"/>
    <w:rsid w:val="00952D0A"/>
    <w:rsid w:val="0095371E"/>
    <w:rsid w:val="00953FD7"/>
    <w:rsid w:val="00954732"/>
    <w:rsid w:val="009551F9"/>
    <w:rsid w:val="00957F81"/>
    <w:rsid w:val="00961B12"/>
    <w:rsid w:val="00963AE2"/>
    <w:rsid w:val="00972F4C"/>
    <w:rsid w:val="00975F5E"/>
    <w:rsid w:val="00977612"/>
    <w:rsid w:val="009827FE"/>
    <w:rsid w:val="00983B09"/>
    <w:rsid w:val="00990860"/>
    <w:rsid w:val="00990FC4"/>
    <w:rsid w:val="0099513B"/>
    <w:rsid w:val="00996B48"/>
    <w:rsid w:val="009A19C4"/>
    <w:rsid w:val="009B07AB"/>
    <w:rsid w:val="009B1744"/>
    <w:rsid w:val="009B1913"/>
    <w:rsid w:val="009B1EE9"/>
    <w:rsid w:val="009B3DAC"/>
    <w:rsid w:val="009B568A"/>
    <w:rsid w:val="009C031E"/>
    <w:rsid w:val="009C6A2E"/>
    <w:rsid w:val="009C74C9"/>
    <w:rsid w:val="009D0944"/>
    <w:rsid w:val="009D120C"/>
    <w:rsid w:val="009D6D2E"/>
    <w:rsid w:val="009D753B"/>
    <w:rsid w:val="009E0CEB"/>
    <w:rsid w:val="009E6C5E"/>
    <w:rsid w:val="009E7717"/>
    <w:rsid w:val="009E7FF1"/>
    <w:rsid w:val="009F1B30"/>
    <w:rsid w:val="00A02072"/>
    <w:rsid w:val="00A11D46"/>
    <w:rsid w:val="00A163D9"/>
    <w:rsid w:val="00A23452"/>
    <w:rsid w:val="00A26499"/>
    <w:rsid w:val="00A27F81"/>
    <w:rsid w:val="00A30636"/>
    <w:rsid w:val="00A31338"/>
    <w:rsid w:val="00A32258"/>
    <w:rsid w:val="00A3356F"/>
    <w:rsid w:val="00A3568B"/>
    <w:rsid w:val="00A377AE"/>
    <w:rsid w:val="00A42438"/>
    <w:rsid w:val="00A4509D"/>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5598"/>
    <w:rsid w:val="00A856B0"/>
    <w:rsid w:val="00A8607A"/>
    <w:rsid w:val="00A90530"/>
    <w:rsid w:val="00A917A9"/>
    <w:rsid w:val="00A919EA"/>
    <w:rsid w:val="00A91DFD"/>
    <w:rsid w:val="00A93F7F"/>
    <w:rsid w:val="00A94B87"/>
    <w:rsid w:val="00A94EB7"/>
    <w:rsid w:val="00A9750F"/>
    <w:rsid w:val="00AA1F62"/>
    <w:rsid w:val="00AA599A"/>
    <w:rsid w:val="00AB5812"/>
    <w:rsid w:val="00AB7845"/>
    <w:rsid w:val="00AC135D"/>
    <w:rsid w:val="00AC2072"/>
    <w:rsid w:val="00AC7A6E"/>
    <w:rsid w:val="00AD265E"/>
    <w:rsid w:val="00AD33F6"/>
    <w:rsid w:val="00AD3F9D"/>
    <w:rsid w:val="00AD4746"/>
    <w:rsid w:val="00AD5010"/>
    <w:rsid w:val="00AE20C4"/>
    <w:rsid w:val="00AE2731"/>
    <w:rsid w:val="00AE4C05"/>
    <w:rsid w:val="00AE6BE8"/>
    <w:rsid w:val="00AE6FA9"/>
    <w:rsid w:val="00AF2498"/>
    <w:rsid w:val="00AF7733"/>
    <w:rsid w:val="00B0691A"/>
    <w:rsid w:val="00B1358E"/>
    <w:rsid w:val="00B17C41"/>
    <w:rsid w:val="00B17FDB"/>
    <w:rsid w:val="00B215BD"/>
    <w:rsid w:val="00B24B51"/>
    <w:rsid w:val="00B31B92"/>
    <w:rsid w:val="00B320D9"/>
    <w:rsid w:val="00B321D4"/>
    <w:rsid w:val="00B330B9"/>
    <w:rsid w:val="00B3495F"/>
    <w:rsid w:val="00B34AF6"/>
    <w:rsid w:val="00B34CBF"/>
    <w:rsid w:val="00B40DAD"/>
    <w:rsid w:val="00B40FC3"/>
    <w:rsid w:val="00B42361"/>
    <w:rsid w:val="00B429D4"/>
    <w:rsid w:val="00B458D2"/>
    <w:rsid w:val="00B5191C"/>
    <w:rsid w:val="00B5751A"/>
    <w:rsid w:val="00B5758A"/>
    <w:rsid w:val="00B6355E"/>
    <w:rsid w:val="00B65B84"/>
    <w:rsid w:val="00B7272A"/>
    <w:rsid w:val="00B72958"/>
    <w:rsid w:val="00B73133"/>
    <w:rsid w:val="00B74629"/>
    <w:rsid w:val="00B75F90"/>
    <w:rsid w:val="00B8036D"/>
    <w:rsid w:val="00B83376"/>
    <w:rsid w:val="00B84A5C"/>
    <w:rsid w:val="00B8586A"/>
    <w:rsid w:val="00B87124"/>
    <w:rsid w:val="00B948D2"/>
    <w:rsid w:val="00B96713"/>
    <w:rsid w:val="00BA478A"/>
    <w:rsid w:val="00BA66F5"/>
    <w:rsid w:val="00BA726F"/>
    <w:rsid w:val="00BB7469"/>
    <w:rsid w:val="00BD0FA0"/>
    <w:rsid w:val="00BD2B98"/>
    <w:rsid w:val="00BD63BB"/>
    <w:rsid w:val="00BD7BD3"/>
    <w:rsid w:val="00BE0D0E"/>
    <w:rsid w:val="00BE395D"/>
    <w:rsid w:val="00BE482D"/>
    <w:rsid w:val="00BE6BFB"/>
    <w:rsid w:val="00BF0159"/>
    <w:rsid w:val="00C03495"/>
    <w:rsid w:val="00C079C7"/>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664"/>
    <w:rsid w:val="00C5278E"/>
    <w:rsid w:val="00C538D8"/>
    <w:rsid w:val="00C550EA"/>
    <w:rsid w:val="00C5749B"/>
    <w:rsid w:val="00C63AA7"/>
    <w:rsid w:val="00C718DA"/>
    <w:rsid w:val="00C73873"/>
    <w:rsid w:val="00C75FCC"/>
    <w:rsid w:val="00C76485"/>
    <w:rsid w:val="00C86431"/>
    <w:rsid w:val="00C9316D"/>
    <w:rsid w:val="00C975B4"/>
    <w:rsid w:val="00C97FB9"/>
    <w:rsid w:val="00CA155E"/>
    <w:rsid w:val="00CA2E10"/>
    <w:rsid w:val="00CA7999"/>
    <w:rsid w:val="00CA7E0C"/>
    <w:rsid w:val="00CB4E0C"/>
    <w:rsid w:val="00CB6814"/>
    <w:rsid w:val="00CD056E"/>
    <w:rsid w:val="00CD0F5D"/>
    <w:rsid w:val="00CD1405"/>
    <w:rsid w:val="00CD348C"/>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9E8"/>
    <w:rsid w:val="00D51F30"/>
    <w:rsid w:val="00D532DC"/>
    <w:rsid w:val="00D55085"/>
    <w:rsid w:val="00D62680"/>
    <w:rsid w:val="00D63557"/>
    <w:rsid w:val="00D66EAF"/>
    <w:rsid w:val="00D71C75"/>
    <w:rsid w:val="00D7472C"/>
    <w:rsid w:val="00D76AAD"/>
    <w:rsid w:val="00D76DCC"/>
    <w:rsid w:val="00D805DE"/>
    <w:rsid w:val="00D80F2E"/>
    <w:rsid w:val="00D82A70"/>
    <w:rsid w:val="00D83702"/>
    <w:rsid w:val="00D838C4"/>
    <w:rsid w:val="00D96DF5"/>
    <w:rsid w:val="00DA0F8B"/>
    <w:rsid w:val="00DA4C8E"/>
    <w:rsid w:val="00DA6BB3"/>
    <w:rsid w:val="00DB5EFB"/>
    <w:rsid w:val="00DB75E1"/>
    <w:rsid w:val="00DB7897"/>
    <w:rsid w:val="00DC60E2"/>
    <w:rsid w:val="00DD0465"/>
    <w:rsid w:val="00DD139E"/>
    <w:rsid w:val="00DD4DA6"/>
    <w:rsid w:val="00DD7AA4"/>
    <w:rsid w:val="00DE1C7B"/>
    <w:rsid w:val="00DE370C"/>
    <w:rsid w:val="00DE48BE"/>
    <w:rsid w:val="00DE5489"/>
    <w:rsid w:val="00DE6FB0"/>
    <w:rsid w:val="00DF0601"/>
    <w:rsid w:val="00DF4AC7"/>
    <w:rsid w:val="00DF568A"/>
    <w:rsid w:val="00DF5EF4"/>
    <w:rsid w:val="00E00230"/>
    <w:rsid w:val="00E00442"/>
    <w:rsid w:val="00E009B2"/>
    <w:rsid w:val="00E015B8"/>
    <w:rsid w:val="00E01D0E"/>
    <w:rsid w:val="00E02445"/>
    <w:rsid w:val="00E047E9"/>
    <w:rsid w:val="00E0521D"/>
    <w:rsid w:val="00E074E3"/>
    <w:rsid w:val="00E13B7B"/>
    <w:rsid w:val="00E1510D"/>
    <w:rsid w:val="00E158DF"/>
    <w:rsid w:val="00E2203D"/>
    <w:rsid w:val="00E220AD"/>
    <w:rsid w:val="00E222BB"/>
    <w:rsid w:val="00E26258"/>
    <w:rsid w:val="00E2769A"/>
    <w:rsid w:val="00E27FFC"/>
    <w:rsid w:val="00E352D8"/>
    <w:rsid w:val="00E36D56"/>
    <w:rsid w:val="00E37354"/>
    <w:rsid w:val="00E377AA"/>
    <w:rsid w:val="00E41613"/>
    <w:rsid w:val="00E41BB3"/>
    <w:rsid w:val="00E45762"/>
    <w:rsid w:val="00E52B88"/>
    <w:rsid w:val="00E53B43"/>
    <w:rsid w:val="00E54558"/>
    <w:rsid w:val="00E55296"/>
    <w:rsid w:val="00E5708A"/>
    <w:rsid w:val="00E61E3D"/>
    <w:rsid w:val="00E61F16"/>
    <w:rsid w:val="00E65957"/>
    <w:rsid w:val="00E67755"/>
    <w:rsid w:val="00E72A7C"/>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644F"/>
    <w:rsid w:val="00F34578"/>
    <w:rsid w:val="00F37E2C"/>
    <w:rsid w:val="00F414B3"/>
    <w:rsid w:val="00F43176"/>
    <w:rsid w:val="00F44CFD"/>
    <w:rsid w:val="00F451D4"/>
    <w:rsid w:val="00F456C2"/>
    <w:rsid w:val="00F51B36"/>
    <w:rsid w:val="00F521F4"/>
    <w:rsid w:val="00F54AC6"/>
    <w:rsid w:val="00F61E91"/>
    <w:rsid w:val="00F62F4B"/>
    <w:rsid w:val="00F679C5"/>
    <w:rsid w:val="00F7694A"/>
    <w:rsid w:val="00F80CD3"/>
    <w:rsid w:val="00F80FDF"/>
    <w:rsid w:val="00F84100"/>
    <w:rsid w:val="00F8787B"/>
    <w:rsid w:val="00F87E94"/>
    <w:rsid w:val="00F92145"/>
    <w:rsid w:val="00F93CB3"/>
    <w:rsid w:val="00F94C2A"/>
    <w:rsid w:val="00F96E87"/>
    <w:rsid w:val="00F97925"/>
    <w:rsid w:val="00F97DD0"/>
    <w:rsid w:val="00FA26A0"/>
    <w:rsid w:val="00FA2D8D"/>
    <w:rsid w:val="00FA3B4C"/>
    <w:rsid w:val="00FB0D80"/>
    <w:rsid w:val="00FB1992"/>
    <w:rsid w:val="00FB3C2D"/>
    <w:rsid w:val="00FB4BB4"/>
    <w:rsid w:val="00FB55BD"/>
    <w:rsid w:val="00FC0BA7"/>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E45762"/>
    <w:pPr>
      <w:ind w:left="720"/>
      <w:contextualSpacing/>
    </w:pPr>
  </w:style>
  <w:style w:type="paragraph" w:customStyle="1" w:styleId="CharChar">
    <w:name w:val="Char Char Знак"/>
    <w:basedOn w:val="Normal"/>
    <w:rsid w:val="00957F81"/>
    <w:pPr>
      <w:spacing w:after="160" w:line="240" w:lineRule="exact"/>
    </w:pPr>
    <w:rPr>
      <w:rFonts w:ascii="Tahoma" w:hAnsi="Tahoma"/>
      <w:sz w:val="20"/>
      <w:szCs w:val="20"/>
      <w:lang w:eastAsia="en-US"/>
    </w:rPr>
  </w:style>
  <w:style w:type="character" w:styleId="CommentReference">
    <w:name w:val="annotation reference"/>
    <w:basedOn w:val="DefaultParagraphFont"/>
    <w:rsid w:val="00CA7E0C"/>
    <w:rPr>
      <w:sz w:val="16"/>
      <w:szCs w:val="16"/>
    </w:rPr>
  </w:style>
  <w:style w:type="paragraph" w:styleId="CommentText">
    <w:name w:val="annotation text"/>
    <w:basedOn w:val="Normal"/>
    <w:link w:val="CommentTextChar"/>
    <w:rsid w:val="00CA7E0C"/>
    <w:rPr>
      <w:sz w:val="20"/>
      <w:szCs w:val="20"/>
    </w:rPr>
  </w:style>
  <w:style w:type="character" w:customStyle="1" w:styleId="CommentTextChar">
    <w:name w:val="Comment Text Char"/>
    <w:basedOn w:val="DefaultParagraphFont"/>
    <w:link w:val="CommentText"/>
    <w:rsid w:val="00CA7E0C"/>
  </w:style>
  <w:style w:type="paragraph" w:styleId="CommentSubject">
    <w:name w:val="annotation subject"/>
    <w:basedOn w:val="CommentText"/>
    <w:next w:val="CommentText"/>
    <w:link w:val="CommentSubjectChar"/>
    <w:rsid w:val="00CA7E0C"/>
    <w:rPr>
      <w:b/>
      <w:bCs/>
    </w:rPr>
  </w:style>
  <w:style w:type="character" w:customStyle="1" w:styleId="CommentSubjectChar">
    <w:name w:val="Comment Subject Char"/>
    <w:basedOn w:val="CommentTextChar"/>
    <w:link w:val="CommentSubject"/>
    <w:rsid w:val="00CA7E0C"/>
    <w:rPr>
      <w:b/>
      <w:bCs/>
    </w:rPr>
  </w:style>
  <w:style w:type="character" w:customStyle="1" w:styleId="FooterChar">
    <w:name w:val="Footer Char"/>
    <w:basedOn w:val="DefaultParagraphFont"/>
    <w:link w:val="Footer"/>
    <w:uiPriority w:val="99"/>
    <w:rsid w:val="009110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E45762"/>
    <w:pPr>
      <w:ind w:left="720"/>
      <w:contextualSpacing/>
    </w:pPr>
  </w:style>
  <w:style w:type="paragraph" w:customStyle="1" w:styleId="CharChar">
    <w:name w:val="Char Char Знак"/>
    <w:basedOn w:val="Normal"/>
    <w:rsid w:val="00957F81"/>
    <w:pPr>
      <w:spacing w:after="160" w:line="240" w:lineRule="exact"/>
    </w:pPr>
    <w:rPr>
      <w:rFonts w:ascii="Tahoma" w:hAnsi="Tahoma"/>
      <w:sz w:val="20"/>
      <w:szCs w:val="20"/>
      <w:lang w:eastAsia="en-US"/>
    </w:rPr>
  </w:style>
  <w:style w:type="character" w:styleId="CommentReference">
    <w:name w:val="annotation reference"/>
    <w:basedOn w:val="DefaultParagraphFont"/>
    <w:rsid w:val="00CA7E0C"/>
    <w:rPr>
      <w:sz w:val="16"/>
      <w:szCs w:val="16"/>
    </w:rPr>
  </w:style>
  <w:style w:type="paragraph" w:styleId="CommentText">
    <w:name w:val="annotation text"/>
    <w:basedOn w:val="Normal"/>
    <w:link w:val="CommentTextChar"/>
    <w:rsid w:val="00CA7E0C"/>
    <w:rPr>
      <w:sz w:val="20"/>
      <w:szCs w:val="20"/>
    </w:rPr>
  </w:style>
  <w:style w:type="character" w:customStyle="1" w:styleId="CommentTextChar">
    <w:name w:val="Comment Text Char"/>
    <w:basedOn w:val="DefaultParagraphFont"/>
    <w:link w:val="CommentText"/>
    <w:rsid w:val="00CA7E0C"/>
  </w:style>
  <w:style w:type="paragraph" w:styleId="CommentSubject">
    <w:name w:val="annotation subject"/>
    <w:basedOn w:val="CommentText"/>
    <w:next w:val="CommentText"/>
    <w:link w:val="CommentSubjectChar"/>
    <w:rsid w:val="00CA7E0C"/>
    <w:rPr>
      <w:b/>
      <w:bCs/>
    </w:rPr>
  </w:style>
  <w:style w:type="character" w:customStyle="1" w:styleId="CommentSubjectChar">
    <w:name w:val="Comment Subject Char"/>
    <w:basedOn w:val="CommentTextChar"/>
    <w:link w:val="CommentSubject"/>
    <w:rsid w:val="00CA7E0C"/>
    <w:rPr>
      <w:b/>
      <w:bCs/>
    </w:rPr>
  </w:style>
  <w:style w:type="character" w:customStyle="1" w:styleId="FooterChar">
    <w:name w:val="Footer Char"/>
    <w:basedOn w:val="DefaultParagraphFont"/>
    <w:link w:val="Footer"/>
    <w:uiPriority w:val="99"/>
    <w:rsid w:val="00911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22602664">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4506474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4F2A-6EFC-4B1F-926E-F217F103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2019-05-22T14:14:00Z</dcterms:created>
  <dcterms:modified xsi:type="dcterms:W3CDTF">2019-08-09T11:44:00Z</dcterms:modified>
</cp:coreProperties>
</file>