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D2" w:rsidRPr="00A3491F" w:rsidRDefault="00387DD2">
      <w:pPr>
        <w:rPr>
          <w:lang w:val="bg-BG"/>
        </w:rPr>
      </w:pPr>
    </w:p>
    <w:bookmarkStart w:id="0" w:name="_GoBack" w:displacedByCustomXml="next"/>
    <w:sdt>
      <w:sdtPr>
        <w:rPr>
          <w:rFonts w:ascii="Times New Roman" w:eastAsiaTheme="majorEastAsia" w:hAnsi="Times New Roman" w:cs="Times New Roman"/>
          <w:caps/>
          <w:sz w:val="24"/>
          <w:lang w:val="bg-BG" w:eastAsia="en-US"/>
        </w:rPr>
        <w:id w:val="-17391315"/>
        <w:docPartObj>
          <w:docPartGallery w:val="Cover Pages"/>
          <w:docPartUnique/>
        </w:docPartObj>
      </w:sdtPr>
      <w:sdtEndPr>
        <w:rPr>
          <w:rFonts w:eastAsiaTheme="minorEastAsia"/>
          <w:b/>
          <w:bCs/>
          <w:caps w:val="0"/>
          <w:szCs w:val="24"/>
        </w:rPr>
      </w:sdtEndPr>
      <w:sdtContent>
        <w:tbl>
          <w:tblPr>
            <w:tblW w:w="5000" w:type="pct"/>
            <w:jc w:val="center"/>
            <w:tblLook w:val="04A0" w:firstRow="1" w:lastRow="0" w:firstColumn="1" w:lastColumn="0" w:noHBand="0" w:noVBand="1"/>
          </w:tblPr>
          <w:tblGrid>
            <w:gridCol w:w="10075"/>
          </w:tblGrid>
          <w:tr w:rsidR="00131C5A" w:rsidRPr="0099421C">
            <w:trPr>
              <w:trHeight w:val="2880"/>
              <w:jc w:val="center"/>
            </w:trPr>
            <w:tc>
              <w:tcPr>
                <w:tcW w:w="5000" w:type="pct"/>
              </w:tcPr>
              <w:p w:rsidR="00131C5A" w:rsidRPr="00A3491F" w:rsidRDefault="0033391D" w:rsidP="00E850DB">
                <w:pPr>
                  <w:pStyle w:val="NoSpacing"/>
                  <w:spacing w:line="288" w:lineRule="auto"/>
                  <w:jc w:val="center"/>
                  <w:rPr>
                    <w:rFonts w:ascii="Times New Roman" w:eastAsiaTheme="majorEastAsia" w:hAnsi="Times New Roman" w:cs="Times New Roman"/>
                    <w:caps/>
                    <w:lang w:val="bg-BG"/>
                  </w:rPr>
                </w:pPr>
                <w:r w:rsidRPr="00A3491F">
                  <w:rPr>
                    <w:rFonts w:ascii="Times New Roman" w:eastAsiaTheme="majorEastAsia" w:hAnsi="Times New Roman" w:cs="Times New Roman"/>
                    <w:caps/>
                    <w:lang w:val="bg-BG"/>
                  </w:rPr>
                  <w:t>министерство на зем</w:t>
                </w:r>
                <w:r w:rsidR="0099421C">
                  <w:rPr>
                    <w:rFonts w:ascii="Times New Roman" w:eastAsiaTheme="majorEastAsia" w:hAnsi="Times New Roman" w:cs="Times New Roman"/>
                    <w:caps/>
                  </w:rPr>
                  <w:t>E</w:t>
                </w:r>
                <w:r w:rsidRPr="00A3491F">
                  <w:rPr>
                    <w:rFonts w:ascii="Times New Roman" w:eastAsiaTheme="majorEastAsia" w:hAnsi="Times New Roman" w:cs="Times New Roman"/>
                    <w:caps/>
                    <w:lang w:val="bg-BG"/>
                  </w:rPr>
                  <w:t>делието, храните и горите</w:t>
                </w:r>
                <w:r w:rsidR="00941D7F" w:rsidRPr="00A3491F">
                  <w:rPr>
                    <w:rFonts w:ascii="Times New Roman" w:eastAsiaTheme="majorEastAsia" w:hAnsi="Times New Roman" w:cs="Times New Roman"/>
                    <w:caps/>
                    <w:lang w:val="bg-BG"/>
                  </w:rPr>
                  <w:t xml:space="preserve"> на република българия</w:t>
                </w:r>
              </w:p>
            </w:tc>
          </w:tr>
          <w:tr w:rsidR="00131C5A" w:rsidRPr="0099421C">
            <w:trPr>
              <w:trHeight w:val="1440"/>
              <w:jc w:val="center"/>
            </w:trPr>
            <w:sdt>
              <w:sdtPr>
                <w:rPr>
                  <w:rFonts w:ascii="Times New Roman" w:eastAsiaTheme="majorEastAsia" w:hAnsi="Times New Roman" w:cs="Times New Roman"/>
                  <w:color w:val="365F91" w:themeColor="accent1" w:themeShade="BF"/>
                  <w:sz w:val="56"/>
                  <w:szCs w:val="56"/>
                  <w:lang w:val="bg-BG"/>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31C5A" w:rsidRPr="00A3491F" w:rsidRDefault="00131C5A" w:rsidP="00E850DB">
                    <w:pPr>
                      <w:pStyle w:val="NoSpacing"/>
                      <w:spacing w:line="288" w:lineRule="auto"/>
                      <w:jc w:val="center"/>
                      <w:rPr>
                        <w:rFonts w:ascii="Times New Roman" w:eastAsiaTheme="majorEastAsia" w:hAnsi="Times New Roman" w:cs="Times New Roman"/>
                        <w:sz w:val="80"/>
                        <w:szCs w:val="80"/>
                        <w:lang w:val="bg-BG"/>
                      </w:rPr>
                    </w:pPr>
                    <w:r w:rsidRPr="00A3491F">
                      <w:rPr>
                        <w:rFonts w:ascii="Times New Roman" w:eastAsiaTheme="majorEastAsia" w:hAnsi="Times New Roman" w:cs="Times New Roman"/>
                        <w:color w:val="365F91" w:themeColor="accent1" w:themeShade="BF"/>
                        <w:sz w:val="56"/>
                        <w:szCs w:val="56"/>
                        <w:lang w:val="bg-BG"/>
                      </w:rPr>
                      <w:t xml:space="preserve">Цялостна предварителна оценка на въздействието на </w:t>
                    </w:r>
                    <w:r w:rsidR="004E649E" w:rsidRPr="00A3491F">
                      <w:rPr>
                        <w:rFonts w:ascii="Times New Roman" w:eastAsiaTheme="majorEastAsia" w:hAnsi="Times New Roman" w:cs="Times New Roman"/>
                        <w:color w:val="365F91" w:themeColor="accent1" w:themeShade="BF"/>
                        <w:sz w:val="56"/>
                        <w:szCs w:val="56"/>
                        <w:lang w:val="bg-BG"/>
                      </w:rPr>
                      <w:t xml:space="preserve">проект на </w:t>
                    </w:r>
                    <w:r w:rsidRPr="00A3491F">
                      <w:rPr>
                        <w:rFonts w:ascii="Times New Roman" w:eastAsiaTheme="majorEastAsia" w:hAnsi="Times New Roman" w:cs="Times New Roman"/>
                        <w:color w:val="365F91" w:themeColor="accent1" w:themeShade="BF"/>
                        <w:sz w:val="56"/>
                        <w:szCs w:val="56"/>
                        <w:lang w:val="bg-BG"/>
                      </w:rPr>
                      <w:t>Закон за виното и спиртните напитки</w:t>
                    </w:r>
                  </w:p>
                </w:tc>
              </w:sdtContent>
            </w:sdt>
          </w:tr>
          <w:tr w:rsidR="00131C5A" w:rsidRPr="0099421C">
            <w:trPr>
              <w:trHeight w:val="720"/>
              <w:jc w:val="center"/>
            </w:trPr>
            <w:sdt>
              <w:sdtPr>
                <w:rPr>
                  <w:rFonts w:ascii="Times New Roman" w:eastAsiaTheme="majorEastAsia" w:hAnsi="Times New Roman" w:cs="Times New Roman"/>
                  <w:sz w:val="36"/>
                  <w:szCs w:val="36"/>
                  <w:lang w:val="bg-BG"/>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31C5A" w:rsidRPr="00A3491F" w:rsidRDefault="00131C5A" w:rsidP="00E850DB">
                    <w:pPr>
                      <w:pStyle w:val="NoSpacing"/>
                      <w:spacing w:line="288" w:lineRule="auto"/>
                      <w:jc w:val="center"/>
                      <w:rPr>
                        <w:rFonts w:ascii="Times New Roman" w:eastAsiaTheme="majorEastAsia" w:hAnsi="Times New Roman" w:cs="Times New Roman"/>
                        <w:sz w:val="44"/>
                        <w:szCs w:val="44"/>
                        <w:lang w:val="bg-BG"/>
                      </w:rPr>
                    </w:pPr>
                    <w:r w:rsidRPr="00A3491F">
                      <w:rPr>
                        <w:rFonts w:ascii="Times New Roman" w:eastAsiaTheme="majorEastAsia" w:hAnsi="Times New Roman" w:cs="Times New Roman"/>
                        <w:sz w:val="36"/>
                        <w:szCs w:val="36"/>
                        <w:lang w:val="bg-BG"/>
                      </w:rPr>
                      <w:t>Доклад от извършена цялостна предварителна оценка на въздействието</w:t>
                    </w:r>
                  </w:p>
                </w:tc>
              </w:sdtContent>
            </w:sdt>
          </w:tr>
          <w:tr w:rsidR="00131C5A" w:rsidRPr="0099421C">
            <w:trPr>
              <w:trHeight w:val="360"/>
              <w:jc w:val="center"/>
            </w:trPr>
            <w:tc>
              <w:tcPr>
                <w:tcW w:w="5000" w:type="pct"/>
                <w:vAlign w:val="center"/>
              </w:tcPr>
              <w:p w:rsidR="00131C5A" w:rsidRPr="00A3491F" w:rsidRDefault="00131C5A" w:rsidP="00E850DB">
                <w:pPr>
                  <w:pStyle w:val="NoSpacing"/>
                  <w:spacing w:line="288" w:lineRule="auto"/>
                  <w:jc w:val="center"/>
                  <w:rPr>
                    <w:rFonts w:ascii="Times New Roman" w:hAnsi="Times New Roman" w:cs="Times New Roman"/>
                    <w:lang w:val="bg-BG"/>
                  </w:rPr>
                </w:pPr>
              </w:p>
            </w:tc>
          </w:tr>
          <w:tr w:rsidR="00131C5A" w:rsidRPr="0099421C">
            <w:trPr>
              <w:trHeight w:val="360"/>
              <w:jc w:val="center"/>
            </w:trPr>
            <w:tc>
              <w:tcPr>
                <w:tcW w:w="5000" w:type="pct"/>
                <w:vAlign w:val="center"/>
              </w:tcPr>
              <w:p w:rsidR="00131C5A" w:rsidRPr="00A3491F" w:rsidRDefault="00131C5A" w:rsidP="00E850DB">
                <w:pPr>
                  <w:pStyle w:val="NoSpacing"/>
                  <w:spacing w:line="288" w:lineRule="auto"/>
                  <w:rPr>
                    <w:rFonts w:ascii="Times New Roman" w:hAnsi="Times New Roman" w:cs="Times New Roman"/>
                    <w:b/>
                    <w:bCs/>
                    <w:lang w:val="bg-BG"/>
                  </w:rPr>
                </w:pPr>
              </w:p>
            </w:tc>
          </w:tr>
          <w:tr w:rsidR="00131C5A" w:rsidRPr="00A3491F">
            <w:trPr>
              <w:trHeight w:val="360"/>
              <w:jc w:val="center"/>
            </w:trPr>
            <w:sdt>
              <w:sdtPr>
                <w:rPr>
                  <w:rFonts w:ascii="Times New Roman" w:hAnsi="Times New Roman" w:cs="Times New Roman"/>
                  <w:b/>
                  <w:bCs/>
                  <w:lang w:val="bg-BG"/>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131C5A" w:rsidRPr="00A3491F" w:rsidRDefault="004E649E" w:rsidP="00931BE4">
                    <w:pPr>
                      <w:pStyle w:val="NoSpacing"/>
                      <w:spacing w:line="288" w:lineRule="auto"/>
                      <w:jc w:val="center"/>
                      <w:rPr>
                        <w:rFonts w:ascii="Times New Roman" w:hAnsi="Times New Roman" w:cs="Times New Roman"/>
                        <w:b/>
                        <w:bCs/>
                        <w:lang w:val="bg-BG"/>
                      </w:rPr>
                    </w:pPr>
                    <w:r w:rsidRPr="00A3491F">
                      <w:rPr>
                        <w:rFonts w:ascii="Times New Roman" w:hAnsi="Times New Roman" w:cs="Times New Roman"/>
                        <w:b/>
                        <w:bCs/>
                        <w:lang w:val="bg-BG"/>
                      </w:rPr>
                      <w:t xml:space="preserve">София, </w:t>
                    </w:r>
                    <w:r w:rsidR="00931BE4" w:rsidRPr="00A3491F">
                      <w:rPr>
                        <w:rFonts w:ascii="Times New Roman" w:hAnsi="Times New Roman" w:cs="Times New Roman"/>
                        <w:b/>
                        <w:bCs/>
                        <w:lang w:val="bg-BG"/>
                      </w:rPr>
                      <w:t>окто</w:t>
                    </w:r>
                    <w:r w:rsidRPr="00A3491F">
                      <w:rPr>
                        <w:rFonts w:ascii="Times New Roman" w:hAnsi="Times New Roman" w:cs="Times New Roman"/>
                        <w:b/>
                        <w:bCs/>
                        <w:lang w:val="bg-BG"/>
                      </w:rPr>
                      <w:t>мври 2017 г.</w:t>
                    </w:r>
                  </w:p>
                </w:tc>
              </w:sdtContent>
            </w:sdt>
          </w:tr>
          <w:bookmarkEnd w:id="0"/>
        </w:tbl>
        <w:p w:rsidR="00131C5A" w:rsidRPr="00A3491F" w:rsidRDefault="00131C5A" w:rsidP="00E850DB">
          <w:pPr>
            <w:spacing w:line="288" w:lineRule="auto"/>
            <w:rPr>
              <w:lang w:val="bg-BG"/>
            </w:rPr>
          </w:pPr>
        </w:p>
        <w:p w:rsidR="00131C5A" w:rsidRPr="00A3491F" w:rsidRDefault="00131C5A" w:rsidP="00E850DB">
          <w:pPr>
            <w:spacing w:line="288" w:lineRule="auto"/>
            <w:rPr>
              <w:lang w:val="bg-BG"/>
            </w:rPr>
          </w:pPr>
        </w:p>
        <w:p w:rsidR="00131C5A" w:rsidRPr="00A3491F" w:rsidRDefault="00131C5A" w:rsidP="00E850DB">
          <w:pPr>
            <w:spacing w:line="288" w:lineRule="auto"/>
            <w:rPr>
              <w:lang w:val="bg-BG"/>
            </w:rPr>
          </w:pPr>
        </w:p>
        <w:p w:rsidR="00131C5A" w:rsidRPr="00A3491F" w:rsidRDefault="00131C5A" w:rsidP="00E850DB">
          <w:pPr>
            <w:spacing w:line="288" w:lineRule="auto"/>
            <w:rPr>
              <w:lang w:val="bg-BG"/>
            </w:rPr>
          </w:pPr>
        </w:p>
        <w:p w:rsidR="00131C5A" w:rsidRPr="00A3491F" w:rsidRDefault="00131C5A" w:rsidP="00E850DB">
          <w:pPr>
            <w:spacing w:line="288" w:lineRule="auto"/>
            <w:rPr>
              <w:lang w:val="bg-BG"/>
            </w:rPr>
          </w:pPr>
        </w:p>
        <w:p w:rsidR="00131C5A" w:rsidRPr="00A3491F" w:rsidRDefault="00131C5A" w:rsidP="00E850DB">
          <w:pPr>
            <w:spacing w:line="288" w:lineRule="auto"/>
            <w:rPr>
              <w:lang w:val="bg-BG"/>
            </w:rPr>
          </w:pPr>
        </w:p>
        <w:p w:rsidR="00131C5A" w:rsidRPr="00A3491F" w:rsidRDefault="00131C5A" w:rsidP="00E850DB">
          <w:pPr>
            <w:spacing w:line="288" w:lineRule="auto"/>
            <w:rPr>
              <w:lang w:val="bg-BG"/>
            </w:rPr>
          </w:pPr>
        </w:p>
        <w:p w:rsidR="00DC48AC" w:rsidRPr="00A3491F" w:rsidRDefault="00DC48AC" w:rsidP="00E850DB">
          <w:pPr>
            <w:spacing w:line="288" w:lineRule="auto"/>
            <w:rPr>
              <w:lang w:val="bg-BG"/>
            </w:rPr>
          </w:pPr>
        </w:p>
        <w:p w:rsidR="00DC48AC" w:rsidRPr="00A3491F" w:rsidRDefault="00DC48AC" w:rsidP="00E850DB">
          <w:pPr>
            <w:spacing w:line="288" w:lineRule="auto"/>
            <w:rPr>
              <w:lang w:val="bg-BG"/>
            </w:rPr>
          </w:pPr>
        </w:p>
        <w:p w:rsidR="00DC48AC" w:rsidRPr="00A3491F" w:rsidRDefault="00DC48AC" w:rsidP="00E850DB">
          <w:pPr>
            <w:spacing w:line="288" w:lineRule="auto"/>
            <w:rPr>
              <w:lang w:val="bg-BG"/>
            </w:rPr>
          </w:pPr>
        </w:p>
        <w:p w:rsidR="006447DD" w:rsidRPr="00A3491F" w:rsidRDefault="006447DD" w:rsidP="00E850DB">
          <w:pPr>
            <w:spacing w:line="288" w:lineRule="auto"/>
            <w:rPr>
              <w:lang w:val="bg-BG"/>
            </w:rPr>
          </w:pPr>
        </w:p>
        <w:sdt>
          <w:sdtPr>
            <w:rPr>
              <w:rFonts w:eastAsiaTheme="minorEastAsia" w:cs="Times New Roman"/>
              <w:b w:val="0"/>
              <w:bCs w:val="0"/>
              <w:color w:val="auto"/>
              <w:sz w:val="22"/>
              <w:szCs w:val="22"/>
              <w:lang w:val="bg-BG" w:eastAsia="en-US"/>
            </w:rPr>
            <w:id w:val="1343516389"/>
            <w:docPartObj>
              <w:docPartGallery w:val="Table of Contents"/>
              <w:docPartUnique/>
            </w:docPartObj>
          </w:sdtPr>
          <w:sdtEndPr>
            <w:rPr>
              <w:sz w:val="24"/>
              <w:szCs w:val="24"/>
            </w:rPr>
          </w:sdtEndPr>
          <w:sdtContent>
            <w:p w:rsidR="00131C5A" w:rsidRPr="00A3491F" w:rsidRDefault="00131C5A" w:rsidP="00E850DB">
              <w:pPr>
                <w:pStyle w:val="TOCHeading"/>
                <w:spacing w:line="288" w:lineRule="auto"/>
                <w:rPr>
                  <w:rFonts w:cs="Times New Roman"/>
                  <w:lang w:val="bg-BG"/>
                </w:rPr>
              </w:pPr>
              <w:r w:rsidRPr="00A3491F">
                <w:rPr>
                  <w:rFonts w:cs="Times New Roman"/>
                  <w:lang w:val="bg-BG"/>
                </w:rPr>
                <w:t>Съдържание</w:t>
              </w:r>
            </w:p>
            <w:p w:rsidR="002962C6" w:rsidRPr="00A3491F" w:rsidRDefault="00131C5A">
              <w:pPr>
                <w:pStyle w:val="TOC1"/>
                <w:rPr>
                  <w:sz w:val="22"/>
                  <w:lang w:val="bg-BG"/>
                </w:rPr>
              </w:pPr>
              <w:r w:rsidRPr="00A3491F">
                <w:rPr>
                  <w:szCs w:val="24"/>
                  <w:lang w:val="bg-BG"/>
                </w:rPr>
                <w:fldChar w:fldCharType="begin"/>
              </w:r>
              <w:r w:rsidRPr="00A3491F">
                <w:rPr>
                  <w:szCs w:val="24"/>
                  <w:lang w:val="bg-BG"/>
                </w:rPr>
                <w:instrText xml:space="preserve"> TOC \o "1-3" \h \z \u </w:instrText>
              </w:r>
              <w:r w:rsidRPr="00A3491F">
                <w:rPr>
                  <w:szCs w:val="24"/>
                  <w:lang w:val="bg-BG"/>
                </w:rPr>
                <w:fldChar w:fldCharType="separate"/>
              </w:r>
              <w:hyperlink w:anchor="_Toc496709932" w:history="1">
                <w:r w:rsidR="002962C6" w:rsidRPr="00A3491F">
                  <w:rPr>
                    <w:rStyle w:val="Hyperlink"/>
                    <w:lang w:val="bg-BG"/>
                  </w:rPr>
                  <w:t>I. Въведение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_Toc496709932 \h </w:instrText>
                </w:r>
                <w:r w:rsidR="002962C6" w:rsidRPr="00A3491F">
                  <w:rPr>
                    <w:webHidden/>
                    <w:lang w:val="bg-BG"/>
                  </w:rPr>
                </w:r>
                <w:r w:rsidR="002962C6" w:rsidRPr="00A3491F">
                  <w:rPr>
                    <w:webHidden/>
                    <w:lang w:val="bg-BG"/>
                  </w:rPr>
                  <w:fldChar w:fldCharType="separate"/>
                </w:r>
                <w:r w:rsidR="0099421C">
                  <w:rPr>
                    <w:noProof/>
                    <w:webHidden/>
                    <w:lang w:val="bg-BG"/>
                  </w:rPr>
                  <w:t>3</w:t>
                </w:r>
                <w:r w:rsidR="002962C6" w:rsidRPr="00A3491F">
                  <w:rPr>
                    <w:webHidden/>
                    <w:lang w:val="bg-BG"/>
                  </w:rPr>
                  <w:fldChar w:fldCharType="end"/>
                </w:r>
              </w:hyperlink>
            </w:p>
            <w:p w:rsidR="002962C6" w:rsidRPr="00A3491F" w:rsidRDefault="00BF4D1E">
              <w:pPr>
                <w:pStyle w:val="TOC2"/>
                <w:rPr>
                  <w:sz w:val="22"/>
                  <w:lang w:val="bg-BG"/>
                </w:rPr>
              </w:pPr>
              <w:hyperlink w:anchor="_Toc496709933" w:history="1">
                <w:r w:rsidR="002962C6" w:rsidRPr="00A3491F">
                  <w:rPr>
                    <w:rStyle w:val="Hyperlink"/>
                    <w:lang w:val="bg-BG"/>
                  </w:rPr>
                  <w:t>I.1. Обща рамка</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_Toc496709933 \h </w:instrText>
                </w:r>
                <w:r w:rsidR="002962C6" w:rsidRPr="00A3491F">
                  <w:rPr>
                    <w:webHidden/>
                    <w:lang w:val="bg-BG"/>
                  </w:rPr>
                </w:r>
                <w:r w:rsidR="002962C6" w:rsidRPr="00A3491F">
                  <w:rPr>
                    <w:webHidden/>
                    <w:lang w:val="bg-BG"/>
                  </w:rPr>
                  <w:fldChar w:fldCharType="separate"/>
                </w:r>
                <w:r w:rsidR="0099421C">
                  <w:rPr>
                    <w:noProof/>
                    <w:webHidden/>
                    <w:lang w:val="bg-BG"/>
                  </w:rPr>
                  <w:t>3</w:t>
                </w:r>
                <w:r w:rsidR="002962C6" w:rsidRPr="00A3491F">
                  <w:rPr>
                    <w:webHidden/>
                    <w:lang w:val="bg-BG"/>
                  </w:rPr>
                  <w:fldChar w:fldCharType="end"/>
                </w:r>
              </w:hyperlink>
            </w:p>
            <w:p w:rsidR="002962C6" w:rsidRPr="00A3491F" w:rsidRDefault="00BF4D1E">
              <w:pPr>
                <w:pStyle w:val="TOC2"/>
                <w:rPr>
                  <w:sz w:val="22"/>
                  <w:lang w:val="bg-BG"/>
                </w:rPr>
              </w:pPr>
              <w:hyperlink w:anchor="_Toc496709934" w:history="1">
                <w:r w:rsidR="002962C6" w:rsidRPr="00A3491F">
                  <w:rPr>
                    <w:rStyle w:val="Hyperlink"/>
                    <w:lang w:val="bg-BG"/>
                  </w:rPr>
                  <w:t>I.2. Проект на закон за виното и спиртните напитки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_Toc496709934 \h </w:instrText>
                </w:r>
                <w:r w:rsidR="002962C6" w:rsidRPr="00A3491F">
                  <w:rPr>
                    <w:webHidden/>
                    <w:lang w:val="bg-BG"/>
                  </w:rPr>
                </w:r>
                <w:r w:rsidR="002962C6" w:rsidRPr="00A3491F">
                  <w:rPr>
                    <w:webHidden/>
                    <w:lang w:val="bg-BG"/>
                  </w:rPr>
                  <w:fldChar w:fldCharType="separate"/>
                </w:r>
                <w:r w:rsidR="0099421C">
                  <w:rPr>
                    <w:noProof/>
                    <w:webHidden/>
                    <w:lang w:val="bg-BG"/>
                  </w:rPr>
                  <w:t>4</w:t>
                </w:r>
                <w:r w:rsidR="002962C6" w:rsidRPr="00A3491F">
                  <w:rPr>
                    <w:webHidden/>
                    <w:lang w:val="bg-BG"/>
                  </w:rPr>
                  <w:fldChar w:fldCharType="end"/>
                </w:r>
              </w:hyperlink>
            </w:p>
            <w:p w:rsidR="002962C6" w:rsidRPr="00A3491F" w:rsidRDefault="00BF4D1E">
              <w:pPr>
                <w:pStyle w:val="TOC2"/>
                <w:rPr>
                  <w:sz w:val="22"/>
                  <w:lang w:val="bg-BG"/>
                </w:rPr>
              </w:pPr>
              <w:hyperlink w:anchor="_Toc496709935" w:history="1">
                <w:r w:rsidR="002962C6" w:rsidRPr="00A3491F">
                  <w:rPr>
                    <w:rStyle w:val="Hyperlink"/>
                    <w:lang w:val="bg-BG"/>
                  </w:rPr>
                  <w:t>I.3. Методологична рамка на цялостната предварителна оценка на въздействието</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_Toc496709935 \h </w:instrText>
                </w:r>
                <w:r w:rsidR="002962C6" w:rsidRPr="00A3491F">
                  <w:rPr>
                    <w:webHidden/>
                    <w:lang w:val="bg-BG"/>
                  </w:rPr>
                </w:r>
                <w:r w:rsidR="002962C6" w:rsidRPr="00A3491F">
                  <w:rPr>
                    <w:webHidden/>
                    <w:lang w:val="bg-BG"/>
                  </w:rPr>
                  <w:fldChar w:fldCharType="separate"/>
                </w:r>
                <w:r w:rsidR="0099421C">
                  <w:rPr>
                    <w:noProof/>
                    <w:webHidden/>
                    <w:lang w:val="bg-BG"/>
                  </w:rPr>
                  <w:t>5</w:t>
                </w:r>
                <w:r w:rsidR="002962C6" w:rsidRPr="00A3491F">
                  <w:rPr>
                    <w:webHidden/>
                    <w:lang w:val="bg-BG"/>
                  </w:rPr>
                  <w:fldChar w:fldCharType="end"/>
                </w:r>
              </w:hyperlink>
            </w:p>
            <w:p w:rsidR="002962C6" w:rsidRPr="00A3491F" w:rsidRDefault="00BF4D1E">
              <w:pPr>
                <w:pStyle w:val="TOC2"/>
                <w:rPr>
                  <w:sz w:val="22"/>
                  <w:lang w:val="bg-BG"/>
                </w:rPr>
              </w:pPr>
              <w:hyperlink w:anchor="_Toc496709936" w:history="1">
                <w:r w:rsidR="002962C6" w:rsidRPr="00A3491F">
                  <w:rPr>
                    <w:rStyle w:val="Hyperlink"/>
                    <w:lang w:val="bg-BG"/>
                  </w:rPr>
                  <w:t>I.4. Етапи и източници на информация</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_Toc496709936 \h </w:instrText>
                </w:r>
                <w:r w:rsidR="002962C6" w:rsidRPr="00A3491F">
                  <w:rPr>
                    <w:webHidden/>
                    <w:lang w:val="bg-BG"/>
                  </w:rPr>
                </w:r>
                <w:r w:rsidR="002962C6" w:rsidRPr="00A3491F">
                  <w:rPr>
                    <w:webHidden/>
                    <w:lang w:val="bg-BG"/>
                  </w:rPr>
                  <w:fldChar w:fldCharType="separate"/>
                </w:r>
                <w:r w:rsidR="0099421C">
                  <w:rPr>
                    <w:noProof/>
                    <w:webHidden/>
                    <w:lang w:val="bg-BG"/>
                  </w:rPr>
                  <w:t>6</w:t>
                </w:r>
                <w:r w:rsidR="002962C6" w:rsidRPr="00A3491F">
                  <w:rPr>
                    <w:webHidden/>
                    <w:lang w:val="bg-BG"/>
                  </w:rPr>
                  <w:fldChar w:fldCharType="end"/>
                </w:r>
              </w:hyperlink>
            </w:p>
            <w:p w:rsidR="002962C6" w:rsidRPr="00A3491F" w:rsidRDefault="00BF4D1E">
              <w:pPr>
                <w:pStyle w:val="TOC1"/>
                <w:rPr>
                  <w:sz w:val="22"/>
                  <w:lang w:val="bg-BG"/>
                </w:rPr>
              </w:pPr>
              <w:hyperlink w:anchor="_Toc496709937" w:history="1">
                <w:r w:rsidR="002962C6" w:rsidRPr="00A3491F">
                  <w:rPr>
                    <w:rStyle w:val="Hyperlink"/>
                    <w:lang w:val="bg-BG"/>
                  </w:rPr>
                  <w:t>II. Определяне на проблемите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_Toc496709937 \h </w:instrText>
                </w:r>
                <w:r w:rsidR="002962C6" w:rsidRPr="00A3491F">
                  <w:rPr>
                    <w:webHidden/>
                    <w:lang w:val="bg-BG"/>
                  </w:rPr>
                </w:r>
                <w:r w:rsidR="002962C6" w:rsidRPr="00A3491F">
                  <w:rPr>
                    <w:webHidden/>
                    <w:lang w:val="bg-BG"/>
                  </w:rPr>
                  <w:fldChar w:fldCharType="separate"/>
                </w:r>
                <w:r w:rsidR="0099421C">
                  <w:rPr>
                    <w:noProof/>
                    <w:webHidden/>
                    <w:lang w:val="bg-BG"/>
                  </w:rPr>
                  <w:t>8</w:t>
                </w:r>
                <w:r w:rsidR="002962C6" w:rsidRPr="00A3491F">
                  <w:rPr>
                    <w:webHidden/>
                    <w:lang w:val="bg-BG"/>
                  </w:rPr>
                  <w:fldChar w:fldCharType="end"/>
                </w:r>
              </w:hyperlink>
            </w:p>
            <w:p w:rsidR="002962C6" w:rsidRPr="00A3491F" w:rsidRDefault="00BF4D1E">
              <w:pPr>
                <w:pStyle w:val="TOC2"/>
                <w:rPr>
                  <w:sz w:val="22"/>
                  <w:lang w:val="bg-BG"/>
                </w:rPr>
              </w:pPr>
              <w:hyperlink w:anchor="_Toc496709938" w:history="1">
                <w:r w:rsidR="002962C6" w:rsidRPr="00A3491F">
                  <w:rPr>
                    <w:rStyle w:val="Hyperlink"/>
                    <w:lang w:val="bg-BG"/>
                  </w:rPr>
                  <w:t>II.1. Основен проблем</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_Toc496709938 \h </w:instrText>
                </w:r>
                <w:r w:rsidR="002962C6" w:rsidRPr="00A3491F">
                  <w:rPr>
                    <w:webHidden/>
                    <w:lang w:val="bg-BG"/>
                  </w:rPr>
                </w:r>
                <w:r w:rsidR="002962C6" w:rsidRPr="00A3491F">
                  <w:rPr>
                    <w:webHidden/>
                    <w:lang w:val="bg-BG"/>
                  </w:rPr>
                  <w:fldChar w:fldCharType="separate"/>
                </w:r>
                <w:r w:rsidR="0099421C">
                  <w:rPr>
                    <w:noProof/>
                    <w:webHidden/>
                    <w:lang w:val="bg-BG"/>
                  </w:rPr>
                  <w:t>8</w:t>
                </w:r>
                <w:r w:rsidR="002962C6" w:rsidRPr="00A3491F">
                  <w:rPr>
                    <w:webHidden/>
                    <w:lang w:val="bg-BG"/>
                  </w:rPr>
                  <w:fldChar w:fldCharType="end"/>
                </w:r>
              </w:hyperlink>
            </w:p>
            <w:p w:rsidR="002962C6" w:rsidRPr="00A3491F" w:rsidRDefault="00BF4D1E">
              <w:pPr>
                <w:pStyle w:val="TOC2"/>
                <w:rPr>
                  <w:sz w:val="22"/>
                  <w:lang w:val="bg-BG"/>
                </w:rPr>
              </w:pPr>
              <w:hyperlink w:anchor="_Toc496709939" w:history="1">
                <w:r w:rsidR="002962C6" w:rsidRPr="00A3491F">
                  <w:rPr>
                    <w:rStyle w:val="Hyperlink"/>
                    <w:lang w:val="bg-BG"/>
                  </w:rPr>
                  <w:t>II.2. Специфични проблеми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_Toc496709939 \h </w:instrText>
                </w:r>
                <w:r w:rsidR="002962C6" w:rsidRPr="00A3491F">
                  <w:rPr>
                    <w:webHidden/>
                    <w:lang w:val="bg-BG"/>
                  </w:rPr>
                </w:r>
                <w:r w:rsidR="002962C6" w:rsidRPr="00A3491F">
                  <w:rPr>
                    <w:webHidden/>
                    <w:lang w:val="bg-BG"/>
                  </w:rPr>
                  <w:fldChar w:fldCharType="separate"/>
                </w:r>
                <w:r w:rsidR="0099421C">
                  <w:rPr>
                    <w:noProof/>
                    <w:webHidden/>
                    <w:lang w:val="bg-BG"/>
                  </w:rPr>
                  <w:t>8</w:t>
                </w:r>
                <w:r w:rsidR="002962C6" w:rsidRPr="00A3491F">
                  <w:rPr>
                    <w:webHidden/>
                    <w:lang w:val="bg-BG"/>
                  </w:rPr>
                  <w:fldChar w:fldCharType="end"/>
                </w:r>
              </w:hyperlink>
            </w:p>
            <w:p w:rsidR="002962C6" w:rsidRPr="00A3491F" w:rsidRDefault="00BF4D1E">
              <w:pPr>
                <w:pStyle w:val="TOC1"/>
                <w:rPr>
                  <w:sz w:val="22"/>
                  <w:lang w:val="bg-BG"/>
                </w:rPr>
              </w:pPr>
              <w:hyperlink w:anchor="_Toc496709940" w:history="1">
                <w:r w:rsidR="002962C6" w:rsidRPr="00A3491F">
                  <w:rPr>
                    <w:rStyle w:val="Hyperlink"/>
                    <w:lang w:val="bg-BG"/>
                  </w:rPr>
                  <w:t>III. Заинтересовани страни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_Toc496709940 \h </w:instrText>
                </w:r>
                <w:r w:rsidR="002962C6" w:rsidRPr="00A3491F">
                  <w:rPr>
                    <w:webHidden/>
                    <w:lang w:val="bg-BG"/>
                  </w:rPr>
                </w:r>
                <w:r w:rsidR="002962C6" w:rsidRPr="00A3491F">
                  <w:rPr>
                    <w:webHidden/>
                    <w:lang w:val="bg-BG"/>
                  </w:rPr>
                  <w:fldChar w:fldCharType="separate"/>
                </w:r>
                <w:r w:rsidR="0099421C">
                  <w:rPr>
                    <w:noProof/>
                    <w:webHidden/>
                    <w:lang w:val="bg-BG"/>
                  </w:rPr>
                  <w:t>11</w:t>
                </w:r>
                <w:r w:rsidR="002962C6" w:rsidRPr="00A3491F">
                  <w:rPr>
                    <w:webHidden/>
                    <w:lang w:val="bg-BG"/>
                  </w:rPr>
                  <w:fldChar w:fldCharType="end"/>
                </w:r>
              </w:hyperlink>
            </w:p>
            <w:p w:rsidR="002962C6" w:rsidRPr="00A3491F" w:rsidRDefault="00BF4D1E">
              <w:pPr>
                <w:pStyle w:val="TOC2"/>
                <w:rPr>
                  <w:sz w:val="22"/>
                  <w:lang w:val="bg-BG"/>
                </w:rPr>
              </w:pPr>
              <w:hyperlink w:anchor="_Toc496709941" w:history="1">
                <w:r w:rsidR="002962C6" w:rsidRPr="00A3491F">
                  <w:rPr>
                    <w:rStyle w:val="Hyperlink"/>
                    <w:lang w:val="bg-BG"/>
                  </w:rPr>
                  <w:t>III.1. Стопански субекти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_Toc496709941 \h </w:instrText>
                </w:r>
                <w:r w:rsidR="002962C6" w:rsidRPr="00A3491F">
                  <w:rPr>
                    <w:webHidden/>
                    <w:lang w:val="bg-BG"/>
                  </w:rPr>
                </w:r>
                <w:r w:rsidR="002962C6" w:rsidRPr="00A3491F">
                  <w:rPr>
                    <w:webHidden/>
                    <w:lang w:val="bg-BG"/>
                  </w:rPr>
                  <w:fldChar w:fldCharType="separate"/>
                </w:r>
                <w:r w:rsidR="0099421C">
                  <w:rPr>
                    <w:noProof/>
                    <w:webHidden/>
                    <w:lang w:val="bg-BG"/>
                  </w:rPr>
                  <w:t>11</w:t>
                </w:r>
                <w:r w:rsidR="002962C6" w:rsidRPr="00A3491F">
                  <w:rPr>
                    <w:webHidden/>
                    <w:lang w:val="bg-BG"/>
                  </w:rPr>
                  <w:fldChar w:fldCharType="end"/>
                </w:r>
              </w:hyperlink>
            </w:p>
            <w:p w:rsidR="002962C6" w:rsidRPr="00A3491F" w:rsidRDefault="00BF4D1E">
              <w:pPr>
                <w:pStyle w:val="TOC2"/>
                <w:rPr>
                  <w:sz w:val="22"/>
                  <w:lang w:val="bg-BG"/>
                </w:rPr>
              </w:pPr>
              <w:hyperlink w:anchor="_Toc496709942" w:history="1">
                <w:r w:rsidR="002962C6" w:rsidRPr="00A3491F">
                  <w:rPr>
                    <w:rStyle w:val="Hyperlink"/>
                    <w:lang w:val="bg-BG"/>
                  </w:rPr>
                  <w:t>III.2. Потребители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_Toc496709942 \h </w:instrText>
                </w:r>
                <w:r w:rsidR="002962C6" w:rsidRPr="00A3491F">
                  <w:rPr>
                    <w:webHidden/>
                    <w:lang w:val="bg-BG"/>
                  </w:rPr>
                </w:r>
                <w:r w:rsidR="002962C6" w:rsidRPr="00A3491F">
                  <w:rPr>
                    <w:webHidden/>
                    <w:lang w:val="bg-BG"/>
                  </w:rPr>
                  <w:fldChar w:fldCharType="separate"/>
                </w:r>
                <w:r w:rsidR="0099421C">
                  <w:rPr>
                    <w:noProof/>
                    <w:webHidden/>
                    <w:lang w:val="bg-BG"/>
                  </w:rPr>
                  <w:t>12</w:t>
                </w:r>
                <w:r w:rsidR="002962C6" w:rsidRPr="00A3491F">
                  <w:rPr>
                    <w:webHidden/>
                    <w:lang w:val="bg-BG"/>
                  </w:rPr>
                  <w:fldChar w:fldCharType="end"/>
                </w:r>
              </w:hyperlink>
            </w:p>
            <w:p w:rsidR="002962C6" w:rsidRPr="00A3491F" w:rsidRDefault="00BF4D1E">
              <w:pPr>
                <w:pStyle w:val="TOC2"/>
                <w:rPr>
                  <w:sz w:val="22"/>
                  <w:lang w:val="bg-BG"/>
                </w:rPr>
              </w:pPr>
              <w:hyperlink w:anchor="_Toc496709943" w:history="1">
                <w:r w:rsidR="002962C6" w:rsidRPr="00A3491F">
                  <w:rPr>
                    <w:rStyle w:val="Hyperlink"/>
                    <w:lang w:val="bg-BG"/>
                  </w:rPr>
                  <w:t>III.3. Органи, натоварени с изпълнението на закона</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_Toc496709943 \h </w:instrText>
                </w:r>
                <w:r w:rsidR="002962C6" w:rsidRPr="00A3491F">
                  <w:rPr>
                    <w:webHidden/>
                    <w:lang w:val="bg-BG"/>
                  </w:rPr>
                </w:r>
                <w:r w:rsidR="002962C6" w:rsidRPr="00A3491F">
                  <w:rPr>
                    <w:webHidden/>
                    <w:lang w:val="bg-BG"/>
                  </w:rPr>
                  <w:fldChar w:fldCharType="separate"/>
                </w:r>
                <w:r w:rsidR="0099421C">
                  <w:rPr>
                    <w:noProof/>
                    <w:webHidden/>
                    <w:lang w:val="bg-BG"/>
                  </w:rPr>
                  <w:t>12</w:t>
                </w:r>
                <w:r w:rsidR="002962C6" w:rsidRPr="00A3491F">
                  <w:rPr>
                    <w:webHidden/>
                    <w:lang w:val="bg-BG"/>
                  </w:rPr>
                  <w:fldChar w:fldCharType="end"/>
                </w:r>
              </w:hyperlink>
            </w:p>
            <w:p w:rsidR="002962C6" w:rsidRPr="00A3491F" w:rsidRDefault="00BF4D1E">
              <w:pPr>
                <w:pStyle w:val="TOC3"/>
                <w:tabs>
                  <w:tab w:val="right" w:leader="dot" w:pos="9849"/>
                </w:tabs>
                <w:rPr>
                  <w:sz w:val="22"/>
                  <w:lang w:val="bg-BG"/>
                </w:rPr>
              </w:pPr>
              <w:hyperlink w:anchor="_Toc496709944" w:history="1">
                <w:r w:rsidR="002962C6" w:rsidRPr="00A3491F">
                  <w:rPr>
                    <w:rStyle w:val="Hyperlink"/>
                    <w:lang w:val="bg-BG"/>
                  </w:rPr>
                  <w:t>III.3.1. Контрол върху производството на грозде, вино и продукти, произведени от вино</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_Toc496709944 \h </w:instrText>
                </w:r>
                <w:r w:rsidR="002962C6" w:rsidRPr="00A3491F">
                  <w:rPr>
                    <w:webHidden/>
                    <w:lang w:val="bg-BG"/>
                  </w:rPr>
                </w:r>
                <w:r w:rsidR="002962C6" w:rsidRPr="00A3491F">
                  <w:rPr>
                    <w:webHidden/>
                    <w:lang w:val="bg-BG"/>
                  </w:rPr>
                  <w:fldChar w:fldCharType="separate"/>
                </w:r>
                <w:r w:rsidR="0099421C">
                  <w:rPr>
                    <w:noProof/>
                    <w:webHidden/>
                    <w:lang w:val="bg-BG"/>
                  </w:rPr>
                  <w:t>12</w:t>
                </w:r>
                <w:r w:rsidR="002962C6" w:rsidRPr="00A3491F">
                  <w:rPr>
                    <w:webHidden/>
                    <w:lang w:val="bg-BG"/>
                  </w:rPr>
                  <w:fldChar w:fldCharType="end"/>
                </w:r>
              </w:hyperlink>
            </w:p>
            <w:p w:rsidR="002962C6" w:rsidRPr="00A3491F" w:rsidRDefault="00BF4D1E">
              <w:pPr>
                <w:pStyle w:val="TOC3"/>
                <w:tabs>
                  <w:tab w:val="right" w:leader="dot" w:pos="9849"/>
                </w:tabs>
                <w:rPr>
                  <w:sz w:val="22"/>
                  <w:lang w:val="bg-BG"/>
                </w:rPr>
              </w:pPr>
              <w:hyperlink w:anchor="_Toc496709945" w:history="1">
                <w:r w:rsidR="002962C6" w:rsidRPr="00A3491F">
                  <w:rPr>
                    <w:rStyle w:val="Hyperlink"/>
                    <w:lang w:val="bg-BG"/>
                  </w:rPr>
                  <w:t>III.3.2. Контрол върху производството на етилов алкохол от земеделски произход, дестилати и спиртни напитки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_Toc496709945 \h </w:instrText>
                </w:r>
                <w:r w:rsidR="002962C6" w:rsidRPr="00A3491F">
                  <w:rPr>
                    <w:webHidden/>
                    <w:lang w:val="bg-BG"/>
                  </w:rPr>
                </w:r>
                <w:r w:rsidR="002962C6" w:rsidRPr="00A3491F">
                  <w:rPr>
                    <w:webHidden/>
                    <w:lang w:val="bg-BG"/>
                  </w:rPr>
                  <w:fldChar w:fldCharType="separate"/>
                </w:r>
                <w:r w:rsidR="0099421C">
                  <w:rPr>
                    <w:noProof/>
                    <w:webHidden/>
                    <w:lang w:val="bg-BG"/>
                  </w:rPr>
                  <w:t>12</w:t>
                </w:r>
                <w:r w:rsidR="002962C6" w:rsidRPr="00A3491F">
                  <w:rPr>
                    <w:webHidden/>
                    <w:lang w:val="bg-BG"/>
                  </w:rPr>
                  <w:fldChar w:fldCharType="end"/>
                </w:r>
              </w:hyperlink>
            </w:p>
            <w:p w:rsidR="002962C6" w:rsidRPr="00A3491F" w:rsidRDefault="00BF4D1E">
              <w:pPr>
                <w:pStyle w:val="TOC3"/>
                <w:tabs>
                  <w:tab w:val="right" w:leader="dot" w:pos="9849"/>
                </w:tabs>
                <w:rPr>
                  <w:sz w:val="22"/>
                  <w:lang w:val="bg-BG"/>
                </w:rPr>
              </w:pPr>
              <w:hyperlink w:anchor="_Toc496709946" w:history="1">
                <w:r w:rsidR="002962C6" w:rsidRPr="00A3491F">
                  <w:rPr>
                    <w:rStyle w:val="Hyperlink"/>
                    <w:lang w:val="bg-BG"/>
                  </w:rPr>
                  <w:t>III.3.3. Контрол върху търговията с вино и спиртни напитки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_Toc496709946 \h </w:instrText>
                </w:r>
                <w:r w:rsidR="002962C6" w:rsidRPr="00A3491F">
                  <w:rPr>
                    <w:webHidden/>
                    <w:lang w:val="bg-BG"/>
                  </w:rPr>
                </w:r>
                <w:r w:rsidR="002962C6" w:rsidRPr="00A3491F">
                  <w:rPr>
                    <w:webHidden/>
                    <w:lang w:val="bg-BG"/>
                  </w:rPr>
                  <w:fldChar w:fldCharType="separate"/>
                </w:r>
                <w:r w:rsidR="0099421C">
                  <w:rPr>
                    <w:noProof/>
                    <w:webHidden/>
                    <w:lang w:val="bg-BG"/>
                  </w:rPr>
                  <w:t>12</w:t>
                </w:r>
                <w:r w:rsidR="002962C6" w:rsidRPr="00A3491F">
                  <w:rPr>
                    <w:webHidden/>
                    <w:lang w:val="bg-BG"/>
                  </w:rPr>
                  <w:fldChar w:fldCharType="end"/>
                </w:r>
              </w:hyperlink>
            </w:p>
            <w:p w:rsidR="002962C6" w:rsidRPr="00A3491F" w:rsidRDefault="00BF4D1E">
              <w:pPr>
                <w:pStyle w:val="TOC1"/>
                <w:rPr>
                  <w:sz w:val="22"/>
                  <w:lang w:val="bg-BG"/>
                </w:rPr>
              </w:pPr>
              <w:hyperlink w:anchor="_Toc496709947" w:history="1">
                <w:r w:rsidR="002962C6" w:rsidRPr="00A3491F">
                  <w:rPr>
                    <w:rStyle w:val="Hyperlink"/>
                    <w:lang w:val="bg-BG"/>
                  </w:rPr>
                  <w:t>IV. Определяне на целите пред регулирането на обществените отношения с проекта на нормативен акт</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_Toc496709947 \h </w:instrText>
                </w:r>
                <w:r w:rsidR="002962C6" w:rsidRPr="00A3491F">
                  <w:rPr>
                    <w:webHidden/>
                    <w:lang w:val="bg-BG"/>
                  </w:rPr>
                </w:r>
                <w:r w:rsidR="002962C6" w:rsidRPr="00A3491F">
                  <w:rPr>
                    <w:webHidden/>
                    <w:lang w:val="bg-BG"/>
                  </w:rPr>
                  <w:fldChar w:fldCharType="separate"/>
                </w:r>
                <w:r w:rsidR="0099421C">
                  <w:rPr>
                    <w:noProof/>
                    <w:webHidden/>
                    <w:lang w:val="bg-BG"/>
                  </w:rPr>
                  <w:t>13</w:t>
                </w:r>
                <w:r w:rsidR="002962C6" w:rsidRPr="00A3491F">
                  <w:rPr>
                    <w:webHidden/>
                    <w:lang w:val="bg-BG"/>
                  </w:rPr>
                  <w:fldChar w:fldCharType="end"/>
                </w:r>
              </w:hyperlink>
            </w:p>
            <w:p w:rsidR="002962C6" w:rsidRPr="00A3491F" w:rsidRDefault="00BF4D1E">
              <w:pPr>
                <w:pStyle w:val="TOC2"/>
                <w:rPr>
                  <w:sz w:val="22"/>
                  <w:lang w:val="bg-BG"/>
                </w:rPr>
              </w:pPr>
              <w:hyperlink w:anchor="_Toc496709948" w:history="1">
                <w:r w:rsidR="002962C6" w:rsidRPr="00A3491F">
                  <w:rPr>
                    <w:rStyle w:val="Hyperlink"/>
                    <w:lang w:val="bg-BG"/>
                  </w:rPr>
                  <w:t>IV.1. Обща цел</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_Toc496709948 \h </w:instrText>
                </w:r>
                <w:r w:rsidR="002962C6" w:rsidRPr="00A3491F">
                  <w:rPr>
                    <w:webHidden/>
                    <w:lang w:val="bg-BG"/>
                  </w:rPr>
                </w:r>
                <w:r w:rsidR="002962C6" w:rsidRPr="00A3491F">
                  <w:rPr>
                    <w:webHidden/>
                    <w:lang w:val="bg-BG"/>
                  </w:rPr>
                  <w:fldChar w:fldCharType="separate"/>
                </w:r>
                <w:r w:rsidR="0099421C">
                  <w:rPr>
                    <w:noProof/>
                    <w:webHidden/>
                    <w:lang w:val="bg-BG"/>
                  </w:rPr>
                  <w:t>13</w:t>
                </w:r>
                <w:r w:rsidR="002962C6" w:rsidRPr="00A3491F">
                  <w:rPr>
                    <w:webHidden/>
                    <w:lang w:val="bg-BG"/>
                  </w:rPr>
                  <w:fldChar w:fldCharType="end"/>
                </w:r>
              </w:hyperlink>
            </w:p>
            <w:p w:rsidR="002962C6" w:rsidRPr="00A3491F" w:rsidRDefault="00BF4D1E">
              <w:pPr>
                <w:pStyle w:val="TOC2"/>
                <w:rPr>
                  <w:sz w:val="22"/>
                  <w:lang w:val="bg-BG"/>
                </w:rPr>
              </w:pPr>
              <w:hyperlink w:anchor="_Toc496709949" w:history="1">
                <w:r w:rsidR="002962C6" w:rsidRPr="00A3491F">
                  <w:rPr>
                    <w:rStyle w:val="Hyperlink"/>
                    <w:lang w:val="bg-BG"/>
                  </w:rPr>
                  <w:t>IV.2. Специфични цели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_Toc496709949 \h </w:instrText>
                </w:r>
                <w:r w:rsidR="002962C6" w:rsidRPr="00A3491F">
                  <w:rPr>
                    <w:webHidden/>
                    <w:lang w:val="bg-BG"/>
                  </w:rPr>
                </w:r>
                <w:r w:rsidR="002962C6" w:rsidRPr="00A3491F">
                  <w:rPr>
                    <w:webHidden/>
                    <w:lang w:val="bg-BG"/>
                  </w:rPr>
                  <w:fldChar w:fldCharType="separate"/>
                </w:r>
                <w:r w:rsidR="0099421C">
                  <w:rPr>
                    <w:noProof/>
                    <w:webHidden/>
                    <w:lang w:val="bg-BG"/>
                  </w:rPr>
                  <w:t>13</w:t>
                </w:r>
                <w:r w:rsidR="002962C6" w:rsidRPr="00A3491F">
                  <w:rPr>
                    <w:webHidden/>
                    <w:lang w:val="bg-BG"/>
                  </w:rPr>
                  <w:fldChar w:fldCharType="end"/>
                </w:r>
              </w:hyperlink>
            </w:p>
            <w:p w:rsidR="002962C6" w:rsidRPr="00A3491F" w:rsidRDefault="00BF4D1E">
              <w:pPr>
                <w:pStyle w:val="TOC2"/>
                <w:rPr>
                  <w:sz w:val="22"/>
                  <w:lang w:val="bg-BG"/>
                </w:rPr>
              </w:pPr>
              <w:hyperlink w:anchor="_Toc496709950" w:history="1">
                <w:r w:rsidR="002962C6" w:rsidRPr="00A3491F">
                  <w:rPr>
                    <w:rStyle w:val="Hyperlink"/>
                    <w:lang w:val="bg-BG"/>
                  </w:rPr>
                  <w:t>IV.3.Времеви график за постигане на целите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_Toc496709950 \h </w:instrText>
                </w:r>
                <w:r w:rsidR="002962C6" w:rsidRPr="00A3491F">
                  <w:rPr>
                    <w:webHidden/>
                    <w:lang w:val="bg-BG"/>
                  </w:rPr>
                </w:r>
                <w:r w:rsidR="002962C6" w:rsidRPr="00A3491F">
                  <w:rPr>
                    <w:webHidden/>
                    <w:lang w:val="bg-BG"/>
                  </w:rPr>
                  <w:fldChar w:fldCharType="separate"/>
                </w:r>
                <w:r w:rsidR="0099421C">
                  <w:rPr>
                    <w:noProof/>
                    <w:webHidden/>
                    <w:lang w:val="bg-BG"/>
                  </w:rPr>
                  <w:t>14</w:t>
                </w:r>
                <w:r w:rsidR="002962C6" w:rsidRPr="00A3491F">
                  <w:rPr>
                    <w:webHidden/>
                    <w:lang w:val="bg-BG"/>
                  </w:rPr>
                  <w:fldChar w:fldCharType="end"/>
                </w:r>
              </w:hyperlink>
            </w:p>
            <w:p w:rsidR="002962C6" w:rsidRPr="00A3491F" w:rsidRDefault="00BF4D1E">
              <w:pPr>
                <w:pStyle w:val="TOC1"/>
                <w:rPr>
                  <w:sz w:val="22"/>
                  <w:lang w:val="bg-BG"/>
                </w:rPr>
              </w:pPr>
              <w:hyperlink w:anchor="_Toc496709951" w:history="1">
                <w:r w:rsidR="002962C6" w:rsidRPr="00A3491F">
                  <w:rPr>
                    <w:rStyle w:val="Hyperlink"/>
                    <w:lang w:val="bg-BG"/>
                  </w:rPr>
                  <w:t>V. Определяне на възможните варианти за действие за постигане на целите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_Toc496709951 \h </w:instrText>
                </w:r>
                <w:r w:rsidR="002962C6" w:rsidRPr="00A3491F">
                  <w:rPr>
                    <w:webHidden/>
                    <w:lang w:val="bg-BG"/>
                  </w:rPr>
                </w:r>
                <w:r w:rsidR="002962C6" w:rsidRPr="00A3491F">
                  <w:rPr>
                    <w:webHidden/>
                    <w:lang w:val="bg-BG"/>
                  </w:rPr>
                  <w:fldChar w:fldCharType="separate"/>
                </w:r>
                <w:r w:rsidR="0099421C">
                  <w:rPr>
                    <w:noProof/>
                    <w:webHidden/>
                    <w:lang w:val="bg-BG"/>
                  </w:rPr>
                  <w:t>14</w:t>
                </w:r>
                <w:r w:rsidR="002962C6" w:rsidRPr="00A3491F">
                  <w:rPr>
                    <w:webHidden/>
                    <w:lang w:val="bg-BG"/>
                  </w:rPr>
                  <w:fldChar w:fldCharType="end"/>
                </w:r>
              </w:hyperlink>
            </w:p>
            <w:p w:rsidR="002962C6" w:rsidRPr="00A3491F" w:rsidRDefault="00BF4D1E">
              <w:pPr>
                <w:pStyle w:val="TOC2"/>
                <w:rPr>
                  <w:sz w:val="22"/>
                  <w:lang w:val="bg-BG"/>
                </w:rPr>
              </w:pPr>
              <w:hyperlink w:anchor="_Toc496709952" w:history="1">
                <w:r w:rsidR="002962C6" w:rsidRPr="00A3491F">
                  <w:rPr>
                    <w:rStyle w:val="Hyperlink"/>
                    <w:lang w:val="bg-BG"/>
                  </w:rPr>
                  <w:t>V.1. Вариант 1: Без действие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_Toc496709952 \h </w:instrText>
                </w:r>
                <w:r w:rsidR="002962C6" w:rsidRPr="00A3491F">
                  <w:rPr>
                    <w:webHidden/>
                    <w:lang w:val="bg-BG"/>
                  </w:rPr>
                </w:r>
                <w:r w:rsidR="002962C6" w:rsidRPr="00A3491F">
                  <w:rPr>
                    <w:webHidden/>
                    <w:lang w:val="bg-BG"/>
                  </w:rPr>
                  <w:fldChar w:fldCharType="separate"/>
                </w:r>
                <w:r w:rsidR="0099421C">
                  <w:rPr>
                    <w:noProof/>
                    <w:webHidden/>
                    <w:lang w:val="bg-BG"/>
                  </w:rPr>
                  <w:t>14</w:t>
                </w:r>
                <w:r w:rsidR="002962C6" w:rsidRPr="00A3491F">
                  <w:rPr>
                    <w:webHidden/>
                    <w:lang w:val="bg-BG"/>
                  </w:rPr>
                  <w:fldChar w:fldCharType="end"/>
                </w:r>
              </w:hyperlink>
            </w:p>
            <w:p w:rsidR="002962C6" w:rsidRPr="00A3491F" w:rsidRDefault="00BF4D1E">
              <w:pPr>
                <w:pStyle w:val="TOC2"/>
                <w:rPr>
                  <w:sz w:val="22"/>
                  <w:lang w:val="bg-BG"/>
                </w:rPr>
              </w:pPr>
              <w:hyperlink w:anchor="_Toc496709953" w:history="1">
                <w:r w:rsidR="002962C6" w:rsidRPr="00A3491F">
                  <w:rPr>
                    <w:rStyle w:val="Hyperlink"/>
                    <w:lang w:val="bg-BG"/>
                  </w:rPr>
                  <w:t>V.2. Вариант 2: Изменение и допълнение на съществуващия Закон за виното и спиртните напитки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_Toc496709953 \h </w:instrText>
                </w:r>
                <w:r w:rsidR="002962C6" w:rsidRPr="00A3491F">
                  <w:rPr>
                    <w:webHidden/>
                    <w:lang w:val="bg-BG"/>
                  </w:rPr>
                </w:r>
                <w:r w:rsidR="002962C6" w:rsidRPr="00A3491F">
                  <w:rPr>
                    <w:webHidden/>
                    <w:lang w:val="bg-BG"/>
                  </w:rPr>
                  <w:fldChar w:fldCharType="separate"/>
                </w:r>
                <w:r w:rsidR="0099421C">
                  <w:rPr>
                    <w:noProof/>
                    <w:webHidden/>
                    <w:lang w:val="bg-BG"/>
                  </w:rPr>
                  <w:t>15</w:t>
                </w:r>
                <w:r w:rsidR="002962C6" w:rsidRPr="00A3491F">
                  <w:rPr>
                    <w:webHidden/>
                    <w:lang w:val="bg-BG"/>
                  </w:rPr>
                  <w:fldChar w:fldCharType="end"/>
                </w:r>
              </w:hyperlink>
            </w:p>
            <w:p w:rsidR="002962C6" w:rsidRPr="00A3491F" w:rsidRDefault="00BF4D1E">
              <w:pPr>
                <w:pStyle w:val="TOC2"/>
                <w:rPr>
                  <w:sz w:val="22"/>
                  <w:lang w:val="bg-BG"/>
                </w:rPr>
              </w:pPr>
              <w:hyperlink w:anchor="_Toc496709954" w:history="1">
                <w:r w:rsidR="002962C6" w:rsidRPr="00A3491F">
                  <w:rPr>
                    <w:rStyle w:val="Hyperlink"/>
                    <w:lang w:val="bg-BG"/>
                  </w:rPr>
                  <w:t>V.3. Вариант 3: Приемане на нов Закон за виното и спиртните напитки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_Toc496709954 \h </w:instrText>
                </w:r>
                <w:r w:rsidR="002962C6" w:rsidRPr="00A3491F">
                  <w:rPr>
                    <w:webHidden/>
                    <w:lang w:val="bg-BG"/>
                  </w:rPr>
                </w:r>
                <w:r w:rsidR="002962C6" w:rsidRPr="00A3491F">
                  <w:rPr>
                    <w:webHidden/>
                    <w:lang w:val="bg-BG"/>
                  </w:rPr>
                  <w:fldChar w:fldCharType="separate"/>
                </w:r>
                <w:r w:rsidR="0099421C">
                  <w:rPr>
                    <w:noProof/>
                    <w:webHidden/>
                    <w:lang w:val="bg-BG"/>
                  </w:rPr>
                  <w:t>17</w:t>
                </w:r>
                <w:r w:rsidR="002962C6" w:rsidRPr="00A3491F">
                  <w:rPr>
                    <w:webHidden/>
                    <w:lang w:val="bg-BG"/>
                  </w:rPr>
                  <w:fldChar w:fldCharType="end"/>
                </w:r>
              </w:hyperlink>
            </w:p>
            <w:p w:rsidR="002962C6" w:rsidRPr="00A3491F" w:rsidRDefault="00BF4D1E">
              <w:pPr>
                <w:pStyle w:val="TOC1"/>
                <w:rPr>
                  <w:sz w:val="22"/>
                  <w:lang w:val="bg-BG"/>
                </w:rPr>
              </w:pPr>
              <w:hyperlink w:anchor="_Toc496709955" w:history="1">
                <w:r w:rsidR="002962C6" w:rsidRPr="00A3491F">
                  <w:rPr>
                    <w:rStyle w:val="Hyperlink"/>
                    <w:rFonts w:eastAsia="Times New Roman"/>
                    <w:lang w:val="bg-BG"/>
                  </w:rPr>
                  <w:t>VI. 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_Toc496709955 \h </w:instrText>
                </w:r>
                <w:r w:rsidR="002962C6" w:rsidRPr="00A3491F">
                  <w:rPr>
                    <w:webHidden/>
                    <w:lang w:val="bg-BG"/>
                  </w:rPr>
                </w:r>
                <w:r w:rsidR="002962C6" w:rsidRPr="00A3491F">
                  <w:rPr>
                    <w:webHidden/>
                    <w:lang w:val="bg-BG"/>
                  </w:rPr>
                  <w:fldChar w:fldCharType="separate"/>
                </w:r>
                <w:r w:rsidR="0099421C">
                  <w:rPr>
                    <w:noProof/>
                    <w:webHidden/>
                    <w:lang w:val="bg-BG"/>
                  </w:rPr>
                  <w:t>20</w:t>
                </w:r>
                <w:r w:rsidR="002962C6" w:rsidRPr="00A3491F">
                  <w:rPr>
                    <w:webHidden/>
                    <w:lang w:val="bg-BG"/>
                  </w:rPr>
                  <w:fldChar w:fldCharType="end"/>
                </w:r>
              </w:hyperlink>
            </w:p>
            <w:p w:rsidR="002962C6" w:rsidRPr="00A3491F" w:rsidRDefault="00BF4D1E">
              <w:pPr>
                <w:pStyle w:val="TOC2"/>
                <w:rPr>
                  <w:sz w:val="22"/>
                  <w:lang w:val="bg-BG"/>
                </w:rPr>
              </w:pPr>
              <w:hyperlink w:anchor="_Toc496709956" w:history="1">
                <w:r w:rsidR="002962C6" w:rsidRPr="00A3491F">
                  <w:rPr>
                    <w:rStyle w:val="Hyperlink"/>
                    <w:rFonts w:eastAsia="Times New Roman"/>
                    <w:lang w:val="bg-BG"/>
                  </w:rPr>
                  <w:t>VI.1. Вариант 1: Без действие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_Toc496709956 \h </w:instrText>
                </w:r>
                <w:r w:rsidR="002962C6" w:rsidRPr="00A3491F">
                  <w:rPr>
                    <w:webHidden/>
                    <w:lang w:val="bg-BG"/>
                  </w:rPr>
                </w:r>
                <w:r w:rsidR="002962C6" w:rsidRPr="00A3491F">
                  <w:rPr>
                    <w:webHidden/>
                    <w:lang w:val="bg-BG"/>
                  </w:rPr>
                  <w:fldChar w:fldCharType="separate"/>
                </w:r>
                <w:r w:rsidR="0099421C">
                  <w:rPr>
                    <w:noProof/>
                    <w:webHidden/>
                    <w:lang w:val="bg-BG"/>
                  </w:rPr>
                  <w:t>20</w:t>
                </w:r>
                <w:r w:rsidR="002962C6" w:rsidRPr="00A3491F">
                  <w:rPr>
                    <w:webHidden/>
                    <w:lang w:val="bg-BG"/>
                  </w:rPr>
                  <w:fldChar w:fldCharType="end"/>
                </w:r>
              </w:hyperlink>
            </w:p>
            <w:p w:rsidR="002962C6" w:rsidRPr="00A3491F" w:rsidRDefault="00BF4D1E">
              <w:pPr>
                <w:pStyle w:val="TOC2"/>
                <w:rPr>
                  <w:sz w:val="22"/>
                  <w:lang w:val="bg-BG"/>
                </w:rPr>
              </w:pPr>
              <w:hyperlink w:anchor="_Toc496709957" w:history="1">
                <w:r w:rsidR="002962C6" w:rsidRPr="00A3491F">
                  <w:rPr>
                    <w:rStyle w:val="Hyperlink"/>
                    <w:rFonts w:eastAsia="Times New Roman"/>
                    <w:lang w:val="bg-BG"/>
                  </w:rPr>
                  <w:t>VI.2. Вариант 2: Изменение и допълнение на съществуващия Закон за виното и спиртните напитки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_Toc496709957 \h </w:instrText>
                </w:r>
                <w:r w:rsidR="002962C6" w:rsidRPr="00A3491F">
                  <w:rPr>
                    <w:webHidden/>
                    <w:lang w:val="bg-BG"/>
                  </w:rPr>
                </w:r>
                <w:r w:rsidR="002962C6" w:rsidRPr="00A3491F">
                  <w:rPr>
                    <w:webHidden/>
                    <w:lang w:val="bg-BG"/>
                  </w:rPr>
                  <w:fldChar w:fldCharType="separate"/>
                </w:r>
                <w:r w:rsidR="0099421C">
                  <w:rPr>
                    <w:noProof/>
                    <w:webHidden/>
                    <w:lang w:val="bg-BG"/>
                  </w:rPr>
                  <w:t>21</w:t>
                </w:r>
                <w:r w:rsidR="002962C6" w:rsidRPr="00A3491F">
                  <w:rPr>
                    <w:webHidden/>
                    <w:lang w:val="bg-BG"/>
                  </w:rPr>
                  <w:fldChar w:fldCharType="end"/>
                </w:r>
              </w:hyperlink>
            </w:p>
            <w:p w:rsidR="002962C6" w:rsidRPr="00A3491F" w:rsidRDefault="00BF4D1E">
              <w:pPr>
                <w:pStyle w:val="TOC2"/>
                <w:rPr>
                  <w:sz w:val="22"/>
                  <w:lang w:val="bg-BG"/>
                </w:rPr>
              </w:pPr>
              <w:hyperlink w:anchor="_Toc496709958" w:history="1">
                <w:r w:rsidR="002962C6" w:rsidRPr="00A3491F">
                  <w:rPr>
                    <w:rStyle w:val="Hyperlink"/>
                    <w:rFonts w:eastAsia="Times New Roman"/>
                    <w:lang w:val="bg-BG"/>
                  </w:rPr>
                  <w:t>VI.3. Вариант 3: Приемане на нов Закон за виното и спиртните напитки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_Toc496709958 \h </w:instrText>
                </w:r>
                <w:r w:rsidR="002962C6" w:rsidRPr="00A3491F">
                  <w:rPr>
                    <w:webHidden/>
                    <w:lang w:val="bg-BG"/>
                  </w:rPr>
                </w:r>
                <w:r w:rsidR="002962C6" w:rsidRPr="00A3491F">
                  <w:rPr>
                    <w:webHidden/>
                    <w:lang w:val="bg-BG"/>
                  </w:rPr>
                  <w:fldChar w:fldCharType="separate"/>
                </w:r>
                <w:r w:rsidR="0099421C">
                  <w:rPr>
                    <w:noProof/>
                    <w:webHidden/>
                    <w:lang w:val="bg-BG"/>
                  </w:rPr>
                  <w:t>21</w:t>
                </w:r>
                <w:r w:rsidR="002962C6" w:rsidRPr="00A3491F">
                  <w:rPr>
                    <w:webHidden/>
                    <w:lang w:val="bg-BG"/>
                  </w:rPr>
                  <w:fldChar w:fldCharType="end"/>
                </w:r>
              </w:hyperlink>
            </w:p>
            <w:p w:rsidR="002962C6" w:rsidRPr="00A3491F" w:rsidRDefault="00BF4D1E">
              <w:pPr>
                <w:pStyle w:val="TOC1"/>
                <w:rPr>
                  <w:sz w:val="22"/>
                  <w:lang w:val="bg-BG"/>
                </w:rPr>
              </w:pPr>
              <w:hyperlink w:anchor="_Toc496709959" w:history="1">
                <w:r w:rsidR="002962C6" w:rsidRPr="00A3491F">
                  <w:rPr>
                    <w:rStyle w:val="Hyperlink"/>
                    <w:rFonts w:eastAsia="Times New Roman"/>
                    <w:lang w:val="bg-BG"/>
                  </w:rPr>
                  <w:t>VII. Промяна на административната тежест по отношение на заинтересованите страни за всеки от вариантите, включително в случай на нови регулаторни режими и регистри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_Toc496709959 \h </w:instrText>
                </w:r>
                <w:r w:rsidR="002962C6" w:rsidRPr="00A3491F">
                  <w:rPr>
                    <w:webHidden/>
                    <w:lang w:val="bg-BG"/>
                  </w:rPr>
                </w:r>
                <w:r w:rsidR="002962C6" w:rsidRPr="00A3491F">
                  <w:rPr>
                    <w:webHidden/>
                    <w:lang w:val="bg-BG"/>
                  </w:rPr>
                  <w:fldChar w:fldCharType="separate"/>
                </w:r>
                <w:r w:rsidR="0099421C">
                  <w:rPr>
                    <w:noProof/>
                    <w:webHidden/>
                    <w:lang w:val="bg-BG"/>
                  </w:rPr>
                  <w:t>23</w:t>
                </w:r>
                <w:r w:rsidR="002962C6" w:rsidRPr="00A3491F">
                  <w:rPr>
                    <w:webHidden/>
                    <w:lang w:val="bg-BG"/>
                  </w:rPr>
                  <w:fldChar w:fldCharType="end"/>
                </w:r>
              </w:hyperlink>
            </w:p>
            <w:p w:rsidR="002962C6" w:rsidRPr="00A3491F" w:rsidRDefault="00BF4D1E">
              <w:pPr>
                <w:pStyle w:val="TOC2"/>
                <w:rPr>
                  <w:sz w:val="22"/>
                  <w:lang w:val="bg-BG"/>
                </w:rPr>
              </w:pPr>
              <w:hyperlink w:anchor="_Toc496709960" w:history="1">
                <w:r w:rsidR="002962C6" w:rsidRPr="00A3491F">
                  <w:rPr>
                    <w:rStyle w:val="Hyperlink"/>
                    <w:rFonts w:eastAsia="Times New Roman"/>
                    <w:lang w:val="bg-BG"/>
                  </w:rPr>
                  <w:t>VII.1. Вариант 1: Без действие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_Toc496709960 \h </w:instrText>
                </w:r>
                <w:r w:rsidR="002962C6" w:rsidRPr="00A3491F">
                  <w:rPr>
                    <w:webHidden/>
                    <w:lang w:val="bg-BG"/>
                  </w:rPr>
                </w:r>
                <w:r w:rsidR="002962C6" w:rsidRPr="00A3491F">
                  <w:rPr>
                    <w:webHidden/>
                    <w:lang w:val="bg-BG"/>
                  </w:rPr>
                  <w:fldChar w:fldCharType="separate"/>
                </w:r>
                <w:r w:rsidR="0099421C">
                  <w:rPr>
                    <w:noProof/>
                    <w:webHidden/>
                    <w:lang w:val="bg-BG"/>
                  </w:rPr>
                  <w:t>23</w:t>
                </w:r>
                <w:r w:rsidR="002962C6" w:rsidRPr="00A3491F">
                  <w:rPr>
                    <w:webHidden/>
                    <w:lang w:val="bg-BG"/>
                  </w:rPr>
                  <w:fldChar w:fldCharType="end"/>
                </w:r>
              </w:hyperlink>
            </w:p>
            <w:p w:rsidR="002962C6" w:rsidRPr="00A3491F" w:rsidRDefault="00BF4D1E">
              <w:pPr>
                <w:pStyle w:val="TOC2"/>
                <w:rPr>
                  <w:sz w:val="22"/>
                  <w:lang w:val="bg-BG"/>
                </w:rPr>
              </w:pPr>
              <w:hyperlink w:anchor="_Toc496709961" w:history="1">
                <w:r w:rsidR="002962C6" w:rsidRPr="00A3491F">
                  <w:rPr>
                    <w:rStyle w:val="Hyperlink"/>
                    <w:rFonts w:eastAsia="Times New Roman"/>
                    <w:lang w:val="bg-BG"/>
                  </w:rPr>
                  <w:t>VII.2. Вариант 2: Изменение и допълнение на съществуващия Закон за виното и спиртните напитки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_Toc496709961 \h </w:instrText>
                </w:r>
                <w:r w:rsidR="002962C6" w:rsidRPr="00A3491F">
                  <w:rPr>
                    <w:webHidden/>
                    <w:lang w:val="bg-BG"/>
                  </w:rPr>
                </w:r>
                <w:r w:rsidR="002962C6" w:rsidRPr="00A3491F">
                  <w:rPr>
                    <w:webHidden/>
                    <w:lang w:val="bg-BG"/>
                  </w:rPr>
                  <w:fldChar w:fldCharType="separate"/>
                </w:r>
                <w:r w:rsidR="0099421C">
                  <w:rPr>
                    <w:noProof/>
                    <w:webHidden/>
                    <w:lang w:val="bg-BG"/>
                  </w:rPr>
                  <w:t>23</w:t>
                </w:r>
                <w:r w:rsidR="002962C6" w:rsidRPr="00A3491F">
                  <w:rPr>
                    <w:webHidden/>
                    <w:lang w:val="bg-BG"/>
                  </w:rPr>
                  <w:fldChar w:fldCharType="end"/>
                </w:r>
              </w:hyperlink>
            </w:p>
            <w:p w:rsidR="002962C6" w:rsidRPr="00A3491F" w:rsidRDefault="00BF4D1E">
              <w:pPr>
                <w:pStyle w:val="TOC2"/>
                <w:rPr>
                  <w:sz w:val="22"/>
                  <w:lang w:val="bg-BG"/>
                </w:rPr>
              </w:pPr>
              <w:hyperlink w:anchor="_Toc496709962" w:history="1">
                <w:r w:rsidR="002962C6" w:rsidRPr="00A3491F">
                  <w:rPr>
                    <w:rStyle w:val="Hyperlink"/>
                    <w:rFonts w:eastAsia="Times New Roman"/>
                    <w:lang w:val="bg-BG"/>
                  </w:rPr>
                  <w:t>VII.3. Вариант 3: Приемане на нов Закон за виното и спиртните напитки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_Toc496709962 \h </w:instrText>
                </w:r>
                <w:r w:rsidR="002962C6" w:rsidRPr="00A3491F">
                  <w:rPr>
                    <w:webHidden/>
                    <w:lang w:val="bg-BG"/>
                  </w:rPr>
                </w:r>
                <w:r w:rsidR="002962C6" w:rsidRPr="00A3491F">
                  <w:rPr>
                    <w:webHidden/>
                    <w:lang w:val="bg-BG"/>
                  </w:rPr>
                  <w:fldChar w:fldCharType="separate"/>
                </w:r>
                <w:r w:rsidR="0099421C">
                  <w:rPr>
                    <w:noProof/>
                    <w:webHidden/>
                    <w:lang w:val="bg-BG"/>
                  </w:rPr>
                  <w:t>23</w:t>
                </w:r>
                <w:r w:rsidR="002962C6" w:rsidRPr="00A3491F">
                  <w:rPr>
                    <w:webHidden/>
                    <w:lang w:val="bg-BG"/>
                  </w:rPr>
                  <w:fldChar w:fldCharType="end"/>
                </w:r>
              </w:hyperlink>
            </w:p>
            <w:p w:rsidR="002962C6" w:rsidRPr="00A3491F" w:rsidRDefault="00BF4D1E">
              <w:pPr>
                <w:pStyle w:val="TOC1"/>
                <w:rPr>
                  <w:sz w:val="22"/>
                  <w:lang w:val="bg-BG"/>
                </w:rPr>
              </w:pPr>
              <w:hyperlink w:anchor="_Toc496709963" w:history="1">
                <w:r w:rsidR="002962C6" w:rsidRPr="00A3491F">
                  <w:rPr>
                    <w:rStyle w:val="Hyperlink"/>
                    <w:rFonts w:eastAsia="Times New Roman"/>
                    <w:lang w:val="bg-BG"/>
                  </w:rPr>
                  <w:t>VIII. Oписание на негативните (разходите) и положителните (ползите) въздействия за всяка от заинтересованите страни, за всеки от вариантите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_Toc496709963 \h </w:instrText>
                </w:r>
                <w:r w:rsidR="002962C6" w:rsidRPr="00A3491F">
                  <w:rPr>
                    <w:webHidden/>
                    <w:lang w:val="bg-BG"/>
                  </w:rPr>
                </w:r>
                <w:r w:rsidR="002962C6" w:rsidRPr="00A3491F">
                  <w:rPr>
                    <w:webHidden/>
                    <w:lang w:val="bg-BG"/>
                  </w:rPr>
                  <w:fldChar w:fldCharType="separate"/>
                </w:r>
                <w:r w:rsidR="0099421C">
                  <w:rPr>
                    <w:noProof/>
                    <w:webHidden/>
                    <w:lang w:val="bg-BG"/>
                  </w:rPr>
                  <w:t>24</w:t>
                </w:r>
                <w:r w:rsidR="002962C6" w:rsidRPr="00A3491F">
                  <w:rPr>
                    <w:webHidden/>
                    <w:lang w:val="bg-BG"/>
                  </w:rPr>
                  <w:fldChar w:fldCharType="end"/>
                </w:r>
              </w:hyperlink>
            </w:p>
            <w:p w:rsidR="002962C6" w:rsidRPr="00A3491F" w:rsidRDefault="00BF4D1E">
              <w:pPr>
                <w:pStyle w:val="TOC2"/>
                <w:rPr>
                  <w:sz w:val="22"/>
                  <w:lang w:val="bg-BG"/>
                </w:rPr>
              </w:pPr>
              <w:hyperlink w:anchor="_Toc496709964" w:history="1">
                <w:r w:rsidR="002962C6" w:rsidRPr="00A3491F">
                  <w:rPr>
                    <w:rStyle w:val="Hyperlink"/>
                    <w:rFonts w:eastAsia="Times New Roman"/>
                    <w:lang w:val="bg-BG"/>
                  </w:rPr>
                  <w:t>VIII.1. Вариант 1: Без действие</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_Toc496709964 \h </w:instrText>
                </w:r>
                <w:r w:rsidR="002962C6" w:rsidRPr="00A3491F">
                  <w:rPr>
                    <w:webHidden/>
                    <w:lang w:val="bg-BG"/>
                  </w:rPr>
                </w:r>
                <w:r w:rsidR="002962C6" w:rsidRPr="00A3491F">
                  <w:rPr>
                    <w:webHidden/>
                    <w:lang w:val="bg-BG"/>
                  </w:rPr>
                  <w:fldChar w:fldCharType="separate"/>
                </w:r>
                <w:r w:rsidR="0099421C">
                  <w:rPr>
                    <w:noProof/>
                    <w:webHidden/>
                    <w:lang w:val="bg-BG"/>
                  </w:rPr>
                  <w:t>24</w:t>
                </w:r>
                <w:r w:rsidR="002962C6" w:rsidRPr="00A3491F">
                  <w:rPr>
                    <w:webHidden/>
                    <w:lang w:val="bg-BG"/>
                  </w:rPr>
                  <w:fldChar w:fldCharType="end"/>
                </w:r>
              </w:hyperlink>
            </w:p>
            <w:p w:rsidR="002962C6" w:rsidRPr="00A3491F" w:rsidRDefault="00BF4D1E">
              <w:pPr>
                <w:pStyle w:val="TOC2"/>
                <w:rPr>
                  <w:sz w:val="22"/>
                  <w:lang w:val="bg-BG"/>
                </w:rPr>
              </w:pPr>
              <w:hyperlink w:anchor="_Toc496709965" w:history="1">
                <w:r w:rsidR="002962C6" w:rsidRPr="00A3491F">
                  <w:rPr>
                    <w:rStyle w:val="Hyperlink"/>
                    <w:rFonts w:eastAsia="Times New Roman"/>
                    <w:lang w:val="bg-BG"/>
                  </w:rPr>
                  <w:t>VIII.2. Вариант 2: Изменение и допълнение на съществуващия Закон за виното и спиртните напитки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_Toc496709965 \h </w:instrText>
                </w:r>
                <w:r w:rsidR="002962C6" w:rsidRPr="00A3491F">
                  <w:rPr>
                    <w:webHidden/>
                    <w:lang w:val="bg-BG"/>
                  </w:rPr>
                </w:r>
                <w:r w:rsidR="002962C6" w:rsidRPr="00A3491F">
                  <w:rPr>
                    <w:webHidden/>
                    <w:lang w:val="bg-BG"/>
                  </w:rPr>
                  <w:fldChar w:fldCharType="separate"/>
                </w:r>
                <w:r w:rsidR="0099421C">
                  <w:rPr>
                    <w:noProof/>
                    <w:webHidden/>
                    <w:lang w:val="bg-BG"/>
                  </w:rPr>
                  <w:t>25</w:t>
                </w:r>
                <w:r w:rsidR="002962C6" w:rsidRPr="00A3491F">
                  <w:rPr>
                    <w:webHidden/>
                    <w:lang w:val="bg-BG"/>
                  </w:rPr>
                  <w:fldChar w:fldCharType="end"/>
                </w:r>
              </w:hyperlink>
            </w:p>
            <w:p w:rsidR="002962C6" w:rsidRPr="00A3491F" w:rsidRDefault="00BF4D1E">
              <w:pPr>
                <w:pStyle w:val="TOC2"/>
                <w:rPr>
                  <w:sz w:val="22"/>
                  <w:lang w:val="bg-BG"/>
                </w:rPr>
              </w:pPr>
              <w:hyperlink w:anchor="_Toc496709966" w:history="1">
                <w:r w:rsidR="002962C6" w:rsidRPr="00A3491F">
                  <w:rPr>
                    <w:rStyle w:val="Hyperlink"/>
                    <w:rFonts w:eastAsia="Times New Roman"/>
                    <w:lang w:val="bg-BG"/>
                  </w:rPr>
                  <w:t>VIII.3. Вариант 3: Приемане на нов Закон за виното и спиртните напитки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_Toc496709966 \h </w:instrText>
                </w:r>
                <w:r w:rsidR="002962C6" w:rsidRPr="00A3491F">
                  <w:rPr>
                    <w:webHidden/>
                    <w:lang w:val="bg-BG"/>
                  </w:rPr>
                </w:r>
                <w:r w:rsidR="002962C6" w:rsidRPr="00A3491F">
                  <w:rPr>
                    <w:webHidden/>
                    <w:lang w:val="bg-BG"/>
                  </w:rPr>
                  <w:fldChar w:fldCharType="separate"/>
                </w:r>
                <w:r w:rsidR="0099421C">
                  <w:rPr>
                    <w:noProof/>
                    <w:webHidden/>
                    <w:lang w:val="bg-BG"/>
                  </w:rPr>
                  <w:t>26</w:t>
                </w:r>
                <w:r w:rsidR="002962C6" w:rsidRPr="00A3491F">
                  <w:rPr>
                    <w:webHidden/>
                    <w:lang w:val="bg-BG"/>
                  </w:rPr>
                  <w:fldChar w:fldCharType="end"/>
                </w:r>
              </w:hyperlink>
            </w:p>
            <w:p w:rsidR="002962C6" w:rsidRPr="00A3491F" w:rsidRDefault="00BF4D1E">
              <w:pPr>
                <w:pStyle w:val="TOC1"/>
                <w:rPr>
                  <w:sz w:val="22"/>
                  <w:lang w:val="bg-BG"/>
                </w:rPr>
              </w:pPr>
              <w:hyperlink w:anchor="_Toc496709967" w:history="1">
                <w:r w:rsidR="002962C6" w:rsidRPr="00A3491F">
                  <w:rPr>
                    <w:rStyle w:val="Hyperlink"/>
                    <w:lang w:val="bg-BG"/>
                  </w:rPr>
                  <w:t>IX. Сравнение на вариантите въз основа на посочените изчисления и данни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_Toc496709967 \h </w:instrText>
                </w:r>
                <w:r w:rsidR="002962C6" w:rsidRPr="00A3491F">
                  <w:rPr>
                    <w:webHidden/>
                    <w:lang w:val="bg-BG"/>
                  </w:rPr>
                </w:r>
                <w:r w:rsidR="002962C6" w:rsidRPr="00A3491F">
                  <w:rPr>
                    <w:webHidden/>
                    <w:lang w:val="bg-BG"/>
                  </w:rPr>
                  <w:fldChar w:fldCharType="separate"/>
                </w:r>
                <w:r w:rsidR="0099421C">
                  <w:rPr>
                    <w:noProof/>
                    <w:webHidden/>
                    <w:lang w:val="bg-BG"/>
                  </w:rPr>
                  <w:t>30</w:t>
                </w:r>
                <w:r w:rsidR="002962C6" w:rsidRPr="00A3491F">
                  <w:rPr>
                    <w:webHidden/>
                    <w:lang w:val="bg-BG"/>
                  </w:rPr>
                  <w:fldChar w:fldCharType="end"/>
                </w:r>
              </w:hyperlink>
            </w:p>
            <w:p w:rsidR="002962C6" w:rsidRPr="00A3491F" w:rsidRDefault="00BF4D1E">
              <w:pPr>
                <w:pStyle w:val="TOC1"/>
                <w:rPr>
                  <w:sz w:val="22"/>
                  <w:lang w:val="bg-BG"/>
                </w:rPr>
              </w:pPr>
              <w:hyperlink w:anchor="_Toc496709968" w:history="1">
                <w:r w:rsidR="002962C6" w:rsidRPr="00A3491F">
                  <w:rPr>
                    <w:rStyle w:val="Hyperlink"/>
                    <w:lang w:val="bg-BG"/>
                  </w:rPr>
                  <w:t>X. Обобщение на резултатите от проведените предварителни консултации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_Toc496709968 \h </w:instrText>
                </w:r>
                <w:r w:rsidR="002962C6" w:rsidRPr="00A3491F">
                  <w:rPr>
                    <w:webHidden/>
                    <w:lang w:val="bg-BG"/>
                  </w:rPr>
                </w:r>
                <w:r w:rsidR="002962C6" w:rsidRPr="00A3491F">
                  <w:rPr>
                    <w:webHidden/>
                    <w:lang w:val="bg-BG"/>
                  </w:rPr>
                  <w:fldChar w:fldCharType="separate"/>
                </w:r>
                <w:r w:rsidR="0099421C">
                  <w:rPr>
                    <w:noProof/>
                    <w:webHidden/>
                    <w:lang w:val="bg-BG"/>
                  </w:rPr>
                  <w:t>31</w:t>
                </w:r>
                <w:r w:rsidR="002962C6" w:rsidRPr="00A3491F">
                  <w:rPr>
                    <w:webHidden/>
                    <w:lang w:val="bg-BG"/>
                  </w:rPr>
                  <w:fldChar w:fldCharType="end"/>
                </w:r>
              </w:hyperlink>
            </w:p>
            <w:p w:rsidR="002962C6" w:rsidRPr="00A3491F" w:rsidRDefault="00BF4D1E">
              <w:pPr>
                <w:pStyle w:val="TOC2"/>
                <w:rPr>
                  <w:sz w:val="22"/>
                  <w:lang w:val="bg-BG"/>
                </w:rPr>
              </w:pPr>
              <w:hyperlink w:anchor="_Toc496709969" w:history="1">
                <w:r w:rsidR="002962C6" w:rsidRPr="00A3491F">
                  <w:rPr>
                    <w:rStyle w:val="Hyperlink"/>
                    <w:lang w:val="bg-BG"/>
                  </w:rPr>
                  <w:t>X.1. Основни въпроси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_Toc496709969 \h </w:instrText>
                </w:r>
                <w:r w:rsidR="002962C6" w:rsidRPr="00A3491F">
                  <w:rPr>
                    <w:webHidden/>
                    <w:lang w:val="bg-BG"/>
                  </w:rPr>
                </w:r>
                <w:r w:rsidR="002962C6" w:rsidRPr="00A3491F">
                  <w:rPr>
                    <w:webHidden/>
                    <w:lang w:val="bg-BG"/>
                  </w:rPr>
                  <w:fldChar w:fldCharType="separate"/>
                </w:r>
                <w:r w:rsidR="0099421C">
                  <w:rPr>
                    <w:noProof/>
                    <w:webHidden/>
                    <w:lang w:val="bg-BG"/>
                  </w:rPr>
                  <w:t>31</w:t>
                </w:r>
                <w:r w:rsidR="002962C6" w:rsidRPr="00A3491F">
                  <w:rPr>
                    <w:webHidden/>
                    <w:lang w:val="bg-BG"/>
                  </w:rPr>
                  <w:fldChar w:fldCharType="end"/>
                </w:r>
              </w:hyperlink>
            </w:p>
            <w:p w:rsidR="002962C6" w:rsidRPr="00A3491F" w:rsidRDefault="00BF4D1E">
              <w:pPr>
                <w:pStyle w:val="TOC2"/>
                <w:rPr>
                  <w:sz w:val="22"/>
                  <w:lang w:val="bg-BG"/>
                </w:rPr>
              </w:pPr>
              <w:hyperlink w:anchor="_Toc496709970" w:history="1">
                <w:r w:rsidR="002962C6" w:rsidRPr="00A3491F">
                  <w:rPr>
                    <w:rStyle w:val="Hyperlink"/>
                    <w:lang w:val="bg-BG"/>
                  </w:rPr>
                  <w:t>X.2. Приети предложения и обосновка за неприетите становища и предложения на заинтересованите страни</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_Toc496709970 \h </w:instrText>
                </w:r>
                <w:r w:rsidR="002962C6" w:rsidRPr="00A3491F">
                  <w:rPr>
                    <w:webHidden/>
                    <w:lang w:val="bg-BG"/>
                  </w:rPr>
                </w:r>
                <w:r w:rsidR="002962C6" w:rsidRPr="00A3491F">
                  <w:rPr>
                    <w:webHidden/>
                    <w:lang w:val="bg-BG"/>
                  </w:rPr>
                  <w:fldChar w:fldCharType="separate"/>
                </w:r>
                <w:r w:rsidR="0099421C">
                  <w:rPr>
                    <w:noProof/>
                    <w:webHidden/>
                    <w:lang w:val="bg-BG"/>
                  </w:rPr>
                  <w:t>32</w:t>
                </w:r>
                <w:r w:rsidR="002962C6" w:rsidRPr="00A3491F">
                  <w:rPr>
                    <w:webHidden/>
                    <w:lang w:val="bg-BG"/>
                  </w:rPr>
                  <w:fldChar w:fldCharType="end"/>
                </w:r>
              </w:hyperlink>
            </w:p>
            <w:p w:rsidR="002962C6" w:rsidRPr="00A3491F" w:rsidRDefault="00BF4D1E">
              <w:pPr>
                <w:pStyle w:val="TOC1"/>
                <w:rPr>
                  <w:sz w:val="22"/>
                  <w:lang w:val="bg-BG"/>
                </w:rPr>
              </w:pPr>
              <w:hyperlink w:anchor="_Toc496709971" w:history="1">
                <w:r w:rsidR="002962C6" w:rsidRPr="00A3491F">
                  <w:rPr>
                    <w:rStyle w:val="Hyperlink"/>
                    <w:lang w:val="bg-BG"/>
                  </w:rPr>
                  <w:t>XI. Препоръчителен вариант и обосновка към него</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_Toc496709971 \h </w:instrText>
                </w:r>
                <w:r w:rsidR="002962C6" w:rsidRPr="00A3491F">
                  <w:rPr>
                    <w:webHidden/>
                    <w:lang w:val="bg-BG"/>
                  </w:rPr>
                </w:r>
                <w:r w:rsidR="002962C6" w:rsidRPr="00A3491F">
                  <w:rPr>
                    <w:webHidden/>
                    <w:lang w:val="bg-BG"/>
                  </w:rPr>
                  <w:fldChar w:fldCharType="separate"/>
                </w:r>
                <w:r w:rsidR="0099421C">
                  <w:rPr>
                    <w:noProof/>
                    <w:webHidden/>
                    <w:lang w:val="bg-BG"/>
                  </w:rPr>
                  <w:t>32</w:t>
                </w:r>
                <w:r w:rsidR="002962C6" w:rsidRPr="00A3491F">
                  <w:rPr>
                    <w:webHidden/>
                    <w:lang w:val="bg-BG"/>
                  </w:rPr>
                  <w:fldChar w:fldCharType="end"/>
                </w:r>
              </w:hyperlink>
            </w:p>
            <w:p w:rsidR="002962C6" w:rsidRPr="00A3491F" w:rsidRDefault="00BF4D1E">
              <w:pPr>
                <w:pStyle w:val="TOC1"/>
                <w:rPr>
                  <w:sz w:val="22"/>
                  <w:lang w:val="bg-BG"/>
                </w:rPr>
              </w:pPr>
              <w:hyperlink w:anchor="_Toc496709972" w:history="1">
                <w:r w:rsidR="002962C6" w:rsidRPr="00A3491F">
                  <w:rPr>
                    <w:rStyle w:val="Hyperlink"/>
                    <w:lang w:val="bg-BG"/>
                  </w:rPr>
                  <w:t>XII. Варианти за потенциални въздействия върху МСП</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_Toc496709972 \h </w:instrText>
                </w:r>
                <w:r w:rsidR="002962C6" w:rsidRPr="00A3491F">
                  <w:rPr>
                    <w:webHidden/>
                    <w:lang w:val="bg-BG"/>
                  </w:rPr>
                </w:r>
                <w:r w:rsidR="002962C6" w:rsidRPr="00A3491F">
                  <w:rPr>
                    <w:webHidden/>
                    <w:lang w:val="bg-BG"/>
                  </w:rPr>
                  <w:fldChar w:fldCharType="separate"/>
                </w:r>
                <w:r w:rsidR="0099421C">
                  <w:rPr>
                    <w:noProof/>
                    <w:webHidden/>
                    <w:lang w:val="bg-BG"/>
                  </w:rPr>
                  <w:t>32</w:t>
                </w:r>
                <w:r w:rsidR="002962C6" w:rsidRPr="00A3491F">
                  <w:rPr>
                    <w:webHidden/>
                    <w:lang w:val="bg-BG"/>
                  </w:rPr>
                  <w:fldChar w:fldCharType="end"/>
                </w:r>
              </w:hyperlink>
            </w:p>
            <w:p w:rsidR="002962C6" w:rsidRPr="00A3491F" w:rsidRDefault="00BF4D1E">
              <w:pPr>
                <w:pStyle w:val="TOC1"/>
                <w:rPr>
                  <w:sz w:val="22"/>
                  <w:lang w:val="bg-BG"/>
                </w:rPr>
              </w:pPr>
              <w:hyperlink w:anchor="_Toc496709973" w:history="1">
                <w:r w:rsidR="002962C6" w:rsidRPr="00A3491F">
                  <w:rPr>
                    <w:rStyle w:val="Hyperlink"/>
                    <w:lang w:val="bg-BG"/>
                  </w:rPr>
                  <w:t>XIII. Препоръчителен срок за извършване на последващата оценка на въздействието</w:t>
                </w:r>
                <w:r w:rsidR="002962C6" w:rsidRPr="00A3491F">
                  <w:rPr>
                    <w:webHidden/>
                    <w:lang w:val="bg-BG"/>
                  </w:rPr>
                  <w:tab/>
                </w:r>
                <w:r w:rsidR="002962C6" w:rsidRPr="00A3491F">
                  <w:rPr>
                    <w:webHidden/>
                    <w:lang w:val="bg-BG"/>
                  </w:rPr>
                  <w:fldChar w:fldCharType="begin"/>
                </w:r>
                <w:r w:rsidR="002962C6" w:rsidRPr="00A3491F">
                  <w:rPr>
                    <w:webHidden/>
                    <w:lang w:val="bg-BG"/>
                  </w:rPr>
                  <w:instrText xml:space="preserve"> PAGEREF _Toc496709973 \h </w:instrText>
                </w:r>
                <w:r w:rsidR="002962C6" w:rsidRPr="00A3491F">
                  <w:rPr>
                    <w:webHidden/>
                    <w:lang w:val="bg-BG"/>
                  </w:rPr>
                </w:r>
                <w:r w:rsidR="002962C6" w:rsidRPr="00A3491F">
                  <w:rPr>
                    <w:webHidden/>
                    <w:lang w:val="bg-BG"/>
                  </w:rPr>
                  <w:fldChar w:fldCharType="separate"/>
                </w:r>
                <w:r w:rsidR="0099421C">
                  <w:rPr>
                    <w:noProof/>
                    <w:webHidden/>
                    <w:lang w:val="bg-BG"/>
                  </w:rPr>
                  <w:t>34</w:t>
                </w:r>
                <w:r w:rsidR="002962C6" w:rsidRPr="00A3491F">
                  <w:rPr>
                    <w:webHidden/>
                    <w:lang w:val="bg-BG"/>
                  </w:rPr>
                  <w:fldChar w:fldCharType="end"/>
                </w:r>
              </w:hyperlink>
            </w:p>
            <w:p w:rsidR="00131C5A" w:rsidRPr="00A3491F" w:rsidRDefault="00131C5A" w:rsidP="00775B30">
              <w:pPr>
                <w:spacing w:line="288" w:lineRule="auto"/>
                <w:rPr>
                  <w:szCs w:val="24"/>
                  <w:lang w:val="bg-BG"/>
                </w:rPr>
              </w:pPr>
              <w:r w:rsidRPr="00A3491F">
                <w:rPr>
                  <w:b/>
                  <w:bCs/>
                  <w:szCs w:val="24"/>
                  <w:lang w:val="bg-BG"/>
                </w:rPr>
                <w:fldChar w:fldCharType="end"/>
              </w:r>
            </w:p>
          </w:sdtContent>
        </w:sdt>
        <w:p w:rsidR="00131C5A" w:rsidRPr="00A3491F" w:rsidRDefault="00131C5A" w:rsidP="00E850DB">
          <w:pPr>
            <w:spacing w:line="288" w:lineRule="auto"/>
            <w:rPr>
              <w:lang w:val="bg-BG"/>
            </w:rPr>
          </w:pPr>
        </w:p>
        <w:p w:rsidR="00365FD5" w:rsidRPr="00A3491F" w:rsidRDefault="00365FD5">
          <w:pPr>
            <w:jc w:val="left"/>
            <w:rPr>
              <w:b/>
              <w:bCs/>
              <w:szCs w:val="24"/>
              <w:lang w:val="bg-BG"/>
            </w:rPr>
          </w:pPr>
          <w:r w:rsidRPr="00A3491F">
            <w:rPr>
              <w:b/>
              <w:bCs/>
              <w:szCs w:val="24"/>
              <w:lang w:val="bg-BG"/>
            </w:rPr>
            <w:br w:type="page"/>
          </w:r>
        </w:p>
        <w:p w:rsidR="00061BD0" w:rsidRPr="00A3491F" w:rsidRDefault="00BF4D1E" w:rsidP="00E850DB">
          <w:pPr>
            <w:spacing w:line="288" w:lineRule="auto"/>
            <w:rPr>
              <w:b/>
              <w:bCs/>
              <w:szCs w:val="24"/>
              <w:lang w:val="bg-BG"/>
            </w:rPr>
          </w:pPr>
        </w:p>
      </w:sdtContent>
    </w:sdt>
    <w:p w:rsidR="00CA75E2" w:rsidRPr="00A3491F" w:rsidRDefault="00E47E10" w:rsidP="006B3BB7">
      <w:pPr>
        <w:pStyle w:val="Heading1"/>
        <w:spacing w:after="120"/>
        <w:rPr>
          <w:rFonts w:cs="Times New Roman"/>
          <w:sz w:val="22"/>
          <w:szCs w:val="22"/>
          <w:lang w:val="bg-BG"/>
        </w:rPr>
      </w:pPr>
      <w:bookmarkStart w:id="1" w:name="_Toc496709932"/>
      <w:r w:rsidRPr="00A3491F">
        <w:rPr>
          <w:rFonts w:cs="Times New Roman"/>
          <w:sz w:val="22"/>
          <w:szCs w:val="22"/>
          <w:lang w:val="bg-BG"/>
        </w:rPr>
        <w:t xml:space="preserve">I. </w:t>
      </w:r>
      <w:r w:rsidR="00785242" w:rsidRPr="00A3491F">
        <w:rPr>
          <w:rFonts w:cs="Times New Roman"/>
          <w:sz w:val="22"/>
          <w:szCs w:val="22"/>
          <w:lang w:val="bg-BG"/>
        </w:rPr>
        <w:t>Въведение</w:t>
      </w:r>
      <w:bookmarkEnd w:id="1"/>
    </w:p>
    <w:p w:rsidR="00CA75E2" w:rsidRPr="00A3491F" w:rsidRDefault="00E47E10" w:rsidP="006B3BB7">
      <w:pPr>
        <w:pStyle w:val="Heading2"/>
        <w:spacing w:after="120"/>
        <w:rPr>
          <w:rFonts w:cs="Times New Roman"/>
          <w:sz w:val="22"/>
          <w:szCs w:val="22"/>
          <w:lang w:val="bg-BG"/>
        </w:rPr>
      </w:pPr>
      <w:bookmarkStart w:id="2" w:name="_Toc496709933"/>
      <w:r w:rsidRPr="00A3491F">
        <w:rPr>
          <w:rFonts w:cs="Times New Roman"/>
          <w:sz w:val="22"/>
          <w:szCs w:val="22"/>
          <w:lang w:val="bg-BG"/>
        </w:rPr>
        <w:t xml:space="preserve">I.1. </w:t>
      </w:r>
      <w:r w:rsidR="00785242" w:rsidRPr="00A3491F">
        <w:rPr>
          <w:rFonts w:cs="Times New Roman"/>
          <w:sz w:val="22"/>
          <w:szCs w:val="22"/>
          <w:lang w:val="bg-BG"/>
        </w:rPr>
        <w:t>Обща рамка</w:t>
      </w:r>
      <w:bookmarkEnd w:id="2"/>
    </w:p>
    <w:p w:rsidR="00054931" w:rsidRPr="00A3491F" w:rsidRDefault="00054931"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С приетите изменения на Закона з</w:t>
      </w:r>
      <w:r w:rsidR="00C70518" w:rsidRPr="00A3491F">
        <w:rPr>
          <w:color w:val="000000" w:themeColor="text1"/>
          <w:sz w:val="22"/>
          <w:lang w:val="bg-BG"/>
        </w:rPr>
        <w:t>а нормативните актове (обн. в ДВ</w:t>
      </w:r>
      <w:r w:rsidRPr="00A3491F">
        <w:rPr>
          <w:color w:val="000000" w:themeColor="text1"/>
          <w:sz w:val="22"/>
          <w:lang w:val="bg-BG"/>
        </w:rPr>
        <w:t xml:space="preserve"> бр. </w:t>
      </w:r>
      <w:r w:rsidR="00D653D5" w:rsidRPr="00A3491F">
        <w:rPr>
          <w:color w:val="000000" w:themeColor="text1"/>
          <w:sz w:val="22"/>
          <w:lang w:val="bg-BG"/>
        </w:rPr>
        <w:t xml:space="preserve">34 </w:t>
      </w:r>
      <w:r w:rsidRPr="00A3491F">
        <w:rPr>
          <w:color w:val="000000" w:themeColor="text1"/>
          <w:sz w:val="22"/>
          <w:lang w:val="bg-BG"/>
        </w:rPr>
        <w:t xml:space="preserve">от 3 Май 2016г., в сила от 04.11.2016 г.), </w:t>
      </w:r>
      <w:r w:rsidR="00731D4C" w:rsidRPr="00A3491F">
        <w:rPr>
          <w:color w:val="000000" w:themeColor="text1"/>
          <w:sz w:val="22"/>
          <w:lang w:val="bg-BG"/>
        </w:rPr>
        <w:t>се въведе задължение за съставителите</w:t>
      </w:r>
      <w:r w:rsidRPr="00A3491F">
        <w:rPr>
          <w:color w:val="000000" w:themeColor="text1"/>
          <w:sz w:val="22"/>
          <w:lang w:val="bg-BG"/>
        </w:rPr>
        <w:t xml:space="preserve"> на проект</w:t>
      </w:r>
      <w:r w:rsidR="00731D4C" w:rsidRPr="00A3491F">
        <w:rPr>
          <w:color w:val="000000" w:themeColor="text1"/>
          <w:sz w:val="22"/>
          <w:lang w:val="bg-BG"/>
        </w:rPr>
        <w:t>и</w:t>
      </w:r>
      <w:r w:rsidRPr="00A3491F">
        <w:rPr>
          <w:color w:val="000000" w:themeColor="text1"/>
          <w:sz w:val="22"/>
          <w:lang w:val="bg-BG"/>
        </w:rPr>
        <w:t xml:space="preserve"> на норматив</w:t>
      </w:r>
      <w:r w:rsidR="00731D4C" w:rsidRPr="00A3491F">
        <w:rPr>
          <w:color w:val="000000" w:themeColor="text1"/>
          <w:sz w:val="22"/>
          <w:lang w:val="bg-BG"/>
        </w:rPr>
        <w:t>ни</w:t>
      </w:r>
      <w:r w:rsidRPr="00A3491F">
        <w:rPr>
          <w:color w:val="000000" w:themeColor="text1"/>
          <w:sz w:val="22"/>
          <w:lang w:val="bg-BG"/>
        </w:rPr>
        <w:t xml:space="preserve"> акт</w:t>
      </w:r>
      <w:r w:rsidR="00731D4C" w:rsidRPr="00A3491F">
        <w:rPr>
          <w:color w:val="000000" w:themeColor="text1"/>
          <w:sz w:val="22"/>
          <w:lang w:val="bg-BG"/>
        </w:rPr>
        <w:t>ове да</w:t>
      </w:r>
      <w:r w:rsidRPr="00A3491F">
        <w:rPr>
          <w:color w:val="000000" w:themeColor="text1"/>
          <w:sz w:val="22"/>
          <w:lang w:val="bg-BG"/>
        </w:rPr>
        <w:t xml:space="preserve"> извършва</w:t>
      </w:r>
      <w:r w:rsidR="00731D4C" w:rsidRPr="00A3491F">
        <w:rPr>
          <w:color w:val="000000" w:themeColor="text1"/>
          <w:sz w:val="22"/>
          <w:lang w:val="bg-BG"/>
        </w:rPr>
        <w:t>т</w:t>
      </w:r>
      <w:r w:rsidRPr="00A3491F">
        <w:rPr>
          <w:color w:val="000000" w:themeColor="text1"/>
          <w:sz w:val="22"/>
          <w:lang w:val="bg-BG"/>
        </w:rPr>
        <w:t xml:space="preserve"> </w:t>
      </w:r>
      <w:r w:rsidR="00731D4C" w:rsidRPr="00A3491F">
        <w:rPr>
          <w:color w:val="000000" w:themeColor="text1"/>
          <w:sz w:val="22"/>
          <w:lang w:val="bg-BG"/>
        </w:rPr>
        <w:t xml:space="preserve">предварителна </w:t>
      </w:r>
      <w:r w:rsidRPr="00A3491F">
        <w:rPr>
          <w:color w:val="000000" w:themeColor="text1"/>
          <w:sz w:val="22"/>
          <w:lang w:val="bg-BG"/>
        </w:rPr>
        <w:t xml:space="preserve">оценка на въздействието на нормативния акт. При изработване на нови закони и кодекси се изисква </w:t>
      </w:r>
      <w:r w:rsidR="00941D7F" w:rsidRPr="00A3491F">
        <w:rPr>
          <w:color w:val="000000" w:themeColor="text1"/>
          <w:sz w:val="22"/>
          <w:lang w:val="bg-BG"/>
        </w:rPr>
        <w:t>тази оценка да бъде цялостна.</w:t>
      </w:r>
    </w:p>
    <w:p w:rsidR="00731D4C" w:rsidRPr="00A3491F" w:rsidRDefault="00941D7F" w:rsidP="006B3BB7">
      <w:pPr>
        <w:spacing w:after="120"/>
        <w:rPr>
          <w:bCs/>
          <w:color w:val="000000" w:themeColor="text1"/>
          <w:sz w:val="22"/>
          <w:lang w:val="bg-BG"/>
        </w:rPr>
      </w:pPr>
      <w:r w:rsidRPr="00A3491F">
        <w:rPr>
          <w:sz w:val="22"/>
          <w:lang w:val="bg-BG"/>
        </w:rPr>
        <w:t>Предварителната о</w:t>
      </w:r>
      <w:r w:rsidR="00731D4C" w:rsidRPr="00A3491F">
        <w:rPr>
          <w:sz w:val="22"/>
          <w:lang w:val="bg-BG"/>
        </w:rPr>
        <w:t xml:space="preserve">ценка на въздействието изследва съотношението между формулираните цели и очакваните резултати от реализацията на промените. </w:t>
      </w:r>
      <w:r w:rsidR="00731D4C" w:rsidRPr="00A3491F">
        <w:rPr>
          <w:bCs/>
          <w:color w:val="000000" w:themeColor="text1"/>
          <w:sz w:val="22"/>
          <w:lang w:val="bg-BG"/>
        </w:rPr>
        <w:t>Тя представлява</w:t>
      </w:r>
      <w:r w:rsidR="009977FB" w:rsidRPr="00A3491F">
        <w:rPr>
          <w:bCs/>
          <w:color w:val="000000" w:themeColor="text1"/>
          <w:sz w:val="22"/>
          <w:lang w:val="bg-BG"/>
        </w:rPr>
        <w:t xml:space="preserve"> процес на събиране на факти и данни </w:t>
      </w:r>
      <w:r w:rsidR="00054931" w:rsidRPr="00A3491F">
        <w:rPr>
          <w:bCs/>
          <w:color w:val="000000" w:themeColor="text1"/>
          <w:sz w:val="22"/>
          <w:lang w:val="bg-BG"/>
        </w:rPr>
        <w:t>по</w:t>
      </w:r>
      <w:r w:rsidR="009977FB" w:rsidRPr="00A3491F">
        <w:rPr>
          <w:bCs/>
          <w:color w:val="000000" w:themeColor="text1"/>
          <w:sz w:val="22"/>
          <w:lang w:val="bg-BG"/>
        </w:rPr>
        <w:t xml:space="preserve"> няколко основни групи въпроси, в това число – какво е естеството на проблема, който трябва да се разреши, какви цели трябва да се постигнат, какви са различните алтернативи за действие, кои са засегнатите страни, какви са ползите и разходите и по отношение на обществото като цяло и за всяка засегната страна. </w:t>
      </w:r>
    </w:p>
    <w:p w:rsidR="00731D4C" w:rsidRPr="00A3491F" w:rsidRDefault="00731D4C" w:rsidP="006B3BB7">
      <w:pPr>
        <w:widowControl w:val="0"/>
        <w:autoSpaceDE w:val="0"/>
        <w:autoSpaceDN w:val="0"/>
        <w:adjustRightInd w:val="0"/>
        <w:spacing w:after="120"/>
        <w:rPr>
          <w:sz w:val="22"/>
          <w:lang w:val="bg-BG"/>
        </w:rPr>
      </w:pPr>
      <w:r w:rsidRPr="00A3491F">
        <w:rPr>
          <w:color w:val="000000" w:themeColor="text1"/>
          <w:sz w:val="22"/>
          <w:lang w:val="bg-BG"/>
        </w:rPr>
        <w:t>Наредбата за обхвата и методологията за извършване на оценка на въздействието</w:t>
      </w:r>
      <w:r w:rsidR="009D1B11" w:rsidRPr="00A3491F">
        <w:rPr>
          <w:color w:val="000000" w:themeColor="text1"/>
          <w:sz w:val="22"/>
          <w:lang w:val="bg-BG"/>
        </w:rPr>
        <w:t xml:space="preserve"> (</w:t>
      </w:r>
      <w:r w:rsidR="00925EF2" w:rsidRPr="00A3491F">
        <w:rPr>
          <w:color w:val="000000" w:themeColor="text1"/>
          <w:sz w:val="22"/>
          <w:lang w:val="bg-BG"/>
        </w:rPr>
        <w:t>п</w:t>
      </w:r>
      <w:r w:rsidR="009D1B11" w:rsidRPr="00A3491F">
        <w:rPr>
          <w:color w:val="000000" w:themeColor="text1"/>
          <w:sz w:val="22"/>
          <w:lang w:val="bg-BG"/>
        </w:rPr>
        <w:t xml:space="preserve">риета с ПМС № 301 от 14.11.2016 </w:t>
      </w:r>
      <w:r w:rsidR="00C70518" w:rsidRPr="00A3491F">
        <w:rPr>
          <w:color w:val="000000" w:themeColor="text1"/>
          <w:sz w:val="22"/>
          <w:lang w:val="bg-BG"/>
        </w:rPr>
        <w:t>г., обн. ДВ</w:t>
      </w:r>
      <w:r w:rsidR="009D1B11" w:rsidRPr="00A3491F">
        <w:rPr>
          <w:color w:val="000000" w:themeColor="text1"/>
          <w:sz w:val="22"/>
          <w:lang w:val="bg-BG"/>
        </w:rPr>
        <w:t xml:space="preserve"> бр. 91 от 18.11.2016 г., в сила от 18.11.2016 г.)</w:t>
      </w:r>
      <w:r w:rsidRPr="00A3491F">
        <w:rPr>
          <w:color w:val="000000" w:themeColor="text1"/>
          <w:sz w:val="22"/>
          <w:lang w:val="bg-BG"/>
        </w:rPr>
        <w:t xml:space="preserve"> определя </w:t>
      </w:r>
      <w:r w:rsidRPr="00A3491F">
        <w:rPr>
          <w:sz w:val="22"/>
          <w:lang w:val="bg-BG"/>
        </w:rPr>
        <w:t xml:space="preserve">условията и реда за планиране и </w:t>
      </w:r>
      <w:r w:rsidR="001A5E24" w:rsidRPr="00A3491F">
        <w:rPr>
          <w:sz w:val="22"/>
          <w:lang w:val="bg-BG"/>
        </w:rPr>
        <w:t>изготвяне</w:t>
      </w:r>
      <w:r w:rsidRPr="00A3491F">
        <w:rPr>
          <w:sz w:val="22"/>
          <w:lang w:val="bg-BG"/>
        </w:rPr>
        <w:t xml:space="preserve"> на оценка на въздействието на проектите на нормативни актове на Министерски съвет.</w:t>
      </w:r>
    </w:p>
    <w:p w:rsidR="00DE242D" w:rsidRPr="00A3491F" w:rsidRDefault="00DE242D"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Съгласно изискванията на чл. 20, ал. 2 от ЗНА през май 2017 г. по време на изработване на Проекта на ЗВСН е изготвена Частична предварителна оценка на въздействието.</w:t>
      </w:r>
    </w:p>
    <w:p w:rsidR="001A5E24" w:rsidRPr="00A3491F" w:rsidRDefault="00731D4C" w:rsidP="006B3BB7">
      <w:pPr>
        <w:widowControl w:val="0"/>
        <w:autoSpaceDE w:val="0"/>
        <w:autoSpaceDN w:val="0"/>
        <w:adjustRightInd w:val="0"/>
        <w:spacing w:after="120"/>
        <w:rPr>
          <w:bCs/>
          <w:color w:val="000000" w:themeColor="text1"/>
          <w:sz w:val="22"/>
          <w:lang w:val="bg-BG"/>
        </w:rPr>
      </w:pPr>
      <w:r w:rsidRPr="00A3491F">
        <w:rPr>
          <w:bCs/>
          <w:color w:val="000000" w:themeColor="text1"/>
          <w:sz w:val="22"/>
          <w:lang w:val="bg-BG"/>
        </w:rPr>
        <w:t xml:space="preserve">В Устройствения правилник на Министерския съвет и неговата администрация е предвидено </w:t>
      </w:r>
      <w:r w:rsidR="000B5BBE" w:rsidRPr="00A3491F">
        <w:rPr>
          <w:bCs/>
          <w:color w:val="000000" w:themeColor="text1"/>
          <w:sz w:val="22"/>
          <w:lang w:val="bg-BG"/>
        </w:rPr>
        <w:t xml:space="preserve">преди започване на междуведомствената съгласувателна процедура, уредена в правилника, </w:t>
      </w:r>
      <w:r w:rsidR="00294109" w:rsidRPr="00A3491F">
        <w:rPr>
          <w:bCs/>
          <w:color w:val="000000" w:themeColor="text1"/>
          <w:sz w:val="22"/>
          <w:lang w:val="bg-BG"/>
        </w:rPr>
        <w:t>в</w:t>
      </w:r>
      <w:r w:rsidR="000B5BBE" w:rsidRPr="00A3491F">
        <w:rPr>
          <w:bCs/>
          <w:color w:val="000000" w:themeColor="text1"/>
          <w:sz w:val="22"/>
          <w:lang w:val="bg-BG"/>
        </w:rPr>
        <w:t>носителят на проекта на нормативен акт</w:t>
      </w:r>
      <w:r w:rsidR="00382A42" w:rsidRPr="00A3491F">
        <w:rPr>
          <w:bCs/>
          <w:color w:val="000000" w:themeColor="text1"/>
          <w:sz w:val="22"/>
          <w:lang w:val="bg-BG"/>
        </w:rPr>
        <w:t xml:space="preserve"> следва</w:t>
      </w:r>
      <w:r w:rsidR="000B5BBE" w:rsidRPr="00A3491F">
        <w:rPr>
          <w:bCs/>
          <w:color w:val="000000" w:themeColor="text1"/>
          <w:sz w:val="22"/>
          <w:lang w:val="bg-BG"/>
        </w:rPr>
        <w:t xml:space="preserve"> да съгласува с дирекция „Модернизация на администрацията</w:t>
      </w:r>
      <w:r w:rsidR="00294109" w:rsidRPr="00A3491F">
        <w:rPr>
          <w:bCs/>
          <w:color w:val="000000" w:themeColor="text1"/>
          <w:sz w:val="22"/>
          <w:lang w:val="bg-BG"/>
        </w:rPr>
        <w:t>“</w:t>
      </w:r>
      <w:r w:rsidR="000B5BBE" w:rsidRPr="00A3491F">
        <w:rPr>
          <w:bCs/>
          <w:color w:val="000000" w:themeColor="text1"/>
          <w:sz w:val="22"/>
          <w:lang w:val="bg-BG"/>
        </w:rPr>
        <w:t xml:space="preserve"> цялостната предварителна оценка на въздействието на проекта.</w:t>
      </w:r>
      <w:r w:rsidR="00382A42" w:rsidRPr="00A3491F">
        <w:rPr>
          <w:bCs/>
          <w:color w:val="000000" w:themeColor="text1"/>
          <w:sz w:val="22"/>
          <w:lang w:val="bg-BG"/>
        </w:rPr>
        <w:t xml:space="preserve"> Настоящата цялостна предварителна оценка на въздействието е изготвена при изработването на проекта на нов закон, съгласно чл</w:t>
      </w:r>
      <w:r w:rsidR="002D3F4C" w:rsidRPr="00A3491F">
        <w:rPr>
          <w:bCs/>
          <w:color w:val="000000" w:themeColor="text1"/>
          <w:sz w:val="22"/>
          <w:lang w:val="bg-BG"/>
        </w:rPr>
        <w:t>.</w:t>
      </w:r>
      <w:r w:rsidR="00382A42" w:rsidRPr="00A3491F">
        <w:rPr>
          <w:bCs/>
          <w:color w:val="000000" w:themeColor="text1"/>
          <w:sz w:val="22"/>
          <w:lang w:val="bg-BG"/>
        </w:rPr>
        <w:t xml:space="preserve"> 20, ал. 3 от Закона за нормативните актове и преди неговото внасяне за съгласуване с дирекция „Модернизация на администрацията“. </w:t>
      </w:r>
    </w:p>
    <w:p w:rsidR="009977FB" w:rsidRPr="00A3491F" w:rsidRDefault="00731D4C" w:rsidP="006B3BB7">
      <w:pPr>
        <w:widowControl w:val="0"/>
        <w:autoSpaceDE w:val="0"/>
        <w:autoSpaceDN w:val="0"/>
        <w:adjustRightInd w:val="0"/>
        <w:spacing w:after="120"/>
        <w:rPr>
          <w:bCs/>
          <w:color w:val="000000" w:themeColor="text1"/>
          <w:sz w:val="22"/>
          <w:lang w:val="bg-BG"/>
        </w:rPr>
      </w:pPr>
      <w:r w:rsidRPr="00A3491F">
        <w:rPr>
          <w:bCs/>
          <w:color w:val="000000" w:themeColor="text1"/>
          <w:sz w:val="22"/>
          <w:lang w:val="bg-BG"/>
        </w:rPr>
        <w:t>Изв</w:t>
      </w:r>
      <w:r w:rsidR="001A5E24" w:rsidRPr="00A3491F">
        <w:rPr>
          <w:bCs/>
          <w:color w:val="000000" w:themeColor="text1"/>
          <w:sz w:val="22"/>
          <w:lang w:val="bg-BG"/>
        </w:rPr>
        <w:t>ъ</w:t>
      </w:r>
      <w:r w:rsidRPr="00A3491F">
        <w:rPr>
          <w:bCs/>
          <w:color w:val="000000" w:themeColor="text1"/>
          <w:sz w:val="22"/>
          <w:lang w:val="bg-BG"/>
        </w:rPr>
        <w:t>ршената цялостна предварителна</w:t>
      </w:r>
      <w:r w:rsidR="009977FB" w:rsidRPr="00A3491F">
        <w:rPr>
          <w:bCs/>
          <w:color w:val="000000" w:themeColor="text1"/>
          <w:sz w:val="22"/>
          <w:lang w:val="bg-BG"/>
        </w:rPr>
        <w:t xml:space="preserve"> оценка на въздействието </w:t>
      </w:r>
      <w:r w:rsidR="00294109" w:rsidRPr="00A3491F">
        <w:rPr>
          <w:bCs/>
          <w:color w:val="000000" w:themeColor="text1"/>
          <w:sz w:val="22"/>
          <w:lang w:val="bg-BG"/>
        </w:rPr>
        <w:t xml:space="preserve">на проекта на нов Закон за виното и спиртните напитки </w:t>
      </w:r>
      <w:r w:rsidR="009977FB" w:rsidRPr="00A3491F">
        <w:rPr>
          <w:bCs/>
          <w:color w:val="000000" w:themeColor="text1"/>
          <w:sz w:val="22"/>
          <w:lang w:val="bg-BG"/>
        </w:rPr>
        <w:t>следва</w:t>
      </w:r>
      <w:r w:rsidR="00294109" w:rsidRPr="00A3491F">
        <w:rPr>
          <w:bCs/>
          <w:color w:val="000000" w:themeColor="text1"/>
          <w:sz w:val="22"/>
          <w:lang w:val="bg-BG"/>
        </w:rPr>
        <w:t xml:space="preserve"> както горепосочената нормативна база, така</w:t>
      </w:r>
      <w:r w:rsidR="009977FB" w:rsidRPr="00A3491F">
        <w:rPr>
          <w:bCs/>
          <w:color w:val="000000" w:themeColor="text1"/>
          <w:sz w:val="22"/>
          <w:lang w:val="bg-BG"/>
        </w:rPr>
        <w:t xml:space="preserve"> </w:t>
      </w:r>
      <w:r w:rsidRPr="00A3491F">
        <w:rPr>
          <w:bCs/>
          <w:color w:val="000000" w:themeColor="text1"/>
          <w:sz w:val="22"/>
          <w:lang w:val="bg-BG"/>
        </w:rPr>
        <w:t xml:space="preserve">и </w:t>
      </w:r>
      <w:r w:rsidR="009977FB" w:rsidRPr="00A3491F">
        <w:rPr>
          <w:bCs/>
          <w:color w:val="000000" w:themeColor="text1"/>
          <w:sz w:val="22"/>
          <w:lang w:val="bg-BG"/>
        </w:rPr>
        <w:t>указанията в документ</w:t>
      </w:r>
      <w:r w:rsidR="000B5BBE" w:rsidRPr="00A3491F">
        <w:rPr>
          <w:bCs/>
          <w:color w:val="000000" w:themeColor="text1"/>
          <w:sz w:val="22"/>
          <w:lang w:val="bg-BG"/>
        </w:rPr>
        <w:t>ите</w:t>
      </w:r>
      <w:r w:rsidR="009977FB" w:rsidRPr="00A3491F">
        <w:rPr>
          <w:bCs/>
          <w:color w:val="000000" w:themeColor="text1"/>
          <w:sz w:val="22"/>
          <w:lang w:val="bg-BG"/>
        </w:rPr>
        <w:t xml:space="preserve"> </w:t>
      </w:r>
      <w:r w:rsidR="000B5BBE" w:rsidRPr="00A3491F">
        <w:rPr>
          <w:bCs/>
          <w:color w:val="000000" w:themeColor="text1"/>
          <w:sz w:val="22"/>
          <w:lang w:val="bg-BG"/>
        </w:rPr>
        <w:t xml:space="preserve">„Ръководство за изготвяне на оценка на въздействието на законодателството“ на Министерски съвет и </w:t>
      </w:r>
      <w:r w:rsidR="00054931" w:rsidRPr="00A3491F">
        <w:rPr>
          <w:bCs/>
          <w:color w:val="000000" w:themeColor="text1"/>
          <w:sz w:val="22"/>
          <w:lang w:val="bg-BG"/>
        </w:rPr>
        <w:t>„Насоки за по-добро регулиране“</w:t>
      </w:r>
      <w:r w:rsidR="009977FB" w:rsidRPr="00A3491F">
        <w:rPr>
          <w:bCs/>
          <w:color w:val="000000" w:themeColor="text1"/>
          <w:sz w:val="22"/>
          <w:lang w:val="bg-BG"/>
        </w:rPr>
        <w:t xml:space="preserve"> </w:t>
      </w:r>
      <w:r w:rsidR="000B5BBE" w:rsidRPr="00A3491F">
        <w:rPr>
          <w:bCs/>
          <w:color w:val="000000" w:themeColor="text1"/>
          <w:sz w:val="22"/>
          <w:lang w:val="bg-BG"/>
        </w:rPr>
        <w:t xml:space="preserve">на Европейската комисия </w:t>
      </w:r>
      <w:r w:rsidR="009977FB" w:rsidRPr="00A3491F">
        <w:rPr>
          <w:bCs/>
          <w:color w:val="000000" w:themeColor="text1"/>
          <w:sz w:val="22"/>
          <w:lang w:val="bg-BG"/>
        </w:rPr>
        <w:t>и приложените методически указания и инструменти.</w:t>
      </w:r>
    </w:p>
    <w:p w:rsidR="00054931" w:rsidRPr="00A3491F" w:rsidRDefault="00054931" w:rsidP="006B3BB7">
      <w:pPr>
        <w:widowControl w:val="0"/>
        <w:autoSpaceDE w:val="0"/>
        <w:autoSpaceDN w:val="0"/>
        <w:adjustRightInd w:val="0"/>
        <w:spacing w:after="120"/>
        <w:rPr>
          <w:bCs/>
          <w:color w:val="000000" w:themeColor="text1"/>
          <w:sz w:val="22"/>
          <w:lang w:val="bg-BG"/>
        </w:rPr>
      </w:pPr>
      <w:r w:rsidRPr="00A3491F">
        <w:rPr>
          <w:bCs/>
          <w:color w:val="000000" w:themeColor="text1"/>
          <w:sz w:val="22"/>
          <w:lang w:val="bg-BG"/>
        </w:rPr>
        <w:t>Настоящия</w:t>
      </w:r>
      <w:r w:rsidR="000B5BBE" w:rsidRPr="00A3491F">
        <w:rPr>
          <w:bCs/>
          <w:color w:val="000000" w:themeColor="text1"/>
          <w:sz w:val="22"/>
          <w:lang w:val="bg-BG"/>
        </w:rPr>
        <w:t>т</w:t>
      </w:r>
      <w:r w:rsidRPr="00A3491F">
        <w:rPr>
          <w:bCs/>
          <w:color w:val="000000" w:themeColor="text1"/>
          <w:sz w:val="22"/>
          <w:lang w:val="bg-BG"/>
        </w:rPr>
        <w:t xml:space="preserve"> доклад има за цел да обобщи резултатите и изводите от </w:t>
      </w:r>
      <w:r w:rsidR="001A5E24" w:rsidRPr="00A3491F">
        <w:rPr>
          <w:bCs/>
          <w:color w:val="000000" w:themeColor="text1"/>
          <w:sz w:val="22"/>
          <w:lang w:val="bg-BG"/>
        </w:rPr>
        <w:t xml:space="preserve">така </w:t>
      </w:r>
      <w:r w:rsidRPr="00A3491F">
        <w:rPr>
          <w:bCs/>
          <w:color w:val="000000" w:themeColor="text1"/>
          <w:sz w:val="22"/>
          <w:lang w:val="bg-BG"/>
        </w:rPr>
        <w:t xml:space="preserve">извършената цялостна </w:t>
      </w:r>
      <w:r w:rsidR="00941D7F" w:rsidRPr="00A3491F">
        <w:rPr>
          <w:bCs/>
          <w:color w:val="000000" w:themeColor="text1"/>
          <w:sz w:val="22"/>
          <w:lang w:val="bg-BG"/>
        </w:rPr>
        <w:t xml:space="preserve">предварителна </w:t>
      </w:r>
      <w:r w:rsidRPr="00A3491F">
        <w:rPr>
          <w:bCs/>
          <w:color w:val="000000" w:themeColor="text1"/>
          <w:sz w:val="22"/>
          <w:lang w:val="bg-BG"/>
        </w:rPr>
        <w:t>оцен</w:t>
      </w:r>
      <w:r w:rsidR="00941D7F" w:rsidRPr="00A3491F">
        <w:rPr>
          <w:bCs/>
          <w:color w:val="000000" w:themeColor="text1"/>
          <w:sz w:val="22"/>
          <w:lang w:val="bg-BG"/>
        </w:rPr>
        <w:t>ка на въздействието на проекта н</w:t>
      </w:r>
      <w:r w:rsidRPr="00A3491F">
        <w:rPr>
          <w:bCs/>
          <w:color w:val="000000" w:themeColor="text1"/>
          <w:sz w:val="22"/>
          <w:lang w:val="bg-BG"/>
        </w:rPr>
        <w:t xml:space="preserve">а нов Закон за виното и спиртните напитки. </w:t>
      </w:r>
      <w:r w:rsidR="00382A42" w:rsidRPr="00A3491F">
        <w:rPr>
          <w:bCs/>
          <w:color w:val="000000" w:themeColor="text1"/>
          <w:sz w:val="22"/>
          <w:lang w:val="bg-BG"/>
        </w:rPr>
        <w:t>В доклада са отразени всички препоръки на дирекция „Модернизация на администрацията“ към Министерски съвет, както и становищата дадени при междуведомственото съгласуване при преходно внасяне на проекта на закон в Министерски съвет.</w:t>
      </w:r>
    </w:p>
    <w:p w:rsidR="00111D67" w:rsidRPr="00A3491F" w:rsidRDefault="00111D67" w:rsidP="006B3BB7">
      <w:pPr>
        <w:widowControl w:val="0"/>
        <w:autoSpaceDE w:val="0"/>
        <w:autoSpaceDN w:val="0"/>
        <w:adjustRightInd w:val="0"/>
        <w:spacing w:after="120"/>
        <w:rPr>
          <w:bCs/>
          <w:color w:val="000000" w:themeColor="text1"/>
          <w:sz w:val="22"/>
          <w:lang w:val="bg-BG"/>
        </w:rPr>
      </w:pPr>
      <w:r w:rsidRPr="00A3491F">
        <w:rPr>
          <w:bCs/>
          <w:color w:val="000000" w:themeColor="text1"/>
          <w:sz w:val="22"/>
          <w:lang w:val="bg-BG"/>
        </w:rPr>
        <w:t>Настоящият доклад е изготвен от „</w:t>
      </w:r>
      <w:r w:rsidR="006665E9" w:rsidRPr="00A3491F">
        <w:rPr>
          <w:bCs/>
          <w:color w:val="000000" w:themeColor="text1"/>
          <w:sz w:val="22"/>
          <w:lang w:val="bg-BG"/>
        </w:rPr>
        <w:t xml:space="preserve">Ей Еф </w:t>
      </w:r>
      <w:proofErr w:type="spellStart"/>
      <w:r w:rsidR="006665E9" w:rsidRPr="00A3491F">
        <w:rPr>
          <w:bCs/>
          <w:color w:val="000000" w:themeColor="text1"/>
          <w:sz w:val="22"/>
          <w:lang w:val="bg-BG"/>
        </w:rPr>
        <w:t>Еф</w:t>
      </w:r>
      <w:proofErr w:type="spellEnd"/>
      <w:r w:rsidR="006665E9" w:rsidRPr="00A3491F">
        <w:rPr>
          <w:bCs/>
          <w:color w:val="000000" w:themeColor="text1"/>
          <w:sz w:val="22"/>
          <w:lang w:val="bg-BG"/>
        </w:rPr>
        <w:t xml:space="preserve"> </w:t>
      </w:r>
      <w:proofErr w:type="spellStart"/>
      <w:r w:rsidR="006665E9" w:rsidRPr="00A3491F">
        <w:rPr>
          <w:bCs/>
          <w:color w:val="000000" w:themeColor="text1"/>
          <w:sz w:val="22"/>
          <w:lang w:val="bg-BG"/>
        </w:rPr>
        <w:t>Консълтинг</w:t>
      </w:r>
      <w:proofErr w:type="spellEnd"/>
      <w:r w:rsidRPr="00A3491F">
        <w:rPr>
          <w:bCs/>
          <w:color w:val="000000" w:themeColor="text1"/>
          <w:sz w:val="22"/>
          <w:lang w:val="bg-BG"/>
        </w:rPr>
        <w:t xml:space="preserve">" ЕООД </w:t>
      </w:r>
      <w:r w:rsidR="006665E9" w:rsidRPr="00A3491F">
        <w:rPr>
          <w:bCs/>
          <w:color w:val="000000" w:themeColor="text1"/>
          <w:sz w:val="22"/>
          <w:lang w:val="bg-BG"/>
        </w:rPr>
        <w:t xml:space="preserve">и Адвокатско съдружие „Арсов Начев Ганева“ </w:t>
      </w:r>
      <w:r w:rsidRPr="00A3491F">
        <w:rPr>
          <w:bCs/>
          <w:color w:val="000000" w:themeColor="text1"/>
          <w:sz w:val="22"/>
          <w:lang w:val="bg-BG"/>
        </w:rPr>
        <w:t xml:space="preserve">и обобщава резултатите от предварителната оценка на въздействие на проекта на закон за </w:t>
      </w:r>
      <w:r w:rsidR="008A3C7A" w:rsidRPr="00A3491F">
        <w:rPr>
          <w:bCs/>
          <w:color w:val="000000" w:themeColor="text1"/>
          <w:sz w:val="22"/>
          <w:lang w:val="bg-BG"/>
        </w:rPr>
        <w:t>виното и спиртните напитки</w:t>
      </w:r>
      <w:r w:rsidRPr="00A3491F">
        <w:rPr>
          <w:bCs/>
          <w:color w:val="000000" w:themeColor="text1"/>
          <w:sz w:val="22"/>
          <w:lang w:val="bg-BG"/>
        </w:rPr>
        <w:t>, изготвен от Министерство на земеделието, храните и горите съвместно с Изпълнителна агенция по лозата и виното и Министерство на икономиката.</w:t>
      </w:r>
    </w:p>
    <w:p w:rsidR="00CA75E2" w:rsidRPr="00A3491F" w:rsidRDefault="00E47E10" w:rsidP="006B3BB7">
      <w:pPr>
        <w:pStyle w:val="Heading2"/>
        <w:spacing w:before="240" w:after="120"/>
        <w:rPr>
          <w:rFonts w:cs="Times New Roman"/>
          <w:sz w:val="22"/>
          <w:szCs w:val="22"/>
          <w:lang w:val="bg-BG"/>
        </w:rPr>
      </w:pPr>
      <w:bookmarkStart w:id="3" w:name="_Toc496709934"/>
      <w:r w:rsidRPr="00A3491F">
        <w:rPr>
          <w:rFonts w:cs="Times New Roman"/>
          <w:sz w:val="22"/>
          <w:szCs w:val="22"/>
          <w:lang w:val="bg-BG"/>
        </w:rPr>
        <w:lastRenderedPageBreak/>
        <w:t xml:space="preserve">I.2. </w:t>
      </w:r>
      <w:r w:rsidR="00785242" w:rsidRPr="00A3491F">
        <w:rPr>
          <w:rFonts w:cs="Times New Roman"/>
          <w:sz w:val="22"/>
          <w:szCs w:val="22"/>
          <w:lang w:val="bg-BG"/>
        </w:rPr>
        <w:t>Проект на закон за виното и спиртните напитки</w:t>
      </w:r>
      <w:bookmarkEnd w:id="3"/>
    </w:p>
    <w:p w:rsidR="00616A65" w:rsidRPr="00A3491F" w:rsidRDefault="006E52A8" w:rsidP="006B3BB7">
      <w:pPr>
        <w:widowControl w:val="0"/>
        <w:autoSpaceDE w:val="0"/>
        <w:autoSpaceDN w:val="0"/>
        <w:adjustRightInd w:val="0"/>
        <w:spacing w:after="120"/>
        <w:rPr>
          <w:bCs/>
          <w:sz w:val="22"/>
          <w:lang w:val="bg-BG"/>
        </w:rPr>
      </w:pPr>
      <w:r w:rsidRPr="00A3491F">
        <w:rPr>
          <w:bCs/>
          <w:sz w:val="22"/>
          <w:lang w:val="bg-BG"/>
        </w:rPr>
        <w:t xml:space="preserve">Проектът на нов Закон за виното и спиртните напитки е разработен от Министерство на земеделието, храните и горите </w:t>
      </w:r>
      <w:r w:rsidR="00294109" w:rsidRPr="00A3491F">
        <w:rPr>
          <w:bCs/>
          <w:sz w:val="22"/>
          <w:lang w:val="bg-BG"/>
        </w:rPr>
        <w:t xml:space="preserve">съвместно с </w:t>
      </w:r>
      <w:r w:rsidRPr="00A3491F">
        <w:rPr>
          <w:bCs/>
          <w:sz w:val="22"/>
          <w:lang w:val="bg-BG"/>
        </w:rPr>
        <w:t>Изпълнителна агенция по лозата и виното и Министерство на икономиката. Процесът по изготвяне на законопроекта започ</w:t>
      </w:r>
      <w:r w:rsidR="00294109" w:rsidRPr="00A3491F">
        <w:rPr>
          <w:bCs/>
          <w:sz w:val="22"/>
          <w:lang w:val="bg-BG"/>
        </w:rPr>
        <w:t>в</w:t>
      </w:r>
      <w:r w:rsidRPr="00A3491F">
        <w:rPr>
          <w:bCs/>
          <w:sz w:val="22"/>
          <w:lang w:val="bg-BG"/>
        </w:rPr>
        <w:t xml:space="preserve">а през </w:t>
      </w:r>
      <w:r w:rsidR="009D1B11" w:rsidRPr="00A3491F">
        <w:rPr>
          <w:bCs/>
          <w:sz w:val="22"/>
          <w:lang w:val="bg-BG"/>
        </w:rPr>
        <w:t>2014 г.</w:t>
      </w:r>
      <w:r w:rsidRPr="00A3491F">
        <w:rPr>
          <w:bCs/>
          <w:sz w:val="22"/>
          <w:lang w:val="bg-BG"/>
        </w:rPr>
        <w:t xml:space="preserve"> със създаване на междуведомствена работна група (Заповед </w:t>
      </w:r>
      <w:r w:rsidR="009D1B11" w:rsidRPr="00A3491F">
        <w:rPr>
          <w:bCs/>
          <w:sz w:val="22"/>
          <w:lang w:val="bg-BG"/>
        </w:rPr>
        <w:t>№ РД09-691/17.10.2014 г. на Министъра на земеделието и храните</w:t>
      </w:r>
      <w:r w:rsidRPr="00A3491F">
        <w:rPr>
          <w:bCs/>
          <w:sz w:val="22"/>
          <w:lang w:val="bg-BG"/>
        </w:rPr>
        <w:t xml:space="preserve">). В нея бяха включени представители на </w:t>
      </w:r>
      <w:r w:rsidR="009D1B11" w:rsidRPr="00A3491F">
        <w:rPr>
          <w:bCs/>
          <w:sz w:val="22"/>
          <w:lang w:val="bg-BG"/>
        </w:rPr>
        <w:t xml:space="preserve">Изпълнителна агенция по лозата и виното, Министерство на икономиката и енергетиката, Министерство на земеделието и храните, Националната </w:t>
      </w:r>
      <w:proofErr w:type="spellStart"/>
      <w:r w:rsidR="009D1B11" w:rsidRPr="00A3491F">
        <w:rPr>
          <w:bCs/>
          <w:sz w:val="22"/>
          <w:lang w:val="bg-BG"/>
        </w:rPr>
        <w:t>лозаро-винарска</w:t>
      </w:r>
      <w:proofErr w:type="spellEnd"/>
      <w:r w:rsidR="009D1B11" w:rsidRPr="00A3491F">
        <w:rPr>
          <w:bCs/>
          <w:sz w:val="22"/>
          <w:lang w:val="bg-BG"/>
        </w:rPr>
        <w:t xml:space="preserve"> камара, Регионалните </w:t>
      </w:r>
      <w:proofErr w:type="spellStart"/>
      <w:r w:rsidR="009D1B11" w:rsidRPr="00A3491F">
        <w:rPr>
          <w:bCs/>
          <w:sz w:val="22"/>
          <w:lang w:val="bg-BG"/>
        </w:rPr>
        <w:t>лозаро-винарски</w:t>
      </w:r>
      <w:proofErr w:type="spellEnd"/>
      <w:r w:rsidR="009D1B11" w:rsidRPr="00A3491F">
        <w:rPr>
          <w:bCs/>
          <w:sz w:val="22"/>
          <w:lang w:val="bg-BG"/>
        </w:rPr>
        <w:t xml:space="preserve"> камари, Университета по хранително-вкусова промишленост – Пловдив, Националния институт за изследване на виното и спиртните напитки ЕООД и Асоциацията на производителите, вносителите и търговците на спиртни напитки.</w:t>
      </w:r>
      <w:r w:rsidRPr="00A3491F">
        <w:rPr>
          <w:bCs/>
          <w:sz w:val="22"/>
          <w:lang w:val="bg-BG"/>
        </w:rPr>
        <w:t xml:space="preserve"> </w:t>
      </w:r>
      <w:r w:rsidR="000B5BBE" w:rsidRPr="00A3491F">
        <w:rPr>
          <w:bCs/>
          <w:sz w:val="22"/>
          <w:lang w:val="bg-BG"/>
        </w:rPr>
        <w:t>Н</w:t>
      </w:r>
      <w:r w:rsidR="009D1B11" w:rsidRPr="00A3491F">
        <w:rPr>
          <w:bCs/>
          <w:sz w:val="22"/>
          <w:lang w:val="bg-BG"/>
        </w:rPr>
        <w:t xml:space="preserve">а работната група </w:t>
      </w:r>
      <w:r w:rsidR="000B5BBE" w:rsidRPr="00A3491F">
        <w:rPr>
          <w:bCs/>
          <w:sz w:val="22"/>
          <w:lang w:val="bg-BG"/>
        </w:rPr>
        <w:t xml:space="preserve">беше възложено да изготви проект на </w:t>
      </w:r>
      <w:r w:rsidR="009D1B11" w:rsidRPr="00A3491F">
        <w:rPr>
          <w:bCs/>
          <w:sz w:val="22"/>
          <w:lang w:val="bg-BG"/>
        </w:rPr>
        <w:t xml:space="preserve">нов закон. </w:t>
      </w:r>
    </w:p>
    <w:p w:rsidR="00FB4F60" w:rsidRPr="00A3491F" w:rsidRDefault="00294109" w:rsidP="006B3BB7">
      <w:pPr>
        <w:widowControl w:val="0"/>
        <w:autoSpaceDE w:val="0"/>
        <w:autoSpaceDN w:val="0"/>
        <w:adjustRightInd w:val="0"/>
        <w:spacing w:after="120"/>
        <w:rPr>
          <w:sz w:val="22"/>
          <w:lang w:val="bg-BG"/>
        </w:rPr>
      </w:pPr>
      <w:r w:rsidRPr="00A3491F">
        <w:rPr>
          <w:bCs/>
          <w:sz w:val="22"/>
          <w:lang w:val="bg-BG"/>
        </w:rPr>
        <w:t>Н</w:t>
      </w:r>
      <w:r w:rsidR="00FB4F60" w:rsidRPr="00A3491F">
        <w:rPr>
          <w:bCs/>
          <w:sz w:val="22"/>
          <w:lang w:val="bg-BG"/>
        </w:rPr>
        <w:t>еобходимостта от приемане на нов</w:t>
      </w:r>
      <w:r w:rsidR="006E52A8" w:rsidRPr="00A3491F">
        <w:rPr>
          <w:bCs/>
          <w:sz w:val="22"/>
          <w:lang w:val="bg-BG"/>
        </w:rPr>
        <w:t xml:space="preserve"> закон </w:t>
      </w:r>
      <w:r w:rsidRPr="00A3491F">
        <w:rPr>
          <w:bCs/>
          <w:sz w:val="22"/>
          <w:lang w:val="bg-BG"/>
        </w:rPr>
        <w:t xml:space="preserve">е основно обусловена от </w:t>
      </w:r>
      <w:r w:rsidR="00FB4F60" w:rsidRPr="00A3491F">
        <w:rPr>
          <w:bCs/>
          <w:sz w:val="22"/>
          <w:lang w:val="bg-BG"/>
        </w:rPr>
        <w:t xml:space="preserve">поетия от българската държава ангажимент в този смисъл пред Европейската комисия. Това се </w:t>
      </w:r>
      <w:r w:rsidRPr="00A3491F">
        <w:rPr>
          <w:bCs/>
          <w:sz w:val="22"/>
          <w:lang w:val="bg-BG"/>
        </w:rPr>
        <w:t xml:space="preserve">налага </w:t>
      </w:r>
      <w:r w:rsidR="00FB4F60" w:rsidRPr="00A3491F">
        <w:rPr>
          <w:bCs/>
          <w:sz w:val="22"/>
          <w:lang w:val="bg-BG"/>
        </w:rPr>
        <w:t xml:space="preserve">поради </w:t>
      </w:r>
      <w:r w:rsidRPr="00A3491F">
        <w:rPr>
          <w:bCs/>
          <w:sz w:val="22"/>
          <w:lang w:val="bg-BG"/>
        </w:rPr>
        <w:t xml:space="preserve">допуснати </w:t>
      </w:r>
      <w:r w:rsidR="00FB4F60" w:rsidRPr="00A3491F">
        <w:rPr>
          <w:bCs/>
          <w:sz w:val="22"/>
          <w:lang w:val="bg-BG"/>
        </w:rPr>
        <w:t xml:space="preserve">нарушения на </w:t>
      </w:r>
      <w:r w:rsidR="008A3C7A" w:rsidRPr="00A3491F">
        <w:rPr>
          <w:sz w:val="22"/>
          <w:lang w:val="bg-BG"/>
        </w:rPr>
        <w:t>Директива 98/34/ЕО на Европейския парламент и на Съвета от 22 юни 1998 година, установяваща процедура за предоставянето на информация в сферата на техническите стандарти и регламенти и правила относно услугите на информационното общество</w:t>
      </w:r>
      <w:r w:rsidR="008A3C7A" w:rsidRPr="00A3491F" w:rsidDel="008A3C7A">
        <w:rPr>
          <w:sz w:val="22"/>
          <w:lang w:val="bg-BG"/>
        </w:rPr>
        <w:t xml:space="preserve"> </w:t>
      </w:r>
      <w:r w:rsidR="00FB4F60" w:rsidRPr="00A3491F">
        <w:rPr>
          <w:bCs/>
          <w:sz w:val="22"/>
          <w:lang w:val="bg-BG"/>
        </w:rPr>
        <w:t xml:space="preserve"> </w:t>
      </w:r>
      <w:r w:rsidR="008A3C7A" w:rsidRPr="00A3491F">
        <w:rPr>
          <w:bCs/>
          <w:sz w:val="22"/>
          <w:lang w:val="bg-BG"/>
        </w:rPr>
        <w:t xml:space="preserve">(„Директива </w:t>
      </w:r>
      <w:r w:rsidR="008A3C7A" w:rsidRPr="00A3491F">
        <w:rPr>
          <w:sz w:val="22"/>
          <w:lang w:val="bg-BG"/>
        </w:rPr>
        <w:t xml:space="preserve">98/34/ЕО“) </w:t>
      </w:r>
      <w:r w:rsidR="00FB4F60" w:rsidRPr="00A3491F">
        <w:rPr>
          <w:bCs/>
          <w:sz w:val="22"/>
          <w:lang w:val="bg-BG"/>
        </w:rPr>
        <w:t>при</w:t>
      </w:r>
      <w:r w:rsidR="006E52A8" w:rsidRPr="00A3491F">
        <w:rPr>
          <w:bCs/>
          <w:sz w:val="22"/>
          <w:lang w:val="bg-BG"/>
        </w:rPr>
        <w:t xml:space="preserve"> нотифициране</w:t>
      </w:r>
      <w:r w:rsidR="00FB4F60" w:rsidRPr="00A3491F">
        <w:rPr>
          <w:bCs/>
          <w:sz w:val="22"/>
          <w:lang w:val="bg-BG"/>
        </w:rPr>
        <w:t>то</w:t>
      </w:r>
      <w:r w:rsidR="006E52A8" w:rsidRPr="00A3491F">
        <w:rPr>
          <w:bCs/>
          <w:sz w:val="22"/>
          <w:lang w:val="bg-BG"/>
        </w:rPr>
        <w:t xml:space="preserve"> на сега</w:t>
      </w:r>
      <w:r w:rsidR="001A5E24" w:rsidRPr="00A3491F">
        <w:rPr>
          <w:bCs/>
          <w:sz w:val="22"/>
          <w:lang w:val="bg-BG"/>
        </w:rPr>
        <w:t xml:space="preserve"> </w:t>
      </w:r>
      <w:r w:rsidR="006E52A8" w:rsidRPr="00A3491F">
        <w:rPr>
          <w:bCs/>
          <w:sz w:val="22"/>
          <w:lang w:val="bg-BG"/>
        </w:rPr>
        <w:t>действащия закон</w:t>
      </w:r>
      <w:r w:rsidR="00FB4F60" w:rsidRPr="00A3491F">
        <w:rPr>
          <w:bCs/>
          <w:sz w:val="22"/>
          <w:lang w:val="bg-BG"/>
        </w:rPr>
        <w:t>, които не биха могли да бъдат отстранени по друг начин, освен чрез приемането на нов закон и повторно нотифициране</w:t>
      </w:r>
      <w:r w:rsidR="00FB4F60" w:rsidRPr="00A3491F">
        <w:rPr>
          <w:sz w:val="22"/>
          <w:lang w:val="bg-BG"/>
        </w:rPr>
        <w:t>.</w:t>
      </w:r>
      <w:r w:rsidR="009977FB" w:rsidRPr="00A3491F">
        <w:rPr>
          <w:bCs/>
          <w:sz w:val="22"/>
          <w:lang w:val="bg-BG"/>
        </w:rPr>
        <w:t xml:space="preserve"> </w:t>
      </w:r>
      <w:r w:rsidR="00FB4F60" w:rsidRPr="00A3491F">
        <w:rPr>
          <w:bCs/>
          <w:sz w:val="22"/>
          <w:lang w:val="bg-BG"/>
        </w:rPr>
        <w:t>В тази насока бяха и отправените от Европейската комисия препоръки</w:t>
      </w:r>
      <w:r w:rsidR="00DE242D" w:rsidRPr="00A3491F">
        <w:rPr>
          <w:bCs/>
          <w:sz w:val="22"/>
          <w:lang w:val="bg-BG"/>
        </w:rPr>
        <w:t xml:space="preserve"> </w:t>
      </w:r>
      <w:r w:rsidR="00DE242D" w:rsidRPr="00A3491F">
        <w:rPr>
          <w:sz w:val="22"/>
          <w:lang w:val="bg-BG"/>
        </w:rPr>
        <w:t>по отношение на конкретни разпоредби, както и такива, свързани с неточно цитиране на разпоредби от европейското законодателство, които водят до разминавания между действащите прави</w:t>
      </w:r>
      <w:r w:rsidR="000B367C" w:rsidRPr="00A3491F">
        <w:rPr>
          <w:sz w:val="22"/>
          <w:lang w:val="bg-BG"/>
        </w:rPr>
        <w:t>ла на Европейския съюз и закона</w:t>
      </w:r>
      <w:r w:rsidR="00FB4F60" w:rsidRPr="00A3491F">
        <w:rPr>
          <w:bCs/>
          <w:sz w:val="22"/>
          <w:lang w:val="bg-BG"/>
        </w:rPr>
        <w:t xml:space="preserve">. </w:t>
      </w:r>
    </w:p>
    <w:p w:rsidR="00616A65" w:rsidRPr="00A3491F" w:rsidRDefault="00616A65" w:rsidP="006B3BB7">
      <w:pPr>
        <w:widowControl w:val="0"/>
        <w:autoSpaceDE w:val="0"/>
        <w:autoSpaceDN w:val="0"/>
        <w:adjustRightInd w:val="0"/>
        <w:spacing w:after="120"/>
        <w:rPr>
          <w:bCs/>
          <w:sz w:val="22"/>
          <w:lang w:val="bg-BG"/>
        </w:rPr>
      </w:pPr>
      <w:r w:rsidRPr="00A3491F">
        <w:rPr>
          <w:bCs/>
          <w:sz w:val="22"/>
          <w:lang w:val="bg-BG"/>
        </w:rPr>
        <w:t>Междувременно бе приета Директива (ЕС) 2015/1535 на Европейския парламент и на Съвета от 9 септември 2015 година</w:t>
      </w:r>
      <w:r w:rsidR="00294109" w:rsidRPr="00A3491F">
        <w:rPr>
          <w:bCs/>
          <w:sz w:val="22"/>
          <w:lang w:val="bg-BG"/>
        </w:rPr>
        <w:t>,</w:t>
      </w:r>
      <w:r w:rsidRPr="00A3491F">
        <w:rPr>
          <w:bCs/>
          <w:sz w:val="22"/>
          <w:lang w:val="bg-BG"/>
        </w:rPr>
        <w:t xml:space="preserve">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r w:rsidR="008A3C7A" w:rsidRPr="00A3491F">
        <w:rPr>
          <w:bCs/>
          <w:sz w:val="22"/>
          <w:lang w:val="bg-BG"/>
        </w:rPr>
        <w:t xml:space="preserve"> („Директива 2015/1535“), която </w:t>
      </w:r>
      <w:r w:rsidRPr="00A3491F">
        <w:rPr>
          <w:bCs/>
          <w:sz w:val="22"/>
          <w:lang w:val="bg-BG"/>
        </w:rPr>
        <w:t>отменя Директива 98/34</w:t>
      </w:r>
      <w:r w:rsidR="008A3C7A" w:rsidRPr="00A3491F">
        <w:rPr>
          <w:bCs/>
          <w:sz w:val="22"/>
          <w:lang w:val="bg-BG"/>
        </w:rPr>
        <w:t>/ЕО</w:t>
      </w:r>
      <w:r w:rsidRPr="00A3491F">
        <w:rPr>
          <w:bCs/>
          <w:sz w:val="22"/>
          <w:lang w:val="bg-BG"/>
        </w:rPr>
        <w:t xml:space="preserve">. По смисъла на </w:t>
      </w:r>
      <w:r w:rsidR="008A3C7A" w:rsidRPr="00A3491F">
        <w:rPr>
          <w:bCs/>
          <w:sz w:val="22"/>
          <w:lang w:val="bg-BG"/>
        </w:rPr>
        <w:t>Директива 2015/1535</w:t>
      </w:r>
      <w:r w:rsidRPr="00A3491F">
        <w:rPr>
          <w:bCs/>
          <w:sz w:val="22"/>
          <w:lang w:val="bg-BG"/>
        </w:rPr>
        <w:t xml:space="preserve"> предложеният проект съдържа технически регламенти и следва да се нотифицира пред Европейската комисия. Н</w:t>
      </w:r>
      <w:r w:rsidR="008A3C7A" w:rsidRPr="00A3491F">
        <w:rPr>
          <w:bCs/>
          <w:sz w:val="22"/>
          <w:lang w:val="bg-BG"/>
        </w:rPr>
        <w:t>овата н</w:t>
      </w:r>
      <w:r w:rsidRPr="00A3491F">
        <w:rPr>
          <w:bCs/>
          <w:sz w:val="22"/>
          <w:lang w:val="bg-BG"/>
        </w:rPr>
        <w:t xml:space="preserve">отификационната процедура позволява на Комисията и на държавите членки на </w:t>
      </w:r>
      <w:r w:rsidR="00D537EE" w:rsidRPr="00A3491F">
        <w:rPr>
          <w:bCs/>
          <w:sz w:val="22"/>
          <w:lang w:val="bg-BG"/>
        </w:rPr>
        <w:t>Европейския съюз (</w:t>
      </w:r>
      <w:r w:rsidRPr="00A3491F">
        <w:rPr>
          <w:bCs/>
          <w:sz w:val="22"/>
          <w:lang w:val="bg-BG"/>
        </w:rPr>
        <w:t>ЕС</w:t>
      </w:r>
      <w:r w:rsidR="00D537EE" w:rsidRPr="00A3491F">
        <w:rPr>
          <w:bCs/>
          <w:sz w:val="22"/>
          <w:lang w:val="bg-BG"/>
        </w:rPr>
        <w:t>)</w:t>
      </w:r>
      <w:r w:rsidRPr="00A3491F">
        <w:rPr>
          <w:bCs/>
          <w:sz w:val="22"/>
          <w:lang w:val="bg-BG"/>
        </w:rPr>
        <w:t xml:space="preserve"> да проверяват техническите наредби, които държавите членки възнамеряват да въведат за продукти (промишлени, селскостопански) преди тяхното приемане. Целта е да се гарантира, че тези текстове са съвместими със законодателството на ЕС и с принципите на вътрешния пазар.</w:t>
      </w:r>
    </w:p>
    <w:p w:rsidR="00455820" w:rsidRPr="00A3491F" w:rsidRDefault="00616A65" w:rsidP="006B3BB7">
      <w:pPr>
        <w:widowControl w:val="0"/>
        <w:autoSpaceDE w:val="0"/>
        <w:autoSpaceDN w:val="0"/>
        <w:adjustRightInd w:val="0"/>
        <w:spacing w:after="120"/>
        <w:rPr>
          <w:bCs/>
          <w:sz w:val="22"/>
          <w:lang w:val="bg-BG"/>
        </w:rPr>
      </w:pPr>
      <w:r w:rsidRPr="00A3491F">
        <w:rPr>
          <w:bCs/>
          <w:sz w:val="22"/>
          <w:lang w:val="bg-BG"/>
        </w:rPr>
        <w:t xml:space="preserve">В хода на работата </w:t>
      </w:r>
      <w:r w:rsidRPr="00A3491F">
        <w:rPr>
          <w:sz w:val="22"/>
          <w:lang w:val="bg-BG"/>
        </w:rPr>
        <w:t xml:space="preserve">членовете на работната група се </w:t>
      </w:r>
      <w:r w:rsidR="00294109" w:rsidRPr="00A3491F">
        <w:rPr>
          <w:sz w:val="22"/>
          <w:lang w:val="bg-BG"/>
        </w:rPr>
        <w:t xml:space="preserve">обединяват </w:t>
      </w:r>
      <w:r w:rsidRPr="00A3491F">
        <w:rPr>
          <w:sz w:val="22"/>
          <w:lang w:val="bg-BG"/>
        </w:rPr>
        <w:t xml:space="preserve">около две основни задачи - съобразяване на текстовете с препоръките на ЕС и промяна на текстовете, които възпрепятстват бизнеса. </w:t>
      </w:r>
      <w:r w:rsidR="00294109" w:rsidRPr="00A3491F">
        <w:rPr>
          <w:sz w:val="22"/>
          <w:lang w:val="bg-BG"/>
        </w:rPr>
        <w:t>В</w:t>
      </w:r>
      <w:r w:rsidR="00455820" w:rsidRPr="00A3491F">
        <w:rPr>
          <w:sz w:val="22"/>
          <w:lang w:val="bg-BG"/>
        </w:rPr>
        <w:t xml:space="preserve">зето </w:t>
      </w:r>
      <w:r w:rsidR="00294109" w:rsidRPr="00A3491F">
        <w:rPr>
          <w:sz w:val="22"/>
          <w:lang w:val="bg-BG"/>
        </w:rPr>
        <w:t xml:space="preserve">е </w:t>
      </w:r>
      <w:r w:rsidR="00455820" w:rsidRPr="00A3491F">
        <w:rPr>
          <w:sz w:val="22"/>
          <w:lang w:val="bg-BG"/>
        </w:rPr>
        <w:t>решение за ефективно използване на възможността за рази</w:t>
      </w:r>
      <w:r w:rsidR="006A7040" w:rsidRPr="00A3491F">
        <w:rPr>
          <w:sz w:val="22"/>
          <w:lang w:val="bg-BG"/>
        </w:rPr>
        <w:t>скване на предложението за нов з</w:t>
      </w:r>
      <w:r w:rsidR="00455820" w:rsidRPr="00A3491F">
        <w:rPr>
          <w:sz w:val="22"/>
          <w:lang w:val="bg-BG"/>
        </w:rPr>
        <w:t xml:space="preserve">акон. </w:t>
      </w:r>
    </w:p>
    <w:p w:rsidR="009977FB" w:rsidRPr="00A3491F" w:rsidRDefault="00455820" w:rsidP="006B3BB7">
      <w:pPr>
        <w:spacing w:after="120"/>
        <w:rPr>
          <w:sz w:val="22"/>
          <w:lang w:val="bg-BG"/>
        </w:rPr>
      </w:pPr>
      <w:r w:rsidRPr="00A3491F">
        <w:rPr>
          <w:bCs/>
          <w:sz w:val="22"/>
          <w:lang w:val="bg-BG"/>
        </w:rPr>
        <w:t xml:space="preserve">При изработването на проекта </w:t>
      </w:r>
      <w:r w:rsidR="00294109" w:rsidRPr="00A3491F">
        <w:rPr>
          <w:bCs/>
          <w:sz w:val="22"/>
          <w:lang w:val="bg-BG"/>
        </w:rPr>
        <w:t xml:space="preserve">са </w:t>
      </w:r>
      <w:r w:rsidRPr="00A3491F">
        <w:rPr>
          <w:bCs/>
          <w:sz w:val="22"/>
          <w:lang w:val="bg-BG"/>
        </w:rPr>
        <w:t>взети предвид становища</w:t>
      </w:r>
      <w:r w:rsidR="00294109" w:rsidRPr="00A3491F">
        <w:rPr>
          <w:bCs/>
          <w:sz w:val="22"/>
          <w:lang w:val="bg-BG"/>
        </w:rPr>
        <w:t>та</w:t>
      </w:r>
      <w:r w:rsidRPr="00A3491F">
        <w:rPr>
          <w:bCs/>
          <w:sz w:val="22"/>
          <w:lang w:val="bg-BG"/>
        </w:rPr>
        <w:t xml:space="preserve"> на браншовите  представители. </w:t>
      </w:r>
      <w:r w:rsidR="00294109" w:rsidRPr="00A3491F">
        <w:rPr>
          <w:sz w:val="22"/>
          <w:lang w:val="bg-BG"/>
        </w:rPr>
        <w:t>П</w:t>
      </w:r>
      <w:r w:rsidRPr="00A3491F">
        <w:rPr>
          <w:sz w:val="22"/>
          <w:lang w:val="bg-BG"/>
        </w:rPr>
        <w:t xml:space="preserve">остигната </w:t>
      </w:r>
      <w:r w:rsidR="00294109" w:rsidRPr="00A3491F">
        <w:rPr>
          <w:sz w:val="22"/>
          <w:lang w:val="bg-BG"/>
        </w:rPr>
        <w:t xml:space="preserve">е </w:t>
      </w:r>
      <w:r w:rsidRPr="00A3491F">
        <w:rPr>
          <w:sz w:val="22"/>
          <w:lang w:val="bg-BG"/>
        </w:rPr>
        <w:t xml:space="preserve">обща позиция по отношение на въпросите свързани с опростяване на дневниците, сертификатите за произход на грозде, лозарския регистър (всяка РЛВК да има достъп до актуалното състояние на лозарско стопанство); сортовите вина и вината със </w:t>
      </w:r>
      <w:r w:rsidR="00D537EE" w:rsidRPr="00A3491F">
        <w:rPr>
          <w:sz w:val="22"/>
          <w:lang w:val="bg-BG"/>
        </w:rPr>
        <w:t>защитено географско указание (ЗГУ) и защитено наименование за произход (ЗНП)</w:t>
      </w:r>
      <w:r w:rsidRPr="00A3491F">
        <w:rPr>
          <w:sz w:val="22"/>
          <w:lang w:val="bg-BG"/>
        </w:rPr>
        <w:t xml:space="preserve">; акредитираните лаборатории, използвани за целта на контрола. </w:t>
      </w:r>
      <w:r w:rsidR="00294109" w:rsidRPr="00A3491F">
        <w:rPr>
          <w:sz w:val="22"/>
          <w:lang w:val="bg-BG"/>
        </w:rPr>
        <w:t>О</w:t>
      </w:r>
      <w:r w:rsidRPr="00A3491F">
        <w:rPr>
          <w:sz w:val="22"/>
          <w:lang w:val="bg-BG"/>
        </w:rPr>
        <w:t xml:space="preserve">бсъден </w:t>
      </w:r>
      <w:r w:rsidR="00294109" w:rsidRPr="00A3491F">
        <w:rPr>
          <w:sz w:val="22"/>
          <w:lang w:val="bg-BG"/>
        </w:rPr>
        <w:t xml:space="preserve">е </w:t>
      </w:r>
      <w:r w:rsidRPr="00A3491F">
        <w:rPr>
          <w:sz w:val="22"/>
          <w:lang w:val="bg-BG"/>
        </w:rPr>
        <w:t>въпросът за придружителните документи за вината</w:t>
      </w:r>
      <w:r w:rsidR="00D537EE" w:rsidRPr="00A3491F">
        <w:rPr>
          <w:sz w:val="22"/>
          <w:lang w:val="bg-BG"/>
        </w:rPr>
        <w:t>,</w:t>
      </w:r>
      <w:r w:rsidRPr="00A3491F">
        <w:rPr>
          <w:sz w:val="22"/>
          <w:lang w:val="bg-BG"/>
        </w:rPr>
        <w:t xml:space="preserve"> пренасяни при режим отложено плащане на акциз на територията на страната или от и до територията на друга държава-членка на ЕС и </w:t>
      </w:r>
      <w:r w:rsidR="00D537EE" w:rsidRPr="00A3491F">
        <w:rPr>
          <w:sz w:val="22"/>
          <w:lang w:val="bg-BG"/>
        </w:rPr>
        <w:t xml:space="preserve">е </w:t>
      </w:r>
      <w:r w:rsidRPr="00A3491F">
        <w:rPr>
          <w:sz w:val="22"/>
          <w:lang w:val="bg-BG"/>
        </w:rPr>
        <w:t xml:space="preserve">взето решение за тях да се издава електронен административен документ по реда на </w:t>
      </w:r>
      <w:r w:rsidR="00D537EE" w:rsidRPr="00A3491F">
        <w:rPr>
          <w:sz w:val="22"/>
          <w:lang w:val="bg-BG"/>
        </w:rPr>
        <w:t>Закона за акцизите и данъчните складове (</w:t>
      </w:r>
      <w:r w:rsidRPr="00A3491F">
        <w:rPr>
          <w:sz w:val="22"/>
          <w:lang w:val="bg-BG"/>
        </w:rPr>
        <w:t>ЗАДС</w:t>
      </w:r>
      <w:r w:rsidR="00D537EE" w:rsidRPr="00A3491F">
        <w:rPr>
          <w:sz w:val="22"/>
          <w:lang w:val="bg-BG"/>
        </w:rPr>
        <w:t>)</w:t>
      </w:r>
      <w:r w:rsidRPr="00A3491F">
        <w:rPr>
          <w:sz w:val="22"/>
          <w:lang w:val="bg-BG"/>
        </w:rPr>
        <w:t xml:space="preserve"> и да не се съставят </w:t>
      </w:r>
      <w:r w:rsidR="00D537EE" w:rsidRPr="00A3491F">
        <w:rPr>
          <w:sz w:val="22"/>
          <w:lang w:val="bg-BG"/>
        </w:rPr>
        <w:t xml:space="preserve">други </w:t>
      </w:r>
      <w:r w:rsidRPr="00A3491F">
        <w:rPr>
          <w:sz w:val="22"/>
          <w:lang w:val="bg-BG"/>
        </w:rPr>
        <w:t xml:space="preserve">придружителни документи. </w:t>
      </w:r>
      <w:r w:rsidR="009D1B11" w:rsidRPr="00A3491F">
        <w:rPr>
          <w:bCs/>
          <w:sz w:val="22"/>
          <w:lang w:val="bg-BG"/>
        </w:rPr>
        <w:t>В тази връзка и с оглед многобройните постъпили предложе</w:t>
      </w:r>
      <w:r w:rsidR="0067536F" w:rsidRPr="00A3491F">
        <w:rPr>
          <w:bCs/>
          <w:sz w:val="22"/>
          <w:lang w:val="bg-BG"/>
        </w:rPr>
        <w:t xml:space="preserve">ния от различни производители, срокът за изготвяне на финалния проект на закона </w:t>
      </w:r>
      <w:r w:rsidR="00925EF2" w:rsidRPr="00A3491F">
        <w:rPr>
          <w:bCs/>
          <w:sz w:val="22"/>
          <w:lang w:val="bg-BG"/>
        </w:rPr>
        <w:t>е</w:t>
      </w:r>
      <w:r w:rsidR="0067536F" w:rsidRPr="00A3491F">
        <w:rPr>
          <w:bCs/>
          <w:sz w:val="22"/>
          <w:lang w:val="bg-BG"/>
        </w:rPr>
        <w:t xml:space="preserve"> </w:t>
      </w:r>
      <w:r w:rsidR="00925EF2" w:rsidRPr="00A3491F">
        <w:rPr>
          <w:bCs/>
          <w:sz w:val="22"/>
          <w:lang w:val="bg-BG"/>
        </w:rPr>
        <w:t>удължен</w:t>
      </w:r>
      <w:r w:rsidR="0067536F" w:rsidRPr="00A3491F">
        <w:rPr>
          <w:bCs/>
          <w:sz w:val="22"/>
          <w:lang w:val="bg-BG"/>
        </w:rPr>
        <w:t>.</w:t>
      </w:r>
    </w:p>
    <w:p w:rsidR="00D537EE" w:rsidRPr="00A3491F" w:rsidRDefault="004E4B35" w:rsidP="006B3BB7">
      <w:pPr>
        <w:spacing w:after="120"/>
        <w:rPr>
          <w:sz w:val="22"/>
          <w:lang w:val="bg-BG"/>
        </w:rPr>
      </w:pPr>
      <w:bookmarkStart w:id="4" w:name="_Toc493775940"/>
      <w:r w:rsidRPr="00A3491F">
        <w:rPr>
          <w:sz w:val="22"/>
          <w:lang w:val="bg-BG"/>
        </w:rPr>
        <w:lastRenderedPageBreak/>
        <w:t xml:space="preserve">След допълнителни консултации и съгласувателни процедури в рамките </w:t>
      </w:r>
      <w:r w:rsidR="00796362" w:rsidRPr="00A3491F">
        <w:rPr>
          <w:sz w:val="22"/>
          <w:lang w:val="bg-BG"/>
        </w:rPr>
        <w:t>на Министерство на земеделието,</w:t>
      </w:r>
      <w:r w:rsidRPr="00A3491F">
        <w:rPr>
          <w:sz w:val="22"/>
          <w:lang w:val="bg-BG"/>
        </w:rPr>
        <w:t xml:space="preserve"> храните</w:t>
      </w:r>
      <w:r w:rsidR="00796362" w:rsidRPr="00A3491F">
        <w:rPr>
          <w:sz w:val="22"/>
          <w:lang w:val="bg-BG"/>
        </w:rPr>
        <w:t xml:space="preserve"> и горите</w:t>
      </w:r>
      <w:r w:rsidRPr="00A3491F">
        <w:rPr>
          <w:sz w:val="22"/>
          <w:lang w:val="bg-BG"/>
        </w:rPr>
        <w:t xml:space="preserve">, Министерство на икономиката и подчинените им агенции и дирекции, </w:t>
      </w:r>
      <w:r w:rsidR="00455820" w:rsidRPr="00A3491F">
        <w:rPr>
          <w:sz w:val="22"/>
          <w:lang w:val="bg-BG"/>
        </w:rPr>
        <w:t>съгласно чл. 26, ал. 2 от Закона за нормативните актове проектът е публикуван на интернет страницата на</w:t>
      </w:r>
      <w:r w:rsidR="00796362" w:rsidRPr="00A3491F">
        <w:rPr>
          <w:sz w:val="22"/>
          <w:lang w:val="bg-BG"/>
        </w:rPr>
        <w:t xml:space="preserve"> Министерството на земеделието,</w:t>
      </w:r>
      <w:r w:rsidR="00455820" w:rsidRPr="00A3491F">
        <w:rPr>
          <w:sz w:val="22"/>
          <w:lang w:val="bg-BG"/>
        </w:rPr>
        <w:t xml:space="preserve"> храните </w:t>
      </w:r>
      <w:r w:rsidR="00796362" w:rsidRPr="00A3491F">
        <w:rPr>
          <w:sz w:val="22"/>
          <w:lang w:val="bg-BG"/>
        </w:rPr>
        <w:t xml:space="preserve">и горите </w:t>
      </w:r>
      <w:r w:rsidR="00455820" w:rsidRPr="00A3491F">
        <w:rPr>
          <w:sz w:val="22"/>
          <w:lang w:val="bg-BG"/>
        </w:rPr>
        <w:t xml:space="preserve">и на Портала за обществени консултации </w:t>
      </w:r>
      <w:hyperlink r:id="rId10" w:history="1">
        <w:r w:rsidR="00455820" w:rsidRPr="00A3491F">
          <w:rPr>
            <w:rStyle w:val="Hyperlink"/>
            <w:sz w:val="22"/>
            <w:lang w:val="bg-BG"/>
          </w:rPr>
          <w:t>www.strategy.bg</w:t>
        </w:r>
      </w:hyperlink>
      <w:r w:rsidR="00455820" w:rsidRPr="00A3491F">
        <w:rPr>
          <w:sz w:val="22"/>
          <w:lang w:val="bg-BG"/>
        </w:rPr>
        <w:t xml:space="preserve">, със срок от 14 дни </w:t>
      </w:r>
      <w:r w:rsidR="009977FB" w:rsidRPr="00A3491F">
        <w:rPr>
          <w:sz w:val="22"/>
          <w:lang w:val="bg-BG"/>
        </w:rPr>
        <w:t>за обществено обсъждане</w:t>
      </w:r>
      <w:r w:rsidR="0026293C" w:rsidRPr="00A3491F">
        <w:rPr>
          <w:sz w:val="22"/>
          <w:lang w:val="bg-BG"/>
        </w:rPr>
        <w:t xml:space="preserve"> (до</w:t>
      </w:r>
      <w:r w:rsidR="00455820" w:rsidRPr="00A3491F">
        <w:rPr>
          <w:sz w:val="22"/>
          <w:lang w:val="bg-BG"/>
        </w:rPr>
        <w:t xml:space="preserve"> </w:t>
      </w:r>
      <w:r w:rsidR="0067536F" w:rsidRPr="00A3491F">
        <w:rPr>
          <w:sz w:val="22"/>
          <w:lang w:val="bg-BG"/>
        </w:rPr>
        <w:t>29.9.2016 г.</w:t>
      </w:r>
      <w:r w:rsidR="0026293C" w:rsidRPr="00A3491F">
        <w:rPr>
          <w:sz w:val="22"/>
          <w:lang w:val="bg-BG"/>
        </w:rPr>
        <w:t>)</w:t>
      </w:r>
      <w:r w:rsidR="00D537EE" w:rsidRPr="00A3491F">
        <w:rPr>
          <w:sz w:val="22"/>
          <w:lang w:val="bg-BG"/>
        </w:rPr>
        <w:t>.</w:t>
      </w:r>
      <w:r w:rsidRPr="00A3491F">
        <w:rPr>
          <w:sz w:val="22"/>
          <w:lang w:val="bg-BG"/>
        </w:rPr>
        <w:t xml:space="preserve"> </w:t>
      </w:r>
      <w:r w:rsidR="005234C9" w:rsidRPr="00A3491F">
        <w:rPr>
          <w:sz w:val="22"/>
          <w:lang w:val="bg-BG"/>
        </w:rPr>
        <w:t>Проектът на Закон</w:t>
      </w:r>
      <w:r w:rsidR="009977FB" w:rsidRPr="00A3491F">
        <w:rPr>
          <w:sz w:val="22"/>
          <w:lang w:val="bg-BG"/>
        </w:rPr>
        <w:t xml:space="preserve"> </w:t>
      </w:r>
      <w:r w:rsidR="005234C9" w:rsidRPr="00A3491F">
        <w:rPr>
          <w:sz w:val="22"/>
          <w:lang w:val="bg-BG"/>
        </w:rPr>
        <w:t xml:space="preserve">за виното и спиртните напитки </w:t>
      </w:r>
      <w:r w:rsidR="00A227E2" w:rsidRPr="00A3491F">
        <w:rPr>
          <w:sz w:val="22"/>
          <w:lang w:val="bg-BG"/>
        </w:rPr>
        <w:t>е преминал</w:t>
      </w:r>
      <w:r w:rsidR="009977FB" w:rsidRPr="00A3491F">
        <w:rPr>
          <w:sz w:val="22"/>
          <w:lang w:val="bg-BG"/>
        </w:rPr>
        <w:t xml:space="preserve"> </w:t>
      </w:r>
      <w:r w:rsidR="0048481E" w:rsidRPr="00A3491F">
        <w:rPr>
          <w:sz w:val="22"/>
          <w:lang w:val="bg-BG"/>
        </w:rPr>
        <w:t xml:space="preserve">междуведомствено </w:t>
      </w:r>
      <w:r w:rsidR="009977FB" w:rsidRPr="00A3491F">
        <w:rPr>
          <w:sz w:val="22"/>
          <w:lang w:val="bg-BG"/>
        </w:rPr>
        <w:t xml:space="preserve">съгласуване </w:t>
      </w:r>
      <w:r w:rsidRPr="00A3491F">
        <w:rPr>
          <w:sz w:val="22"/>
          <w:lang w:val="bg-BG"/>
        </w:rPr>
        <w:t xml:space="preserve">в рамките на предвидената процедура в </w:t>
      </w:r>
      <w:r w:rsidR="005234C9" w:rsidRPr="00A3491F">
        <w:rPr>
          <w:sz w:val="22"/>
          <w:lang w:val="bg-BG"/>
        </w:rPr>
        <w:t xml:space="preserve">чл. 32 </w:t>
      </w:r>
      <w:r w:rsidRPr="00A3491F">
        <w:rPr>
          <w:sz w:val="22"/>
          <w:lang w:val="bg-BG"/>
        </w:rPr>
        <w:t>Устройствения правилник на Министерския съвет и неговата администрация</w:t>
      </w:r>
      <w:r w:rsidR="0067536F" w:rsidRPr="00A3491F">
        <w:rPr>
          <w:sz w:val="22"/>
          <w:lang w:val="bg-BG"/>
        </w:rPr>
        <w:t>.</w:t>
      </w:r>
      <w:bookmarkEnd w:id="4"/>
      <w:r w:rsidR="0067536F" w:rsidRPr="00A3491F">
        <w:rPr>
          <w:sz w:val="22"/>
          <w:lang w:val="bg-BG"/>
        </w:rPr>
        <w:t xml:space="preserve"> </w:t>
      </w:r>
      <w:r w:rsidR="00382A42" w:rsidRPr="00A3491F">
        <w:rPr>
          <w:sz w:val="22"/>
          <w:lang w:val="bg-BG"/>
        </w:rPr>
        <w:t xml:space="preserve">Всички становища, получени при съгласуването са отразени в проекта на закона и са взети предвид при изготвяне на настоящата цялостна </w:t>
      </w:r>
      <w:r w:rsidR="002D3F4C" w:rsidRPr="00A3491F">
        <w:rPr>
          <w:sz w:val="22"/>
          <w:lang w:val="bg-BG"/>
        </w:rPr>
        <w:t xml:space="preserve">предварителна </w:t>
      </w:r>
      <w:r w:rsidR="00382A42" w:rsidRPr="00A3491F">
        <w:rPr>
          <w:sz w:val="22"/>
          <w:lang w:val="bg-BG"/>
        </w:rPr>
        <w:t>оценка на въздействието.</w:t>
      </w:r>
    </w:p>
    <w:p w:rsidR="00CA75E2" w:rsidRPr="00A3491F" w:rsidRDefault="00E47E10" w:rsidP="006B3BB7">
      <w:pPr>
        <w:pStyle w:val="Heading2"/>
        <w:spacing w:before="240" w:after="120"/>
        <w:rPr>
          <w:rFonts w:cs="Times New Roman"/>
          <w:sz w:val="22"/>
          <w:szCs w:val="22"/>
          <w:lang w:val="bg-BG"/>
        </w:rPr>
      </w:pPr>
      <w:bookmarkStart w:id="5" w:name="_Toc496709935"/>
      <w:r w:rsidRPr="00A3491F">
        <w:rPr>
          <w:rFonts w:cs="Times New Roman"/>
          <w:sz w:val="22"/>
          <w:szCs w:val="22"/>
          <w:lang w:val="bg-BG"/>
        </w:rPr>
        <w:t xml:space="preserve">I.3. </w:t>
      </w:r>
      <w:r w:rsidR="00785242" w:rsidRPr="00A3491F">
        <w:rPr>
          <w:rFonts w:cs="Times New Roman"/>
          <w:sz w:val="22"/>
          <w:szCs w:val="22"/>
          <w:lang w:val="bg-BG"/>
        </w:rPr>
        <w:t>Методологична рамка на цялостната предварителна оценка на въздействието</w:t>
      </w:r>
      <w:bookmarkEnd w:id="5"/>
    </w:p>
    <w:p w:rsidR="00054931" w:rsidRPr="00A3491F" w:rsidRDefault="00054931"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Компонентите на изготвената оценка включват:</w:t>
      </w:r>
    </w:p>
    <w:p w:rsidR="00E850DB" w:rsidRPr="00A3491F" w:rsidRDefault="00054931"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 xml:space="preserve">1. </w:t>
      </w:r>
      <w:r w:rsidR="00E850DB" w:rsidRPr="00A3491F">
        <w:rPr>
          <w:color w:val="000000" w:themeColor="text1"/>
          <w:sz w:val="22"/>
          <w:lang w:val="bg-BG"/>
        </w:rPr>
        <w:t>Дефиниране на проблемите</w:t>
      </w:r>
    </w:p>
    <w:p w:rsidR="00DE242D" w:rsidRPr="00A3491F" w:rsidRDefault="00054931"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 xml:space="preserve">В тази част </w:t>
      </w:r>
      <w:r w:rsidR="00CB5569" w:rsidRPr="00A3491F">
        <w:rPr>
          <w:color w:val="000000" w:themeColor="text1"/>
          <w:sz w:val="22"/>
          <w:lang w:val="bg-BG"/>
        </w:rPr>
        <w:t xml:space="preserve">от изготвяне на оценката са </w:t>
      </w:r>
      <w:r w:rsidR="00FD6187" w:rsidRPr="00A3491F">
        <w:rPr>
          <w:color w:val="000000" w:themeColor="text1"/>
          <w:sz w:val="22"/>
          <w:lang w:val="bg-BG"/>
        </w:rPr>
        <w:t xml:space="preserve">определени </w:t>
      </w:r>
      <w:r w:rsidRPr="00A3491F">
        <w:rPr>
          <w:color w:val="000000" w:themeColor="text1"/>
          <w:sz w:val="22"/>
          <w:lang w:val="bg-BG"/>
        </w:rPr>
        <w:t xml:space="preserve">основните слабости и </w:t>
      </w:r>
      <w:r w:rsidR="00FD6187" w:rsidRPr="00A3491F">
        <w:rPr>
          <w:color w:val="000000" w:themeColor="text1"/>
          <w:sz w:val="22"/>
          <w:lang w:val="bg-BG"/>
        </w:rPr>
        <w:t>трудности</w:t>
      </w:r>
      <w:r w:rsidRPr="00A3491F">
        <w:rPr>
          <w:color w:val="000000" w:themeColor="text1"/>
          <w:sz w:val="22"/>
          <w:lang w:val="bg-BG"/>
        </w:rPr>
        <w:t>, същест</w:t>
      </w:r>
      <w:r w:rsidR="00FB4F60" w:rsidRPr="00A3491F">
        <w:rPr>
          <w:color w:val="000000" w:themeColor="text1"/>
          <w:sz w:val="22"/>
          <w:lang w:val="bg-BG"/>
        </w:rPr>
        <w:t>в</w:t>
      </w:r>
      <w:r w:rsidRPr="00A3491F">
        <w:rPr>
          <w:color w:val="000000" w:themeColor="text1"/>
          <w:sz w:val="22"/>
          <w:lang w:val="bg-BG"/>
        </w:rPr>
        <w:t xml:space="preserve">уващи към момента в резултат на прилагането на действащия Закон за </w:t>
      </w:r>
      <w:r w:rsidR="00565DB1" w:rsidRPr="00A3491F">
        <w:rPr>
          <w:color w:val="000000" w:themeColor="text1"/>
          <w:sz w:val="22"/>
          <w:lang w:val="bg-BG"/>
        </w:rPr>
        <w:t>виното и спиртните напитки</w:t>
      </w:r>
      <w:r w:rsidR="00FD6187" w:rsidRPr="00A3491F">
        <w:rPr>
          <w:color w:val="000000" w:themeColor="text1"/>
          <w:sz w:val="22"/>
          <w:lang w:val="bg-BG"/>
        </w:rPr>
        <w:t xml:space="preserve"> (ЗВСН 2012)</w:t>
      </w:r>
      <w:r w:rsidRPr="00A3491F">
        <w:rPr>
          <w:color w:val="000000" w:themeColor="text1"/>
          <w:sz w:val="22"/>
          <w:lang w:val="bg-BG"/>
        </w:rPr>
        <w:t xml:space="preserve">. Идентифицирани </w:t>
      </w:r>
      <w:r w:rsidR="00CB5569" w:rsidRPr="00A3491F">
        <w:rPr>
          <w:color w:val="000000" w:themeColor="text1"/>
          <w:sz w:val="22"/>
          <w:lang w:val="bg-BG"/>
        </w:rPr>
        <w:t>са</w:t>
      </w:r>
      <w:r w:rsidRPr="00A3491F">
        <w:rPr>
          <w:color w:val="000000" w:themeColor="text1"/>
          <w:sz w:val="22"/>
          <w:lang w:val="bg-BG"/>
        </w:rPr>
        <w:t xml:space="preserve"> два типа проблеми – свързани с нужда от </w:t>
      </w:r>
      <w:r w:rsidR="00CB5569" w:rsidRPr="00A3491F">
        <w:rPr>
          <w:color w:val="000000" w:themeColor="text1"/>
          <w:sz w:val="22"/>
          <w:lang w:val="bg-BG"/>
        </w:rPr>
        <w:t xml:space="preserve">правилно и </w:t>
      </w:r>
      <w:r w:rsidR="00DE242D" w:rsidRPr="00A3491F">
        <w:rPr>
          <w:color w:val="000000" w:themeColor="text1"/>
          <w:sz w:val="22"/>
          <w:lang w:val="bg-BG"/>
        </w:rPr>
        <w:t xml:space="preserve">хармонично </w:t>
      </w:r>
      <w:r w:rsidRPr="00A3491F">
        <w:rPr>
          <w:color w:val="000000" w:themeColor="text1"/>
          <w:sz w:val="22"/>
          <w:lang w:val="bg-BG"/>
        </w:rPr>
        <w:t>прилагане на законодателството на ЕС</w:t>
      </w:r>
      <w:r w:rsidR="00CB5569" w:rsidRPr="00A3491F">
        <w:rPr>
          <w:color w:val="000000" w:themeColor="text1"/>
          <w:sz w:val="22"/>
          <w:lang w:val="bg-BG"/>
        </w:rPr>
        <w:t xml:space="preserve"> в сектора и въвеждане на технически регламенти по смисъла на</w:t>
      </w:r>
      <w:r w:rsidR="00CB5569" w:rsidRPr="00A3491F">
        <w:rPr>
          <w:bCs/>
          <w:sz w:val="22"/>
          <w:lang w:val="bg-BG"/>
        </w:rPr>
        <w:t xml:space="preserve"> Директива (ЕС) 2015/1535 в националното ни законодателство</w:t>
      </w:r>
      <w:r w:rsidR="00DE242D" w:rsidRPr="00A3491F">
        <w:rPr>
          <w:bCs/>
          <w:sz w:val="22"/>
          <w:lang w:val="bg-BG"/>
        </w:rPr>
        <w:t xml:space="preserve">. </w:t>
      </w:r>
      <w:r w:rsidR="00DE242D" w:rsidRPr="00A3491F">
        <w:rPr>
          <w:color w:val="000000" w:themeColor="text1"/>
          <w:sz w:val="22"/>
          <w:lang w:val="bg-BG"/>
        </w:rPr>
        <w:t>Трябва да бъде цялостно уредена със закон новата система, въведена в Европейския съюз с Регламент (ЕС) №1308/2013 на Европейския парламент и на Съвета от 17 декември 2013 година за установяване на обща организация на пазарите на селскостопански продукти. Тя е насочена към ограничаване на нерегулираното нарастване на броя на новите лозови насаждения, посредством предпазен механизъм, основан на задължение за ежегодно предоставяне на разрешения за нови насаждения в размер до 1% от засадените с лозя площи към 31 юли на предходната година. Целта на въведеният механизъм е запазване на качеството и авторитета на вината, произведени в Европейския съюз. Периодът на действие на разрешителния режим за лозови насаждения в Европейския съюз е от 1 януари 2016 г. до 31 декември 2030 г., като правилата за прилагането му са изготвени така, че да осигурят прозрачна, справедлива и навременно функционираща система, адаптирана към нуждите на лозаро-винарския сектор и да предпазват производителите от неравнопоставеност и пре</w:t>
      </w:r>
      <w:r w:rsidR="00671874" w:rsidRPr="00A3491F">
        <w:rPr>
          <w:color w:val="000000" w:themeColor="text1"/>
          <w:sz w:val="22"/>
          <w:lang w:val="bg-BG"/>
        </w:rPr>
        <w:t>комерна административна тежест.</w:t>
      </w:r>
      <w:r w:rsidR="00DE242D" w:rsidRPr="00A3491F">
        <w:rPr>
          <w:color w:val="000000" w:themeColor="text1"/>
          <w:sz w:val="22"/>
          <w:lang w:val="bg-BG"/>
        </w:rPr>
        <w:t xml:space="preserve"> Проектът следва да гарантира безпрепятственото провеждане на политиката в лозаро-винарския сектор, производствения потенциал и контрола по спазването й, както и политиката в областта на спиртните напитки. Продуктите от лозаро-винарския сектор следва да се произвеждат в съответствие с определени правила относно енологичните практики и ограничения, които да гарантират, че се отговаря на съображенията, свързани с общественото здраве</w:t>
      </w:r>
      <w:r w:rsidR="008200B6" w:rsidRPr="00A3491F">
        <w:rPr>
          <w:color w:val="000000" w:themeColor="text1"/>
          <w:sz w:val="22"/>
          <w:lang w:val="bg-BG"/>
        </w:rPr>
        <w:t xml:space="preserve"> </w:t>
      </w:r>
      <w:r w:rsidR="00DE242D" w:rsidRPr="00A3491F">
        <w:rPr>
          <w:color w:val="000000" w:themeColor="text1"/>
          <w:sz w:val="22"/>
          <w:lang w:val="bg-BG"/>
        </w:rPr>
        <w:t>и на очакванията на потребителите по отношение на качеството и производствените методи.</w:t>
      </w:r>
    </w:p>
    <w:p w:rsidR="00054931" w:rsidRPr="00A3491F" w:rsidRDefault="00F80119"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Определени са и заинтересованите страни, които са засегнати от така установените проблеми.</w:t>
      </w:r>
    </w:p>
    <w:p w:rsidR="00E850DB" w:rsidRPr="00A3491F" w:rsidRDefault="00054931"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 xml:space="preserve">2. </w:t>
      </w:r>
      <w:r w:rsidR="00FD6187" w:rsidRPr="00A3491F">
        <w:rPr>
          <w:color w:val="000000" w:themeColor="text1"/>
          <w:sz w:val="22"/>
          <w:lang w:val="bg-BG"/>
        </w:rPr>
        <w:t xml:space="preserve">Установяване </w:t>
      </w:r>
      <w:r w:rsidRPr="00A3491F">
        <w:rPr>
          <w:color w:val="000000" w:themeColor="text1"/>
          <w:sz w:val="22"/>
          <w:lang w:val="bg-BG"/>
        </w:rPr>
        <w:t>на целите</w:t>
      </w:r>
      <w:r w:rsidR="00FD6187" w:rsidRPr="00A3491F">
        <w:rPr>
          <w:color w:val="000000" w:themeColor="text1"/>
          <w:sz w:val="22"/>
          <w:lang w:val="bg-BG"/>
        </w:rPr>
        <w:t>, които да бъдат постигнати</w:t>
      </w:r>
    </w:p>
    <w:p w:rsidR="00054931" w:rsidRPr="00A3491F" w:rsidRDefault="00CB5569"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Въз основа на така идентифицираните проблеми са определени</w:t>
      </w:r>
      <w:r w:rsidR="00054931" w:rsidRPr="00A3491F">
        <w:rPr>
          <w:color w:val="000000" w:themeColor="text1"/>
          <w:sz w:val="22"/>
          <w:lang w:val="bg-BG"/>
        </w:rPr>
        <w:t xml:space="preserve"> основната</w:t>
      </w:r>
      <w:r w:rsidR="00565DB1" w:rsidRPr="00A3491F">
        <w:rPr>
          <w:color w:val="000000" w:themeColor="text1"/>
          <w:sz w:val="22"/>
          <w:lang w:val="bg-BG"/>
        </w:rPr>
        <w:t xml:space="preserve"> и </w:t>
      </w:r>
      <w:r w:rsidR="00054931" w:rsidRPr="00A3491F">
        <w:rPr>
          <w:color w:val="000000" w:themeColor="text1"/>
          <w:sz w:val="22"/>
          <w:lang w:val="bg-BG"/>
        </w:rPr>
        <w:t>специфичн</w:t>
      </w:r>
      <w:r w:rsidR="00565DB1" w:rsidRPr="00A3491F">
        <w:rPr>
          <w:color w:val="000000" w:themeColor="text1"/>
          <w:sz w:val="22"/>
          <w:lang w:val="bg-BG"/>
        </w:rPr>
        <w:t>ите</w:t>
      </w:r>
      <w:r w:rsidR="00054931" w:rsidRPr="00A3491F">
        <w:rPr>
          <w:color w:val="000000" w:themeColor="text1"/>
          <w:sz w:val="22"/>
          <w:lang w:val="bg-BG"/>
        </w:rPr>
        <w:t xml:space="preserve"> цели на законопроекта. Целите са обвързани с решаване </w:t>
      </w:r>
      <w:r w:rsidRPr="00A3491F">
        <w:rPr>
          <w:color w:val="000000" w:themeColor="text1"/>
          <w:sz w:val="22"/>
          <w:lang w:val="bg-BG"/>
        </w:rPr>
        <w:t xml:space="preserve">на описаните проблеми. За </w:t>
      </w:r>
      <w:r w:rsidR="00FD6187" w:rsidRPr="00A3491F">
        <w:rPr>
          <w:color w:val="000000" w:themeColor="text1"/>
          <w:sz w:val="22"/>
          <w:lang w:val="bg-BG"/>
        </w:rPr>
        <w:t xml:space="preserve">постигане на </w:t>
      </w:r>
      <w:r w:rsidRPr="00A3491F">
        <w:rPr>
          <w:color w:val="000000" w:themeColor="text1"/>
          <w:sz w:val="22"/>
          <w:lang w:val="bg-BG"/>
        </w:rPr>
        <w:t xml:space="preserve">съответните </w:t>
      </w:r>
      <w:r w:rsidR="00054931" w:rsidRPr="00A3491F">
        <w:rPr>
          <w:color w:val="000000" w:themeColor="text1"/>
          <w:sz w:val="22"/>
          <w:lang w:val="bg-BG"/>
        </w:rPr>
        <w:t>цел</w:t>
      </w:r>
      <w:r w:rsidRPr="00A3491F">
        <w:rPr>
          <w:color w:val="000000" w:themeColor="text1"/>
          <w:sz w:val="22"/>
          <w:lang w:val="bg-BG"/>
        </w:rPr>
        <w:t>и</w:t>
      </w:r>
      <w:r w:rsidR="00BF0B22" w:rsidRPr="00A3491F">
        <w:rPr>
          <w:color w:val="000000" w:themeColor="text1"/>
          <w:sz w:val="22"/>
          <w:lang w:val="bg-BG"/>
        </w:rPr>
        <w:t xml:space="preserve"> в процеса на разработване на законопроекта</w:t>
      </w:r>
      <w:r w:rsidR="00054931" w:rsidRPr="00A3491F">
        <w:rPr>
          <w:color w:val="000000" w:themeColor="text1"/>
          <w:sz w:val="22"/>
          <w:lang w:val="bg-BG"/>
        </w:rPr>
        <w:t xml:space="preserve"> са идентифицирани </w:t>
      </w:r>
      <w:r w:rsidRPr="00A3491F">
        <w:rPr>
          <w:color w:val="000000" w:themeColor="text1"/>
          <w:sz w:val="22"/>
          <w:lang w:val="bg-BG"/>
        </w:rPr>
        <w:t>конкретни решения и мерки, съгласувани с представители на заинтересованите страни и допълнително обсъдени в рамките на проведените на предходен етап междуведомствени консултации.</w:t>
      </w:r>
    </w:p>
    <w:p w:rsidR="00E850DB" w:rsidRPr="00A3491F" w:rsidRDefault="00054931"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 xml:space="preserve">3. </w:t>
      </w:r>
      <w:r w:rsidR="00FD6187" w:rsidRPr="00A3491F">
        <w:rPr>
          <w:color w:val="000000" w:themeColor="text1"/>
          <w:sz w:val="22"/>
          <w:lang w:val="bg-BG"/>
        </w:rPr>
        <w:t xml:space="preserve">Формулиране </w:t>
      </w:r>
      <w:r w:rsidRPr="00A3491F">
        <w:rPr>
          <w:color w:val="000000" w:themeColor="text1"/>
          <w:sz w:val="22"/>
          <w:lang w:val="bg-BG"/>
        </w:rPr>
        <w:t>на основни варианти на действие</w:t>
      </w:r>
      <w:r w:rsidR="00FD6187" w:rsidRPr="00A3491F">
        <w:rPr>
          <w:color w:val="000000" w:themeColor="text1"/>
          <w:sz w:val="22"/>
          <w:lang w:val="bg-BG"/>
        </w:rPr>
        <w:t>, водещи до решаване на проблемите</w:t>
      </w:r>
      <w:r w:rsidRPr="00A3491F">
        <w:rPr>
          <w:color w:val="000000" w:themeColor="text1"/>
          <w:sz w:val="22"/>
          <w:lang w:val="bg-BG"/>
        </w:rPr>
        <w:t xml:space="preserve">. </w:t>
      </w:r>
    </w:p>
    <w:p w:rsidR="00054931" w:rsidRPr="00A3491F" w:rsidRDefault="00054931"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Настоящият доклад е изготвен след приключване на работа</w:t>
      </w:r>
      <w:r w:rsidR="00FD6187" w:rsidRPr="00A3491F">
        <w:rPr>
          <w:color w:val="000000" w:themeColor="text1"/>
          <w:sz w:val="22"/>
          <w:lang w:val="bg-BG"/>
        </w:rPr>
        <w:t>та</w:t>
      </w:r>
      <w:r w:rsidRPr="00A3491F">
        <w:rPr>
          <w:color w:val="000000" w:themeColor="text1"/>
          <w:sz w:val="22"/>
          <w:lang w:val="bg-BG"/>
        </w:rPr>
        <w:t xml:space="preserve"> по разработване на проект на закона. Ето </w:t>
      </w:r>
      <w:r w:rsidRPr="00A3491F">
        <w:rPr>
          <w:color w:val="000000" w:themeColor="text1"/>
          <w:sz w:val="22"/>
          <w:lang w:val="bg-BG"/>
        </w:rPr>
        <w:lastRenderedPageBreak/>
        <w:t xml:space="preserve">защо, в тази част от анализа са идентифицирани </w:t>
      </w:r>
      <w:r w:rsidR="00565DB1" w:rsidRPr="00A3491F">
        <w:rPr>
          <w:color w:val="000000" w:themeColor="text1"/>
          <w:sz w:val="22"/>
          <w:lang w:val="bg-BG"/>
        </w:rPr>
        <w:t xml:space="preserve">основните </w:t>
      </w:r>
      <w:r w:rsidRPr="00A3491F">
        <w:rPr>
          <w:color w:val="000000" w:themeColor="text1"/>
          <w:sz w:val="22"/>
          <w:lang w:val="bg-BG"/>
        </w:rPr>
        <w:t xml:space="preserve">алтернативни варианти за </w:t>
      </w:r>
      <w:r w:rsidR="00925EF2" w:rsidRPr="00A3491F">
        <w:rPr>
          <w:color w:val="000000" w:themeColor="text1"/>
          <w:sz w:val="22"/>
          <w:lang w:val="bg-BG"/>
        </w:rPr>
        <w:t>послед</w:t>
      </w:r>
      <w:r w:rsidR="00565DB1" w:rsidRPr="00A3491F">
        <w:rPr>
          <w:color w:val="000000" w:themeColor="text1"/>
          <w:sz w:val="22"/>
          <w:lang w:val="bg-BG"/>
        </w:rPr>
        <w:t>ващо развитие на проекта на нов закон</w:t>
      </w:r>
      <w:r w:rsidRPr="00A3491F">
        <w:rPr>
          <w:color w:val="000000" w:themeColor="text1"/>
          <w:sz w:val="22"/>
          <w:lang w:val="bg-BG"/>
        </w:rPr>
        <w:t>.</w:t>
      </w:r>
    </w:p>
    <w:p w:rsidR="00E850DB" w:rsidRPr="00A3491F" w:rsidRDefault="00054931"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4. Анализ на въздействията на вариантит</w:t>
      </w:r>
      <w:r w:rsidR="00E850DB" w:rsidRPr="00A3491F">
        <w:rPr>
          <w:color w:val="000000" w:themeColor="text1"/>
          <w:sz w:val="22"/>
          <w:lang w:val="bg-BG"/>
        </w:rPr>
        <w:t>е</w:t>
      </w:r>
    </w:p>
    <w:p w:rsidR="00054931" w:rsidRPr="00A3491F" w:rsidRDefault="00565DB1"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 xml:space="preserve">Тази част от анализа включва: </w:t>
      </w:r>
      <w:r w:rsidR="00054931" w:rsidRPr="00A3491F">
        <w:rPr>
          <w:color w:val="000000" w:themeColor="text1"/>
          <w:sz w:val="22"/>
          <w:lang w:val="bg-BG"/>
        </w:rPr>
        <w:t>идентифициран</w:t>
      </w:r>
      <w:r w:rsidRPr="00A3491F">
        <w:rPr>
          <w:color w:val="000000" w:themeColor="text1"/>
          <w:sz w:val="22"/>
          <w:lang w:val="bg-BG"/>
        </w:rPr>
        <w:t>е</w:t>
      </w:r>
      <w:r w:rsidR="00054931" w:rsidRPr="00A3491F">
        <w:rPr>
          <w:color w:val="000000" w:themeColor="text1"/>
          <w:sz w:val="22"/>
          <w:lang w:val="bg-BG"/>
        </w:rPr>
        <w:t xml:space="preserve"> </w:t>
      </w:r>
      <w:r w:rsidRPr="00A3491F">
        <w:rPr>
          <w:color w:val="000000" w:themeColor="text1"/>
          <w:sz w:val="22"/>
          <w:lang w:val="bg-BG"/>
        </w:rPr>
        <w:t>на</w:t>
      </w:r>
      <w:r w:rsidR="00054931" w:rsidRPr="00A3491F">
        <w:rPr>
          <w:color w:val="000000" w:themeColor="text1"/>
          <w:sz w:val="22"/>
          <w:lang w:val="bg-BG"/>
        </w:rPr>
        <w:t xml:space="preserve"> </w:t>
      </w:r>
      <w:r w:rsidR="00F80119" w:rsidRPr="00A3491F">
        <w:rPr>
          <w:color w:val="000000" w:themeColor="text1"/>
          <w:sz w:val="22"/>
          <w:lang w:val="bg-BG"/>
        </w:rPr>
        <w:t xml:space="preserve">очакваните </w:t>
      </w:r>
      <w:r w:rsidR="00054931" w:rsidRPr="00A3491F">
        <w:rPr>
          <w:color w:val="000000" w:themeColor="text1"/>
          <w:sz w:val="22"/>
          <w:lang w:val="bg-BG"/>
        </w:rPr>
        <w:t>икономически, социални и ек</w:t>
      </w:r>
      <w:r w:rsidRPr="00A3491F">
        <w:rPr>
          <w:color w:val="000000" w:themeColor="text1"/>
          <w:sz w:val="22"/>
          <w:lang w:val="bg-BG"/>
        </w:rPr>
        <w:t>ологични въздействия и разглеждане на ползите и разходите, които те могат да предизвикат</w:t>
      </w:r>
      <w:r w:rsidR="00054931" w:rsidRPr="00A3491F">
        <w:rPr>
          <w:color w:val="000000" w:themeColor="text1"/>
          <w:sz w:val="22"/>
          <w:lang w:val="bg-BG"/>
        </w:rPr>
        <w:t xml:space="preserve">, </w:t>
      </w:r>
      <w:r w:rsidRPr="00A3491F">
        <w:rPr>
          <w:color w:val="000000" w:themeColor="text1"/>
          <w:sz w:val="22"/>
          <w:lang w:val="bg-BG"/>
        </w:rPr>
        <w:t xml:space="preserve">както </w:t>
      </w:r>
      <w:r w:rsidR="00054931" w:rsidRPr="00A3491F">
        <w:rPr>
          <w:color w:val="000000" w:themeColor="text1"/>
          <w:sz w:val="22"/>
          <w:lang w:val="bg-BG"/>
        </w:rPr>
        <w:t xml:space="preserve">в </w:t>
      </w:r>
      <w:r w:rsidRPr="00A3491F">
        <w:rPr>
          <w:color w:val="000000" w:themeColor="text1"/>
          <w:sz w:val="22"/>
          <w:lang w:val="bg-BG"/>
        </w:rPr>
        <w:t xml:space="preserve">количествен, така и в </w:t>
      </w:r>
      <w:r w:rsidR="00054931" w:rsidRPr="00A3491F">
        <w:rPr>
          <w:color w:val="000000" w:themeColor="text1"/>
          <w:sz w:val="22"/>
          <w:lang w:val="bg-BG"/>
        </w:rPr>
        <w:t xml:space="preserve">качествен план. За идентифицираните промени </w:t>
      </w:r>
      <w:r w:rsidRPr="00A3491F">
        <w:rPr>
          <w:color w:val="000000" w:themeColor="text1"/>
          <w:sz w:val="22"/>
          <w:lang w:val="bg-BG"/>
        </w:rPr>
        <w:t xml:space="preserve">в </w:t>
      </w:r>
      <w:r w:rsidR="00387DD2" w:rsidRPr="00A3491F">
        <w:rPr>
          <w:color w:val="000000" w:themeColor="text1"/>
          <w:sz w:val="22"/>
          <w:lang w:val="bg-BG"/>
        </w:rPr>
        <w:t xml:space="preserve">предоставянето на </w:t>
      </w:r>
      <w:r w:rsidRPr="00A3491F">
        <w:rPr>
          <w:color w:val="000000" w:themeColor="text1"/>
          <w:sz w:val="22"/>
          <w:lang w:val="bg-BG"/>
        </w:rPr>
        <w:t xml:space="preserve">административни </w:t>
      </w:r>
      <w:r w:rsidR="00387DD2" w:rsidRPr="00A3491F">
        <w:rPr>
          <w:color w:val="000000" w:themeColor="text1"/>
          <w:sz w:val="22"/>
          <w:lang w:val="bg-BG"/>
        </w:rPr>
        <w:t xml:space="preserve">услуги </w:t>
      </w:r>
      <w:r w:rsidR="00054931" w:rsidRPr="00A3491F">
        <w:rPr>
          <w:color w:val="000000" w:themeColor="text1"/>
          <w:sz w:val="22"/>
          <w:lang w:val="bg-BG"/>
        </w:rPr>
        <w:t>са разработени подробни анализи с количествена и качествена оценка на ефектите</w:t>
      </w:r>
      <w:r w:rsidRPr="00A3491F">
        <w:rPr>
          <w:color w:val="000000" w:themeColor="text1"/>
          <w:sz w:val="22"/>
          <w:lang w:val="bg-BG"/>
        </w:rPr>
        <w:t xml:space="preserve"> </w:t>
      </w:r>
      <w:r w:rsidR="00F80119" w:rsidRPr="00A3491F">
        <w:rPr>
          <w:color w:val="000000" w:themeColor="text1"/>
          <w:sz w:val="22"/>
          <w:lang w:val="bg-BG"/>
        </w:rPr>
        <w:t>от промените в административната тежест по отношение на заинтересованите страни</w:t>
      </w:r>
      <w:r w:rsidR="00955E02" w:rsidRPr="00A3491F">
        <w:rPr>
          <w:color w:val="000000" w:themeColor="text1"/>
          <w:sz w:val="22"/>
          <w:lang w:val="bg-BG"/>
        </w:rPr>
        <w:t xml:space="preserve"> и по-специално малките и средните предприятия</w:t>
      </w:r>
      <w:r w:rsidR="00F80119" w:rsidRPr="00A3491F">
        <w:rPr>
          <w:color w:val="000000" w:themeColor="text1"/>
          <w:sz w:val="22"/>
          <w:lang w:val="bg-BG"/>
        </w:rPr>
        <w:t>.</w:t>
      </w:r>
    </w:p>
    <w:p w:rsidR="00E850DB" w:rsidRPr="00A3491F" w:rsidRDefault="00054931"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 xml:space="preserve">5. </w:t>
      </w:r>
      <w:r w:rsidR="00FD6187" w:rsidRPr="00A3491F">
        <w:rPr>
          <w:color w:val="000000" w:themeColor="text1"/>
          <w:sz w:val="22"/>
          <w:lang w:val="bg-BG"/>
        </w:rPr>
        <w:t xml:space="preserve">Наблюдение </w:t>
      </w:r>
      <w:r w:rsidRPr="00A3491F">
        <w:rPr>
          <w:color w:val="000000" w:themeColor="text1"/>
          <w:sz w:val="22"/>
          <w:lang w:val="bg-BG"/>
        </w:rPr>
        <w:t>и оценява</w:t>
      </w:r>
      <w:r w:rsidR="00E850DB" w:rsidRPr="00A3491F">
        <w:rPr>
          <w:color w:val="000000" w:themeColor="text1"/>
          <w:sz w:val="22"/>
          <w:lang w:val="bg-BG"/>
        </w:rPr>
        <w:t>не</w:t>
      </w:r>
    </w:p>
    <w:p w:rsidR="00054931" w:rsidRPr="00A3491F" w:rsidRDefault="00054931"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Предложен</w:t>
      </w:r>
      <w:r w:rsidR="0048417C" w:rsidRPr="00A3491F">
        <w:rPr>
          <w:color w:val="000000" w:themeColor="text1"/>
          <w:sz w:val="22"/>
          <w:lang w:val="bg-BG"/>
        </w:rPr>
        <w:t xml:space="preserve"> е график за постигане на целите на проекта на Закон за виното и спиртните напитки и</w:t>
      </w:r>
      <w:r w:rsidRPr="00A3491F">
        <w:rPr>
          <w:color w:val="000000" w:themeColor="text1"/>
          <w:sz w:val="22"/>
          <w:lang w:val="bg-BG"/>
        </w:rPr>
        <w:t xml:space="preserve"> са </w:t>
      </w:r>
      <w:r w:rsidR="0048417C" w:rsidRPr="00A3491F">
        <w:rPr>
          <w:color w:val="000000" w:themeColor="text1"/>
          <w:sz w:val="22"/>
          <w:lang w:val="bg-BG"/>
        </w:rPr>
        <w:t>посочени насоки за извършване на последващата оценка на въздействието на закона съгласно чл. 22 от Закона за нормативните актове и глава трета от Наредбата за обхвата и методологията за извършване на оценка на въздействието.</w:t>
      </w:r>
    </w:p>
    <w:p w:rsidR="00B764E0" w:rsidRPr="00A3491F" w:rsidRDefault="00E47E10" w:rsidP="006B3BB7">
      <w:pPr>
        <w:pStyle w:val="Heading2"/>
        <w:spacing w:before="240" w:after="120"/>
        <w:rPr>
          <w:rFonts w:cs="Times New Roman"/>
          <w:sz w:val="22"/>
          <w:szCs w:val="22"/>
          <w:lang w:val="bg-BG"/>
        </w:rPr>
      </w:pPr>
      <w:bookmarkStart w:id="6" w:name="_Toc496709936"/>
      <w:r w:rsidRPr="00A3491F">
        <w:rPr>
          <w:rFonts w:cs="Times New Roman"/>
          <w:sz w:val="22"/>
          <w:szCs w:val="22"/>
          <w:lang w:val="bg-BG"/>
        </w:rPr>
        <w:t xml:space="preserve">I.4. </w:t>
      </w:r>
      <w:r w:rsidR="00785242" w:rsidRPr="00A3491F">
        <w:rPr>
          <w:rFonts w:cs="Times New Roman"/>
          <w:sz w:val="22"/>
          <w:szCs w:val="22"/>
          <w:lang w:val="bg-BG"/>
        </w:rPr>
        <w:t>Етапи и източници на информация</w:t>
      </w:r>
      <w:bookmarkEnd w:id="6"/>
    </w:p>
    <w:p w:rsidR="00054931" w:rsidRPr="00A3491F" w:rsidRDefault="00955E02"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Настоящата цялостна предварителна о</w:t>
      </w:r>
      <w:r w:rsidR="00054931" w:rsidRPr="00A3491F">
        <w:rPr>
          <w:color w:val="000000" w:themeColor="text1"/>
          <w:sz w:val="22"/>
          <w:lang w:val="bg-BG"/>
        </w:rPr>
        <w:t xml:space="preserve">ценка </w:t>
      </w:r>
      <w:r w:rsidRPr="00A3491F">
        <w:rPr>
          <w:color w:val="000000" w:themeColor="text1"/>
          <w:sz w:val="22"/>
          <w:lang w:val="bg-BG"/>
        </w:rPr>
        <w:t xml:space="preserve">на въздействието </w:t>
      </w:r>
      <w:r w:rsidR="00054931" w:rsidRPr="00A3491F">
        <w:rPr>
          <w:color w:val="000000" w:themeColor="text1"/>
          <w:sz w:val="22"/>
          <w:lang w:val="bg-BG"/>
        </w:rPr>
        <w:t>е изготвена в периода август</w:t>
      </w:r>
      <w:r w:rsidR="00565DB1" w:rsidRPr="00A3491F">
        <w:rPr>
          <w:color w:val="000000" w:themeColor="text1"/>
          <w:sz w:val="22"/>
          <w:lang w:val="bg-BG"/>
        </w:rPr>
        <w:t>-</w:t>
      </w:r>
      <w:r w:rsidR="002D3F4C" w:rsidRPr="00A3491F">
        <w:rPr>
          <w:color w:val="000000" w:themeColor="text1"/>
          <w:sz w:val="22"/>
          <w:lang w:val="bg-BG"/>
        </w:rPr>
        <w:t xml:space="preserve">октомври </w:t>
      </w:r>
      <w:r w:rsidR="00054931" w:rsidRPr="00A3491F">
        <w:rPr>
          <w:color w:val="000000" w:themeColor="text1"/>
          <w:sz w:val="22"/>
          <w:lang w:val="bg-BG"/>
        </w:rPr>
        <w:t>201</w:t>
      </w:r>
      <w:r w:rsidR="00565DB1" w:rsidRPr="00A3491F">
        <w:rPr>
          <w:color w:val="000000" w:themeColor="text1"/>
          <w:sz w:val="22"/>
          <w:lang w:val="bg-BG"/>
        </w:rPr>
        <w:t>7</w:t>
      </w:r>
      <w:r w:rsidR="00054931" w:rsidRPr="00A3491F">
        <w:rPr>
          <w:color w:val="000000" w:themeColor="text1"/>
          <w:sz w:val="22"/>
          <w:lang w:val="bg-BG"/>
        </w:rPr>
        <w:t xml:space="preserve"> г. Тя е резултат от проучване и анализ на наличната информация</w:t>
      </w:r>
      <w:r w:rsidRPr="00A3491F">
        <w:rPr>
          <w:color w:val="000000" w:themeColor="text1"/>
          <w:sz w:val="22"/>
          <w:lang w:val="bg-BG"/>
        </w:rPr>
        <w:t>, предоставена от органите, изготвили проекта на закона и събрана допълнително в хода на извършване на дейността</w:t>
      </w:r>
      <w:r w:rsidR="00054931" w:rsidRPr="00A3491F">
        <w:rPr>
          <w:color w:val="000000" w:themeColor="text1"/>
          <w:sz w:val="22"/>
          <w:lang w:val="bg-BG"/>
        </w:rPr>
        <w:t xml:space="preserve">. По-конкретно, </w:t>
      </w:r>
      <w:r w:rsidR="0092471F" w:rsidRPr="00A3491F">
        <w:rPr>
          <w:color w:val="000000" w:themeColor="text1"/>
          <w:sz w:val="22"/>
          <w:lang w:val="bg-BG"/>
        </w:rPr>
        <w:t xml:space="preserve">процесът по извършване на </w:t>
      </w:r>
      <w:r w:rsidR="00054931" w:rsidRPr="00A3491F">
        <w:rPr>
          <w:color w:val="000000" w:themeColor="text1"/>
          <w:sz w:val="22"/>
          <w:lang w:val="bg-BG"/>
        </w:rPr>
        <w:t>оценката</w:t>
      </w:r>
      <w:r w:rsidR="0092471F" w:rsidRPr="00A3491F">
        <w:rPr>
          <w:color w:val="000000" w:themeColor="text1"/>
          <w:sz w:val="22"/>
          <w:lang w:val="bg-BG"/>
        </w:rPr>
        <w:t xml:space="preserve"> премина през следните етапи:</w:t>
      </w:r>
      <w:r w:rsidR="00054931" w:rsidRPr="00A3491F">
        <w:rPr>
          <w:color w:val="000000" w:themeColor="text1"/>
          <w:sz w:val="22"/>
          <w:lang w:val="bg-BG"/>
        </w:rPr>
        <w:t xml:space="preserve"> </w:t>
      </w:r>
    </w:p>
    <w:p w:rsidR="002C1131" w:rsidRPr="00A3491F" w:rsidRDefault="002C1131"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1. Планиране на дейностите</w:t>
      </w:r>
    </w:p>
    <w:p w:rsidR="0096265E" w:rsidRPr="00A3491F" w:rsidRDefault="0096265E"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 xml:space="preserve">На този </w:t>
      </w:r>
      <w:r w:rsidR="002D3F4C" w:rsidRPr="00A3491F">
        <w:rPr>
          <w:color w:val="000000" w:themeColor="text1"/>
          <w:sz w:val="22"/>
          <w:lang w:val="bg-BG"/>
        </w:rPr>
        <w:t xml:space="preserve">етап </w:t>
      </w:r>
      <w:r w:rsidRPr="00A3491F">
        <w:rPr>
          <w:color w:val="000000" w:themeColor="text1"/>
          <w:sz w:val="22"/>
          <w:lang w:val="bg-BG"/>
        </w:rPr>
        <w:t xml:space="preserve">бяха проведени първоначални работни срещи и консултации с представители на Министерство на земеделието, храните и горите (МЗХГ), Изпълнителна агенция по лозата и виното (ИАЛВ) и Министерство на икономиката (МИ). Бяха определени конкретните задачи, които е необходимо да бъдат изпълнени и техните срокове. При първоначалните срещи бяха определени основните проблеми и цели на проектозакона, беше събрана и предоставена необходимата информация за идентифициране на регулаторните промени, които предполагаемо биха имали по-значимо въздействие върху секторите. </w:t>
      </w:r>
    </w:p>
    <w:p w:rsidR="002C1131" w:rsidRPr="00A3491F" w:rsidRDefault="0096265E" w:rsidP="006B3BB7">
      <w:pPr>
        <w:widowControl w:val="0"/>
        <w:tabs>
          <w:tab w:val="left" w:pos="142"/>
        </w:tabs>
        <w:autoSpaceDE w:val="0"/>
        <w:autoSpaceDN w:val="0"/>
        <w:adjustRightInd w:val="0"/>
        <w:spacing w:after="120"/>
        <w:ind w:left="284" w:hanging="284"/>
        <w:rPr>
          <w:color w:val="000000" w:themeColor="text1"/>
          <w:sz w:val="22"/>
          <w:lang w:val="bg-BG"/>
        </w:rPr>
      </w:pPr>
      <w:r w:rsidRPr="00A3491F">
        <w:rPr>
          <w:color w:val="000000" w:themeColor="text1"/>
          <w:sz w:val="22"/>
          <w:lang w:val="bg-BG"/>
        </w:rPr>
        <w:t>2.</w:t>
      </w:r>
      <w:r w:rsidR="006A7040" w:rsidRPr="00A3491F">
        <w:rPr>
          <w:color w:val="000000" w:themeColor="text1"/>
          <w:sz w:val="22"/>
          <w:lang w:val="bg-BG"/>
        </w:rPr>
        <w:tab/>
      </w:r>
      <w:r w:rsidRPr="00A3491F">
        <w:rPr>
          <w:color w:val="000000" w:themeColor="text1"/>
          <w:sz w:val="22"/>
          <w:lang w:val="bg-BG"/>
        </w:rPr>
        <w:t>Определяне на заинтересованите стр</w:t>
      </w:r>
      <w:r w:rsidR="00925EF2" w:rsidRPr="00A3491F">
        <w:rPr>
          <w:color w:val="000000" w:themeColor="text1"/>
          <w:sz w:val="22"/>
          <w:lang w:val="bg-BG"/>
        </w:rPr>
        <w:t>ани и провеждане на консултации</w:t>
      </w:r>
      <w:r w:rsidRPr="00A3491F">
        <w:rPr>
          <w:color w:val="000000" w:themeColor="text1"/>
          <w:sz w:val="22"/>
          <w:lang w:val="bg-BG"/>
        </w:rPr>
        <w:t xml:space="preserve"> </w:t>
      </w:r>
    </w:p>
    <w:p w:rsidR="0096265E" w:rsidRPr="00A3491F" w:rsidRDefault="0096265E" w:rsidP="006B3BB7">
      <w:pPr>
        <w:widowControl w:val="0"/>
        <w:tabs>
          <w:tab w:val="left" w:pos="142"/>
        </w:tabs>
        <w:autoSpaceDE w:val="0"/>
        <w:autoSpaceDN w:val="0"/>
        <w:adjustRightInd w:val="0"/>
        <w:spacing w:after="120"/>
        <w:rPr>
          <w:color w:val="000000" w:themeColor="text1"/>
          <w:sz w:val="22"/>
          <w:lang w:val="bg-BG"/>
        </w:rPr>
      </w:pPr>
      <w:r w:rsidRPr="00A3491F">
        <w:rPr>
          <w:color w:val="000000" w:themeColor="text1"/>
          <w:sz w:val="22"/>
          <w:lang w:val="bg-BG"/>
        </w:rPr>
        <w:t xml:space="preserve">Допълнително, в рамките на консултациите с МЗХГ, ИАЛВ и МИ бяха идентифицирани и субектите, върху които проектозаконът ще окаже своето въздействие, както и техните представители. Екипът проведе предварителни неформални консултации със заинтересованите страни като им предостави възможност да изразят становищата си по законопроекта. За целта беше изготвен и им беше предоставен консултационен документ, съгласно приложение № 3 към Наредбата за обхвата и методологията за извършване на оценка на въздействието. Беше направен и т. нар. „МСП Тест“, за да бъде анализирано и оценено въздействието на проекта върху малките и средните предприятия. Получените данни позволиха да се систематизират становищата на отделните представителни организации и производители и да се получи конкретна информация, свързана с очаквани въздействия на закона. </w:t>
      </w:r>
    </w:p>
    <w:p w:rsidR="002C1131" w:rsidRPr="00A3491F" w:rsidRDefault="0096265E" w:rsidP="006B3BB7">
      <w:pPr>
        <w:widowControl w:val="0"/>
        <w:autoSpaceDE w:val="0"/>
        <w:autoSpaceDN w:val="0"/>
        <w:adjustRightInd w:val="0"/>
        <w:spacing w:after="120"/>
        <w:ind w:left="284" w:hanging="284"/>
        <w:rPr>
          <w:color w:val="000000" w:themeColor="text1"/>
          <w:sz w:val="22"/>
          <w:lang w:val="bg-BG"/>
        </w:rPr>
      </w:pPr>
      <w:r w:rsidRPr="00A3491F">
        <w:rPr>
          <w:color w:val="000000" w:themeColor="text1"/>
          <w:sz w:val="22"/>
          <w:lang w:val="bg-BG"/>
        </w:rPr>
        <w:t>3. Събиран</w:t>
      </w:r>
      <w:r w:rsidR="00925EF2" w:rsidRPr="00A3491F">
        <w:rPr>
          <w:color w:val="000000" w:themeColor="text1"/>
          <w:sz w:val="22"/>
          <w:lang w:val="bg-BG"/>
        </w:rPr>
        <w:t>е и анализ на относимите данни</w:t>
      </w:r>
    </w:p>
    <w:p w:rsidR="00787254" w:rsidRPr="00A3491F" w:rsidRDefault="00787254"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Екипът по изготвяне на оценката на въздействието събра и проучи следните документи и материали:</w:t>
      </w:r>
    </w:p>
    <w:p w:rsidR="00042D08" w:rsidRPr="00A3491F" w:rsidRDefault="00042D08" w:rsidP="006B3BB7">
      <w:pPr>
        <w:pStyle w:val="ListParagraph"/>
        <w:widowControl w:val="0"/>
        <w:numPr>
          <w:ilvl w:val="0"/>
          <w:numId w:val="11"/>
        </w:numPr>
        <w:autoSpaceDE w:val="0"/>
        <w:autoSpaceDN w:val="0"/>
        <w:adjustRightInd w:val="0"/>
        <w:spacing w:after="120"/>
        <w:ind w:left="851" w:hanging="284"/>
        <w:rPr>
          <w:color w:val="000000" w:themeColor="text1"/>
          <w:sz w:val="22"/>
          <w:lang w:val="bg-BG"/>
        </w:rPr>
      </w:pPr>
      <w:r w:rsidRPr="00A3491F">
        <w:rPr>
          <w:color w:val="000000" w:themeColor="text1"/>
          <w:sz w:val="22"/>
          <w:lang w:val="bg-BG"/>
        </w:rPr>
        <w:t>Документи</w:t>
      </w:r>
      <w:r w:rsidR="000B02D6" w:rsidRPr="00A3491F">
        <w:rPr>
          <w:color w:val="000000" w:themeColor="text1"/>
          <w:sz w:val="22"/>
          <w:lang w:val="bg-BG"/>
        </w:rPr>
        <w:t xml:space="preserve"> във връзка с обсъжданията на действащия Закон за виното и спиртните напитки с </w:t>
      </w:r>
      <w:r w:rsidR="000B02D6" w:rsidRPr="00A3491F">
        <w:rPr>
          <w:color w:val="000000" w:themeColor="text1"/>
          <w:sz w:val="22"/>
          <w:lang w:val="bg-BG"/>
        </w:rPr>
        <w:lastRenderedPageBreak/>
        <w:t xml:space="preserve">Европейската </w:t>
      </w:r>
      <w:r w:rsidR="000B367C" w:rsidRPr="00A3491F">
        <w:rPr>
          <w:color w:val="000000" w:themeColor="text1"/>
          <w:sz w:val="22"/>
          <w:lang w:val="bg-BG"/>
        </w:rPr>
        <w:t>к</w:t>
      </w:r>
      <w:r w:rsidR="000B02D6" w:rsidRPr="00A3491F">
        <w:rPr>
          <w:color w:val="000000" w:themeColor="text1"/>
          <w:sz w:val="22"/>
          <w:lang w:val="bg-BG"/>
        </w:rPr>
        <w:t>омисия;</w:t>
      </w:r>
    </w:p>
    <w:p w:rsidR="00042D08" w:rsidRPr="00A3491F" w:rsidRDefault="000B02D6" w:rsidP="006B3BB7">
      <w:pPr>
        <w:pStyle w:val="ListParagraph"/>
        <w:widowControl w:val="0"/>
        <w:numPr>
          <w:ilvl w:val="0"/>
          <w:numId w:val="11"/>
        </w:numPr>
        <w:autoSpaceDE w:val="0"/>
        <w:autoSpaceDN w:val="0"/>
        <w:adjustRightInd w:val="0"/>
        <w:spacing w:after="120"/>
        <w:ind w:left="851" w:hanging="284"/>
        <w:rPr>
          <w:color w:val="000000" w:themeColor="text1"/>
          <w:sz w:val="22"/>
          <w:lang w:val="bg-BG"/>
        </w:rPr>
      </w:pPr>
      <w:r w:rsidRPr="00A3491F">
        <w:rPr>
          <w:color w:val="000000" w:themeColor="text1"/>
          <w:sz w:val="22"/>
          <w:lang w:val="bg-BG"/>
        </w:rPr>
        <w:t>Работни документи и протоколи от заседанията</w:t>
      </w:r>
      <w:r w:rsidR="00042D08" w:rsidRPr="00A3491F">
        <w:rPr>
          <w:color w:val="000000" w:themeColor="text1"/>
          <w:sz w:val="22"/>
          <w:lang w:val="bg-BG"/>
        </w:rPr>
        <w:t xml:space="preserve"> на работната група, изготвила проекта на Закон за виното и спиртните напитки;</w:t>
      </w:r>
    </w:p>
    <w:p w:rsidR="00042D08" w:rsidRPr="00A3491F" w:rsidRDefault="00042D08" w:rsidP="006B3BB7">
      <w:pPr>
        <w:pStyle w:val="ListParagraph"/>
        <w:widowControl w:val="0"/>
        <w:numPr>
          <w:ilvl w:val="0"/>
          <w:numId w:val="11"/>
        </w:numPr>
        <w:autoSpaceDE w:val="0"/>
        <w:autoSpaceDN w:val="0"/>
        <w:adjustRightInd w:val="0"/>
        <w:spacing w:after="120"/>
        <w:ind w:left="851" w:hanging="284"/>
        <w:rPr>
          <w:color w:val="000000" w:themeColor="text1"/>
          <w:sz w:val="22"/>
          <w:lang w:val="bg-BG"/>
        </w:rPr>
      </w:pPr>
      <w:r w:rsidRPr="00A3491F">
        <w:rPr>
          <w:color w:val="000000" w:themeColor="text1"/>
          <w:sz w:val="22"/>
          <w:lang w:val="bg-BG"/>
        </w:rPr>
        <w:t>Представени становища от заинтересовани страни в рамките на работната група, изготвила проекта на нов Закон за виното и спиртните напитки;</w:t>
      </w:r>
    </w:p>
    <w:p w:rsidR="00787254" w:rsidRPr="00A3491F" w:rsidRDefault="00787254" w:rsidP="006B3BB7">
      <w:pPr>
        <w:pStyle w:val="ListParagraph"/>
        <w:widowControl w:val="0"/>
        <w:numPr>
          <w:ilvl w:val="0"/>
          <w:numId w:val="11"/>
        </w:numPr>
        <w:autoSpaceDE w:val="0"/>
        <w:autoSpaceDN w:val="0"/>
        <w:adjustRightInd w:val="0"/>
        <w:spacing w:after="0"/>
        <w:ind w:left="851" w:hanging="284"/>
        <w:rPr>
          <w:color w:val="000000" w:themeColor="text1"/>
          <w:sz w:val="22"/>
          <w:lang w:val="bg-BG"/>
        </w:rPr>
      </w:pPr>
      <w:r w:rsidRPr="00A3491F">
        <w:rPr>
          <w:color w:val="000000" w:themeColor="text1"/>
          <w:sz w:val="22"/>
          <w:lang w:val="bg-BG"/>
        </w:rPr>
        <w:t xml:space="preserve">Таблица на съответствието на </w:t>
      </w:r>
      <w:r w:rsidR="004E32C9" w:rsidRPr="00A3491F">
        <w:rPr>
          <w:color w:val="000000" w:themeColor="text1"/>
          <w:sz w:val="22"/>
          <w:lang w:val="bg-BG"/>
        </w:rPr>
        <w:t xml:space="preserve">проекта на </w:t>
      </w:r>
      <w:r w:rsidRPr="00A3491F">
        <w:rPr>
          <w:color w:val="000000" w:themeColor="text1"/>
          <w:sz w:val="22"/>
          <w:lang w:val="bg-BG"/>
        </w:rPr>
        <w:t>Закон за виното и спиртните напитки с правото на Европейския съюз (</w:t>
      </w:r>
      <w:r w:rsidR="00042D08" w:rsidRPr="00A3491F">
        <w:rPr>
          <w:color w:val="000000" w:themeColor="text1"/>
          <w:sz w:val="22"/>
          <w:lang w:val="bg-BG"/>
        </w:rPr>
        <w:t xml:space="preserve">предоставена </w:t>
      </w:r>
      <w:r w:rsidRPr="00A3491F">
        <w:rPr>
          <w:color w:val="000000" w:themeColor="text1"/>
          <w:sz w:val="22"/>
          <w:lang w:val="bg-BG"/>
        </w:rPr>
        <w:t>от ИАЛВ);</w:t>
      </w:r>
    </w:p>
    <w:p w:rsidR="00787254" w:rsidRPr="00A3491F" w:rsidRDefault="00787254" w:rsidP="006B3BB7">
      <w:pPr>
        <w:pStyle w:val="ListParagraph"/>
        <w:widowControl w:val="0"/>
        <w:numPr>
          <w:ilvl w:val="0"/>
          <w:numId w:val="11"/>
        </w:numPr>
        <w:autoSpaceDE w:val="0"/>
        <w:autoSpaceDN w:val="0"/>
        <w:adjustRightInd w:val="0"/>
        <w:spacing w:after="0"/>
        <w:ind w:left="851" w:hanging="284"/>
        <w:rPr>
          <w:color w:val="000000" w:themeColor="text1"/>
          <w:sz w:val="22"/>
          <w:lang w:val="bg-BG"/>
        </w:rPr>
      </w:pPr>
      <w:r w:rsidRPr="00A3491F">
        <w:rPr>
          <w:color w:val="000000" w:themeColor="text1"/>
          <w:sz w:val="22"/>
          <w:lang w:val="bg-BG"/>
        </w:rPr>
        <w:t xml:space="preserve">Справка за отразяване на становищата, постъпили при съгласуването на проекта на Решение на Министерския съвет за одобряване на проект на Закон за виното и спиртните напитки (изготвена от </w:t>
      </w:r>
      <w:r w:rsidR="00042D08" w:rsidRPr="00A3491F">
        <w:rPr>
          <w:color w:val="000000" w:themeColor="text1"/>
          <w:sz w:val="22"/>
          <w:lang w:val="bg-BG"/>
        </w:rPr>
        <w:t>Министерство на земеделието и храните</w:t>
      </w:r>
      <w:r w:rsidRPr="00A3491F">
        <w:rPr>
          <w:color w:val="000000" w:themeColor="text1"/>
          <w:sz w:val="22"/>
          <w:lang w:val="bg-BG"/>
        </w:rPr>
        <w:t>);</w:t>
      </w:r>
    </w:p>
    <w:p w:rsidR="00787254" w:rsidRPr="00A3491F" w:rsidRDefault="00042D08" w:rsidP="006B3BB7">
      <w:pPr>
        <w:pStyle w:val="ListParagraph"/>
        <w:widowControl w:val="0"/>
        <w:numPr>
          <w:ilvl w:val="0"/>
          <w:numId w:val="11"/>
        </w:numPr>
        <w:tabs>
          <w:tab w:val="left" w:pos="567"/>
        </w:tabs>
        <w:autoSpaceDE w:val="0"/>
        <w:autoSpaceDN w:val="0"/>
        <w:adjustRightInd w:val="0"/>
        <w:spacing w:after="0"/>
        <w:ind w:left="851" w:hanging="284"/>
        <w:rPr>
          <w:color w:val="000000" w:themeColor="text1"/>
          <w:sz w:val="22"/>
          <w:lang w:val="bg-BG"/>
        </w:rPr>
      </w:pPr>
      <w:r w:rsidRPr="00A3491F">
        <w:rPr>
          <w:color w:val="000000" w:themeColor="text1"/>
          <w:sz w:val="22"/>
          <w:lang w:val="bg-BG"/>
        </w:rPr>
        <w:t>Становища на заинтересовани страни</w:t>
      </w:r>
      <w:r w:rsidR="00787254" w:rsidRPr="00A3491F">
        <w:rPr>
          <w:color w:val="000000" w:themeColor="text1"/>
          <w:sz w:val="22"/>
          <w:lang w:val="bg-BG"/>
        </w:rPr>
        <w:t>, постъпили при общественото обсъждане на проекта на Закон за виното и спиртните напитки (</w:t>
      </w:r>
      <w:r w:rsidRPr="00A3491F">
        <w:rPr>
          <w:color w:val="000000" w:themeColor="text1"/>
          <w:sz w:val="22"/>
          <w:lang w:val="bg-BG"/>
        </w:rPr>
        <w:t xml:space="preserve">предоставени </w:t>
      </w:r>
      <w:r w:rsidR="00787254" w:rsidRPr="00A3491F">
        <w:rPr>
          <w:color w:val="000000" w:themeColor="text1"/>
          <w:sz w:val="22"/>
          <w:lang w:val="bg-BG"/>
        </w:rPr>
        <w:t>от ИАЛВ);</w:t>
      </w:r>
    </w:p>
    <w:p w:rsidR="002C1131" w:rsidRPr="00A3491F" w:rsidRDefault="0096265E" w:rsidP="006B3BB7">
      <w:pPr>
        <w:widowControl w:val="0"/>
        <w:tabs>
          <w:tab w:val="left" w:pos="284"/>
        </w:tabs>
        <w:autoSpaceDE w:val="0"/>
        <w:autoSpaceDN w:val="0"/>
        <w:adjustRightInd w:val="0"/>
        <w:spacing w:before="120" w:after="120"/>
        <w:ind w:left="284" w:hanging="284"/>
        <w:rPr>
          <w:color w:val="000000" w:themeColor="text1"/>
          <w:sz w:val="22"/>
          <w:lang w:val="bg-BG"/>
        </w:rPr>
      </w:pPr>
      <w:r w:rsidRPr="00A3491F">
        <w:rPr>
          <w:color w:val="000000" w:themeColor="text1"/>
          <w:sz w:val="22"/>
          <w:lang w:val="bg-BG"/>
        </w:rPr>
        <w:t>4. Извършване на оценката, изготвян</w:t>
      </w:r>
      <w:r w:rsidR="002C1131" w:rsidRPr="00A3491F">
        <w:rPr>
          <w:color w:val="000000" w:themeColor="text1"/>
          <w:sz w:val="22"/>
          <w:lang w:val="bg-BG"/>
        </w:rPr>
        <w:t>е на доклад и резюме на доклада</w:t>
      </w:r>
    </w:p>
    <w:p w:rsidR="00054931" w:rsidRPr="00A3491F" w:rsidRDefault="00787254" w:rsidP="006B3BB7">
      <w:pPr>
        <w:widowControl w:val="0"/>
        <w:tabs>
          <w:tab w:val="left" w:pos="284"/>
        </w:tabs>
        <w:autoSpaceDE w:val="0"/>
        <w:autoSpaceDN w:val="0"/>
        <w:adjustRightInd w:val="0"/>
        <w:spacing w:after="120"/>
        <w:rPr>
          <w:color w:val="000000" w:themeColor="text1"/>
          <w:sz w:val="22"/>
          <w:lang w:val="bg-BG"/>
        </w:rPr>
      </w:pPr>
      <w:r w:rsidRPr="00A3491F">
        <w:rPr>
          <w:color w:val="000000" w:themeColor="text1"/>
          <w:sz w:val="22"/>
          <w:lang w:val="bg-BG"/>
        </w:rPr>
        <w:t>На този етап беше изготвен секторен</w:t>
      </w:r>
      <w:r w:rsidR="001B7477" w:rsidRPr="00A3491F">
        <w:rPr>
          <w:color w:val="000000" w:themeColor="text1"/>
          <w:sz w:val="22"/>
          <w:lang w:val="bg-BG"/>
        </w:rPr>
        <w:t xml:space="preserve"> </w:t>
      </w:r>
      <w:r w:rsidRPr="00A3491F">
        <w:rPr>
          <w:color w:val="000000" w:themeColor="text1"/>
          <w:sz w:val="22"/>
          <w:lang w:val="bg-BG"/>
        </w:rPr>
        <w:t>и</w:t>
      </w:r>
      <w:r w:rsidR="00054931" w:rsidRPr="00A3491F">
        <w:rPr>
          <w:color w:val="000000" w:themeColor="text1"/>
          <w:sz w:val="22"/>
          <w:lang w:val="bg-BG"/>
        </w:rPr>
        <w:t>кономически анализ в областта на засегнатите бизнес отрасли.</w:t>
      </w:r>
      <w:r w:rsidR="001B7477" w:rsidRPr="00A3491F">
        <w:rPr>
          <w:color w:val="000000" w:themeColor="text1"/>
          <w:sz w:val="22"/>
          <w:lang w:val="bg-BG"/>
        </w:rPr>
        <w:t xml:space="preserve"> При разработването </w:t>
      </w:r>
      <w:r w:rsidR="00AC3C7B" w:rsidRPr="00A3491F">
        <w:rPr>
          <w:color w:val="000000" w:themeColor="text1"/>
          <w:sz w:val="22"/>
          <w:lang w:val="bg-BG"/>
        </w:rPr>
        <w:t>на анализа б</w:t>
      </w:r>
      <w:r w:rsidR="00054931" w:rsidRPr="00A3491F">
        <w:rPr>
          <w:color w:val="000000" w:themeColor="text1"/>
          <w:sz w:val="22"/>
          <w:lang w:val="bg-BG"/>
        </w:rPr>
        <w:t xml:space="preserve">яха използвани </w:t>
      </w:r>
      <w:r w:rsidR="000B02D6" w:rsidRPr="00A3491F">
        <w:rPr>
          <w:color w:val="000000" w:themeColor="text1"/>
          <w:sz w:val="22"/>
          <w:lang w:val="bg-BG"/>
        </w:rPr>
        <w:t xml:space="preserve">документи, предоставени при първоначалните консултации и срещи, както и </w:t>
      </w:r>
      <w:r w:rsidR="00054931" w:rsidRPr="00A3491F">
        <w:rPr>
          <w:color w:val="000000" w:themeColor="text1"/>
          <w:sz w:val="22"/>
          <w:lang w:val="bg-BG"/>
        </w:rPr>
        <w:t>публично достъпни източници на информация, включително:</w:t>
      </w:r>
    </w:p>
    <w:p w:rsidR="00054931" w:rsidRPr="00A3491F" w:rsidRDefault="00054931" w:rsidP="006B3BB7">
      <w:pPr>
        <w:pStyle w:val="ListParagraph"/>
        <w:widowControl w:val="0"/>
        <w:numPr>
          <w:ilvl w:val="0"/>
          <w:numId w:val="9"/>
        </w:numPr>
        <w:autoSpaceDE w:val="0"/>
        <w:autoSpaceDN w:val="0"/>
        <w:adjustRightInd w:val="0"/>
        <w:spacing w:after="120"/>
        <w:ind w:left="851" w:hanging="207"/>
        <w:rPr>
          <w:color w:val="000000" w:themeColor="text1"/>
          <w:sz w:val="22"/>
          <w:lang w:val="bg-BG"/>
        </w:rPr>
      </w:pPr>
      <w:r w:rsidRPr="00A3491F">
        <w:rPr>
          <w:color w:val="000000" w:themeColor="text1"/>
          <w:sz w:val="22"/>
          <w:lang w:val="bg-BG"/>
        </w:rPr>
        <w:t xml:space="preserve">Статистически данни от </w:t>
      </w:r>
      <w:proofErr w:type="spellStart"/>
      <w:r w:rsidRPr="00A3491F">
        <w:rPr>
          <w:color w:val="000000" w:themeColor="text1"/>
          <w:sz w:val="22"/>
          <w:lang w:val="bg-BG"/>
        </w:rPr>
        <w:t>Евростат</w:t>
      </w:r>
      <w:proofErr w:type="spellEnd"/>
      <w:r w:rsidRPr="00A3491F">
        <w:rPr>
          <w:color w:val="000000" w:themeColor="text1"/>
          <w:sz w:val="22"/>
          <w:lang w:val="bg-BG"/>
        </w:rPr>
        <w:t xml:space="preserve"> и НСИ</w:t>
      </w:r>
      <w:r w:rsidR="00DA40A5" w:rsidRPr="00A3491F">
        <w:rPr>
          <w:color w:val="000000" w:themeColor="text1"/>
          <w:sz w:val="22"/>
          <w:lang w:val="bg-BG"/>
        </w:rPr>
        <w:t>;</w:t>
      </w:r>
    </w:p>
    <w:p w:rsidR="00054931" w:rsidRPr="00A3491F" w:rsidRDefault="00054931" w:rsidP="006B3BB7">
      <w:pPr>
        <w:pStyle w:val="ListParagraph"/>
        <w:widowControl w:val="0"/>
        <w:numPr>
          <w:ilvl w:val="0"/>
          <w:numId w:val="9"/>
        </w:numPr>
        <w:autoSpaceDE w:val="0"/>
        <w:autoSpaceDN w:val="0"/>
        <w:adjustRightInd w:val="0"/>
        <w:spacing w:after="120"/>
        <w:ind w:left="851" w:hanging="207"/>
        <w:rPr>
          <w:color w:val="000000" w:themeColor="text1"/>
          <w:sz w:val="22"/>
          <w:lang w:val="bg-BG"/>
        </w:rPr>
      </w:pPr>
      <w:r w:rsidRPr="00A3491F">
        <w:rPr>
          <w:color w:val="000000" w:themeColor="text1"/>
          <w:sz w:val="22"/>
          <w:lang w:val="bg-BG"/>
        </w:rPr>
        <w:t xml:space="preserve">Данни от публични регистри в областта на </w:t>
      </w:r>
      <w:r w:rsidR="00DA40A5" w:rsidRPr="00A3491F">
        <w:rPr>
          <w:color w:val="000000" w:themeColor="text1"/>
          <w:sz w:val="22"/>
          <w:lang w:val="bg-BG"/>
        </w:rPr>
        <w:t>виното и спиртните напитки;</w:t>
      </w:r>
    </w:p>
    <w:p w:rsidR="001B7477" w:rsidRPr="00A3491F" w:rsidRDefault="00DA40A5" w:rsidP="006B3BB7">
      <w:pPr>
        <w:pStyle w:val="ListParagraph"/>
        <w:widowControl w:val="0"/>
        <w:numPr>
          <w:ilvl w:val="0"/>
          <w:numId w:val="9"/>
        </w:numPr>
        <w:autoSpaceDE w:val="0"/>
        <w:autoSpaceDN w:val="0"/>
        <w:adjustRightInd w:val="0"/>
        <w:spacing w:after="120"/>
        <w:ind w:left="851" w:hanging="207"/>
        <w:rPr>
          <w:color w:val="000000" w:themeColor="text1"/>
          <w:sz w:val="22"/>
          <w:lang w:val="bg-BG"/>
        </w:rPr>
      </w:pPr>
      <w:r w:rsidRPr="00A3491F">
        <w:rPr>
          <w:color w:val="000000" w:themeColor="text1"/>
          <w:sz w:val="22"/>
          <w:lang w:val="bg-BG"/>
        </w:rPr>
        <w:t xml:space="preserve">Статистически данни, поддържани и съхранявани в системите на Министерство на земеделието, храните и горите и </w:t>
      </w:r>
      <w:r w:rsidR="00314D5C" w:rsidRPr="00A3491F">
        <w:rPr>
          <w:color w:val="000000" w:themeColor="text1"/>
          <w:sz w:val="22"/>
          <w:lang w:val="bg-BG"/>
        </w:rPr>
        <w:t>Министерство</w:t>
      </w:r>
      <w:r w:rsidRPr="00A3491F">
        <w:rPr>
          <w:color w:val="000000" w:themeColor="text1"/>
          <w:sz w:val="22"/>
          <w:lang w:val="bg-BG"/>
        </w:rPr>
        <w:t xml:space="preserve"> на икономиката</w:t>
      </w:r>
      <w:r w:rsidR="000B02D6" w:rsidRPr="00A3491F">
        <w:rPr>
          <w:color w:val="000000" w:themeColor="text1"/>
          <w:sz w:val="22"/>
          <w:lang w:val="bg-BG"/>
        </w:rPr>
        <w:t>;</w:t>
      </w:r>
    </w:p>
    <w:p w:rsidR="007824F7" w:rsidRPr="00A3491F" w:rsidRDefault="007824F7" w:rsidP="006B3BB7">
      <w:pPr>
        <w:pStyle w:val="ListParagraph"/>
        <w:widowControl w:val="0"/>
        <w:numPr>
          <w:ilvl w:val="0"/>
          <w:numId w:val="9"/>
        </w:numPr>
        <w:autoSpaceDE w:val="0"/>
        <w:autoSpaceDN w:val="0"/>
        <w:adjustRightInd w:val="0"/>
        <w:spacing w:after="120"/>
        <w:ind w:left="851" w:hanging="207"/>
        <w:rPr>
          <w:color w:val="000000" w:themeColor="text1"/>
          <w:sz w:val="22"/>
          <w:lang w:val="bg-BG"/>
        </w:rPr>
      </w:pPr>
      <w:r w:rsidRPr="00A3491F">
        <w:rPr>
          <w:color w:val="000000" w:themeColor="text1"/>
          <w:sz w:val="22"/>
          <w:lang w:val="bg-BG"/>
        </w:rPr>
        <w:t>Финансови и оперативни данни предоставени от И</w:t>
      </w:r>
      <w:r w:rsidR="0099293E" w:rsidRPr="00A3491F">
        <w:rPr>
          <w:color w:val="000000" w:themeColor="text1"/>
          <w:sz w:val="22"/>
          <w:lang w:val="bg-BG"/>
        </w:rPr>
        <w:t>зпълнителна агенция по лозата и виното</w:t>
      </w:r>
      <w:r w:rsidRPr="00A3491F">
        <w:rPr>
          <w:color w:val="000000" w:themeColor="text1"/>
          <w:sz w:val="22"/>
          <w:lang w:val="bg-BG"/>
        </w:rPr>
        <w:t>;</w:t>
      </w:r>
    </w:p>
    <w:p w:rsidR="0099293E" w:rsidRPr="00A3491F" w:rsidRDefault="007824F7" w:rsidP="006B3BB7">
      <w:pPr>
        <w:pStyle w:val="ListParagraph"/>
        <w:widowControl w:val="0"/>
        <w:numPr>
          <w:ilvl w:val="0"/>
          <w:numId w:val="9"/>
        </w:numPr>
        <w:autoSpaceDE w:val="0"/>
        <w:autoSpaceDN w:val="0"/>
        <w:adjustRightInd w:val="0"/>
        <w:spacing w:after="120"/>
        <w:ind w:left="851" w:hanging="207"/>
        <w:rPr>
          <w:color w:val="000000" w:themeColor="text1"/>
          <w:sz w:val="22"/>
          <w:lang w:val="bg-BG"/>
        </w:rPr>
      </w:pPr>
      <w:r w:rsidRPr="00A3491F">
        <w:rPr>
          <w:color w:val="000000" w:themeColor="text1"/>
          <w:sz w:val="22"/>
          <w:lang w:val="bg-BG"/>
        </w:rPr>
        <w:t>Публично достъпни доклади и процедури публикувани на интернет страницата на И</w:t>
      </w:r>
      <w:r w:rsidR="0099293E" w:rsidRPr="00A3491F">
        <w:rPr>
          <w:color w:val="000000" w:themeColor="text1"/>
          <w:sz w:val="22"/>
          <w:lang w:val="bg-BG"/>
        </w:rPr>
        <w:t>зпълнителна агенция по лозата и виното</w:t>
      </w:r>
      <w:r w:rsidRPr="00A3491F">
        <w:rPr>
          <w:color w:val="000000" w:themeColor="text1"/>
          <w:sz w:val="22"/>
          <w:lang w:val="bg-BG"/>
        </w:rPr>
        <w:t xml:space="preserve"> (</w:t>
      </w:r>
      <w:hyperlink r:id="rId11" w:history="1">
        <w:r w:rsidRPr="00A3491F">
          <w:rPr>
            <w:rStyle w:val="Hyperlink"/>
            <w:sz w:val="22"/>
            <w:lang w:val="bg-BG"/>
          </w:rPr>
          <w:t>http://www.eavw.com/</w:t>
        </w:r>
      </w:hyperlink>
      <w:r w:rsidR="0099293E" w:rsidRPr="00A3491F">
        <w:rPr>
          <w:color w:val="000000" w:themeColor="text1"/>
          <w:sz w:val="22"/>
          <w:lang w:val="bg-BG"/>
        </w:rPr>
        <w:t>);</w:t>
      </w:r>
      <w:r w:rsidRPr="00A3491F">
        <w:rPr>
          <w:color w:val="000000" w:themeColor="text1"/>
          <w:sz w:val="22"/>
          <w:lang w:val="bg-BG"/>
        </w:rPr>
        <w:t xml:space="preserve"> </w:t>
      </w:r>
    </w:p>
    <w:p w:rsidR="001B7477" w:rsidRPr="00A3491F" w:rsidRDefault="0099293E" w:rsidP="006B3BB7">
      <w:pPr>
        <w:pStyle w:val="ListParagraph"/>
        <w:widowControl w:val="0"/>
        <w:numPr>
          <w:ilvl w:val="0"/>
          <w:numId w:val="9"/>
        </w:numPr>
        <w:autoSpaceDE w:val="0"/>
        <w:autoSpaceDN w:val="0"/>
        <w:adjustRightInd w:val="0"/>
        <w:spacing w:after="120"/>
        <w:ind w:left="851" w:hanging="207"/>
        <w:rPr>
          <w:color w:val="000000" w:themeColor="text1"/>
          <w:sz w:val="22"/>
          <w:lang w:val="bg-BG"/>
        </w:rPr>
      </w:pPr>
      <w:r w:rsidRPr="00A3491F">
        <w:rPr>
          <w:color w:val="000000" w:themeColor="text1"/>
          <w:sz w:val="22"/>
          <w:lang w:val="bg-BG"/>
        </w:rPr>
        <w:t>Ф</w:t>
      </w:r>
      <w:r w:rsidR="007824F7" w:rsidRPr="00A3491F">
        <w:rPr>
          <w:color w:val="000000" w:themeColor="text1"/>
          <w:sz w:val="22"/>
          <w:lang w:val="bg-BG"/>
        </w:rPr>
        <w:t xml:space="preserve">инансови и оперативни данни за изготвяне на цените на услугите в съответствие с </w:t>
      </w:r>
      <w:r w:rsidRPr="00A3491F">
        <w:rPr>
          <w:color w:val="000000" w:themeColor="text1"/>
          <w:sz w:val="22"/>
          <w:lang w:val="bg-BG"/>
        </w:rPr>
        <w:t>Методика за определяне на разходоориентиран размер на таксите по чл.</w:t>
      </w:r>
      <w:r w:rsidR="009B4424" w:rsidRPr="00A3491F">
        <w:rPr>
          <w:color w:val="000000" w:themeColor="text1"/>
          <w:sz w:val="22"/>
          <w:lang w:val="bg-BG"/>
        </w:rPr>
        <w:t xml:space="preserve"> </w:t>
      </w:r>
      <w:r w:rsidRPr="00A3491F">
        <w:rPr>
          <w:color w:val="000000" w:themeColor="text1"/>
          <w:sz w:val="22"/>
          <w:lang w:val="bg-BG"/>
        </w:rPr>
        <w:t>7а на Закона за ограничаване на административното регулиране и административния контрол върху стопанската дейност и разходването им</w:t>
      </w:r>
      <w:r w:rsidR="00466D49" w:rsidRPr="00A3491F">
        <w:rPr>
          <w:color w:val="000000" w:themeColor="text1"/>
          <w:sz w:val="22"/>
          <w:lang w:val="bg-BG"/>
        </w:rPr>
        <w:t xml:space="preserve"> (приета с ПМС </w:t>
      </w:r>
      <w:r w:rsidR="00925EF2" w:rsidRPr="00A3491F">
        <w:rPr>
          <w:color w:val="000000" w:themeColor="text1"/>
          <w:sz w:val="22"/>
          <w:lang w:val="bg-BG"/>
        </w:rPr>
        <w:t>№ 1 от 5.01.2012 г., обн.</w:t>
      </w:r>
      <w:r w:rsidR="00466D49" w:rsidRPr="00A3491F">
        <w:rPr>
          <w:color w:val="000000" w:themeColor="text1"/>
          <w:sz w:val="22"/>
          <w:lang w:val="bg-BG"/>
        </w:rPr>
        <w:t xml:space="preserve"> ДВ бр. 4 от 13.01.2012 г., в сила от 1.01.2013 г.)</w:t>
      </w:r>
    </w:p>
    <w:p w:rsidR="006A7040" w:rsidRPr="00A3491F" w:rsidRDefault="00787254" w:rsidP="006B3BB7">
      <w:pPr>
        <w:widowControl w:val="0"/>
        <w:autoSpaceDE w:val="0"/>
        <w:autoSpaceDN w:val="0"/>
        <w:adjustRightInd w:val="0"/>
        <w:spacing w:after="120"/>
        <w:rPr>
          <w:color w:val="000000" w:themeColor="text1"/>
          <w:sz w:val="22"/>
          <w:lang w:val="bg-BG"/>
        </w:rPr>
      </w:pPr>
      <w:r w:rsidRPr="00A3491F">
        <w:rPr>
          <w:color w:val="000000" w:themeColor="text1"/>
          <w:sz w:val="22"/>
          <w:lang w:val="bg-BG"/>
        </w:rPr>
        <w:t xml:space="preserve">Екипът </w:t>
      </w:r>
      <w:r w:rsidR="003B60C8" w:rsidRPr="00A3491F">
        <w:rPr>
          <w:color w:val="000000" w:themeColor="text1"/>
          <w:sz w:val="22"/>
          <w:lang w:val="bg-BG"/>
        </w:rPr>
        <w:t xml:space="preserve">проучи </w:t>
      </w:r>
      <w:r w:rsidRPr="00A3491F">
        <w:rPr>
          <w:color w:val="000000" w:themeColor="text1"/>
          <w:sz w:val="22"/>
          <w:lang w:val="bg-BG"/>
        </w:rPr>
        <w:t xml:space="preserve">детайлно всички предоставени документи, свързани с извършени  анализи и оценки на предходни етапи от подготовката на законопроекта, както и допълнително събраните данни на предходни етапи, в т.ч. и информацията от проведените предварителни неформални консултации. Бяха обобщени възможните варианти за действие, дефинирани в процеса на работата по изготвяне на проекта. </w:t>
      </w:r>
      <w:r w:rsidR="000B02D6" w:rsidRPr="00A3491F">
        <w:rPr>
          <w:color w:val="000000" w:themeColor="text1"/>
          <w:sz w:val="22"/>
          <w:lang w:val="bg-BG"/>
        </w:rPr>
        <w:t xml:space="preserve">Отчетен е </w:t>
      </w:r>
      <w:r w:rsidRPr="00A3491F">
        <w:rPr>
          <w:color w:val="000000" w:themeColor="text1"/>
          <w:sz w:val="22"/>
          <w:lang w:val="bg-BG"/>
        </w:rPr>
        <w:t xml:space="preserve">фактът, че обществените отношения, попадащи в приложното поле на проектозакона са обект на уредба в законодателство на ЕС и в значителна част от тематичните му области действат пряко приложими регламенти. </w:t>
      </w:r>
      <w:r w:rsidR="000B02D6" w:rsidRPr="00A3491F">
        <w:rPr>
          <w:color w:val="000000" w:themeColor="text1"/>
          <w:sz w:val="22"/>
          <w:lang w:val="bg-BG"/>
        </w:rPr>
        <w:t xml:space="preserve">Освен това, към </w:t>
      </w:r>
      <w:r w:rsidRPr="00A3491F">
        <w:rPr>
          <w:color w:val="000000" w:themeColor="text1"/>
          <w:sz w:val="22"/>
          <w:lang w:val="bg-BG"/>
        </w:rPr>
        <w:t>периода на извършване на оценката, законопроектът е финализиран. Ето защо, в анализа са разгледа</w:t>
      </w:r>
      <w:r w:rsidR="00CE1B26" w:rsidRPr="00A3491F">
        <w:rPr>
          <w:color w:val="000000" w:themeColor="text1"/>
          <w:sz w:val="22"/>
          <w:lang w:val="bg-BG"/>
        </w:rPr>
        <w:t>ни алтернативни варианти за последващо развитие на проекта на нов закон.</w:t>
      </w:r>
    </w:p>
    <w:p w:rsidR="00AB6594" w:rsidRPr="00A3491F" w:rsidRDefault="00AC3C7B" w:rsidP="006B3BB7">
      <w:pPr>
        <w:widowControl w:val="0"/>
        <w:autoSpaceDE w:val="0"/>
        <w:autoSpaceDN w:val="0"/>
        <w:adjustRightInd w:val="0"/>
        <w:spacing w:after="0"/>
        <w:rPr>
          <w:color w:val="000000" w:themeColor="text1"/>
          <w:sz w:val="22"/>
          <w:lang w:val="bg-BG"/>
        </w:rPr>
      </w:pPr>
      <w:r w:rsidRPr="00A3491F">
        <w:rPr>
          <w:color w:val="000000" w:themeColor="text1"/>
          <w:sz w:val="22"/>
          <w:lang w:val="bg-BG"/>
        </w:rPr>
        <w:t>На база на с</w:t>
      </w:r>
      <w:r w:rsidR="00AB6594" w:rsidRPr="00A3491F">
        <w:rPr>
          <w:color w:val="000000" w:themeColor="text1"/>
          <w:sz w:val="22"/>
          <w:lang w:val="bg-BG"/>
        </w:rPr>
        <w:t>ъбран</w:t>
      </w:r>
      <w:r w:rsidR="0033391D" w:rsidRPr="00A3491F">
        <w:rPr>
          <w:color w:val="000000" w:themeColor="text1"/>
          <w:sz w:val="22"/>
          <w:lang w:val="bg-BG"/>
        </w:rPr>
        <w:t>ите</w:t>
      </w:r>
      <w:r w:rsidR="00AB6594" w:rsidRPr="00A3491F">
        <w:rPr>
          <w:color w:val="000000" w:themeColor="text1"/>
          <w:sz w:val="22"/>
          <w:lang w:val="bg-BG"/>
        </w:rPr>
        <w:t xml:space="preserve"> данни, информация и оценки, както и изготвения секторен икономически анализ</w:t>
      </w:r>
      <w:r w:rsidR="006A7040" w:rsidRPr="00A3491F">
        <w:rPr>
          <w:color w:val="000000" w:themeColor="text1"/>
          <w:sz w:val="22"/>
          <w:lang w:val="bg-BG"/>
        </w:rPr>
        <w:t>,</w:t>
      </w:r>
      <w:r w:rsidR="00AB6594" w:rsidRPr="00A3491F">
        <w:rPr>
          <w:color w:val="000000" w:themeColor="text1"/>
          <w:sz w:val="22"/>
          <w:lang w:val="bg-BG"/>
        </w:rPr>
        <w:t xml:space="preserve"> </w:t>
      </w:r>
      <w:r w:rsidRPr="00A3491F">
        <w:rPr>
          <w:color w:val="000000" w:themeColor="text1"/>
          <w:sz w:val="22"/>
          <w:lang w:val="bg-BG"/>
        </w:rPr>
        <w:t>бе разработен</w:t>
      </w:r>
      <w:r w:rsidR="00AB6594" w:rsidRPr="00A3491F">
        <w:rPr>
          <w:color w:val="000000" w:themeColor="text1"/>
          <w:sz w:val="22"/>
          <w:lang w:val="bg-BG"/>
        </w:rPr>
        <w:t xml:space="preserve"> </w:t>
      </w:r>
      <w:r w:rsidR="003B60C8" w:rsidRPr="00A3491F">
        <w:rPr>
          <w:color w:val="000000" w:themeColor="text1"/>
          <w:sz w:val="22"/>
          <w:lang w:val="bg-BG"/>
        </w:rPr>
        <w:t xml:space="preserve">анализът </w:t>
      </w:r>
      <w:r w:rsidR="00AB6594" w:rsidRPr="00A3491F">
        <w:rPr>
          <w:color w:val="000000" w:themeColor="text1"/>
          <w:sz w:val="22"/>
          <w:lang w:val="bg-BG"/>
        </w:rPr>
        <w:t>на въздействията</w:t>
      </w:r>
      <w:r w:rsidRPr="00A3491F">
        <w:rPr>
          <w:color w:val="000000" w:themeColor="text1"/>
          <w:sz w:val="22"/>
          <w:lang w:val="bg-BG"/>
        </w:rPr>
        <w:t>,</w:t>
      </w:r>
      <w:r w:rsidR="000B02D6" w:rsidRPr="00A3491F">
        <w:rPr>
          <w:color w:val="000000" w:themeColor="text1"/>
          <w:sz w:val="22"/>
          <w:lang w:val="bg-BG"/>
        </w:rPr>
        <w:t xml:space="preserve"> </w:t>
      </w:r>
      <w:r w:rsidR="00AB6594" w:rsidRPr="00A3491F">
        <w:rPr>
          <w:color w:val="000000" w:themeColor="text1"/>
          <w:sz w:val="22"/>
          <w:lang w:val="bg-BG"/>
        </w:rPr>
        <w:t xml:space="preserve">които има вероятност да се проявят като последици от прилагането на избраното решение. </w:t>
      </w:r>
      <w:r w:rsidRPr="00A3491F">
        <w:rPr>
          <w:color w:val="000000" w:themeColor="text1"/>
          <w:sz w:val="22"/>
          <w:lang w:val="bg-BG"/>
        </w:rPr>
        <w:t xml:space="preserve">В тази </w:t>
      </w:r>
      <w:r w:rsidR="003B60C8" w:rsidRPr="00A3491F">
        <w:rPr>
          <w:color w:val="000000" w:themeColor="text1"/>
          <w:sz w:val="22"/>
          <w:lang w:val="bg-BG"/>
        </w:rPr>
        <w:t xml:space="preserve">част са определени </w:t>
      </w:r>
      <w:r w:rsidRPr="00A3491F">
        <w:rPr>
          <w:color w:val="000000" w:themeColor="text1"/>
          <w:sz w:val="22"/>
          <w:lang w:val="bg-BG"/>
        </w:rPr>
        <w:t xml:space="preserve">заинтересованите </w:t>
      </w:r>
      <w:r w:rsidR="00AB6594" w:rsidRPr="00A3491F">
        <w:rPr>
          <w:color w:val="000000" w:themeColor="text1"/>
          <w:sz w:val="22"/>
          <w:lang w:val="bg-BG"/>
        </w:rPr>
        <w:t>страни</w:t>
      </w:r>
      <w:r w:rsidRPr="00A3491F">
        <w:rPr>
          <w:color w:val="000000" w:themeColor="text1"/>
          <w:sz w:val="22"/>
          <w:lang w:val="bg-BG"/>
        </w:rPr>
        <w:t xml:space="preserve"> и </w:t>
      </w:r>
      <w:r w:rsidR="00CE1B26" w:rsidRPr="00A3491F">
        <w:rPr>
          <w:color w:val="000000" w:themeColor="text1"/>
          <w:sz w:val="22"/>
          <w:lang w:val="bg-BG"/>
        </w:rPr>
        <w:t>промените в</w:t>
      </w:r>
      <w:r w:rsidRPr="00A3491F">
        <w:rPr>
          <w:color w:val="000000" w:themeColor="text1"/>
          <w:sz w:val="22"/>
          <w:lang w:val="bg-BG"/>
        </w:rPr>
        <w:t xml:space="preserve"> регула</w:t>
      </w:r>
      <w:r w:rsidR="00CE1B26" w:rsidRPr="00A3491F">
        <w:rPr>
          <w:color w:val="000000" w:themeColor="text1"/>
          <w:sz w:val="22"/>
          <w:lang w:val="bg-BG"/>
        </w:rPr>
        <w:t>торните режими</w:t>
      </w:r>
      <w:r w:rsidR="00AB6594" w:rsidRPr="00A3491F">
        <w:rPr>
          <w:color w:val="000000" w:themeColor="text1"/>
          <w:sz w:val="22"/>
          <w:lang w:val="bg-BG"/>
        </w:rPr>
        <w:t xml:space="preserve">, </w:t>
      </w:r>
      <w:r w:rsidR="00CE1B26" w:rsidRPr="00A3491F">
        <w:rPr>
          <w:color w:val="000000" w:themeColor="text1"/>
          <w:sz w:val="22"/>
          <w:lang w:val="bg-BG"/>
        </w:rPr>
        <w:t xml:space="preserve">които </w:t>
      </w:r>
      <w:r w:rsidR="00AB6594" w:rsidRPr="00A3491F">
        <w:rPr>
          <w:color w:val="000000" w:themeColor="text1"/>
          <w:sz w:val="22"/>
          <w:lang w:val="bg-BG"/>
        </w:rPr>
        <w:t>се очаква да имат по-значителн</w:t>
      </w:r>
      <w:r w:rsidRPr="00A3491F">
        <w:rPr>
          <w:color w:val="000000" w:themeColor="text1"/>
          <w:sz w:val="22"/>
          <w:lang w:val="bg-BG"/>
        </w:rPr>
        <w:t>о</w:t>
      </w:r>
      <w:r w:rsidR="00AB6594" w:rsidRPr="00A3491F">
        <w:rPr>
          <w:color w:val="000000" w:themeColor="text1"/>
          <w:sz w:val="22"/>
          <w:lang w:val="bg-BG"/>
        </w:rPr>
        <w:t xml:space="preserve"> въздействи</w:t>
      </w:r>
      <w:r w:rsidRPr="00A3491F">
        <w:rPr>
          <w:color w:val="000000" w:themeColor="text1"/>
          <w:sz w:val="22"/>
          <w:lang w:val="bg-BG"/>
        </w:rPr>
        <w:t xml:space="preserve">е върху </w:t>
      </w:r>
      <w:r w:rsidR="003B60C8" w:rsidRPr="00A3491F">
        <w:rPr>
          <w:color w:val="000000" w:themeColor="text1"/>
          <w:sz w:val="22"/>
          <w:lang w:val="bg-BG"/>
        </w:rPr>
        <w:t>тях</w:t>
      </w:r>
      <w:r w:rsidR="001B7477" w:rsidRPr="00A3491F">
        <w:rPr>
          <w:color w:val="000000" w:themeColor="text1"/>
          <w:sz w:val="22"/>
          <w:lang w:val="bg-BG"/>
        </w:rPr>
        <w:t xml:space="preserve"> и </w:t>
      </w:r>
      <w:r w:rsidR="003B60C8" w:rsidRPr="00A3491F">
        <w:rPr>
          <w:color w:val="000000" w:themeColor="text1"/>
          <w:sz w:val="22"/>
          <w:lang w:val="bg-BG"/>
        </w:rPr>
        <w:t>особено</w:t>
      </w:r>
      <w:r w:rsidR="001B7477" w:rsidRPr="00A3491F">
        <w:rPr>
          <w:color w:val="000000" w:themeColor="text1"/>
          <w:sz w:val="22"/>
          <w:lang w:val="bg-BG"/>
        </w:rPr>
        <w:t xml:space="preserve"> върху малките и средните предприятия</w:t>
      </w:r>
      <w:r w:rsidR="00AB6594" w:rsidRPr="00A3491F">
        <w:rPr>
          <w:color w:val="000000" w:themeColor="text1"/>
          <w:sz w:val="22"/>
          <w:lang w:val="bg-BG"/>
        </w:rPr>
        <w:t xml:space="preserve">. </w:t>
      </w:r>
      <w:r w:rsidR="007004B4" w:rsidRPr="00A3491F">
        <w:rPr>
          <w:color w:val="000000" w:themeColor="text1"/>
          <w:sz w:val="22"/>
          <w:lang w:val="bg-BG"/>
        </w:rPr>
        <w:t xml:space="preserve">Анализът на въздействията включва </w:t>
      </w:r>
      <w:r w:rsidR="00AB6594" w:rsidRPr="00A3491F">
        <w:rPr>
          <w:color w:val="000000" w:themeColor="text1"/>
          <w:sz w:val="22"/>
          <w:lang w:val="bg-BG"/>
        </w:rPr>
        <w:t xml:space="preserve">основните очаквани ползи и разходи за </w:t>
      </w:r>
      <w:r w:rsidR="003B60C8" w:rsidRPr="00A3491F">
        <w:rPr>
          <w:color w:val="000000" w:themeColor="text1"/>
          <w:sz w:val="22"/>
          <w:lang w:val="bg-BG"/>
        </w:rPr>
        <w:t xml:space="preserve">заинтересованите страни по </w:t>
      </w:r>
      <w:r w:rsidR="00AB6594" w:rsidRPr="00A3491F">
        <w:rPr>
          <w:color w:val="000000" w:themeColor="text1"/>
          <w:sz w:val="22"/>
          <w:lang w:val="bg-BG"/>
        </w:rPr>
        <w:t>предложените варианти</w:t>
      </w:r>
      <w:r w:rsidR="007004B4" w:rsidRPr="00A3491F">
        <w:rPr>
          <w:color w:val="000000" w:themeColor="text1"/>
          <w:sz w:val="22"/>
          <w:lang w:val="bg-BG"/>
        </w:rPr>
        <w:t xml:space="preserve">. </w:t>
      </w:r>
      <w:r w:rsidR="00AC77D1" w:rsidRPr="00A3491F">
        <w:rPr>
          <w:color w:val="000000" w:themeColor="text1"/>
          <w:sz w:val="22"/>
          <w:lang w:val="bg-BG"/>
        </w:rPr>
        <w:t>Направени са количествени оценки и прогнози</w:t>
      </w:r>
      <w:r w:rsidR="00AB6594" w:rsidRPr="00A3491F">
        <w:rPr>
          <w:color w:val="000000" w:themeColor="text1"/>
          <w:sz w:val="22"/>
          <w:lang w:val="bg-BG"/>
        </w:rPr>
        <w:t xml:space="preserve"> на мерките, които се предполага да имат най-значимо въздействие. За тях е изготвен и „МСП тест“. Детайлно са оценени размерът на пазара, засегнат от регулацията, конкретните засегнати страни, </w:t>
      </w:r>
      <w:r w:rsidR="00AB6594" w:rsidRPr="00A3491F">
        <w:rPr>
          <w:color w:val="000000" w:themeColor="text1"/>
          <w:sz w:val="22"/>
          <w:lang w:val="bg-BG"/>
        </w:rPr>
        <w:lastRenderedPageBreak/>
        <w:t>като в рамките на наличната информация са прогнозирани и разходи върху отделни групи засегнати страни.</w:t>
      </w:r>
    </w:p>
    <w:p w:rsidR="00CA75E2" w:rsidRPr="00A3491F" w:rsidRDefault="00E47E10" w:rsidP="006B3BB7">
      <w:pPr>
        <w:pStyle w:val="Heading1"/>
        <w:spacing w:after="120"/>
        <w:rPr>
          <w:rFonts w:cs="Times New Roman"/>
          <w:sz w:val="22"/>
          <w:szCs w:val="22"/>
          <w:lang w:val="bg-BG"/>
        </w:rPr>
      </w:pPr>
      <w:bookmarkStart w:id="7" w:name="_Toc496709937"/>
      <w:r w:rsidRPr="00A3491F">
        <w:rPr>
          <w:rFonts w:cs="Times New Roman"/>
          <w:sz w:val="22"/>
          <w:szCs w:val="22"/>
          <w:lang w:val="bg-BG"/>
        </w:rPr>
        <w:t xml:space="preserve">II. </w:t>
      </w:r>
      <w:r w:rsidR="00CA75E2" w:rsidRPr="00A3491F">
        <w:rPr>
          <w:rFonts w:cs="Times New Roman"/>
          <w:sz w:val="22"/>
          <w:szCs w:val="22"/>
          <w:lang w:val="bg-BG"/>
        </w:rPr>
        <w:t>Определяне на проблемите</w:t>
      </w:r>
      <w:bookmarkEnd w:id="7"/>
      <w:r w:rsidR="00CA75E2" w:rsidRPr="00A3491F">
        <w:rPr>
          <w:rFonts w:cs="Times New Roman"/>
          <w:sz w:val="22"/>
          <w:szCs w:val="22"/>
          <w:lang w:val="bg-BG"/>
        </w:rPr>
        <w:t xml:space="preserve"> </w:t>
      </w:r>
    </w:p>
    <w:p w:rsidR="00CA75E2" w:rsidRPr="00A3491F" w:rsidRDefault="00E47E10" w:rsidP="006B3BB7">
      <w:pPr>
        <w:pStyle w:val="Heading2"/>
        <w:spacing w:before="240" w:after="120"/>
        <w:rPr>
          <w:rFonts w:cs="Times New Roman"/>
          <w:sz w:val="22"/>
          <w:szCs w:val="22"/>
          <w:lang w:val="bg-BG"/>
        </w:rPr>
      </w:pPr>
      <w:bookmarkStart w:id="8" w:name="_Toc496709938"/>
      <w:r w:rsidRPr="00A3491F">
        <w:rPr>
          <w:rFonts w:cs="Times New Roman"/>
          <w:sz w:val="22"/>
          <w:szCs w:val="22"/>
          <w:lang w:val="bg-BG"/>
        </w:rPr>
        <w:t xml:space="preserve">II.1. </w:t>
      </w:r>
      <w:r w:rsidR="00CA75E2" w:rsidRPr="00A3491F">
        <w:rPr>
          <w:rFonts w:cs="Times New Roman"/>
          <w:sz w:val="22"/>
          <w:szCs w:val="22"/>
          <w:lang w:val="bg-BG"/>
        </w:rPr>
        <w:t>Основен проблем</w:t>
      </w:r>
      <w:bookmarkEnd w:id="8"/>
    </w:p>
    <w:p w:rsidR="00B27013" w:rsidRPr="00A3491F" w:rsidRDefault="00DB2602" w:rsidP="006B3BB7">
      <w:pPr>
        <w:spacing w:after="120"/>
        <w:rPr>
          <w:color w:val="000000" w:themeColor="text1"/>
          <w:sz w:val="22"/>
          <w:lang w:val="bg-BG"/>
        </w:rPr>
      </w:pPr>
      <w:r w:rsidRPr="00A3491F">
        <w:rPr>
          <w:color w:val="000000" w:themeColor="text1"/>
          <w:sz w:val="22"/>
          <w:lang w:val="bg-BG"/>
        </w:rPr>
        <w:t>Главната причина, налагаща приемане на нов закон за виното и спиртните напитки</w:t>
      </w:r>
      <w:r w:rsidR="009F1DBF" w:rsidRPr="00A3491F">
        <w:rPr>
          <w:color w:val="000000" w:themeColor="text1"/>
          <w:sz w:val="22"/>
          <w:lang w:val="bg-BG"/>
        </w:rPr>
        <w:t>,</w:t>
      </w:r>
      <w:r w:rsidRPr="00A3491F">
        <w:rPr>
          <w:color w:val="000000" w:themeColor="text1"/>
          <w:sz w:val="22"/>
          <w:lang w:val="bg-BG"/>
        </w:rPr>
        <w:t xml:space="preserve"> е </w:t>
      </w:r>
      <w:r w:rsidR="001431E0" w:rsidRPr="00A3491F">
        <w:rPr>
          <w:color w:val="000000" w:themeColor="text1"/>
          <w:sz w:val="22"/>
          <w:lang w:val="bg-BG"/>
        </w:rPr>
        <w:t>необходимост</w:t>
      </w:r>
      <w:r w:rsidRPr="00A3491F">
        <w:rPr>
          <w:color w:val="000000" w:themeColor="text1"/>
          <w:sz w:val="22"/>
          <w:lang w:val="bg-BG"/>
        </w:rPr>
        <w:t xml:space="preserve">та процесът на приемане на нормативни актове и други регулаторни документи в областта на виното и спиртните напитки да бъде осъществен при </w:t>
      </w:r>
      <w:r w:rsidR="001431E0" w:rsidRPr="00A3491F">
        <w:rPr>
          <w:color w:val="000000" w:themeColor="text1"/>
          <w:sz w:val="22"/>
          <w:lang w:val="bg-BG"/>
        </w:rPr>
        <w:t xml:space="preserve">пълно и точно </w:t>
      </w:r>
      <w:r w:rsidR="00ED79A8" w:rsidRPr="00A3491F">
        <w:rPr>
          <w:color w:val="000000" w:themeColor="text1"/>
          <w:sz w:val="22"/>
          <w:lang w:val="bg-BG"/>
        </w:rPr>
        <w:t xml:space="preserve">съобразяване с изискванията на законодателството на Европейския съюз и </w:t>
      </w:r>
      <w:r w:rsidR="006B1D0D" w:rsidRPr="00A3491F">
        <w:rPr>
          <w:color w:val="000000" w:themeColor="text1"/>
          <w:sz w:val="22"/>
          <w:lang w:val="bg-BG"/>
        </w:rPr>
        <w:t>препоръките на Европейската Комисия</w:t>
      </w:r>
      <w:r w:rsidR="001431E0" w:rsidRPr="00A3491F">
        <w:rPr>
          <w:color w:val="000000" w:themeColor="text1"/>
          <w:sz w:val="22"/>
          <w:lang w:val="bg-BG"/>
        </w:rPr>
        <w:t>.</w:t>
      </w:r>
      <w:r w:rsidR="00577D55" w:rsidRPr="00A3491F">
        <w:rPr>
          <w:color w:val="000000" w:themeColor="text1"/>
          <w:sz w:val="22"/>
          <w:lang w:val="bg-BG"/>
        </w:rPr>
        <w:t xml:space="preserve"> </w:t>
      </w:r>
      <w:r w:rsidR="006B1D0D" w:rsidRPr="00A3491F">
        <w:rPr>
          <w:color w:val="000000" w:themeColor="text1"/>
          <w:sz w:val="22"/>
          <w:lang w:val="bg-BG"/>
        </w:rPr>
        <w:t>По-конкретно, д</w:t>
      </w:r>
      <w:r w:rsidR="00AC77D1" w:rsidRPr="00A3491F">
        <w:rPr>
          <w:color w:val="000000" w:themeColor="text1"/>
          <w:sz w:val="22"/>
          <w:lang w:val="bg-BG"/>
        </w:rPr>
        <w:t xml:space="preserve">ействащият в момента Закон за виното и спиртните напитки, в сила от 16 септември 2012 г. (ЗВСН (2012 г.)) </w:t>
      </w:r>
      <w:r w:rsidR="0038326A" w:rsidRPr="00A3491F">
        <w:rPr>
          <w:color w:val="000000" w:themeColor="text1"/>
          <w:sz w:val="22"/>
          <w:lang w:val="bg-BG"/>
        </w:rPr>
        <w:t xml:space="preserve">и предвиденият Правилник за прилагане на ЗВСН </w:t>
      </w:r>
      <w:r w:rsidR="00AC77D1" w:rsidRPr="00A3491F">
        <w:rPr>
          <w:color w:val="000000" w:themeColor="text1"/>
          <w:sz w:val="22"/>
          <w:lang w:val="bg-BG"/>
        </w:rPr>
        <w:t>съдържа</w:t>
      </w:r>
      <w:r w:rsidR="0038326A" w:rsidRPr="00A3491F">
        <w:rPr>
          <w:color w:val="000000" w:themeColor="text1"/>
          <w:sz w:val="22"/>
          <w:lang w:val="bg-BG"/>
        </w:rPr>
        <w:t>т</w:t>
      </w:r>
      <w:r w:rsidR="00AC77D1" w:rsidRPr="00A3491F">
        <w:rPr>
          <w:color w:val="000000" w:themeColor="text1"/>
          <w:sz w:val="22"/>
          <w:lang w:val="bg-BG"/>
        </w:rPr>
        <w:t xml:space="preserve"> технически регламенти по смисъла на член 1</w:t>
      </w:r>
      <w:r w:rsidR="009733FA" w:rsidRPr="00A3491F">
        <w:rPr>
          <w:color w:val="000000" w:themeColor="text1"/>
          <w:sz w:val="22"/>
          <w:lang w:val="bg-BG"/>
        </w:rPr>
        <w:t>, параграф</w:t>
      </w:r>
      <w:r w:rsidR="00685890" w:rsidRPr="00A3491F">
        <w:rPr>
          <w:color w:val="000000" w:themeColor="text1"/>
          <w:sz w:val="22"/>
          <w:lang w:val="bg-BG"/>
        </w:rPr>
        <w:t xml:space="preserve"> </w:t>
      </w:r>
      <w:r w:rsidR="00AC77D1" w:rsidRPr="00A3491F">
        <w:rPr>
          <w:color w:val="000000" w:themeColor="text1"/>
          <w:sz w:val="22"/>
          <w:lang w:val="bg-BG"/>
        </w:rPr>
        <w:t xml:space="preserve">11 от Директива 98/34/ЕО и е трябвало да </w:t>
      </w:r>
      <w:r w:rsidR="0038326A" w:rsidRPr="00A3491F">
        <w:rPr>
          <w:color w:val="000000" w:themeColor="text1"/>
          <w:sz w:val="22"/>
          <w:lang w:val="bg-BG"/>
        </w:rPr>
        <w:t xml:space="preserve">бъдат </w:t>
      </w:r>
      <w:r w:rsidR="003E20E7" w:rsidRPr="00A3491F">
        <w:rPr>
          <w:color w:val="000000" w:themeColor="text1"/>
          <w:sz w:val="22"/>
          <w:lang w:val="bg-BG"/>
        </w:rPr>
        <w:t>нотифициран</w:t>
      </w:r>
      <w:r w:rsidR="0038326A" w:rsidRPr="00A3491F">
        <w:rPr>
          <w:color w:val="000000" w:themeColor="text1"/>
          <w:sz w:val="22"/>
          <w:lang w:val="bg-BG"/>
        </w:rPr>
        <w:t>и</w:t>
      </w:r>
      <w:r w:rsidR="00AC77D1" w:rsidRPr="00A3491F">
        <w:rPr>
          <w:color w:val="000000" w:themeColor="text1"/>
          <w:sz w:val="22"/>
          <w:lang w:val="bg-BG"/>
        </w:rPr>
        <w:t xml:space="preserve"> </w:t>
      </w:r>
      <w:r w:rsidR="003E20E7" w:rsidRPr="00A3491F">
        <w:rPr>
          <w:color w:val="000000" w:themeColor="text1"/>
          <w:sz w:val="22"/>
          <w:lang w:val="bg-BG"/>
        </w:rPr>
        <w:t xml:space="preserve">пред Европейската Комисия </w:t>
      </w:r>
      <w:r w:rsidR="00AC77D1" w:rsidRPr="00A3491F">
        <w:rPr>
          <w:color w:val="000000" w:themeColor="text1"/>
          <w:sz w:val="22"/>
          <w:lang w:val="bg-BG"/>
        </w:rPr>
        <w:t xml:space="preserve">преди приемането </w:t>
      </w:r>
      <w:r w:rsidR="0038326A" w:rsidRPr="00A3491F">
        <w:rPr>
          <w:color w:val="000000" w:themeColor="text1"/>
          <w:sz w:val="22"/>
          <w:lang w:val="bg-BG"/>
        </w:rPr>
        <w:t xml:space="preserve">им </w:t>
      </w:r>
      <w:r w:rsidR="00AC77D1" w:rsidRPr="00A3491F">
        <w:rPr>
          <w:color w:val="000000" w:themeColor="text1"/>
          <w:sz w:val="22"/>
          <w:lang w:val="bg-BG"/>
        </w:rPr>
        <w:t xml:space="preserve">в съответствие с член 8 от Директивата. </w:t>
      </w:r>
      <w:r w:rsidR="00923636" w:rsidRPr="00A3491F">
        <w:rPr>
          <w:color w:val="000000" w:themeColor="text1"/>
          <w:sz w:val="22"/>
          <w:lang w:val="bg-BG"/>
        </w:rPr>
        <w:t>Законът е съобщен на Комисията</w:t>
      </w:r>
      <w:r w:rsidR="0038326A" w:rsidRPr="00A3491F">
        <w:rPr>
          <w:color w:val="000000" w:themeColor="text1"/>
          <w:sz w:val="22"/>
          <w:lang w:val="bg-BG"/>
        </w:rPr>
        <w:t xml:space="preserve"> след приемането, обнародването и влизането му в сила</w:t>
      </w:r>
      <w:r w:rsidR="00923636" w:rsidRPr="00A3491F">
        <w:rPr>
          <w:color w:val="000000" w:themeColor="text1"/>
          <w:sz w:val="22"/>
          <w:lang w:val="bg-BG"/>
        </w:rPr>
        <w:t xml:space="preserve"> на </w:t>
      </w:r>
      <w:r w:rsidR="0038326A" w:rsidRPr="00A3491F">
        <w:rPr>
          <w:color w:val="000000" w:themeColor="text1"/>
          <w:sz w:val="22"/>
          <w:lang w:val="bg-BG"/>
        </w:rPr>
        <w:t xml:space="preserve">20 август </w:t>
      </w:r>
      <w:r w:rsidR="00923636" w:rsidRPr="00A3491F">
        <w:rPr>
          <w:color w:val="000000" w:themeColor="text1"/>
          <w:sz w:val="22"/>
          <w:lang w:val="bg-BG"/>
        </w:rPr>
        <w:t>2013 г. и следователно процедурата по нотификация, по силата на Директива 98/34/ЕО, е била затворена.</w:t>
      </w:r>
      <w:r w:rsidR="00AC77D1" w:rsidRPr="00A3491F">
        <w:rPr>
          <w:color w:val="000000" w:themeColor="text1"/>
          <w:sz w:val="22"/>
          <w:lang w:val="bg-BG"/>
        </w:rPr>
        <w:t xml:space="preserve"> </w:t>
      </w:r>
      <w:r w:rsidR="0038326A" w:rsidRPr="00A3491F">
        <w:rPr>
          <w:color w:val="000000" w:themeColor="text1"/>
          <w:sz w:val="22"/>
          <w:lang w:val="bg-BG"/>
        </w:rPr>
        <w:t xml:space="preserve">Заедно с него е направена нотификация и на необнародвания Правилник за прилагане на ЗВСН. Поради затварянето на процедурата по отношение на закона, правилникът също не е бил успешно нотифициран, което възпрепятства приемането му от националните органи и влизането му в сила. </w:t>
      </w:r>
      <w:r w:rsidR="00AC77D1" w:rsidRPr="00A3491F">
        <w:rPr>
          <w:color w:val="000000" w:themeColor="text1"/>
          <w:sz w:val="22"/>
          <w:lang w:val="bg-BG"/>
        </w:rPr>
        <w:t xml:space="preserve">Съгласно съдебната практика на Съда на Европейския съюз, националните технически правила, които са приети в нарушение на задължението за уведомяване според член 8 от Директива 98/34/ЕО, са неприложими и са лишени от правна сила спрямо субектите, до които се отнасят. Следователно, пред национален съд те могат да се позовават на факта, че тези национални технически правила не са били нотифицирани в съответствие с Директивата, и той е длъжен да откаже да ги прилага (решение на Съда по дела C-194/94, CIA </w:t>
      </w:r>
      <w:proofErr w:type="spellStart"/>
      <w:r w:rsidR="00AC77D1" w:rsidRPr="00A3491F">
        <w:rPr>
          <w:color w:val="000000" w:themeColor="text1"/>
          <w:sz w:val="22"/>
          <w:lang w:val="bg-BG"/>
        </w:rPr>
        <w:t>Security</w:t>
      </w:r>
      <w:proofErr w:type="spellEnd"/>
      <w:r w:rsidR="00AC77D1" w:rsidRPr="00A3491F">
        <w:rPr>
          <w:color w:val="000000" w:themeColor="text1"/>
          <w:sz w:val="22"/>
          <w:lang w:val="bg-BG"/>
        </w:rPr>
        <w:t xml:space="preserve"> International). Освен това</w:t>
      </w:r>
      <w:r w:rsidR="00923636" w:rsidRPr="00A3491F">
        <w:rPr>
          <w:color w:val="000000" w:themeColor="text1"/>
          <w:sz w:val="22"/>
          <w:lang w:val="bg-BG"/>
        </w:rPr>
        <w:t>, Европейската</w:t>
      </w:r>
      <w:r w:rsidR="00AC77D1" w:rsidRPr="00A3491F">
        <w:rPr>
          <w:color w:val="000000" w:themeColor="text1"/>
          <w:sz w:val="22"/>
          <w:lang w:val="bg-BG"/>
        </w:rPr>
        <w:t xml:space="preserve"> </w:t>
      </w:r>
      <w:r w:rsidR="00F979AD" w:rsidRPr="00A3491F">
        <w:rPr>
          <w:color w:val="000000" w:themeColor="text1"/>
          <w:sz w:val="22"/>
          <w:lang w:val="bg-BG"/>
        </w:rPr>
        <w:t>к</w:t>
      </w:r>
      <w:r w:rsidR="003E20E7" w:rsidRPr="00A3491F">
        <w:rPr>
          <w:color w:val="000000" w:themeColor="text1"/>
          <w:sz w:val="22"/>
          <w:lang w:val="bg-BG"/>
        </w:rPr>
        <w:t xml:space="preserve">омисия </w:t>
      </w:r>
      <w:r w:rsidR="00685890" w:rsidRPr="00A3491F">
        <w:rPr>
          <w:color w:val="000000" w:themeColor="text1"/>
          <w:sz w:val="22"/>
          <w:lang w:val="bg-BG"/>
        </w:rPr>
        <w:t xml:space="preserve">насочва вниманието на българските органи към някои неточности в </w:t>
      </w:r>
      <w:r w:rsidR="003E20E7" w:rsidRPr="00A3491F">
        <w:rPr>
          <w:color w:val="000000" w:themeColor="text1"/>
          <w:sz w:val="22"/>
          <w:lang w:val="bg-BG"/>
        </w:rPr>
        <w:t>ЗВСН</w:t>
      </w:r>
      <w:r w:rsidR="00AC77D1" w:rsidRPr="00A3491F">
        <w:rPr>
          <w:color w:val="000000" w:themeColor="text1"/>
          <w:sz w:val="22"/>
          <w:lang w:val="bg-BG"/>
        </w:rPr>
        <w:t xml:space="preserve"> (2012г.) и правилника за прилагането му</w:t>
      </w:r>
      <w:r w:rsidR="00685890" w:rsidRPr="00A3491F">
        <w:rPr>
          <w:color w:val="000000" w:themeColor="text1"/>
          <w:sz w:val="22"/>
          <w:lang w:val="bg-BG"/>
        </w:rPr>
        <w:t xml:space="preserve">, </w:t>
      </w:r>
      <w:r w:rsidR="00CF4DFD" w:rsidRPr="00A3491F">
        <w:rPr>
          <w:color w:val="000000" w:themeColor="text1"/>
          <w:sz w:val="22"/>
          <w:lang w:val="bg-BG"/>
        </w:rPr>
        <w:t xml:space="preserve">в </w:t>
      </w:r>
      <w:r w:rsidR="00685890" w:rsidRPr="00A3491F">
        <w:rPr>
          <w:color w:val="000000" w:themeColor="text1"/>
          <w:sz w:val="22"/>
          <w:lang w:val="bg-BG"/>
        </w:rPr>
        <w:t>които</w:t>
      </w:r>
      <w:r w:rsidR="00AC77D1" w:rsidRPr="00A3491F">
        <w:rPr>
          <w:color w:val="000000" w:themeColor="text1"/>
          <w:sz w:val="22"/>
          <w:lang w:val="bg-BG"/>
        </w:rPr>
        <w:t xml:space="preserve"> </w:t>
      </w:r>
      <w:r w:rsidR="00CF4DFD" w:rsidRPr="00A3491F">
        <w:rPr>
          <w:color w:val="000000" w:themeColor="text1"/>
          <w:sz w:val="22"/>
          <w:lang w:val="bg-BG"/>
        </w:rPr>
        <w:t xml:space="preserve">се повтарят </w:t>
      </w:r>
      <w:r w:rsidR="00AC77D1" w:rsidRPr="00A3491F">
        <w:rPr>
          <w:color w:val="000000" w:themeColor="text1"/>
          <w:sz w:val="22"/>
          <w:lang w:val="bg-BG"/>
        </w:rPr>
        <w:t xml:space="preserve">разпоредби от </w:t>
      </w:r>
      <w:r w:rsidR="00685890" w:rsidRPr="00A3491F">
        <w:rPr>
          <w:color w:val="000000" w:themeColor="text1"/>
          <w:sz w:val="22"/>
          <w:lang w:val="bg-BG"/>
        </w:rPr>
        <w:t xml:space="preserve">пряко приложимите </w:t>
      </w:r>
      <w:r w:rsidR="00AC77D1" w:rsidRPr="00A3491F">
        <w:rPr>
          <w:color w:val="000000" w:themeColor="text1"/>
          <w:sz w:val="22"/>
          <w:lang w:val="bg-BG"/>
        </w:rPr>
        <w:t>европейски регламенти в сектора на виното и спиртните напитки</w:t>
      </w:r>
      <w:r w:rsidR="00CF4DFD" w:rsidRPr="00A3491F">
        <w:rPr>
          <w:color w:val="000000" w:themeColor="text1"/>
          <w:sz w:val="22"/>
          <w:lang w:val="bg-BG"/>
        </w:rPr>
        <w:t xml:space="preserve"> (Регламент (ЕО) № 1234/2007 555/2008 436/2009 606/2009, 607/2009, 1601/91, 716/2013 и 110/2008</w:t>
      </w:r>
      <w:r w:rsidR="00FA0DD3" w:rsidRPr="00A3491F">
        <w:rPr>
          <w:color w:val="000000" w:themeColor="text1"/>
          <w:sz w:val="22"/>
          <w:lang w:val="bg-BG"/>
        </w:rPr>
        <w:t xml:space="preserve">). Обръща се внимание и на следните разпоредби, </w:t>
      </w:r>
      <w:r w:rsidR="00AC77D1" w:rsidRPr="00A3491F">
        <w:rPr>
          <w:color w:val="000000" w:themeColor="text1"/>
          <w:sz w:val="22"/>
          <w:lang w:val="bg-BG"/>
        </w:rPr>
        <w:t xml:space="preserve"> които се отклоняват от </w:t>
      </w:r>
      <w:r w:rsidR="00685890" w:rsidRPr="00A3491F">
        <w:rPr>
          <w:color w:val="000000" w:themeColor="text1"/>
          <w:sz w:val="22"/>
          <w:lang w:val="bg-BG"/>
        </w:rPr>
        <w:t xml:space="preserve">европейските </w:t>
      </w:r>
      <w:r w:rsidR="00AC77D1" w:rsidRPr="00A3491F">
        <w:rPr>
          <w:color w:val="000000" w:themeColor="text1"/>
          <w:sz w:val="22"/>
          <w:lang w:val="bg-BG"/>
        </w:rPr>
        <w:t xml:space="preserve">и така нарушават </w:t>
      </w:r>
      <w:r w:rsidR="00685890" w:rsidRPr="00A3491F">
        <w:rPr>
          <w:color w:val="000000" w:themeColor="text1"/>
          <w:sz w:val="22"/>
          <w:lang w:val="bg-BG"/>
        </w:rPr>
        <w:t xml:space="preserve">законодателството </w:t>
      </w:r>
      <w:r w:rsidR="00AC77D1" w:rsidRPr="00A3491F">
        <w:rPr>
          <w:color w:val="000000" w:themeColor="text1"/>
          <w:sz w:val="22"/>
          <w:lang w:val="bg-BG"/>
        </w:rPr>
        <w:t>на ЕС</w:t>
      </w:r>
      <w:r w:rsidR="00FA0DD3" w:rsidRPr="00A3491F">
        <w:rPr>
          <w:color w:val="000000" w:themeColor="text1"/>
          <w:sz w:val="22"/>
          <w:lang w:val="bg-BG"/>
        </w:rPr>
        <w:t xml:space="preserve">: </w:t>
      </w:r>
      <w:r w:rsidR="005C6417" w:rsidRPr="00A3491F">
        <w:rPr>
          <w:color w:val="000000" w:themeColor="text1"/>
          <w:sz w:val="22"/>
          <w:lang w:val="bg-BG"/>
        </w:rPr>
        <w:t>чл. 75 (5) и (6), чл. 120 до чл. 123, чл. 131(5) и (6), чл. 164, чл. 170, чл. 174, чл. 177 и чл. 178(1)</w:t>
      </w:r>
      <w:r w:rsidR="00FA0DD3" w:rsidRPr="00A3491F">
        <w:rPr>
          <w:color w:val="000000" w:themeColor="text1"/>
          <w:sz w:val="22"/>
          <w:lang w:val="bg-BG"/>
        </w:rPr>
        <w:t xml:space="preserve"> от действащия ЗВСН</w:t>
      </w:r>
      <w:r w:rsidR="005C6417" w:rsidRPr="00A3491F">
        <w:rPr>
          <w:color w:val="000000" w:themeColor="text1"/>
          <w:sz w:val="22"/>
          <w:lang w:val="bg-BG"/>
        </w:rPr>
        <w:t>.</w:t>
      </w:r>
      <w:r w:rsidR="00AA681D" w:rsidRPr="00A3491F">
        <w:rPr>
          <w:color w:val="000000" w:themeColor="text1"/>
          <w:sz w:val="22"/>
          <w:lang w:val="bg-BG"/>
        </w:rPr>
        <w:t xml:space="preserve"> </w:t>
      </w:r>
      <w:r w:rsidR="00FA0DD3" w:rsidRPr="00A3491F">
        <w:rPr>
          <w:color w:val="000000" w:themeColor="text1"/>
          <w:sz w:val="22"/>
          <w:lang w:val="bg-BG"/>
        </w:rPr>
        <w:t xml:space="preserve">По-специално посочените правила се отнасят </w:t>
      </w:r>
      <w:r w:rsidR="00027869" w:rsidRPr="00A3491F">
        <w:rPr>
          <w:color w:val="000000" w:themeColor="text1"/>
          <w:sz w:val="22"/>
          <w:lang w:val="bg-BG"/>
        </w:rPr>
        <w:t xml:space="preserve">до </w:t>
      </w:r>
      <w:r w:rsidR="00FA0DD3" w:rsidRPr="00A3491F">
        <w:rPr>
          <w:color w:val="000000" w:themeColor="text1"/>
          <w:sz w:val="22"/>
          <w:lang w:val="bg-BG"/>
        </w:rPr>
        <w:t>задължителното и незадължителното съдържание на етикетите на лозаро-винарските продукти и спиртните напитки, придружителните документи към предлаганите на пазара партиди от етилов алкохол, дестилирани или спиртни напитки</w:t>
      </w:r>
      <w:r w:rsidR="00027869" w:rsidRPr="00A3491F">
        <w:rPr>
          <w:color w:val="000000" w:themeColor="text1"/>
          <w:sz w:val="22"/>
          <w:lang w:val="bg-BG"/>
        </w:rPr>
        <w:t xml:space="preserve"> и традиционните наименования на български напитки. В изпратеното от Европейската комисия искане за предоставяне на информация е посочено, че тези разпоредби трябва да бъдат заличени или да бъдат заменени с директно препращане към разпоредбите на регламентите на ЕС.</w:t>
      </w:r>
      <w:r w:rsidR="00FA0DD3" w:rsidRPr="00A3491F">
        <w:rPr>
          <w:color w:val="000000" w:themeColor="text1"/>
          <w:sz w:val="22"/>
          <w:lang w:val="bg-BG"/>
        </w:rPr>
        <w:t xml:space="preserve"> В хода на проведената комуникация с </w:t>
      </w:r>
      <w:r w:rsidR="00027869" w:rsidRPr="00A3491F">
        <w:rPr>
          <w:color w:val="000000" w:themeColor="text1"/>
          <w:sz w:val="22"/>
          <w:lang w:val="bg-BG"/>
        </w:rPr>
        <w:t>Европейската комисия</w:t>
      </w:r>
      <w:r w:rsidR="00FA0DD3" w:rsidRPr="00A3491F">
        <w:rPr>
          <w:color w:val="000000" w:themeColor="text1"/>
          <w:sz w:val="22"/>
          <w:lang w:val="bg-BG"/>
        </w:rPr>
        <w:t xml:space="preserve"> и след направен анализ на отправените бележки, България е поела ангажимент да подготви нов законопроект, съобразен с констатациите</w:t>
      </w:r>
      <w:r w:rsidR="00027869" w:rsidRPr="00A3491F">
        <w:rPr>
          <w:color w:val="000000" w:themeColor="text1"/>
          <w:sz w:val="22"/>
          <w:lang w:val="bg-BG"/>
        </w:rPr>
        <w:t xml:space="preserve"> и рефериращ на съответните места към правото на Европейския съюз</w:t>
      </w:r>
      <w:r w:rsidR="00FA0DD3" w:rsidRPr="00A3491F">
        <w:rPr>
          <w:color w:val="000000" w:themeColor="text1"/>
          <w:sz w:val="22"/>
          <w:lang w:val="bg-BG"/>
        </w:rPr>
        <w:t xml:space="preserve"> </w:t>
      </w:r>
      <w:r w:rsidR="00027869" w:rsidRPr="00A3491F">
        <w:rPr>
          <w:color w:val="000000" w:themeColor="text1"/>
          <w:sz w:val="22"/>
          <w:lang w:val="bg-BG"/>
        </w:rPr>
        <w:t>и да уведоми Европейската комисия</w:t>
      </w:r>
      <w:r w:rsidR="00FA0DD3" w:rsidRPr="00A3491F">
        <w:rPr>
          <w:color w:val="000000" w:themeColor="text1"/>
          <w:sz w:val="22"/>
          <w:lang w:val="bg-BG"/>
        </w:rPr>
        <w:t xml:space="preserve"> с новия проект съгласно задълженията по чл. 8 на Директива 98/34/ЕК.</w:t>
      </w:r>
      <w:r w:rsidR="00B27013" w:rsidRPr="00A3491F">
        <w:rPr>
          <w:color w:val="000000" w:themeColor="text1"/>
          <w:sz w:val="22"/>
          <w:lang w:val="bg-BG"/>
        </w:rPr>
        <w:t xml:space="preserve"> </w:t>
      </w:r>
    </w:p>
    <w:p w:rsidR="005709F6" w:rsidRPr="00A3491F" w:rsidRDefault="00E47E10" w:rsidP="006B3BB7">
      <w:pPr>
        <w:pStyle w:val="Heading2"/>
        <w:spacing w:before="240" w:after="120"/>
        <w:rPr>
          <w:rFonts w:cs="Times New Roman"/>
          <w:sz w:val="22"/>
          <w:szCs w:val="22"/>
          <w:lang w:val="bg-BG"/>
        </w:rPr>
      </w:pPr>
      <w:bookmarkStart w:id="9" w:name="_Toc496709939"/>
      <w:r w:rsidRPr="00A3491F">
        <w:rPr>
          <w:rFonts w:cs="Times New Roman"/>
          <w:sz w:val="22"/>
          <w:szCs w:val="22"/>
          <w:lang w:val="bg-BG"/>
        </w:rPr>
        <w:t xml:space="preserve">II.2. </w:t>
      </w:r>
      <w:r w:rsidR="00CA75E2" w:rsidRPr="00A3491F">
        <w:rPr>
          <w:rFonts w:cs="Times New Roman"/>
          <w:sz w:val="22"/>
          <w:szCs w:val="22"/>
          <w:lang w:val="bg-BG"/>
        </w:rPr>
        <w:t>Специфични проблеми</w:t>
      </w:r>
      <w:bookmarkEnd w:id="9"/>
    </w:p>
    <w:p w:rsidR="005709F6" w:rsidRPr="00A3491F" w:rsidRDefault="001B7CD1" w:rsidP="006B3BB7">
      <w:pPr>
        <w:spacing w:after="120"/>
        <w:rPr>
          <w:sz w:val="22"/>
          <w:lang w:val="bg-BG"/>
        </w:rPr>
      </w:pPr>
      <w:r w:rsidRPr="00A3491F">
        <w:rPr>
          <w:sz w:val="22"/>
          <w:lang w:val="bg-BG"/>
        </w:rPr>
        <w:t xml:space="preserve">Втората група проблеми са </w:t>
      </w:r>
      <w:r w:rsidR="004B6C6C" w:rsidRPr="00A3491F">
        <w:rPr>
          <w:sz w:val="22"/>
          <w:lang w:val="bg-BG"/>
        </w:rPr>
        <w:t>свързани с</w:t>
      </w:r>
      <w:r w:rsidR="002E6FFB" w:rsidRPr="00A3491F">
        <w:rPr>
          <w:sz w:val="22"/>
          <w:lang w:val="bg-BG"/>
        </w:rPr>
        <w:t xml:space="preserve"> действието на специфичните правила</w:t>
      </w:r>
      <w:r w:rsidR="008259E7" w:rsidRPr="00A3491F">
        <w:rPr>
          <w:sz w:val="22"/>
          <w:lang w:val="bg-BG"/>
        </w:rPr>
        <w:t xml:space="preserve"> в сектора</w:t>
      </w:r>
      <w:r w:rsidR="002E6FFB" w:rsidRPr="00A3491F">
        <w:rPr>
          <w:sz w:val="22"/>
          <w:lang w:val="bg-BG"/>
        </w:rPr>
        <w:t xml:space="preserve">. </w:t>
      </w:r>
      <w:r w:rsidR="003C0B63" w:rsidRPr="00A3491F">
        <w:rPr>
          <w:sz w:val="22"/>
          <w:lang w:val="bg-BG"/>
        </w:rPr>
        <w:t xml:space="preserve">От приемането на действащия към момента Закон за виното и спиртните напитки през 2012 г. до настоящия момент са се откроили някои конкретни проблеми при прилагането </w:t>
      </w:r>
      <w:r w:rsidR="009F1DBF" w:rsidRPr="00A3491F">
        <w:rPr>
          <w:sz w:val="22"/>
          <w:lang w:val="bg-BG"/>
        </w:rPr>
        <w:t>му</w:t>
      </w:r>
      <w:r w:rsidR="00AA681D" w:rsidRPr="00A3491F">
        <w:rPr>
          <w:sz w:val="22"/>
          <w:lang w:val="bg-BG"/>
        </w:rPr>
        <w:t>.</w:t>
      </w:r>
    </w:p>
    <w:p w:rsidR="005709F6" w:rsidRPr="00A3491F" w:rsidRDefault="00D245F7" w:rsidP="006B3BB7">
      <w:pPr>
        <w:spacing w:after="120"/>
        <w:rPr>
          <w:color w:val="365F91" w:themeColor="accent1" w:themeShade="BF"/>
          <w:sz w:val="22"/>
          <w:lang w:val="bg-BG"/>
        </w:rPr>
      </w:pPr>
      <w:r w:rsidRPr="00A3491F">
        <w:rPr>
          <w:sz w:val="22"/>
          <w:lang w:val="bg-BG"/>
        </w:rPr>
        <w:lastRenderedPageBreak/>
        <w:t xml:space="preserve">През 2014г., с цел осъществяване на предвидените в Регламенти № 491/2009 и 1169/2011 тестове на ферментирал оцет, в списъка с продукти, контролирани от ИАЛВ, беше включен ферментиралия оцет като продукт, получен в резултат на ферментационни процеси. Въпреки това, на национално ниво липсват законодателни актове, които да предвиждат контрола върху производството на тези продукти и по този начин се възпрепятства реалното осъществяване на тестовете. Същевременно, най-вече поради широката употреба на ферментирал оцет на територията на страната,  потребителските сигнали за некачествени продукти от тази категория бележат сериозен ръст. Ето защо се откроява необходимост от включване на тези продукти в обхвата на Закона за виното и спиртните напитки, така че производителите на ферментирал оцет да бъдат обвързани от правата и задълженията по този закон и да се създаде необходимото законово основание за осъществяване на контрол върху производството им. </w:t>
      </w:r>
    </w:p>
    <w:p w:rsidR="00D245F7" w:rsidRPr="00A3491F" w:rsidRDefault="00D245F7" w:rsidP="006B3BB7">
      <w:pPr>
        <w:spacing w:after="120"/>
        <w:rPr>
          <w:sz w:val="22"/>
          <w:lang w:val="bg-BG"/>
        </w:rPr>
      </w:pPr>
      <w:r w:rsidRPr="00A3491F">
        <w:rPr>
          <w:sz w:val="22"/>
          <w:lang w:val="bg-BG"/>
        </w:rPr>
        <w:t xml:space="preserve">Сходно е положението и със статута на плодовите вина по действащия Закон за виното и спиртните напитки. Съгласно даденото в Регламент 491/2009 понятие за „вино“ в него са включени и т.нар. плодови вина, представляващи предлаганите на пазара продукти, получени от ферментацията на плодове, различни от гроздето. </w:t>
      </w:r>
      <w:r w:rsidR="00DE242D" w:rsidRPr="00A3491F">
        <w:rPr>
          <w:sz w:val="22"/>
          <w:lang w:val="bg-BG"/>
        </w:rPr>
        <w:t xml:space="preserve">Липсата на законодателство на национално ниво дава възможност на пазара да се предлагат с еднакво обозначение разнородни продукти с широка гама от характеристики. Това пречи на лоялната конкуренция в сектора и създава опасност за живота и здравето на потребителите. </w:t>
      </w:r>
      <w:r w:rsidRPr="00A3491F">
        <w:rPr>
          <w:sz w:val="22"/>
          <w:lang w:val="bg-BG"/>
        </w:rPr>
        <w:t>Ето защо, по силата на вторичното европейско законодателство тези продукти също следва да бъдат произвеждани и контролирани при съответно прилагане на реда и условията, приложими за вината, произведени от ферментацията на грозде. С цел създаването на законово основание за осъществяване на контрол върху плодовите вина</w:t>
      </w:r>
      <w:r w:rsidR="00DE242D" w:rsidRPr="00A3491F">
        <w:rPr>
          <w:sz w:val="22"/>
          <w:lang w:val="bg-BG"/>
        </w:rPr>
        <w:t xml:space="preserve"> и продуктите на основата на плодови вина</w:t>
      </w:r>
      <w:r w:rsidRPr="00A3491F">
        <w:rPr>
          <w:sz w:val="22"/>
          <w:lang w:val="bg-BG"/>
        </w:rPr>
        <w:t>, е необходимо те също да бъдат изрично дефинирани и включени в предметния обхват на националното законодателство в областта на производството на вина</w:t>
      </w:r>
      <w:r w:rsidR="00D24F84" w:rsidRPr="00A3491F">
        <w:rPr>
          <w:sz w:val="22"/>
          <w:lang w:val="bg-BG"/>
        </w:rPr>
        <w:t>,</w:t>
      </w:r>
      <w:r w:rsidRPr="00A3491F">
        <w:rPr>
          <w:sz w:val="22"/>
          <w:lang w:val="bg-BG"/>
        </w:rPr>
        <w:t xml:space="preserve"> като бъде възложено на Министъра на земеделието, храните и горите да осъществява държавната политика и по отношение на производството на плодови вина. </w:t>
      </w:r>
    </w:p>
    <w:p w:rsidR="002A78D2" w:rsidRPr="00A3491F" w:rsidRDefault="00F53655" w:rsidP="006B3BB7">
      <w:pPr>
        <w:spacing w:after="120"/>
        <w:rPr>
          <w:sz w:val="22"/>
          <w:lang w:val="bg-BG"/>
        </w:rPr>
      </w:pPr>
      <w:r w:rsidRPr="00A3491F">
        <w:rPr>
          <w:sz w:val="22"/>
          <w:lang w:val="bg-BG"/>
        </w:rPr>
        <w:t xml:space="preserve">От друга страна, бяха идентифицирани и проблеми, свързани с </w:t>
      </w:r>
      <w:r w:rsidR="003C0B63" w:rsidRPr="00A3491F">
        <w:rPr>
          <w:sz w:val="22"/>
          <w:lang w:val="bg-BG"/>
        </w:rPr>
        <w:t xml:space="preserve">недостатъчната ефективност на правилата за регистриране и контролиране на дейностите по производство и търговия с лозаро-винарски продукти и спиртни напитки. Това води до увеличаване на сивия сектор, </w:t>
      </w:r>
      <w:r w:rsidRPr="00A3491F">
        <w:rPr>
          <w:sz w:val="22"/>
          <w:lang w:val="bg-BG"/>
        </w:rPr>
        <w:t>чието производство трудно може да бъде проследено и контролирано. Това се отразява на прилагането на установените енологични практики и производствени методи, гарантиращи опазването на общественото здраве и очакванията на потребителите по отношение на качеството.</w:t>
      </w:r>
      <w:r w:rsidR="002A78D2" w:rsidRPr="00A3491F">
        <w:rPr>
          <w:sz w:val="22"/>
          <w:lang w:val="bg-BG"/>
        </w:rPr>
        <w:t xml:space="preserve"> </w:t>
      </w:r>
      <w:r w:rsidRPr="00A3491F">
        <w:rPr>
          <w:sz w:val="22"/>
          <w:lang w:val="bg-BG"/>
        </w:rPr>
        <w:t xml:space="preserve">По този начин не се позволява </w:t>
      </w:r>
      <w:r w:rsidR="003C0B63" w:rsidRPr="00A3491F">
        <w:rPr>
          <w:sz w:val="22"/>
          <w:lang w:val="bg-BG"/>
        </w:rPr>
        <w:t>установяване</w:t>
      </w:r>
      <w:r w:rsidRPr="00A3491F">
        <w:rPr>
          <w:sz w:val="22"/>
          <w:lang w:val="bg-BG"/>
        </w:rPr>
        <w:t>то</w:t>
      </w:r>
      <w:r w:rsidR="003C0B63" w:rsidRPr="00A3491F">
        <w:rPr>
          <w:sz w:val="22"/>
          <w:lang w:val="bg-BG"/>
        </w:rPr>
        <w:t xml:space="preserve"> и санкциониране</w:t>
      </w:r>
      <w:r w:rsidRPr="00A3491F">
        <w:rPr>
          <w:sz w:val="22"/>
          <w:lang w:val="bg-BG"/>
        </w:rPr>
        <w:t>то</w:t>
      </w:r>
      <w:r w:rsidR="003C0B63" w:rsidRPr="00A3491F">
        <w:rPr>
          <w:sz w:val="22"/>
          <w:lang w:val="bg-BG"/>
        </w:rPr>
        <w:t xml:space="preserve"> на всички нарушения, </w:t>
      </w:r>
      <w:r w:rsidRPr="00A3491F">
        <w:rPr>
          <w:sz w:val="22"/>
          <w:lang w:val="bg-BG"/>
        </w:rPr>
        <w:t>което неминуемо води до понижаване</w:t>
      </w:r>
      <w:r w:rsidR="003C0B63" w:rsidRPr="00A3491F">
        <w:rPr>
          <w:sz w:val="22"/>
          <w:lang w:val="bg-BG"/>
        </w:rPr>
        <w:t xml:space="preserve"> качеството на продукцията, </w:t>
      </w:r>
      <w:r w:rsidRPr="00A3491F">
        <w:rPr>
          <w:sz w:val="22"/>
          <w:lang w:val="bg-BG"/>
        </w:rPr>
        <w:t>създава предпоставки за у</w:t>
      </w:r>
      <w:r w:rsidR="00D24F84" w:rsidRPr="00A3491F">
        <w:rPr>
          <w:sz w:val="22"/>
          <w:lang w:val="bg-BG"/>
        </w:rPr>
        <w:t>в</w:t>
      </w:r>
      <w:r w:rsidRPr="00A3491F">
        <w:rPr>
          <w:sz w:val="22"/>
          <w:lang w:val="bg-BG"/>
        </w:rPr>
        <w:t xml:space="preserve">реждане здравето на потребителите и намаляване доверието им в българските продукти, </w:t>
      </w:r>
      <w:r w:rsidR="003C0B63" w:rsidRPr="00A3491F">
        <w:rPr>
          <w:sz w:val="22"/>
          <w:lang w:val="bg-BG"/>
        </w:rPr>
        <w:t xml:space="preserve">а </w:t>
      </w:r>
      <w:r w:rsidR="009F1DBF" w:rsidRPr="00A3491F">
        <w:rPr>
          <w:sz w:val="22"/>
          <w:lang w:val="bg-BG"/>
        </w:rPr>
        <w:t>чрез това</w:t>
      </w:r>
      <w:r w:rsidR="003C0B63" w:rsidRPr="00A3491F">
        <w:rPr>
          <w:sz w:val="22"/>
          <w:lang w:val="bg-BG"/>
        </w:rPr>
        <w:t xml:space="preserve"> и </w:t>
      </w:r>
      <w:r w:rsidR="00D24F84" w:rsidRPr="00A3491F">
        <w:rPr>
          <w:sz w:val="22"/>
          <w:lang w:val="bg-BG"/>
        </w:rPr>
        <w:t xml:space="preserve">намаляване </w:t>
      </w:r>
      <w:r w:rsidR="003C0B63" w:rsidRPr="00A3491F">
        <w:rPr>
          <w:sz w:val="22"/>
          <w:lang w:val="bg-BG"/>
        </w:rPr>
        <w:t xml:space="preserve">конкурентоспособността на българските производители. </w:t>
      </w:r>
      <w:r w:rsidR="00D24F84" w:rsidRPr="00A3491F">
        <w:rPr>
          <w:sz w:val="22"/>
          <w:lang w:val="bg-BG"/>
        </w:rPr>
        <w:t xml:space="preserve">Подобряването </w:t>
      </w:r>
      <w:r w:rsidR="002A78D2" w:rsidRPr="00A3491F">
        <w:rPr>
          <w:sz w:val="22"/>
          <w:lang w:val="bg-BG"/>
        </w:rPr>
        <w:t xml:space="preserve">на </w:t>
      </w:r>
      <w:r w:rsidR="00D24F84" w:rsidRPr="00A3491F">
        <w:rPr>
          <w:sz w:val="22"/>
          <w:lang w:val="bg-BG"/>
        </w:rPr>
        <w:t xml:space="preserve">качествения </w:t>
      </w:r>
      <w:r w:rsidR="002A78D2" w:rsidRPr="00A3491F">
        <w:rPr>
          <w:sz w:val="22"/>
          <w:lang w:val="bg-BG"/>
        </w:rPr>
        <w:t xml:space="preserve">контрол в лозаро-винарския сектор </w:t>
      </w:r>
      <w:r w:rsidR="00555D98" w:rsidRPr="00A3491F">
        <w:rPr>
          <w:sz w:val="22"/>
          <w:lang w:val="bg-BG"/>
        </w:rPr>
        <w:t xml:space="preserve">и в сектора на производство на </w:t>
      </w:r>
      <w:r w:rsidR="00775B30" w:rsidRPr="00A3491F">
        <w:rPr>
          <w:sz w:val="22"/>
          <w:lang w:val="bg-BG"/>
        </w:rPr>
        <w:t xml:space="preserve">етилов алкохол от земеделски произход, дестилати и спиртни напитки </w:t>
      </w:r>
      <w:r w:rsidR="002A78D2" w:rsidRPr="00A3491F">
        <w:rPr>
          <w:sz w:val="22"/>
          <w:lang w:val="bg-BG"/>
        </w:rPr>
        <w:t>осигурява подходяща предвидима бизнес среда и защитава интересите на производителите като създава еднакви условия за извършване на дейностите на пазарните субекти.</w:t>
      </w:r>
    </w:p>
    <w:p w:rsidR="00555D98" w:rsidRPr="00A3491F" w:rsidRDefault="00555D98" w:rsidP="006B3BB7">
      <w:pPr>
        <w:spacing w:after="120"/>
        <w:rPr>
          <w:sz w:val="22"/>
          <w:lang w:val="bg-BG"/>
        </w:rPr>
      </w:pPr>
      <w:r w:rsidRPr="00A3491F">
        <w:rPr>
          <w:sz w:val="22"/>
          <w:lang w:val="bg-BG"/>
        </w:rPr>
        <w:t xml:space="preserve">В частност, по отношение на контрола в лозаро-винарския сектор се откроява необходимостта от прилагане на </w:t>
      </w:r>
      <w:r w:rsidR="00D24F84" w:rsidRPr="00A3491F">
        <w:rPr>
          <w:sz w:val="22"/>
          <w:lang w:val="bg-BG"/>
        </w:rPr>
        <w:t>по-ефективни</w:t>
      </w:r>
      <w:r w:rsidRPr="00A3491F">
        <w:rPr>
          <w:sz w:val="22"/>
          <w:lang w:val="bg-BG"/>
        </w:rPr>
        <w:t xml:space="preserve"> методи </w:t>
      </w:r>
      <w:r w:rsidR="00D24F84" w:rsidRPr="00A3491F">
        <w:rPr>
          <w:sz w:val="22"/>
          <w:lang w:val="bg-BG"/>
        </w:rPr>
        <w:t>за</w:t>
      </w:r>
      <w:r w:rsidRPr="00A3491F">
        <w:rPr>
          <w:sz w:val="22"/>
          <w:lang w:val="bg-BG"/>
        </w:rPr>
        <w:t xml:space="preserve"> анализ на състава на лозаро-винарските продукти и интерпретацията на резултатите, които да позволяват сравнение с резултати, получени по-рано при анализа на продукти с подобни характеристики и удостоверен произход и производство. В рамките на Европейския съюз е разработена система от признати стандарти за качество по отношение на лабораториите, определени от държавите-членки да извършват изотопния анализ на проби за базата данни</w:t>
      </w:r>
      <w:r w:rsidR="0068114D" w:rsidRPr="00A3491F">
        <w:rPr>
          <w:sz w:val="22"/>
          <w:lang w:val="bg-BG"/>
        </w:rPr>
        <w:t>, която следва да бъде прилагана и у нас.</w:t>
      </w:r>
      <w:r w:rsidR="00F131C7" w:rsidRPr="00A3491F">
        <w:rPr>
          <w:sz w:val="22"/>
          <w:lang w:val="bg-BG"/>
        </w:rPr>
        <w:t xml:space="preserve"> Изотопният анализ е метод за анализ, използван за контрол и борба срещу измамата в лозаро-винарския сектор, който изисква високоспециализирани </w:t>
      </w:r>
      <w:r w:rsidR="00F131C7" w:rsidRPr="00A3491F">
        <w:rPr>
          <w:sz w:val="22"/>
          <w:lang w:val="bg-BG"/>
        </w:rPr>
        <w:lastRenderedPageBreak/>
        <w:t xml:space="preserve">научни познания и техническо оборудване. Поради това до скоро изотопният анализ за България е провеждан от Съвместният изследователски център. </w:t>
      </w:r>
    </w:p>
    <w:p w:rsidR="00E62DAF" w:rsidRPr="00A3491F" w:rsidRDefault="00E62DAF" w:rsidP="006B3BB7">
      <w:pPr>
        <w:spacing w:after="120"/>
        <w:rPr>
          <w:sz w:val="22"/>
          <w:lang w:val="bg-BG"/>
        </w:rPr>
      </w:pPr>
      <w:r w:rsidRPr="00A3491F">
        <w:rPr>
          <w:sz w:val="22"/>
          <w:lang w:val="bg-BG"/>
        </w:rPr>
        <w:t xml:space="preserve">Друг проблем, свързан с контролирането на производството, е ниската </w:t>
      </w:r>
      <w:proofErr w:type="spellStart"/>
      <w:r w:rsidRPr="00A3491F">
        <w:rPr>
          <w:sz w:val="22"/>
          <w:lang w:val="bg-BG"/>
        </w:rPr>
        <w:t>събираемост</w:t>
      </w:r>
      <w:proofErr w:type="spellEnd"/>
      <w:r w:rsidRPr="00A3491F">
        <w:rPr>
          <w:sz w:val="22"/>
          <w:lang w:val="bg-BG"/>
        </w:rPr>
        <w:t xml:space="preserve"> на налаганите глоби и имуществени санкции. Отличава се необходимостта от диференциране на размерите на санкциите, предвидени в закона при отчитане на особеностите на нарушението, целите на наказанието и</w:t>
      </w:r>
      <w:r w:rsidR="002A78D2" w:rsidRPr="00A3491F">
        <w:rPr>
          <w:sz w:val="22"/>
          <w:lang w:val="bg-BG"/>
        </w:rPr>
        <w:t xml:space="preserve"> възможностите на нарушителите.</w:t>
      </w:r>
    </w:p>
    <w:p w:rsidR="008819D5" w:rsidRPr="00A3491F" w:rsidRDefault="00606633" w:rsidP="006B3BB7">
      <w:pPr>
        <w:spacing w:after="120"/>
        <w:rPr>
          <w:sz w:val="22"/>
          <w:lang w:val="bg-BG"/>
        </w:rPr>
      </w:pPr>
      <w:r w:rsidRPr="00A3491F">
        <w:rPr>
          <w:sz w:val="22"/>
          <w:lang w:val="bg-BG"/>
        </w:rPr>
        <w:t xml:space="preserve">Необходимо е още да се </w:t>
      </w:r>
      <w:r w:rsidR="002850E1" w:rsidRPr="00A3491F">
        <w:rPr>
          <w:sz w:val="22"/>
          <w:lang w:val="bg-BG"/>
        </w:rPr>
        <w:t>подобрят</w:t>
      </w:r>
      <w:r w:rsidRPr="00A3491F">
        <w:rPr>
          <w:sz w:val="22"/>
          <w:lang w:val="bg-BG"/>
        </w:rPr>
        <w:t xml:space="preserve"> правила</w:t>
      </w:r>
      <w:r w:rsidR="002850E1" w:rsidRPr="00A3491F">
        <w:rPr>
          <w:sz w:val="22"/>
          <w:lang w:val="bg-BG"/>
        </w:rPr>
        <w:t>та</w:t>
      </w:r>
      <w:r w:rsidRPr="00A3491F">
        <w:rPr>
          <w:sz w:val="22"/>
          <w:lang w:val="bg-BG"/>
        </w:rPr>
        <w:t xml:space="preserve"> по отношение на управлението и контрола на лозарския потенциал. Нерегламентираното нарастване на броя на лозовите насаждения води до отглеждане</w:t>
      </w:r>
      <w:r w:rsidR="00863271" w:rsidRPr="00A3491F">
        <w:rPr>
          <w:sz w:val="22"/>
          <w:lang w:val="bg-BG"/>
        </w:rPr>
        <w:t>,</w:t>
      </w:r>
      <w:r w:rsidRPr="00A3491F">
        <w:rPr>
          <w:sz w:val="22"/>
          <w:lang w:val="bg-BG"/>
        </w:rPr>
        <w:t xml:space="preserve"> производство </w:t>
      </w:r>
      <w:r w:rsidR="00863271" w:rsidRPr="00A3491F">
        <w:rPr>
          <w:sz w:val="22"/>
          <w:lang w:val="bg-BG"/>
        </w:rPr>
        <w:t xml:space="preserve">и предлагане </w:t>
      </w:r>
      <w:r w:rsidRPr="00A3491F">
        <w:rPr>
          <w:sz w:val="22"/>
          <w:lang w:val="bg-BG"/>
        </w:rPr>
        <w:t>на сортове лози</w:t>
      </w:r>
      <w:r w:rsidR="00863271" w:rsidRPr="00A3491F">
        <w:rPr>
          <w:sz w:val="22"/>
          <w:lang w:val="bg-BG"/>
        </w:rPr>
        <w:t xml:space="preserve"> и лозаро-винарски продукти, които не съответстват на </w:t>
      </w:r>
      <w:r w:rsidRPr="00A3491F">
        <w:rPr>
          <w:sz w:val="22"/>
          <w:lang w:val="bg-BG"/>
        </w:rPr>
        <w:t>търсене</w:t>
      </w:r>
      <w:r w:rsidR="00863271" w:rsidRPr="00A3491F">
        <w:rPr>
          <w:sz w:val="22"/>
          <w:lang w:val="bg-BG"/>
        </w:rPr>
        <w:t>то</w:t>
      </w:r>
      <w:r w:rsidRPr="00A3491F">
        <w:rPr>
          <w:sz w:val="22"/>
          <w:lang w:val="bg-BG"/>
        </w:rPr>
        <w:t xml:space="preserve"> на пазара. </w:t>
      </w:r>
      <w:r w:rsidR="00863271" w:rsidRPr="00A3491F">
        <w:rPr>
          <w:sz w:val="22"/>
          <w:lang w:val="bg-BG"/>
        </w:rPr>
        <w:t>Това води и до повишаване на количествата продукция за сметка на тяхното качество. Т</w:t>
      </w:r>
      <w:r w:rsidRPr="00A3491F">
        <w:rPr>
          <w:sz w:val="22"/>
          <w:lang w:val="bg-BG"/>
        </w:rPr>
        <w:t>енденция</w:t>
      </w:r>
      <w:r w:rsidR="00863271" w:rsidRPr="00A3491F">
        <w:rPr>
          <w:sz w:val="22"/>
          <w:lang w:val="bg-BG"/>
        </w:rPr>
        <w:t>та</w:t>
      </w:r>
      <w:r w:rsidRPr="00A3491F">
        <w:rPr>
          <w:sz w:val="22"/>
          <w:lang w:val="bg-BG"/>
        </w:rPr>
        <w:t xml:space="preserve"> на прекомерно нарастване на насажденията</w:t>
      </w:r>
      <w:r w:rsidR="00863271" w:rsidRPr="00A3491F">
        <w:rPr>
          <w:sz w:val="22"/>
          <w:lang w:val="bg-BG"/>
        </w:rPr>
        <w:t xml:space="preserve"> е установена в целия Европейски съюз.</w:t>
      </w:r>
      <w:r w:rsidRPr="00A3491F">
        <w:rPr>
          <w:sz w:val="22"/>
          <w:lang w:val="bg-BG"/>
        </w:rPr>
        <w:t xml:space="preserve"> Ето защо и на европейско ниво се провежда политика за контролиране на нарастването на насажденията с цел възвръщане на пазарите на вино в Европа и извън нея.</w:t>
      </w:r>
      <w:r w:rsidR="003C0B63" w:rsidRPr="00A3491F">
        <w:rPr>
          <w:sz w:val="22"/>
          <w:lang w:val="bg-BG"/>
        </w:rPr>
        <w:t xml:space="preserve"> </w:t>
      </w:r>
      <w:r w:rsidRPr="00A3491F">
        <w:rPr>
          <w:sz w:val="22"/>
          <w:lang w:val="bg-BG"/>
        </w:rPr>
        <w:t xml:space="preserve"> </w:t>
      </w:r>
      <w:r w:rsidR="00863271" w:rsidRPr="00A3491F">
        <w:rPr>
          <w:sz w:val="22"/>
          <w:lang w:val="bg-BG"/>
        </w:rPr>
        <w:t>В</w:t>
      </w:r>
      <w:r w:rsidRPr="00A3491F">
        <w:rPr>
          <w:sz w:val="22"/>
          <w:lang w:val="bg-BG"/>
        </w:rPr>
        <w:t xml:space="preserve"> тази връзка</w:t>
      </w:r>
      <w:r w:rsidR="00863271" w:rsidRPr="00A3491F">
        <w:rPr>
          <w:sz w:val="22"/>
          <w:lang w:val="bg-BG"/>
        </w:rPr>
        <w:t xml:space="preserve"> е</w:t>
      </w:r>
      <w:r w:rsidRPr="00A3491F">
        <w:rPr>
          <w:sz w:val="22"/>
          <w:lang w:val="bg-BG"/>
        </w:rPr>
        <w:t xml:space="preserve"> </w:t>
      </w:r>
      <w:r w:rsidR="00863271" w:rsidRPr="00A3491F">
        <w:rPr>
          <w:sz w:val="22"/>
          <w:lang w:val="bg-BG"/>
        </w:rPr>
        <w:t>необходимо и у нас</w:t>
      </w:r>
      <w:r w:rsidRPr="00A3491F">
        <w:rPr>
          <w:sz w:val="22"/>
          <w:lang w:val="bg-BG"/>
        </w:rPr>
        <w:t xml:space="preserve"> да бъде въведен такъв механизъм като част от общата Европейска политика по контролиране на лозарския потенциал. </w:t>
      </w:r>
      <w:r w:rsidR="008819D5" w:rsidRPr="00A3491F">
        <w:rPr>
          <w:sz w:val="22"/>
          <w:lang w:val="bg-BG"/>
        </w:rPr>
        <w:t xml:space="preserve">В </w:t>
      </w:r>
      <w:r w:rsidR="002A78D2" w:rsidRPr="00A3491F">
        <w:rPr>
          <w:sz w:val="22"/>
          <w:lang w:val="bg-BG"/>
        </w:rPr>
        <w:t>Р</w:t>
      </w:r>
      <w:r w:rsidR="008819D5" w:rsidRPr="00A3491F">
        <w:rPr>
          <w:sz w:val="22"/>
          <w:lang w:val="bg-BG"/>
        </w:rPr>
        <w:t xml:space="preserve">егламент 1308/2013, както и в </w:t>
      </w:r>
      <w:r w:rsidR="002A78D2" w:rsidRPr="00A3491F">
        <w:rPr>
          <w:sz w:val="22"/>
          <w:lang w:val="bg-BG"/>
        </w:rPr>
        <w:t xml:space="preserve">регламентите за прилагане № </w:t>
      </w:r>
      <w:r w:rsidR="008819D5" w:rsidRPr="00A3491F">
        <w:rPr>
          <w:sz w:val="22"/>
          <w:lang w:val="bg-BG"/>
        </w:rPr>
        <w:t>560</w:t>
      </w:r>
      <w:r w:rsidR="002A78D2" w:rsidRPr="00A3491F">
        <w:rPr>
          <w:sz w:val="22"/>
          <w:lang w:val="bg-BG"/>
        </w:rPr>
        <w:t>/2016</w:t>
      </w:r>
      <w:r w:rsidR="008819D5" w:rsidRPr="00A3491F">
        <w:rPr>
          <w:sz w:val="22"/>
          <w:lang w:val="bg-BG"/>
        </w:rPr>
        <w:t xml:space="preserve"> и 561</w:t>
      </w:r>
      <w:r w:rsidR="002A78D2" w:rsidRPr="00A3491F">
        <w:rPr>
          <w:sz w:val="22"/>
          <w:lang w:val="bg-BG"/>
        </w:rPr>
        <w:t>/</w:t>
      </w:r>
      <w:r w:rsidR="008819D5" w:rsidRPr="00A3491F">
        <w:rPr>
          <w:sz w:val="22"/>
          <w:lang w:val="bg-BG"/>
        </w:rPr>
        <w:t>2016 г. е очертан новия</w:t>
      </w:r>
      <w:r w:rsidR="00D24F84" w:rsidRPr="00A3491F">
        <w:rPr>
          <w:sz w:val="22"/>
          <w:lang w:val="bg-BG"/>
        </w:rPr>
        <w:t>т</w:t>
      </w:r>
      <w:r w:rsidR="008819D5" w:rsidRPr="00A3491F">
        <w:rPr>
          <w:sz w:val="22"/>
          <w:lang w:val="bg-BG"/>
        </w:rPr>
        <w:t xml:space="preserve"> разрешителен режим на засаждане на лозя, състоящ се в позволено контролирано нарастване на лозовите насаждения на държавите с несъществени темпове от максимум 1% от лозарския потенциал на страната за предходната година. Нарастването на размера на лозовите насаждения с такива темпове не може да доведе до неконтролируем ръст на производството на вина</w:t>
      </w:r>
      <w:r w:rsidR="002A78D2" w:rsidRPr="00A3491F">
        <w:rPr>
          <w:sz w:val="22"/>
          <w:lang w:val="bg-BG"/>
        </w:rPr>
        <w:t>.</w:t>
      </w:r>
    </w:p>
    <w:p w:rsidR="005709F6" w:rsidRPr="00A3491F" w:rsidRDefault="00863271" w:rsidP="006B3BB7">
      <w:pPr>
        <w:spacing w:after="120"/>
        <w:rPr>
          <w:sz w:val="22"/>
          <w:lang w:val="bg-BG"/>
        </w:rPr>
      </w:pPr>
      <w:r w:rsidRPr="00A3491F">
        <w:rPr>
          <w:sz w:val="22"/>
          <w:lang w:val="bg-BG"/>
        </w:rPr>
        <w:t xml:space="preserve">Това от своя страна налага промени в действащия закон чрез </w:t>
      </w:r>
      <w:r w:rsidR="00C9380E" w:rsidRPr="00A3491F">
        <w:rPr>
          <w:sz w:val="22"/>
          <w:lang w:val="bg-BG"/>
        </w:rPr>
        <w:t xml:space="preserve">допълване на </w:t>
      </w:r>
      <w:r w:rsidRPr="00A3491F">
        <w:rPr>
          <w:sz w:val="22"/>
          <w:lang w:val="bg-BG"/>
        </w:rPr>
        <w:t>правила</w:t>
      </w:r>
      <w:r w:rsidR="00C9380E" w:rsidRPr="00A3491F">
        <w:rPr>
          <w:sz w:val="22"/>
          <w:lang w:val="bg-BG"/>
        </w:rPr>
        <w:t>та</w:t>
      </w:r>
      <w:r w:rsidRPr="00A3491F">
        <w:rPr>
          <w:sz w:val="22"/>
          <w:lang w:val="bg-BG"/>
        </w:rPr>
        <w:t xml:space="preserve"> за воденето на лозарския регистър, както и актуализиране на законодателството ни в областта на предоставянето на правна закрила с достиженията на европейското право.</w:t>
      </w:r>
      <w:r w:rsidR="002A78D2" w:rsidRPr="00A3491F">
        <w:rPr>
          <w:sz w:val="22"/>
          <w:lang w:val="bg-BG"/>
        </w:rPr>
        <w:t xml:space="preserve"> </w:t>
      </w:r>
    </w:p>
    <w:p w:rsidR="003C0B63" w:rsidRPr="00A3491F" w:rsidRDefault="003C0B63" w:rsidP="006B3BB7">
      <w:pPr>
        <w:spacing w:after="120"/>
        <w:rPr>
          <w:sz w:val="22"/>
          <w:lang w:val="bg-BG"/>
        </w:rPr>
      </w:pPr>
      <w:r w:rsidRPr="00A3491F">
        <w:rPr>
          <w:sz w:val="22"/>
          <w:lang w:val="bg-BG"/>
        </w:rPr>
        <w:t>Друга част от установените специфични национални проблеми са свързани с дейността на специализираната администрация, отговаряща за прилагането на закона.</w:t>
      </w:r>
      <w:r w:rsidR="00606633" w:rsidRPr="00A3491F">
        <w:rPr>
          <w:sz w:val="22"/>
          <w:lang w:val="bg-BG"/>
        </w:rPr>
        <w:t xml:space="preserve"> Поради неприемането на предвидения Правилник за прилагане на Закона за виното и спиртните напитки, редица от заложените в действащия закон правила не се прилагат, тъй като </w:t>
      </w:r>
      <w:r w:rsidR="000548B7" w:rsidRPr="00A3491F">
        <w:rPr>
          <w:sz w:val="22"/>
          <w:lang w:val="bg-BG"/>
        </w:rPr>
        <w:t>липсва уредба на реда за</w:t>
      </w:r>
      <w:r w:rsidR="00606633" w:rsidRPr="00A3491F">
        <w:rPr>
          <w:sz w:val="22"/>
          <w:lang w:val="bg-BG"/>
        </w:rPr>
        <w:t xml:space="preserve"> </w:t>
      </w:r>
      <w:r w:rsidR="000548B7" w:rsidRPr="00A3491F">
        <w:rPr>
          <w:sz w:val="22"/>
          <w:lang w:val="bg-BG"/>
        </w:rPr>
        <w:t>предоставяне</w:t>
      </w:r>
      <w:r w:rsidR="00606633" w:rsidRPr="00A3491F">
        <w:rPr>
          <w:sz w:val="22"/>
          <w:lang w:val="bg-BG"/>
        </w:rPr>
        <w:t xml:space="preserve"> на някои </w:t>
      </w:r>
      <w:r w:rsidR="000548B7" w:rsidRPr="00A3491F">
        <w:rPr>
          <w:sz w:val="22"/>
          <w:lang w:val="bg-BG"/>
        </w:rPr>
        <w:t>административни услуги</w:t>
      </w:r>
      <w:r w:rsidR="00606633" w:rsidRPr="00A3491F">
        <w:rPr>
          <w:sz w:val="22"/>
          <w:lang w:val="bg-BG"/>
        </w:rPr>
        <w:t xml:space="preserve">, както и за събиране на предвидените </w:t>
      </w:r>
      <w:r w:rsidR="000548B7" w:rsidRPr="00A3491F">
        <w:rPr>
          <w:sz w:val="22"/>
          <w:lang w:val="bg-BG"/>
        </w:rPr>
        <w:t xml:space="preserve">за тях </w:t>
      </w:r>
      <w:r w:rsidR="00606633" w:rsidRPr="00A3491F">
        <w:rPr>
          <w:sz w:val="22"/>
          <w:lang w:val="bg-BG"/>
        </w:rPr>
        <w:t xml:space="preserve">такси. </w:t>
      </w:r>
      <w:r w:rsidR="00DE242D" w:rsidRPr="00A3491F">
        <w:rPr>
          <w:sz w:val="22"/>
          <w:lang w:val="bg-BG"/>
        </w:rPr>
        <w:t>Неуредените</w:t>
      </w:r>
      <w:r w:rsidR="008D193D" w:rsidRPr="00A3491F">
        <w:rPr>
          <w:sz w:val="22"/>
          <w:lang w:val="bg-BG"/>
        </w:rPr>
        <w:t>,</w:t>
      </w:r>
      <w:r w:rsidR="00DE242D" w:rsidRPr="00A3491F">
        <w:rPr>
          <w:sz w:val="22"/>
          <w:lang w:val="bg-BG"/>
        </w:rPr>
        <w:t xml:space="preserve"> поради липса на утвърден Правилник</w:t>
      </w:r>
      <w:r w:rsidR="008D193D" w:rsidRPr="00A3491F">
        <w:rPr>
          <w:sz w:val="22"/>
          <w:lang w:val="bg-BG"/>
        </w:rPr>
        <w:t>,</w:t>
      </w:r>
      <w:r w:rsidR="00DE242D" w:rsidRPr="00A3491F">
        <w:rPr>
          <w:sz w:val="22"/>
          <w:lang w:val="bg-BG"/>
        </w:rPr>
        <w:t xml:space="preserve"> дейности обхващат контролът на производството и регистрацията на вината със </w:t>
      </w:r>
      <w:r w:rsidR="008D193D" w:rsidRPr="00A3491F">
        <w:rPr>
          <w:sz w:val="22"/>
          <w:lang w:val="bg-BG"/>
        </w:rPr>
        <w:t>защитено наименование за произход (</w:t>
      </w:r>
      <w:r w:rsidR="00DE242D" w:rsidRPr="00A3491F">
        <w:rPr>
          <w:sz w:val="22"/>
          <w:lang w:val="bg-BG"/>
        </w:rPr>
        <w:t>ЗНП</w:t>
      </w:r>
      <w:r w:rsidR="008D193D" w:rsidRPr="00A3491F">
        <w:rPr>
          <w:sz w:val="22"/>
          <w:lang w:val="bg-BG"/>
        </w:rPr>
        <w:t>)</w:t>
      </w:r>
      <w:r w:rsidR="00DE242D" w:rsidRPr="00A3491F">
        <w:rPr>
          <w:sz w:val="22"/>
          <w:lang w:val="bg-BG"/>
        </w:rPr>
        <w:t xml:space="preserve">, вината със </w:t>
      </w:r>
      <w:r w:rsidR="008D193D" w:rsidRPr="00A3491F">
        <w:rPr>
          <w:sz w:val="22"/>
          <w:lang w:val="bg-BG"/>
        </w:rPr>
        <w:t>защитено географско указание (</w:t>
      </w:r>
      <w:r w:rsidR="00DE242D" w:rsidRPr="00A3491F">
        <w:rPr>
          <w:sz w:val="22"/>
          <w:lang w:val="bg-BG"/>
        </w:rPr>
        <w:t>ЗГУ</w:t>
      </w:r>
      <w:r w:rsidR="008D193D" w:rsidRPr="00A3491F">
        <w:rPr>
          <w:sz w:val="22"/>
          <w:lang w:val="bg-BG"/>
        </w:rPr>
        <w:t>)</w:t>
      </w:r>
      <w:r w:rsidR="00DE242D" w:rsidRPr="00A3491F">
        <w:rPr>
          <w:sz w:val="22"/>
          <w:lang w:val="bg-BG"/>
        </w:rPr>
        <w:t xml:space="preserve"> и сортовите вина без ЗНП/ЗГУ, </w:t>
      </w:r>
      <w:r w:rsidR="008D193D" w:rsidRPr="00A3491F">
        <w:rPr>
          <w:sz w:val="22"/>
          <w:lang w:val="bg-BG"/>
        </w:rPr>
        <w:t xml:space="preserve">контролът върху прилагането на </w:t>
      </w:r>
      <w:r w:rsidR="00DE242D" w:rsidRPr="00A3491F">
        <w:rPr>
          <w:sz w:val="22"/>
          <w:lang w:val="bg-BG"/>
        </w:rPr>
        <w:t>енологичните практики, приложими към производството и съхраняването на продуктите, граничните стойности при употребата им, както и спецификациите за чистотата и идентичността на веществата, използвани в енологичните практики, условията и редът за извеждането на вторичните продукти под наблюдение, условията и редът за производството, признаването и предлагането на плодово вино и оцет, условията и реда за унищожаване на продуктите, произведени чрез различни от разрешените енологични практики и в нарушение на ограниченията за производството и съхраняването им, правилата за етикетиране, образците на придружителните документи, както и условията и редът за превоз на лозаро-винарски продукти, условията и редът за издаване на писменото становище на ИАЛВ за освобождаване на специална гаранция за внесени от трети страни продукти, устройството и дейността на дегустационните комисии</w:t>
      </w:r>
      <w:r w:rsidR="008D193D" w:rsidRPr="00A3491F">
        <w:rPr>
          <w:sz w:val="22"/>
          <w:lang w:val="bg-BG"/>
        </w:rPr>
        <w:t>.</w:t>
      </w:r>
      <w:r w:rsidR="00DE242D" w:rsidRPr="00A3491F">
        <w:rPr>
          <w:sz w:val="22"/>
          <w:lang w:val="bg-BG"/>
        </w:rPr>
        <w:t xml:space="preserve"> </w:t>
      </w:r>
      <w:r w:rsidR="00606633" w:rsidRPr="00A3491F">
        <w:rPr>
          <w:sz w:val="22"/>
          <w:lang w:val="bg-BG"/>
        </w:rPr>
        <w:t xml:space="preserve">Същевременно, </w:t>
      </w:r>
      <w:r w:rsidR="000548B7" w:rsidRPr="00A3491F">
        <w:rPr>
          <w:sz w:val="22"/>
          <w:lang w:val="bg-BG"/>
        </w:rPr>
        <w:t>те</w:t>
      </w:r>
      <w:r w:rsidR="00DE242D" w:rsidRPr="00A3491F">
        <w:rPr>
          <w:sz w:val="22"/>
          <w:lang w:val="bg-BG"/>
        </w:rPr>
        <w:t>зи дейности</w:t>
      </w:r>
      <w:r w:rsidR="00606633" w:rsidRPr="00A3491F">
        <w:rPr>
          <w:sz w:val="22"/>
          <w:lang w:val="bg-BG"/>
        </w:rPr>
        <w:t xml:space="preserve"> са необходими </w:t>
      </w:r>
      <w:r w:rsidR="000548B7" w:rsidRPr="00A3491F">
        <w:rPr>
          <w:sz w:val="22"/>
          <w:lang w:val="bg-BG"/>
        </w:rPr>
        <w:t>за</w:t>
      </w:r>
      <w:r w:rsidR="00606633" w:rsidRPr="00A3491F">
        <w:rPr>
          <w:sz w:val="22"/>
          <w:lang w:val="bg-BG"/>
        </w:rPr>
        <w:t xml:space="preserve"> нормално</w:t>
      </w:r>
      <w:r w:rsidR="000548B7" w:rsidRPr="00A3491F">
        <w:rPr>
          <w:sz w:val="22"/>
          <w:lang w:val="bg-BG"/>
        </w:rPr>
        <w:t>то</w:t>
      </w:r>
      <w:r w:rsidR="00606633" w:rsidRPr="00A3491F">
        <w:rPr>
          <w:sz w:val="22"/>
          <w:lang w:val="bg-BG"/>
        </w:rPr>
        <w:t xml:space="preserve"> функциониране</w:t>
      </w:r>
      <w:r w:rsidR="000548B7" w:rsidRPr="00A3491F">
        <w:rPr>
          <w:sz w:val="22"/>
          <w:lang w:val="bg-BG"/>
        </w:rPr>
        <w:t xml:space="preserve"> на сектора, а средствата </w:t>
      </w:r>
      <w:r w:rsidR="00DE242D" w:rsidRPr="00A3491F">
        <w:rPr>
          <w:sz w:val="22"/>
          <w:lang w:val="bg-BG"/>
        </w:rPr>
        <w:t xml:space="preserve">(в случаите в които е предвидено събирането на такса) </w:t>
      </w:r>
      <w:r w:rsidR="000548B7" w:rsidRPr="00A3491F">
        <w:rPr>
          <w:sz w:val="22"/>
          <w:lang w:val="bg-BG"/>
        </w:rPr>
        <w:t>за извършването им следва да бъдат поети от частните субекти, които заявяват предоставянето на съответните административни услуги</w:t>
      </w:r>
      <w:r w:rsidR="006D65F0" w:rsidRPr="00A3491F">
        <w:rPr>
          <w:sz w:val="22"/>
          <w:lang w:val="bg-BG"/>
        </w:rPr>
        <w:t>, а не от самата администрация, която ги извършва</w:t>
      </w:r>
      <w:r w:rsidR="002A78D2" w:rsidRPr="00A3491F">
        <w:rPr>
          <w:sz w:val="22"/>
          <w:lang w:val="bg-BG"/>
        </w:rPr>
        <w:t>, какъвто е случаят към момента</w:t>
      </w:r>
      <w:r w:rsidR="00606633" w:rsidRPr="00A3491F">
        <w:rPr>
          <w:sz w:val="22"/>
          <w:lang w:val="bg-BG"/>
        </w:rPr>
        <w:t>. Ето защо</w:t>
      </w:r>
      <w:r w:rsidR="008D193D" w:rsidRPr="00A3491F">
        <w:rPr>
          <w:sz w:val="22"/>
          <w:lang w:val="bg-BG"/>
        </w:rPr>
        <w:t>,</w:t>
      </w:r>
      <w:r w:rsidR="00606633" w:rsidRPr="00A3491F">
        <w:rPr>
          <w:sz w:val="22"/>
          <w:lang w:val="bg-BG"/>
        </w:rPr>
        <w:t xml:space="preserve"> </w:t>
      </w:r>
      <w:r w:rsidR="000548B7" w:rsidRPr="00A3491F">
        <w:rPr>
          <w:sz w:val="22"/>
          <w:lang w:val="bg-BG"/>
        </w:rPr>
        <w:t xml:space="preserve">е абсолютно необходимо </w:t>
      </w:r>
      <w:r w:rsidR="00606633" w:rsidRPr="00A3491F">
        <w:rPr>
          <w:sz w:val="22"/>
          <w:lang w:val="bg-BG"/>
        </w:rPr>
        <w:t>да се предвиди нормативното им основание</w:t>
      </w:r>
      <w:r w:rsidR="000548B7" w:rsidRPr="00A3491F">
        <w:rPr>
          <w:sz w:val="22"/>
          <w:lang w:val="bg-BG"/>
        </w:rPr>
        <w:t xml:space="preserve"> и занапред те да бъдат осъществявани</w:t>
      </w:r>
      <w:r w:rsidR="006D65F0" w:rsidRPr="00A3491F">
        <w:rPr>
          <w:sz w:val="22"/>
          <w:lang w:val="bg-BG"/>
        </w:rPr>
        <w:t xml:space="preserve"> въз основа на закона</w:t>
      </w:r>
      <w:r w:rsidR="008D193D" w:rsidRPr="00A3491F">
        <w:rPr>
          <w:sz w:val="22"/>
          <w:lang w:val="bg-BG"/>
        </w:rPr>
        <w:t>,</w:t>
      </w:r>
      <w:r w:rsidR="006D65F0" w:rsidRPr="00A3491F">
        <w:rPr>
          <w:sz w:val="22"/>
          <w:lang w:val="bg-BG"/>
        </w:rPr>
        <w:t xml:space="preserve"> като за </w:t>
      </w:r>
      <w:r w:rsidR="008D193D" w:rsidRPr="00A3491F">
        <w:rPr>
          <w:sz w:val="22"/>
          <w:lang w:val="bg-BG"/>
        </w:rPr>
        <w:t xml:space="preserve">онези от тях, за които </w:t>
      </w:r>
      <w:proofErr w:type="spellStart"/>
      <w:r w:rsidR="00EB19F8" w:rsidRPr="00A3491F">
        <w:rPr>
          <w:sz w:val="22"/>
          <w:lang w:val="bg-BG"/>
        </w:rPr>
        <w:t>специализиранатa</w:t>
      </w:r>
      <w:proofErr w:type="spellEnd"/>
      <w:r w:rsidR="008D193D" w:rsidRPr="00A3491F">
        <w:rPr>
          <w:sz w:val="22"/>
          <w:lang w:val="bg-BG"/>
        </w:rPr>
        <w:t xml:space="preserve"> администрация прави допълнителни разходи при предоставянето им,</w:t>
      </w:r>
      <w:r w:rsidR="006D65F0" w:rsidRPr="00A3491F">
        <w:rPr>
          <w:sz w:val="22"/>
          <w:lang w:val="bg-BG"/>
        </w:rPr>
        <w:t xml:space="preserve">да бъдат </w:t>
      </w:r>
      <w:r w:rsidR="008D193D" w:rsidRPr="00A3491F">
        <w:rPr>
          <w:sz w:val="22"/>
          <w:lang w:val="bg-BG"/>
        </w:rPr>
        <w:t xml:space="preserve">предвидени и </w:t>
      </w:r>
      <w:r w:rsidR="006D65F0" w:rsidRPr="00A3491F">
        <w:rPr>
          <w:sz w:val="22"/>
          <w:lang w:val="bg-BG"/>
        </w:rPr>
        <w:t>събирани такси от частните субекти</w:t>
      </w:r>
      <w:r w:rsidR="00606633" w:rsidRPr="00A3491F">
        <w:rPr>
          <w:sz w:val="22"/>
          <w:lang w:val="bg-BG"/>
        </w:rPr>
        <w:t>.</w:t>
      </w:r>
    </w:p>
    <w:p w:rsidR="009C25BF" w:rsidRPr="00A3491F" w:rsidRDefault="009C25BF" w:rsidP="006B3BB7">
      <w:pPr>
        <w:pStyle w:val="Heading1"/>
        <w:spacing w:after="120"/>
        <w:rPr>
          <w:rFonts w:cs="Times New Roman"/>
          <w:sz w:val="22"/>
          <w:szCs w:val="22"/>
          <w:lang w:val="bg-BG"/>
        </w:rPr>
      </w:pPr>
      <w:bookmarkStart w:id="10" w:name="_Toc496709940"/>
      <w:r w:rsidRPr="00A3491F">
        <w:rPr>
          <w:rFonts w:cs="Times New Roman"/>
          <w:sz w:val="22"/>
          <w:szCs w:val="22"/>
          <w:lang w:val="bg-BG"/>
        </w:rPr>
        <w:lastRenderedPageBreak/>
        <w:t>III. Заинтересовани страни</w:t>
      </w:r>
      <w:bookmarkEnd w:id="10"/>
    </w:p>
    <w:p w:rsidR="009C25BF" w:rsidRPr="00A3491F" w:rsidRDefault="009C25BF" w:rsidP="006B3BB7">
      <w:pPr>
        <w:pStyle w:val="ListParagraph"/>
        <w:tabs>
          <w:tab w:val="left" w:pos="885"/>
        </w:tabs>
        <w:spacing w:after="120"/>
        <w:ind w:left="0"/>
        <w:rPr>
          <w:color w:val="000000" w:themeColor="text1"/>
          <w:sz w:val="22"/>
          <w:lang w:val="bg-BG"/>
        </w:rPr>
      </w:pPr>
      <w:r w:rsidRPr="00A3491F">
        <w:rPr>
          <w:color w:val="000000" w:themeColor="text1"/>
          <w:sz w:val="22"/>
          <w:lang w:val="bg-BG"/>
        </w:rPr>
        <w:t>При определяне на заинтересованите страни от приемането на проекта на Закон за виното и спиртните напитки са взети предвид действащите нормативни положения в сектора и заложените в проекта промени. Според резултатите от направените съпоставки се очаква приемането на проектозакона да засегне правната сфера на три категории субекти. Това са тези лица, за които в закона са предвидени нови или са изменени съществуващи права и задължения или правомощия по отношение на публичните институции. Така заинтересовани страни от приемането на настоящия проект на закон са производителите на грозде, вино, продукти от грозде и вино, оцет, плодови вина</w:t>
      </w:r>
      <w:r w:rsidR="00775B30" w:rsidRPr="00A3491F">
        <w:rPr>
          <w:color w:val="000000" w:themeColor="text1"/>
          <w:sz w:val="22"/>
          <w:lang w:val="bg-BG"/>
        </w:rPr>
        <w:t xml:space="preserve">, продукти от плодови вина, </w:t>
      </w:r>
      <w:r w:rsidR="00775B30" w:rsidRPr="00A3491F">
        <w:rPr>
          <w:sz w:val="22"/>
          <w:lang w:val="bg-BG"/>
        </w:rPr>
        <w:t>етилов алкохол от земеделски произход, дестилати и спиртни напитки</w:t>
      </w:r>
      <w:r w:rsidRPr="00A3491F">
        <w:rPr>
          <w:color w:val="000000" w:themeColor="text1"/>
          <w:sz w:val="22"/>
          <w:lang w:val="bg-BG"/>
        </w:rPr>
        <w:t xml:space="preserve">, както и техните професионални организации. Заинтересовани страни са още и държавните институции, отговорни за прилагането на закона. </w:t>
      </w:r>
    </w:p>
    <w:p w:rsidR="009C25BF" w:rsidRPr="00A3491F" w:rsidRDefault="009C25BF" w:rsidP="006B3BB7">
      <w:pPr>
        <w:pStyle w:val="Heading2"/>
        <w:spacing w:before="240" w:after="120"/>
        <w:rPr>
          <w:rFonts w:cs="Times New Roman"/>
          <w:sz w:val="22"/>
          <w:szCs w:val="22"/>
          <w:lang w:val="bg-BG"/>
        </w:rPr>
      </w:pPr>
      <w:bookmarkStart w:id="11" w:name="_Toc496709941"/>
      <w:r w:rsidRPr="00A3491F">
        <w:rPr>
          <w:rFonts w:cs="Times New Roman"/>
          <w:sz w:val="22"/>
          <w:szCs w:val="22"/>
          <w:lang w:val="bg-BG"/>
        </w:rPr>
        <w:t>III.1. Стопански субекти</w:t>
      </w:r>
      <w:bookmarkEnd w:id="11"/>
      <w:r w:rsidRPr="00A3491F">
        <w:rPr>
          <w:rFonts w:cs="Times New Roman"/>
          <w:sz w:val="22"/>
          <w:szCs w:val="22"/>
          <w:lang w:val="bg-BG"/>
        </w:rPr>
        <w:t xml:space="preserve"> </w:t>
      </w:r>
    </w:p>
    <w:p w:rsidR="00C56B56" w:rsidRPr="00A3491F" w:rsidRDefault="00C56B56" w:rsidP="006B3BB7">
      <w:pPr>
        <w:spacing w:after="120"/>
        <w:rPr>
          <w:sz w:val="22"/>
          <w:lang w:val="bg-BG"/>
        </w:rPr>
      </w:pPr>
      <w:r w:rsidRPr="00A3491F">
        <w:rPr>
          <w:sz w:val="22"/>
          <w:lang w:val="bg-BG"/>
        </w:rPr>
        <w:t xml:space="preserve">Според данни на НСИ и регистрите на ИАЛВ и МИ стопанските субекти обхванати от регулацията по секторите на статистическа класификация са представени в таблицата по-долу. </w:t>
      </w:r>
    </w:p>
    <w:p w:rsidR="002962C6" w:rsidRPr="00A3491F" w:rsidRDefault="002962C6" w:rsidP="006B3BB7">
      <w:pPr>
        <w:spacing w:after="120"/>
        <w:rPr>
          <w:i/>
          <w:sz w:val="22"/>
          <w:lang w:val="bg-BG"/>
        </w:rPr>
      </w:pPr>
      <w:r w:rsidRPr="00A3491F">
        <w:rPr>
          <w:i/>
          <w:sz w:val="22"/>
          <w:lang w:val="bg-BG"/>
        </w:rPr>
        <w:t>Таблица 1: Засегнати стопански субекти</w:t>
      </w:r>
    </w:p>
    <w:tbl>
      <w:tblPr>
        <w:tblW w:w="0" w:type="auto"/>
        <w:jc w:val="center"/>
        <w:tblLayout w:type="fixed"/>
        <w:tblLook w:val="04A0" w:firstRow="1" w:lastRow="0" w:firstColumn="1" w:lastColumn="0" w:noHBand="0" w:noVBand="1"/>
      </w:tblPr>
      <w:tblGrid>
        <w:gridCol w:w="927"/>
        <w:gridCol w:w="1285"/>
        <w:gridCol w:w="1582"/>
        <w:gridCol w:w="1035"/>
        <w:gridCol w:w="1500"/>
        <w:gridCol w:w="3746"/>
      </w:tblGrid>
      <w:tr w:rsidR="004E3B20" w:rsidRPr="00A3491F" w:rsidTr="00EB19F8">
        <w:trPr>
          <w:cantSplit/>
          <w:trHeight w:val="1036"/>
          <w:jc w:val="center"/>
        </w:trPr>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B20" w:rsidRPr="00A3491F" w:rsidRDefault="004E3B20" w:rsidP="006B3BB7">
            <w:pPr>
              <w:keepNext/>
              <w:widowControl w:val="0"/>
              <w:spacing w:after="0"/>
              <w:jc w:val="center"/>
              <w:rPr>
                <w:rFonts w:eastAsia="Times New Roman"/>
                <w:b/>
                <w:bCs/>
                <w:color w:val="000000"/>
                <w:sz w:val="22"/>
                <w:lang w:val="bg-BG"/>
              </w:rPr>
            </w:pPr>
            <w:r w:rsidRPr="00A3491F">
              <w:rPr>
                <w:rFonts w:eastAsia="Times New Roman"/>
                <w:b/>
                <w:bCs/>
                <w:color w:val="000000"/>
                <w:sz w:val="22"/>
                <w:lang w:val="bg-BG"/>
              </w:rPr>
              <w:t>Сектор</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4E3B20" w:rsidRPr="00A3491F" w:rsidRDefault="004E3B20" w:rsidP="006B3BB7">
            <w:pPr>
              <w:keepNext/>
              <w:widowControl w:val="0"/>
              <w:spacing w:after="0"/>
              <w:jc w:val="center"/>
              <w:rPr>
                <w:rFonts w:eastAsia="Times New Roman"/>
                <w:b/>
                <w:bCs/>
                <w:color w:val="333333"/>
                <w:sz w:val="22"/>
                <w:lang w:val="bg-BG"/>
              </w:rPr>
            </w:pPr>
            <w:r w:rsidRPr="00A3491F">
              <w:rPr>
                <w:rFonts w:eastAsia="Times New Roman"/>
                <w:b/>
                <w:bCs/>
                <w:color w:val="000000"/>
                <w:sz w:val="22"/>
                <w:lang w:val="bg-BG"/>
              </w:rPr>
              <w:t>Раздел (двузначен код)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4E3B20" w:rsidRPr="00A3491F" w:rsidRDefault="004E3B20" w:rsidP="006B3BB7">
            <w:pPr>
              <w:keepNext/>
              <w:widowControl w:val="0"/>
              <w:spacing w:after="0"/>
              <w:jc w:val="center"/>
              <w:rPr>
                <w:rFonts w:eastAsia="Times New Roman"/>
                <w:b/>
                <w:bCs/>
                <w:color w:val="333333"/>
                <w:sz w:val="22"/>
                <w:lang w:val="bg-BG"/>
              </w:rPr>
            </w:pPr>
            <w:r w:rsidRPr="00A3491F">
              <w:rPr>
                <w:rFonts w:eastAsia="Times New Roman"/>
                <w:b/>
                <w:bCs/>
                <w:color w:val="000000"/>
                <w:sz w:val="22"/>
                <w:lang w:val="bg-BG"/>
              </w:rPr>
              <w:t>Клас (</w:t>
            </w:r>
            <w:proofErr w:type="spellStart"/>
            <w:r w:rsidRPr="00A3491F">
              <w:rPr>
                <w:rFonts w:eastAsia="Times New Roman"/>
                <w:b/>
                <w:bCs/>
                <w:color w:val="000000"/>
                <w:sz w:val="22"/>
                <w:lang w:val="bg-BG"/>
              </w:rPr>
              <w:t>четиризначен</w:t>
            </w:r>
            <w:proofErr w:type="spellEnd"/>
            <w:r w:rsidRPr="00A3491F">
              <w:rPr>
                <w:rFonts w:eastAsia="Times New Roman"/>
                <w:b/>
                <w:bCs/>
                <w:color w:val="000000"/>
                <w:sz w:val="22"/>
                <w:lang w:val="bg-BG"/>
              </w:rPr>
              <w:t xml:space="preserve"> код)</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4E3B20" w:rsidRPr="00A3491F" w:rsidRDefault="004E3B20" w:rsidP="006B3BB7">
            <w:pPr>
              <w:keepNext/>
              <w:widowControl w:val="0"/>
              <w:spacing w:after="0"/>
              <w:jc w:val="center"/>
              <w:rPr>
                <w:rFonts w:eastAsia="Times New Roman"/>
                <w:b/>
                <w:bCs/>
                <w:color w:val="000000"/>
                <w:sz w:val="22"/>
                <w:lang w:val="bg-BG"/>
              </w:rPr>
            </w:pPr>
            <w:r w:rsidRPr="00A3491F">
              <w:rPr>
                <w:rFonts w:eastAsia="Times New Roman"/>
                <w:b/>
                <w:bCs/>
                <w:color w:val="000000"/>
                <w:sz w:val="22"/>
                <w:lang w:val="bg-BG"/>
              </w:rPr>
              <w:t>КПИД -2008</w:t>
            </w:r>
          </w:p>
        </w:tc>
        <w:tc>
          <w:tcPr>
            <w:tcW w:w="1500" w:type="dxa"/>
            <w:tcBorders>
              <w:top w:val="single" w:sz="4" w:space="0" w:color="auto"/>
              <w:left w:val="nil"/>
              <w:bottom w:val="single" w:sz="4" w:space="0" w:color="auto"/>
              <w:right w:val="single" w:sz="4" w:space="0" w:color="auto"/>
            </w:tcBorders>
            <w:vAlign w:val="center"/>
          </w:tcPr>
          <w:p w:rsidR="004E3B20" w:rsidRPr="00A3491F" w:rsidRDefault="004E3B20" w:rsidP="006B3BB7">
            <w:pPr>
              <w:keepNext/>
              <w:widowControl w:val="0"/>
              <w:spacing w:after="0"/>
              <w:jc w:val="center"/>
              <w:rPr>
                <w:rFonts w:eastAsia="Times New Roman"/>
                <w:b/>
                <w:bCs/>
                <w:color w:val="333333"/>
                <w:sz w:val="22"/>
                <w:lang w:val="bg-BG"/>
              </w:rPr>
            </w:pPr>
            <w:r w:rsidRPr="00A3491F">
              <w:rPr>
                <w:rFonts w:eastAsia="Times New Roman"/>
                <w:b/>
                <w:bCs/>
                <w:color w:val="000000"/>
                <w:sz w:val="22"/>
                <w:lang w:val="bg-BG"/>
              </w:rPr>
              <w:t>Брой предприятия в обхвата на регулацията</w:t>
            </w:r>
          </w:p>
        </w:tc>
        <w:tc>
          <w:tcPr>
            <w:tcW w:w="3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B20" w:rsidRPr="00A3491F" w:rsidRDefault="004E3B20" w:rsidP="006B3BB7">
            <w:pPr>
              <w:keepNext/>
              <w:widowControl w:val="0"/>
              <w:spacing w:after="0"/>
              <w:jc w:val="center"/>
              <w:rPr>
                <w:rFonts w:eastAsia="Times New Roman"/>
                <w:b/>
                <w:bCs/>
                <w:color w:val="000000"/>
                <w:sz w:val="22"/>
                <w:lang w:val="bg-BG"/>
              </w:rPr>
            </w:pPr>
            <w:r w:rsidRPr="00A3491F">
              <w:rPr>
                <w:rFonts w:eastAsia="Times New Roman"/>
                <w:b/>
                <w:bCs/>
                <w:color w:val="000000"/>
                <w:sz w:val="22"/>
                <w:lang w:val="bg-BG"/>
              </w:rPr>
              <w:t>Описание според КПИД - 2008 НСИ</w:t>
            </w:r>
          </w:p>
        </w:tc>
      </w:tr>
      <w:tr w:rsidR="004E3B20" w:rsidRPr="00A3491F" w:rsidTr="00EB19F8">
        <w:trPr>
          <w:cantSplit/>
          <w:trHeight w:val="462"/>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4E3B20" w:rsidRPr="00A3491F" w:rsidRDefault="004E3B20" w:rsidP="006B3BB7">
            <w:pPr>
              <w:spacing w:after="0"/>
              <w:jc w:val="left"/>
              <w:rPr>
                <w:rFonts w:eastAsia="Times New Roman"/>
                <w:b/>
                <w:bCs/>
                <w:sz w:val="22"/>
                <w:lang w:val="bg-BG"/>
              </w:rPr>
            </w:pPr>
            <w:r w:rsidRPr="00A3491F">
              <w:rPr>
                <w:rFonts w:eastAsia="Times New Roman"/>
                <w:b/>
                <w:bCs/>
                <w:sz w:val="22"/>
                <w:lang w:val="bg-BG"/>
              </w:rPr>
              <w:t>А 11.0</w:t>
            </w:r>
          </w:p>
        </w:tc>
        <w:tc>
          <w:tcPr>
            <w:tcW w:w="1285"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center"/>
              <w:rPr>
                <w:rFonts w:eastAsia="Times New Roman"/>
                <w:sz w:val="22"/>
                <w:lang w:val="bg-BG"/>
              </w:rPr>
            </w:pPr>
            <w:r w:rsidRPr="00A3491F">
              <w:rPr>
                <w:rFonts w:eastAsia="Times New Roman"/>
                <w:sz w:val="22"/>
                <w:lang w:val="bg-BG"/>
              </w:rPr>
              <w:t>01</w:t>
            </w:r>
          </w:p>
        </w:tc>
        <w:tc>
          <w:tcPr>
            <w:tcW w:w="1582"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center"/>
              <w:rPr>
                <w:rFonts w:eastAsia="Times New Roman"/>
                <w:sz w:val="22"/>
                <w:lang w:val="bg-BG"/>
              </w:rPr>
            </w:pPr>
            <w:r w:rsidRPr="00A3491F">
              <w:rPr>
                <w:rFonts w:eastAsia="Times New Roman"/>
                <w:sz w:val="22"/>
                <w:lang w:val="bg-BG"/>
              </w:rPr>
              <w:t>01.10</w:t>
            </w:r>
          </w:p>
        </w:tc>
        <w:tc>
          <w:tcPr>
            <w:tcW w:w="1035" w:type="dxa"/>
            <w:tcBorders>
              <w:top w:val="nil"/>
              <w:left w:val="nil"/>
              <w:bottom w:val="single" w:sz="4" w:space="0" w:color="auto"/>
              <w:right w:val="single" w:sz="4" w:space="0" w:color="auto"/>
            </w:tcBorders>
            <w:shd w:val="clear" w:color="auto" w:fill="auto"/>
            <w:noWrap/>
            <w:vAlign w:val="center"/>
            <w:hideMark/>
          </w:tcPr>
          <w:p w:rsidR="004E3B20" w:rsidRPr="00A3491F" w:rsidRDefault="004E3B20" w:rsidP="006B3BB7">
            <w:pPr>
              <w:spacing w:after="0"/>
              <w:jc w:val="left"/>
              <w:rPr>
                <w:rFonts w:eastAsia="Times New Roman"/>
                <w:sz w:val="22"/>
                <w:lang w:val="bg-BG"/>
              </w:rPr>
            </w:pPr>
            <w:r w:rsidRPr="00A3491F">
              <w:rPr>
                <w:rFonts w:eastAsia="Times New Roman"/>
                <w:sz w:val="22"/>
                <w:lang w:val="bg-BG"/>
              </w:rPr>
              <w:t>11.01.10</w:t>
            </w:r>
          </w:p>
        </w:tc>
        <w:tc>
          <w:tcPr>
            <w:tcW w:w="1500" w:type="dxa"/>
            <w:tcBorders>
              <w:top w:val="single" w:sz="4" w:space="0" w:color="auto"/>
              <w:left w:val="nil"/>
              <w:bottom w:val="single" w:sz="4" w:space="0" w:color="auto"/>
              <w:right w:val="single" w:sz="4" w:space="0" w:color="auto"/>
            </w:tcBorders>
            <w:vAlign w:val="center"/>
          </w:tcPr>
          <w:p w:rsidR="004E3B20" w:rsidRPr="00A3491F" w:rsidRDefault="004E3B20" w:rsidP="006B3BB7">
            <w:pPr>
              <w:spacing w:after="0"/>
              <w:jc w:val="center"/>
              <w:rPr>
                <w:rFonts w:eastAsia="Times New Roman"/>
                <w:b/>
                <w:bCs/>
                <w:sz w:val="22"/>
                <w:lang w:val="bg-BG"/>
              </w:rPr>
            </w:pPr>
            <w:r w:rsidRPr="00A3491F">
              <w:rPr>
                <w:rFonts w:eastAsia="Times New Roman"/>
                <w:b/>
                <w:bCs/>
                <w:sz w:val="22"/>
                <w:lang w:val="bg-BG"/>
              </w:rPr>
              <w:t>73</w:t>
            </w:r>
          </w:p>
        </w:tc>
        <w:tc>
          <w:tcPr>
            <w:tcW w:w="3746" w:type="dxa"/>
            <w:tcBorders>
              <w:top w:val="nil"/>
              <w:left w:val="single" w:sz="4" w:space="0" w:color="auto"/>
              <w:bottom w:val="single" w:sz="4" w:space="0" w:color="auto"/>
              <w:right w:val="single" w:sz="4" w:space="0" w:color="auto"/>
            </w:tcBorders>
            <w:shd w:val="clear" w:color="auto" w:fill="auto"/>
            <w:noWrap/>
            <w:vAlign w:val="center"/>
            <w:hideMark/>
          </w:tcPr>
          <w:p w:rsidR="004E3B20" w:rsidRPr="00A3491F" w:rsidRDefault="004E3B20" w:rsidP="006B3BB7">
            <w:pPr>
              <w:spacing w:after="0"/>
              <w:jc w:val="left"/>
              <w:rPr>
                <w:rFonts w:eastAsia="Times New Roman"/>
                <w:sz w:val="22"/>
                <w:lang w:val="bg-BG"/>
              </w:rPr>
            </w:pPr>
            <w:r w:rsidRPr="00A3491F">
              <w:rPr>
                <w:rFonts w:eastAsia="Times New Roman"/>
                <w:sz w:val="22"/>
                <w:lang w:val="bg-BG"/>
              </w:rPr>
              <w:t>Спиртни напитки</w:t>
            </w:r>
          </w:p>
        </w:tc>
      </w:tr>
      <w:tr w:rsidR="004E3B20" w:rsidRPr="0099421C" w:rsidTr="00EB19F8">
        <w:trPr>
          <w:cantSplit/>
          <w:trHeight w:val="600"/>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4E3B20" w:rsidRPr="00A3491F" w:rsidRDefault="004E3B20" w:rsidP="006B3BB7">
            <w:pPr>
              <w:spacing w:after="0"/>
              <w:jc w:val="left"/>
              <w:rPr>
                <w:rFonts w:eastAsia="Times New Roman"/>
                <w:b/>
                <w:bCs/>
                <w:sz w:val="22"/>
                <w:lang w:val="bg-BG"/>
              </w:rPr>
            </w:pPr>
            <w:r w:rsidRPr="00A3491F">
              <w:rPr>
                <w:rFonts w:eastAsia="Times New Roman"/>
                <w:b/>
                <w:bCs/>
                <w:sz w:val="22"/>
                <w:lang w:val="bg-BG"/>
              </w:rPr>
              <w:t>А 11.0</w:t>
            </w:r>
          </w:p>
        </w:tc>
        <w:tc>
          <w:tcPr>
            <w:tcW w:w="1285"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center"/>
              <w:rPr>
                <w:rFonts w:eastAsia="Times New Roman"/>
                <w:sz w:val="22"/>
                <w:lang w:val="bg-BG"/>
              </w:rPr>
            </w:pPr>
            <w:r w:rsidRPr="00A3491F">
              <w:rPr>
                <w:rFonts w:eastAsia="Times New Roman"/>
                <w:sz w:val="22"/>
                <w:lang w:val="bg-BG"/>
              </w:rPr>
              <w:t>02</w:t>
            </w:r>
          </w:p>
        </w:tc>
        <w:tc>
          <w:tcPr>
            <w:tcW w:w="1582"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center"/>
              <w:rPr>
                <w:rFonts w:eastAsia="Times New Roman"/>
                <w:sz w:val="22"/>
                <w:lang w:val="bg-BG"/>
              </w:rPr>
            </w:pPr>
            <w:r w:rsidRPr="00A3491F">
              <w:rPr>
                <w:rFonts w:eastAsia="Times New Roman"/>
                <w:sz w:val="22"/>
                <w:lang w:val="bg-BG"/>
              </w:rPr>
              <w:t>02.11</w:t>
            </w:r>
          </w:p>
        </w:tc>
        <w:tc>
          <w:tcPr>
            <w:tcW w:w="1035"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left"/>
              <w:rPr>
                <w:rFonts w:eastAsia="Times New Roman"/>
                <w:sz w:val="22"/>
                <w:lang w:val="bg-BG"/>
              </w:rPr>
            </w:pPr>
            <w:r w:rsidRPr="00A3491F">
              <w:rPr>
                <w:rFonts w:eastAsia="Times New Roman"/>
                <w:sz w:val="22"/>
                <w:lang w:val="bg-BG"/>
              </w:rPr>
              <w:t>11.02.11</w:t>
            </w:r>
          </w:p>
        </w:tc>
        <w:tc>
          <w:tcPr>
            <w:tcW w:w="1500" w:type="dxa"/>
            <w:tcBorders>
              <w:top w:val="single" w:sz="4" w:space="0" w:color="auto"/>
              <w:left w:val="nil"/>
              <w:bottom w:val="single" w:sz="4" w:space="0" w:color="auto"/>
              <w:right w:val="single" w:sz="4" w:space="0" w:color="auto"/>
            </w:tcBorders>
            <w:vAlign w:val="center"/>
          </w:tcPr>
          <w:p w:rsidR="004E3B20" w:rsidRPr="00A3491F" w:rsidRDefault="004E3B20" w:rsidP="006B3BB7">
            <w:pPr>
              <w:spacing w:after="0"/>
              <w:jc w:val="center"/>
              <w:rPr>
                <w:rFonts w:eastAsia="Times New Roman"/>
                <w:b/>
                <w:bCs/>
                <w:sz w:val="22"/>
                <w:highlight w:val="yellow"/>
                <w:lang w:val="bg-BG"/>
              </w:rPr>
            </w:pPr>
            <w:r w:rsidRPr="00A3491F">
              <w:rPr>
                <w:rFonts w:eastAsia="Times New Roman"/>
                <w:b/>
                <w:bCs/>
                <w:sz w:val="22"/>
                <w:lang w:val="bg-BG"/>
              </w:rPr>
              <w:t>36</w:t>
            </w:r>
          </w:p>
        </w:tc>
        <w:tc>
          <w:tcPr>
            <w:tcW w:w="3746" w:type="dxa"/>
            <w:tcBorders>
              <w:top w:val="nil"/>
              <w:left w:val="single" w:sz="4" w:space="0" w:color="auto"/>
              <w:bottom w:val="single" w:sz="4" w:space="0" w:color="auto"/>
              <w:right w:val="single" w:sz="4" w:space="0" w:color="auto"/>
            </w:tcBorders>
            <w:shd w:val="clear" w:color="auto" w:fill="auto"/>
            <w:vAlign w:val="center"/>
            <w:hideMark/>
          </w:tcPr>
          <w:p w:rsidR="004E3B20" w:rsidRPr="00A3491F" w:rsidRDefault="004E3B20" w:rsidP="006B3BB7">
            <w:pPr>
              <w:spacing w:after="0"/>
              <w:jc w:val="left"/>
              <w:rPr>
                <w:rFonts w:eastAsia="Times New Roman"/>
                <w:sz w:val="22"/>
                <w:lang w:val="bg-BG"/>
              </w:rPr>
            </w:pPr>
            <w:r w:rsidRPr="00A3491F">
              <w:rPr>
                <w:rFonts w:eastAsia="Times New Roman"/>
                <w:sz w:val="22"/>
                <w:lang w:val="bg-BG"/>
              </w:rPr>
              <w:t>Пенливи вина от прясно грозде</w:t>
            </w:r>
          </w:p>
        </w:tc>
      </w:tr>
      <w:tr w:rsidR="004E3B20" w:rsidRPr="0099421C" w:rsidTr="00EB19F8">
        <w:trPr>
          <w:cantSplit/>
          <w:trHeight w:val="799"/>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4E3B20" w:rsidRPr="00A3491F" w:rsidRDefault="004E3B20" w:rsidP="006B3BB7">
            <w:pPr>
              <w:spacing w:after="0"/>
              <w:jc w:val="left"/>
              <w:rPr>
                <w:rFonts w:eastAsia="Times New Roman"/>
                <w:b/>
                <w:bCs/>
                <w:sz w:val="22"/>
                <w:lang w:val="bg-BG"/>
              </w:rPr>
            </w:pPr>
            <w:r w:rsidRPr="00A3491F">
              <w:rPr>
                <w:rFonts w:eastAsia="Times New Roman"/>
                <w:b/>
                <w:bCs/>
                <w:sz w:val="22"/>
                <w:lang w:val="bg-BG"/>
              </w:rPr>
              <w:t>А 11.0</w:t>
            </w:r>
          </w:p>
        </w:tc>
        <w:tc>
          <w:tcPr>
            <w:tcW w:w="1285"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center"/>
              <w:rPr>
                <w:rFonts w:eastAsia="Times New Roman"/>
                <w:sz w:val="22"/>
                <w:lang w:val="bg-BG"/>
              </w:rPr>
            </w:pPr>
            <w:r w:rsidRPr="00A3491F">
              <w:rPr>
                <w:rFonts w:eastAsia="Times New Roman"/>
                <w:sz w:val="22"/>
                <w:lang w:val="bg-BG"/>
              </w:rPr>
              <w:t>02</w:t>
            </w:r>
          </w:p>
        </w:tc>
        <w:tc>
          <w:tcPr>
            <w:tcW w:w="1582"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center"/>
              <w:rPr>
                <w:rFonts w:eastAsia="Times New Roman"/>
                <w:sz w:val="22"/>
                <w:lang w:val="bg-BG"/>
              </w:rPr>
            </w:pPr>
            <w:r w:rsidRPr="00A3491F">
              <w:rPr>
                <w:rFonts w:eastAsia="Times New Roman"/>
                <w:sz w:val="22"/>
                <w:lang w:val="bg-BG"/>
              </w:rPr>
              <w:t>02.12</w:t>
            </w:r>
          </w:p>
        </w:tc>
        <w:tc>
          <w:tcPr>
            <w:tcW w:w="1035"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left"/>
              <w:rPr>
                <w:rFonts w:eastAsia="Times New Roman"/>
                <w:sz w:val="22"/>
                <w:lang w:val="bg-BG"/>
              </w:rPr>
            </w:pPr>
            <w:r w:rsidRPr="00A3491F">
              <w:rPr>
                <w:rFonts w:eastAsia="Times New Roman"/>
                <w:sz w:val="22"/>
                <w:lang w:val="bg-BG"/>
              </w:rPr>
              <w:t>11.02.12</w:t>
            </w:r>
          </w:p>
        </w:tc>
        <w:tc>
          <w:tcPr>
            <w:tcW w:w="1500" w:type="dxa"/>
            <w:tcBorders>
              <w:top w:val="single" w:sz="4" w:space="0" w:color="auto"/>
              <w:left w:val="nil"/>
              <w:bottom w:val="single" w:sz="4" w:space="0" w:color="auto"/>
              <w:right w:val="single" w:sz="4" w:space="0" w:color="auto"/>
            </w:tcBorders>
            <w:vAlign w:val="center"/>
          </w:tcPr>
          <w:p w:rsidR="004E3B20" w:rsidRPr="00A3491F" w:rsidRDefault="004E3B20" w:rsidP="006B3BB7">
            <w:pPr>
              <w:spacing w:after="0"/>
              <w:jc w:val="center"/>
              <w:rPr>
                <w:rFonts w:eastAsia="Times New Roman"/>
                <w:b/>
                <w:bCs/>
                <w:sz w:val="22"/>
                <w:highlight w:val="yellow"/>
                <w:lang w:val="bg-BG"/>
              </w:rPr>
            </w:pPr>
            <w:r w:rsidRPr="00A3491F">
              <w:rPr>
                <w:rFonts w:eastAsia="Times New Roman"/>
                <w:b/>
                <w:bCs/>
                <w:sz w:val="22"/>
                <w:lang w:val="bg-BG"/>
              </w:rPr>
              <w:t>263</w:t>
            </w:r>
          </w:p>
        </w:tc>
        <w:tc>
          <w:tcPr>
            <w:tcW w:w="3746" w:type="dxa"/>
            <w:tcBorders>
              <w:top w:val="nil"/>
              <w:left w:val="single" w:sz="4" w:space="0" w:color="auto"/>
              <w:bottom w:val="single" w:sz="4" w:space="0" w:color="auto"/>
              <w:right w:val="single" w:sz="4" w:space="0" w:color="auto"/>
            </w:tcBorders>
            <w:shd w:val="clear" w:color="auto" w:fill="auto"/>
            <w:vAlign w:val="center"/>
            <w:hideMark/>
          </w:tcPr>
          <w:p w:rsidR="004E3B20" w:rsidRPr="00A3491F" w:rsidRDefault="004E3B20" w:rsidP="006B3BB7">
            <w:pPr>
              <w:spacing w:after="0"/>
              <w:jc w:val="left"/>
              <w:rPr>
                <w:rFonts w:eastAsia="Times New Roman"/>
                <w:sz w:val="22"/>
                <w:lang w:val="bg-BG"/>
              </w:rPr>
            </w:pPr>
            <w:r w:rsidRPr="00A3491F">
              <w:rPr>
                <w:rFonts w:eastAsia="Times New Roman"/>
                <w:sz w:val="22"/>
                <w:lang w:val="bg-BG"/>
              </w:rPr>
              <w:t>Вина от прясно грозде, без пенливи вина; ферментирала гроздова мъст</w:t>
            </w:r>
          </w:p>
        </w:tc>
      </w:tr>
      <w:tr w:rsidR="004E3B20" w:rsidRPr="0099421C" w:rsidTr="00EB19F8">
        <w:trPr>
          <w:cantSplit/>
          <w:trHeight w:val="572"/>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4E3B20" w:rsidRPr="00A3491F" w:rsidRDefault="004E3B20" w:rsidP="006B3BB7">
            <w:pPr>
              <w:spacing w:after="0"/>
              <w:jc w:val="left"/>
              <w:rPr>
                <w:rFonts w:eastAsia="Times New Roman"/>
                <w:b/>
                <w:bCs/>
                <w:sz w:val="22"/>
                <w:lang w:val="bg-BG"/>
              </w:rPr>
            </w:pPr>
            <w:r w:rsidRPr="00A3491F">
              <w:rPr>
                <w:rFonts w:eastAsia="Times New Roman"/>
                <w:b/>
                <w:bCs/>
                <w:sz w:val="22"/>
                <w:lang w:val="bg-BG"/>
              </w:rPr>
              <w:t>А 11.0</w:t>
            </w:r>
          </w:p>
        </w:tc>
        <w:tc>
          <w:tcPr>
            <w:tcW w:w="1285"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center"/>
              <w:rPr>
                <w:rFonts w:eastAsia="Times New Roman"/>
                <w:sz w:val="22"/>
                <w:lang w:val="bg-BG"/>
              </w:rPr>
            </w:pPr>
            <w:r w:rsidRPr="00A3491F">
              <w:rPr>
                <w:rFonts w:eastAsia="Times New Roman"/>
                <w:sz w:val="22"/>
                <w:lang w:val="bg-BG"/>
              </w:rPr>
              <w:t>04</w:t>
            </w:r>
          </w:p>
        </w:tc>
        <w:tc>
          <w:tcPr>
            <w:tcW w:w="1582"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center"/>
              <w:rPr>
                <w:rFonts w:eastAsia="Times New Roman"/>
                <w:sz w:val="22"/>
                <w:lang w:val="bg-BG"/>
              </w:rPr>
            </w:pPr>
            <w:r w:rsidRPr="00A3491F">
              <w:rPr>
                <w:rFonts w:eastAsia="Times New Roman"/>
                <w:sz w:val="22"/>
                <w:lang w:val="bg-BG"/>
              </w:rPr>
              <w:t>04.10</w:t>
            </w:r>
          </w:p>
        </w:tc>
        <w:tc>
          <w:tcPr>
            <w:tcW w:w="1035"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left"/>
              <w:rPr>
                <w:rFonts w:eastAsia="Times New Roman"/>
                <w:sz w:val="22"/>
                <w:lang w:val="bg-BG"/>
              </w:rPr>
            </w:pPr>
            <w:r w:rsidRPr="00A3491F">
              <w:rPr>
                <w:rFonts w:eastAsia="Times New Roman"/>
                <w:sz w:val="22"/>
                <w:lang w:val="bg-BG"/>
              </w:rPr>
              <w:t>11.04.10</w:t>
            </w:r>
          </w:p>
        </w:tc>
        <w:tc>
          <w:tcPr>
            <w:tcW w:w="1500" w:type="dxa"/>
            <w:tcBorders>
              <w:top w:val="single" w:sz="4" w:space="0" w:color="auto"/>
              <w:left w:val="nil"/>
              <w:bottom w:val="single" w:sz="4" w:space="0" w:color="auto"/>
              <w:right w:val="single" w:sz="4" w:space="0" w:color="auto"/>
            </w:tcBorders>
            <w:vAlign w:val="center"/>
          </w:tcPr>
          <w:p w:rsidR="004E3B20" w:rsidRPr="00A3491F" w:rsidRDefault="004E3B20" w:rsidP="006B3BB7">
            <w:pPr>
              <w:spacing w:after="0"/>
              <w:jc w:val="center"/>
              <w:rPr>
                <w:rFonts w:eastAsia="Times New Roman"/>
                <w:b/>
                <w:bCs/>
                <w:sz w:val="22"/>
                <w:highlight w:val="yellow"/>
                <w:lang w:val="bg-BG"/>
              </w:rPr>
            </w:pPr>
            <w:r w:rsidRPr="00A3491F">
              <w:rPr>
                <w:rFonts w:eastAsia="Times New Roman"/>
                <w:b/>
                <w:bCs/>
                <w:sz w:val="22"/>
                <w:lang w:val="bg-BG"/>
              </w:rPr>
              <w:t>131</w:t>
            </w:r>
          </w:p>
        </w:tc>
        <w:tc>
          <w:tcPr>
            <w:tcW w:w="3746" w:type="dxa"/>
            <w:tcBorders>
              <w:top w:val="nil"/>
              <w:left w:val="single" w:sz="4" w:space="0" w:color="auto"/>
              <w:bottom w:val="single" w:sz="4" w:space="0" w:color="auto"/>
              <w:right w:val="single" w:sz="4" w:space="0" w:color="auto"/>
            </w:tcBorders>
            <w:shd w:val="clear" w:color="auto" w:fill="auto"/>
            <w:vAlign w:val="center"/>
            <w:hideMark/>
          </w:tcPr>
          <w:p w:rsidR="004E3B20" w:rsidRPr="00A3491F" w:rsidRDefault="004E3B20" w:rsidP="006B3BB7">
            <w:pPr>
              <w:spacing w:after="0"/>
              <w:jc w:val="left"/>
              <w:rPr>
                <w:rFonts w:eastAsia="Times New Roman"/>
                <w:sz w:val="22"/>
                <w:lang w:val="bg-BG"/>
              </w:rPr>
            </w:pPr>
            <w:r w:rsidRPr="00A3491F">
              <w:rPr>
                <w:rFonts w:eastAsia="Times New Roman"/>
                <w:sz w:val="22"/>
                <w:lang w:val="bg-BG"/>
              </w:rPr>
              <w:t>Вермут и други ароматизирани вина от прясно грозде</w:t>
            </w:r>
          </w:p>
        </w:tc>
      </w:tr>
      <w:tr w:rsidR="004E3B20" w:rsidRPr="00A3491F" w:rsidTr="00EB19F8">
        <w:trPr>
          <w:cantSplit/>
          <w:trHeight w:val="300"/>
          <w:jc w:val="center"/>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4E3B20" w:rsidRPr="00A3491F" w:rsidRDefault="004E3B20" w:rsidP="006B3BB7">
            <w:pPr>
              <w:spacing w:after="0"/>
              <w:jc w:val="left"/>
              <w:rPr>
                <w:rFonts w:eastAsia="Times New Roman"/>
                <w:b/>
                <w:bCs/>
                <w:sz w:val="22"/>
                <w:lang w:val="bg-BG"/>
              </w:rPr>
            </w:pPr>
            <w:r w:rsidRPr="00A3491F">
              <w:rPr>
                <w:rFonts w:eastAsia="Times New Roman"/>
                <w:b/>
                <w:bCs/>
                <w:sz w:val="22"/>
                <w:lang w:val="bg-BG"/>
              </w:rPr>
              <w:t>А 01</w:t>
            </w:r>
          </w:p>
        </w:tc>
        <w:tc>
          <w:tcPr>
            <w:tcW w:w="1285"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center"/>
              <w:rPr>
                <w:rFonts w:eastAsia="Times New Roman"/>
                <w:sz w:val="22"/>
                <w:lang w:val="bg-BG"/>
              </w:rPr>
            </w:pPr>
            <w:r w:rsidRPr="00A3491F">
              <w:rPr>
                <w:rFonts w:eastAsia="Times New Roman"/>
                <w:sz w:val="22"/>
                <w:lang w:val="bg-BG"/>
              </w:rPr>
              <w:t>01</w:t>
            </w:r>
          </w:p>
        </w:tc>
        <w:tc>
          <w:tcPr>
            <w:tcW w:w="1582" w:type="dxa"/>
            <w:tcBorders>
              <w:top w:val="nil"/>
              <w:left w:val="nil"/>
              <w:bottom w:val="single" w:sz="4" w:space="0" w:color="auto"/>
              <w:right w:val="single" w:sz="4" w:space="0" w:color="auto"/>
            </w:tcBorders>
            <w:shd w:val="clear" w:color="auto" w:fill="auto"/>
            <w:vAlign w:val="center"/>
            <w:hideMark/>
          </w:tcPr>
          <w:p w:rsidR="004E3B20" w:rsidRPr="00A3491F" w:rsidRDefault="004E3B20" w:rsidP="006B3BB7">
            <w:pPr>
              <w:spacing w:after="0"/>
              <w:jc w:val="center"/>
              <w:rPr>
                <w:rFonts w:eastAsia="Times New Roman"/>
                <w:sz w:val="22"/>
                <w:lang w:val="bg-BG"/>
              </w:rPr>
            </w:pPr>
            <w:r w:rsidRPr="00A3491F">
              <w:rPr>
                <w:rFonts w:eastAsia="Times New Roman"/>
                <w:sz w:val="22"/>
                <w:lang w:val="bg-BG"/>
              </w:rPr>
              <w:t>01.21</w:t>
            </w:r>
          </w:p>
        </w:tc>
        <w:tc>
          <w:tcPr>
            <w:tcW w:w="1035" w:type="dxa"/>
            <w:tcBorders>
              <w:top w:val="nil"/>
              <w:left w:val="nil"/>
              <w:bottom w:val="single" w:sz="4" w:space="0" w:color="auto"/>
              <w:right w:val="single" w:sz="4" w:space="0" w:color="auto"/>
            </w:tcBorders>
            <w:shd w:val="clear" w:color="auto" w:fill="auto"/>
            <w:noWrap/>
            <w:vAlign w:val="center"/>
            <w:hideMark/>
          </w:tcPr>
          <w:p w:rsidR="004E3B20" w:rsidRPr="00A3491F" w:rsidRDefault="004E3B20" w:rsidP="006B3BB7">
            <w:pPr>
              <w:spacing w:after="0"/>
              <w:jc w:val="left"/>
              <w:rPr>
                <w:rFonts w:eastAsia="Times New Roman"/>
                <w:sz w:val="22"/>
                <w:lang w:val="bg-BG"/>
              </w:rPr>
            </w:pPr>
            <w:r w:rsidRPr="00A3491F">
              <w:rPr>
                <w:rFonts w:eastAsia="Times New Roman"/>
                <w:sz w:val="22"/>
                <w:lang w:val="bg-BG"/>
              </w:rPr>
              <w:t> </w:t>
            </w:r>
          </w:p>
        </w:tc>
        <w:tc>
          <w:tcPr>
            <w:tcW w:w="1500" w:type="dxa"/>
            <w:tcBorders>
              <w:top w:val="single" w:sz="4" w:space="0" w:color="auto"/>
              <w:left w:val="nil"/>
              <w:bottom w:val="single" w:sz="4" w:space="0" w:color="auto"/>
              <w:right w:val="single" w:sz="4" w:space="0" w:color="auto"/>
            </w:tcBorders>
            <w:vAlign w:val="center"/>
          </w:tcPr>
          <w:p w:rsidR="004E3B20" w:rsidRPr="00A3491F" w:rsidRDefault="004E3B20" w:rsidP="006B3BB7">
            <w:pPr>
              <w:spacing w:after="0"/>
              <w:jc w:val="left"/>
              <w:rPr>
                <w:rFonts w:eastAsia="Times New Roman"/>
                <w:b/>
                <w:bCs/>
                <w:sz w:val="22"/>
                <w:lang w:val="bg-BG"/>
              </w:rPr>
            </w:pPr>
            <w:r w:rsidRPr="00A3491F">
              <w:rPr>
                <w:rFonts w:eastAsia="Times New Roman"/>
                <w:b/>
                <w:bCs/>
                <w:sz w:val="22"/>
                <w:lang w:val="bg-BG"/>
              </w:rPr>
              <w:t>над 3490</w:t>
            </w:r>
          </w:p>
        </w:tc>
        <w:tc>
          <w:tcPr>
            <w:tcW w:w="3746" w:type="dxa"/>
            <w:tcBorders>
              <w:top w:val="nil"/>
              <w:left w:val="single" w:sz="4" w:space="0" w:color="auto"/>
              <w:bottom w:val="single" w:sz="4" w:space="0" w:color="auto"/>
              <w:right w:val="single" w:sz="4" w:space="0" w:color="auto"/>
            </w:tcBorders>
            <w:shd w:val="clear" w:color="auto" w:fill="auto"/>
            <w:vAlign w:val="center"/>
            <w:hideMark/>
          </w:tcPr>
          <w:p w:rsidR="004E3B20" w:rsidRPr="00A3491F" w:rsidRDefault="004E3B20" w:rsidP="006B3BB7">
            <w:pPr>
              <w:spacing w:after="0"/>
              <w:jc w:val="left"/>
              <w:rPr>
                <w:rFonts w:eastAsia="Times New Roman"/>
                <w:sz w:val="22"/>
                <w:lang w:val="bg-BG"/>
              </w:rPr>
            </w:pPr>
            <w:r w:rsidRPr="00A3491F">
              <w:rPr>
                <w:rFonts w:eastAsia="Times New Roman"/>
                <w:sz w:val="22"/>
                <w:lang w:val="bg-BG"/>
              </w:rPr>
              <w:t>Отглеждане на грозде</w:t>
            </w:r>
          </w:p>
        </w:tc>
      </w:tr>
    </w:tbl>
    <w:p w:rsidR="00C56B56" w:rsidRPr="00A3491F" w:rsidRDefault="00C56B56" w:rsidP="006B3BB7">
      <w:pPr>
        <w:spacing w:before="240" w:after="120"/>
        <w:rPr>
          <w:sz w:val="22"/>
          <w:lang w:val="bg-BG"/>
        </w:rPr>
      </w:pPr>
      <w:r w:rsidRPr="00A3491F">
        <w:rPr>
          <w:sz w:val="22"/>
          <w:lang w:val="bg-BG"/>
        </w:rPr>
        <w:t xml:space="preserve">Според подадените данни в </w:t>
      </w:r>
      <w:proofErr w:type="spellStart"/>
      <w:r w:rsidRPr="00A3491F">
        <w:rPr>
          <w:sz w:val="22"/>
          <w:lang w:val="bg-BG"/>
        </w:rPr>
        <w:t>Eurostat</w:t>
      </w:r>
      <w:proofErr w:type="spellEnd"/>
      <w:r w:rsidRPr="00A3491F">
        <w:rPr>
          <w:sz w:val="22"/>
          <w:lang w:val="bg-BG"/>
        </w:rPr>
        <w:t xml:space="preserve"> броят на лозарските стопанства през 2013</w:t>
      </w:r>
      <w:r w:rsidR="002962C6" w:rsidRPr="00A3491F">
        <w:rPr>
          <w:sz w:val="22"/>
          <w:lang w:val="bg-BG"/>
        </w:rPr>
        <w:t xml:space="preserve"> </w:t>
      </w:r>
      <w:r w:rsidRPr="00A3491F">
        <w:rPr>
          <w:sz w:val="22"/>
          <w:lang w:val="bg-BG"/>
        </w:rPr>
        <w:t>г</w:t>
      </w:r>
      <w:r w:rsidR="002962C6" w:rsidRPr="00A3491F">
        <w:rPr>
          <w:sz w:val="22"/>
          <w:lang w:val="bg-BG"/>
        </w:rPr>
        <w:t>.,</w:t>
      </w:r>
      <w:r w:rsidRPr="00A3491F">
        <w:rPr>
          <w:sz w:val="22"/>
          <w:lang w:val="bg-BG"/>
        </w:rPr>
        <w:t xml:space="preserve"> е над 12 хил</w:t>
      </w:r>
      <w:r w:rsidR="002962C6" w:rsidRPr="00A3491F">
        <w:rPr>
          <w:sz w:val="22"/>
          <w:lang w:val="bg-BG"/>
        </w:rPr>
        <w:t>яди</w:t>
      </w:r>
      <w:r w:rsidRPr="00A3491F">
        <w:rPr>
          <w:sz w:val="22"/>
          <w:lang w:val="bg-BG"/>
        </w:rPr>
        <w:t>.</w:t>
      </w:r>
    </w:p>
    <w:p w:rsidR="00C56B56" w:rsidRPr="00A3491F" w:rsidRDefault="009C25BF" w:rsidP="006B3BB7">
      <w:pPr>
        <w:spacing w:after="120"/>
        <w:rPr>
          <w:sz w:val="22"/>
          <w:lang w:val="bg-BG"/>
        </w:rPr>
      </w:pPr>
      <w:r w:rsidRPr="00A3491F">
        <w:rPr>
          <w:sz w:val="22"/>
          <w:lang w:val="bg-BG"/>
        </w:rPr>
        <w:t xml:space="preserve">Законът за виното и спиртните напитки ще окаже пряко въздействие върху гроздопроизводители, винопроизводители, включително производители на ароматизирани лозаро-винарски продукти, плодово вино, продукти на основата на плодово вино и производителите на оцет, производители на етилов алкохол от земеделски произход, дестилати и спиртни напитки. Законът за виното и спиртните напитки </w:t>
      </w:r>
      <w:r w:rsidR="00301A3D" w:rsidRPr="00A3491F">
        <w:rPr>
          <w:sz w:val="22"/>
          <w:lang w:val="bg-BG"/>
        </w:rPr>
        <w:t>има</w:t>
      </w:r>
      <w:r w:rsidRPr="00A3491F">
        <w:rPr>
          <w:sz w:val="22"/>
          <w:lang w:val="bg-BG"/>
        </w:rPr>
        <w:t xml:space="preserve"> въздействие и върху лица регистрирани по Търговския закон, по Закона за кооперациите и по законодателството на друга държава членка на ЕС или на друга държава - страна по Споразумението за Европейското икономическо пространство, както и юридически лица, създадени въз основа на нормативен акт, които </w:t>
      </w:r>
      <w:r w:rsidR="00301A3D" w:rsidRPr="00A3491F">
        <w:rPr>
          <w:sz w:val="22"/>
          <w:lang w:val="bg-BG"/>
        </w:rPr>
        <w:t xml:space="preserve">след регистрация </w:t>
      </w:r>
      <w:r w:rsidRPr="00A3491F">
        <w:rPr>
          <w:sz w:val="22"/>
          <w:lang w:val="bg-BG"/>
        </w:rPr>
        <w:t xml:space="preserve">осъществяват на територията на страната: внос, въвеждане на територията на страната, производство, продажба, предоставяне или предлагане на дестилационни съоръжения за производство на етилов алкохол, дестилати и спиртни напитки. </w:t>
      </w:r>
    </w:p>
    <w:p w:rsidR="009C25BF" w:rsidRPr="00A3491F" w:rsidRDefault="00C56B56" w:rsidP="006B3BB7">
      <w:pPr>
        <w:spacing w:after="120"/>
        <w:rPr>
          <w:sz w:val="22"/>
          <w:lang w:val="bg-BG"/>
        </w:rPr>
      </w:pPr>
      <w:r w:rsidRPr="00A3491F">
        <w:rPr>
          <w:sz w:val="22"/>
          <w:lang w:val="bg-BG"/>
        </w:rPr>
        <w:lastRenderedPageBreak/>
        <w:t>В Приложение 4 Финансова обосновка в т. 4 Статистически данни за сектор лозарство и винарство са представени и други статистически данни и</w:t>
      </w:r>
      <w:r w:rsidR="00A46E20" w:rsidRPr="00A3491F">
        <w:rPr>
          <w:sz w:val="22"/>
          <w:lang w:val="bg-BG"/>
        </w:rPr>
        <w:t xml:space="preserve"> анализи, които са използвани при оценката </w:t>
      </w:r>
      <w:r w:rsidR="007D1A14" w:rsidRPr="00A3491F">
        <w:rPr>
          <w:sz w:val="22"/>
          <w:lang w:val="bg-BG"/>
        </w:rPr>
        <w:t>н</w:t>
      </w:r>
      <w:r w:rsidR="00A46E20" w:rsidRPr="00A3491F">
        <w:rPr>
          <w:sz w:val="22"/>
          <w:lang w:val="bg-BG"/>
        </w:rPr>
        <w:t>а въздействие на проекта на ЗВСН.</w:t>
      </w:r>
    </w:p>
    <w:p w:rsidR="009C25BF" w:rsidRPr="00A3491F" w:rsidRDefault="009C25BF" w:rsidP="006B3BB7">
      <w:pPr>
        <w:pStyle w:val="Heading2"/>
        <w:spacing w:before="240" w:after="120"/>
        <w:rPr>
          <w:rFonts w:cs="Times New Roman"/>
          <w:sz w:val="22"/>
          <w:szCs w:val="22"/>
          <w:lang w:val="bg-BG"/>
        </w:rPr>
      </w:pPr>
      <w:bookmarkStart w:id="12" w:name="_Toc496709942"/>
      <w:r w:rsidRPr="00A3491F">
        <w:rPr>
          <w:rFonts w:cs="Times New Roman"/>
          <w:sz w:val="22"/>
          <w:szCs w:val="22"/>
          <w:lang w:val="bg-BG"/>
        </w:rPr>
        <w:t>III.2. Потребители</w:t>
      </w:r>
      <w:bookmarkEnd w:id="12"/>
    </w:p>
    <w:p w:rsidR="009C25BF" w:rsidRPr="00A3491F" w:rsidRDefault="009C25BF" w:rsidP="006B3BB7">
      <w:pPr>
        <w:spacing w:after="240"/>
        <w:rPr>
          <w:sz w:val="22"/>
          <w:lang w:val="bg-BG"/>
        </w:rPr>
      </w:pPr>
      <w:r w:rsidRPr="00A3491F">
        <w:rPr>
          <w:sz w:val="22"/>
          <w:lang w:val="bg-BG"/>
        </w:rPr>
        <w:t xml:space="preserve">Не се очаква новият Закон за виното и спиртните напитки да има пряко отражение върху потребителите на продукти от сектора. </w:t>
      </w:r>
      <w:r w:rsidR="00301A3D" w:rsidRPr="00A3491F">
        <w:rPr>
          <w:sz w:val="22"/>
          <w:lang w:val="bg-BG"/>
        </w:rPr>
        <w:t>Предвидените промени в таксите и в размера на санкциите при установени административни нарушения</w:t>
      </w:r>
      <w:r w:rsidRPr="00A3491F">
        <w:rPr>
          <w:sz w:val="22"/>
          <w:lang w:val="bg-BG"/>
        </w:rPr>
        <w:t xml:space="preserve"> би</w:t>
      </w:r>
      <w:r w:rsidR="00301A3D" w:rsidRPr="00A3491F">
        <w:rPr>
          <w:sz w:val="22"/>
          <w:lang w:val="bg-BG"/>
        </w:rPr>
        <w:t>ха</w:t>
      </w:r>
      <w:r w:rsidRPr="00A3491F">
        <w:rPr>
          <w:sz w:val="22"/>
          <w:lang w:val="bg-BG"/>
        </w:rPr>
        <w:t xml:space="preserve"> </w:t>
      </w:r>
      <w:r w:rsidR="00301A3D" w:rsidRPr="00A3491F">
        <w:rPr>
          <w:sz w:val="22"/>
          <w:lang w:val="bg-BG"/>
        </w:rPr>
        <w:t xml:space="preserve">могли </w:t>
      </w:r>
      <w:r w:rsidRPr="00A3491F">
        <w:rPr>
          <w:sz w:val="22"/>
          <w:lang w:val="bg-BG"/>
        </w:rPr>
        <w:t xml:space="preserve">да </w:t>
      </w:r>
      <w:r w:rsidR="007D1A14" w:rsidRPr="00A3491F">
        <w:rPr>
          <w:sz w:val="22"/>
          <w:lang w:val="bg-BG"/>
        </w:rPr>
        <w:t xml:space="preserve">проявят </w:t>
      </w:r>
      <w:r w:rsidRPr="00A3491F">
        <w:rPr>
          <w:sz w:val="22"/>
          <w:lang w:val="bg-BG"/>
        </w:rPr>
        <w:t>косвен ефект върху крайната продажна цена на продуктите, но от друга страна предвижданите промени целят намаляване на нерегламентираното производство на вино и спиртни напитки и повишаване на качеството на предлаганите на пазара продукти. Очаква се законодателните промени да допринесат за по-добро съотношение между цената и качеството и да повишат безопасността на предлаганите продукти. Предвижданите нормативни промени за дейностите с дестилационни съоръжения целят засилване на контрола по отношение производството на напитки, които отговарят на изискванията на европейското и националното законодателство, както и по-</w:t>
      </w:r>
      <w:r w:rsidR="007D1A14" w:rsidRPr="00A3491F">
        <w:rPr>
          <w:sz w:val="22"/>
          <w:lang w:val="bg-BG"/>
        </w:rPr>
        <w:t>засилена</w:t>
      </w:r>
      <w:r w:rsidR="00301A3D" w:rsidRPr="00A3491F">
        <w:rPr>
          <w:sz w:val="22"/>
          <w:lang w:val="bg-BG"/>
        </w:rPr>
        <w:t xml:space="preserve"> </w:t>
      </w:r>
      <w:r w:rsidRPr="00A3491F">
        <w:rPr>
          <w:sz w:val="22"/>
          <w:lang w:val="bg-BG"/>
        </w:rPr>
        <w:t>защита на потребителите, прозрачност на пазара и честна конкуренция.</w:t>
      </w:r>
    </w:p>
    <w:p w:rsidR="009C25BF" w:rsidRPr="00A3491F" w:rsidRDefault="009C25BF" w:rsidP="006B3BB7">
      <w:pPr>
        <w:pStyle w:val="Heading2"/>
        <w:spacing w:before="240" w:after="120"/>
        <w:rPr>
          <w:rFonts w:cs="Times New Roman"/>
          <w:sz w:val="22"/>
          <w:szCs w:val="22"/>
          <w:lang w:val="bg-BG"/>
        </w:rPr>
      </w:pPr>
      <w:bookmarkStart w:id="13" w:name="_Toc496709943"/>
      <w:r w:rsidRPr="00A3491F">
        <w:rPr>
          <w:rFonts w:cs="Times New Roman"/>
          <w:sz w:val="22"/>
          <w:szCs w:val="22"/>
          <w:lang w:val="bg-BG"/>
        </w:rPr>
        <w:t>III.3. Органи, натоварени с изпълнението на закона</w:t>
      </w:r>
      <w:bookmarkEnd w:id="13"/>
    </w:p>
    <w:p w:rsidR="009C25BF" w:rsidRPr="00A3491F" w:rsidRDefault="009C25BF" w:rsidP="006B3BB7">
      <w:pPr>
        <w:spacing w:after="120"/>
        <w:rPr>
          <w:sz w:val="22"/>
          <w:lang w:val="bg-BG"/>
        </w:rPr>
      </w:pPr>
      <w:r w:rsidRPr="00A3491F">
        <w:rPr>
          <w:sz w:val="22"/>
          <w:lang w:val="bg-BG"/>
        </w:rPr>
        <w:t xml:space="preserve">Органите, натоварени с изпълнението на закона ще бъдат пряко засегнати от приемането му. За тях се създават нови задължения </w:t>
      </w:r>
      <w:r w:rsidR="007D1A14" w:rsidRPr="00A3491F">
        <w:rPr>
          <w:sz w:val="22"/>
          <w:lang w:val="bg-BG"/>
        </w:rPr>
        <w:t>във връзка с предоставяните</w:t>
      </w:r>
      <w:r w:rsidRPr="00A3491F">
        <w:rPr>
          <w:sz w:val="22"/>
          <w:lang w:val="bg-BG"/>
        </w:rPr>
        <w:t xml:space="preserve"> административни услуги и се </w:t>
      </w:r>
      <w:r w:rsidR="00961388" w:rsidRPr="00A3491F">
        <w:rPr>
          <w:sz w:val="22"/>
          <w:lang w:val="bg-BG"/>
        </w:rPr>
        <w:t xml:space="preserve">създават нови основания за водене на </w:t>
      </w:r>
      <w:r w:rsidRPr="00A3491F">
        <w:rPr>
          <w:sz w:val="22"/>
          <w:lang w:val="bg-BG"/>
        </w:rPr>
        <w:t>съществуващите регистри. Не на последно място, приемането на новия закон и подзаконовите нормативни актове, предвидени в него, ще наложат изменения в постъпленията в бюджета и съответно в делегираните бюджети на второстепенните разпоредители с бюджет.</w:t>
      </w:r>
    </w:p>
    <w:p w:rsidR="009C25BF" w:rsidRPr="00A3491F" w:rsidRDefault="009C25BF" w:rsidP="006B3BB7">
      <w:pPr>
        <w:pStyle w:val="Heading3"/>
        <w:spacing w:before="240" w:after="120"/>
        <w:rPr>
          <w:rFonts w:ascii="Times New Roman" w:hAnsi="Times New Roman" w:cs="Times New Roman"/>
          <w:sz w:val="22"/>
          <w:lang w:val="bg-BG"/>
        </w:rPr>
      </w:pPr>
      <w:bookmarkStart w:id="14" w:name="_Toc496709944"/>
      <w:r w:rsidRPr="00A3491F">
        <w:rPr>
          <w:rFonts w:ascii="Times New Roman" w:hAnsi="Times New Roman" w:cs="Times New Roman"/>
          <w:sz w:val="22"/>
          <w:lang w:val="bg-BG"/>
        </w:rPr>
        <w:t>III.3.1. Контрол върху производството на грозде, вино и продукти, произведени от вино</w:t>
      </w:r>
      <w:bookmarkEnd w:id="14"/>
    </w:p>
    <w:p w:rsidR="009C25BF" w:rsidRPr="00A3491F" w:rsidRDefault="009C25BF" w:rsidP="006B3BB7">
      <w:pPr>
        <w:spacing w:after="120"/>
        <w:rPr>
          <w:sz w:val="22"/>
          <w:lang w:val="bg-BG"/>
        </w:rPr>
      </w:pPr>
      <w:r w:rsidRPr="00A3491F">
        <w:rPr>
          <w:sz w:val="22"/>
          <w:lang w:val="bg-BG"/>
        </w:rPr>
        <w:t xml:space="preserve">Определянето на държавната политика </w:t>
      </w:r>
      <w:r w:rsidRPr="00A3491F">
        <w:rPr>
          <w:rFonts w:eastAsia="Times New Roman"/>
          <w:sz w:val="22"/>
          <w:lang w:val="bg-BG" w:eastAsia="bg-BG"/>
        </w:rPr>
        <w:t>в лозаро-винарския сектор, както и по отношение на производството на плодови вина,</w:t>
      </w:r>
      <w:r w:rsidRPr="00A3491F">
        <w:rPr>
          <w:sz w:val="22"/>
          <w:lang w:val="bg-BG"/>
        </w:rPr>
        <w:t xml:space="preserve"> </w:t>
      </w:r>
      <w:r w:rsidRPr="00A3491F">
        <w:rPr>
          <w:rFonts w:eastAsia="Times New Roman"/>
          <w:sz w:val="22"/>
          <w:lang w:val="bg-BG" w:eastAsia="bg-BG"/>
        </w:rPr>
        <w:t>продукти на основата на плодови вина и оцет</w:t>
      </w:r>
      <w:r w:rsidRPr="00A3491F">
        <w:rPr>
          <w:sz w:val="22"/>
          <w:lang w:val="bg-BG"/>
        </w:rPr>
        <w:t xml:space="preserve"> е възложено на Министъра на земеделието, храните и горите. Изпълнението на закона и контролът за </w:t>
      </w:r>
      <w:r w:rsidRPr="00A3491F">
        <w:rPr>
          <w:rFonts w:eastAsia="Times New Roman"/>
          <w:sz w:val="22"/>
          <w:lang w:val="bg-BG" w:eastAsia="bg-BG"/>
        </w:rPr>
        <w:t xml:space="preserve">спазване на изискванията по отношение на лозовите насаждения и лозаро-винарските продукти, </w:t>
      </w:r>
      <w:r w:rsidRPr="00A3491F">
        <w:rPr>
          <w:sz w:val="22"/>
          <w:lang w:val="bg-BG"/>
        </w:rPr>
        <w:t xml:space="preserve">ароматизираните лозаро-винарски продукти, </w:t>
      </w:r>
      <w:r w:rsidRPr="00A3491F">
        <w:rPr>
          <w:rFonts w:eastAsia="Times New Roman"/>
          <w:sz w:val="22"/>
          <w:lang w:val="bg-BG" w:eastAsia="bg-BG"/>
        </w:rPr>
        <w:t xml:space="preserve">плодовите вина, продуктите на основата на плодови вина и оцета </w:t>
      </w:r>
      <w:r w:rsidRPr="00A3491F">
        <w:rPr>
          <w:sz w:val="22"/>
          <w:lang w:val="bg-BG"/>
        </w:rPr>
        <w:t xml:space="preserve">са възложени на Изпълнителна агенция по лозата и виното. </w:t>
      </w:r>
    </w:p>
    <w:p w:rsidR="009C25BF" w:rsidRPr="00A3491F" w:rsidRDefault="009C25BF" w:rsidP="006B3BB7">
      <w:pPr>
        <w:pStyle w:val="Heading3"/>
        <w:spacing w:before="240" w:after="120"/>
        <w:rPr>
          <w:rFonts w:ascii="Times New Roman" w:hAnsi="Times New Roman" w:cs="Times New Roman"/>
          <w:sz w:val="22"/>
          <w:lang w:val="bg-BG"/>
        </w:rPr>
      </w:pPr>
      <w:bookmarkStart w:id="15" w:name="_Toc496709945"/>
      <w:r w:rsidRPr="00A3491F">
        <w:rPr>
          <w:rFonts w:ascii="Times New Roman" w:hAnsi="Times New Roman" w:cs="Times New Roman"/>
          <w:sz w:val="22"/>
          <w:lang w:val="bg-BG"/>
        </w:rPr>
        <w:t xml:space="preserve">III.3.2. Контрол върху производството на </w:t>
      </w:r>
      <w:r w:rsidR="00775B30" w:rsidRPr="00A3491F">
        <w:rPr>
          <w:rFonts w:ascii="Times New Roman" w:hAnsi="Times New Roman" w:cs="Times New Roman"/>
          <w:sz w:val="22"/>
          <w:lang w:val="bg-BG"/>
        </w:rPr>
        <w:t>етилов алкохол от земеделски произход, дестилати и спиртни напитки</w:t>
      </w:r>
      <w:bookmarkEnd w:id="15"/>
    </w:p>
    <w:p w:rsidR="009C25BF" w:rsidRPr="00A3491F" w:rsidRDefault="009C25BF" w:rsidP="006B3BB7">
      <w:pPr>
        <w:spacing w:after="120"/>
        <w:rPr>
          <w:sz w:val="22"/>
          <w:lang w:val="bg-BG"/>
        </w:rPr>
      </w:pPr>
      <w:r w:rsidRPr="00A3491F">
        <w:rPr>
          <w:rFonts w:eastAsia="Times New Roman"/>
          <w:sz w:val="22"/>
          <w:lang w:val="bg-BG" w:eastAsia="bg-BG"/>
        </w:rPr>
        <w:t xml:space="preserve">Министърът на икономиката осъществява държавната политика по отношение на производството на етилов алкохол от земеделски произход, дестилати от земеделски произход и на спиртните напитки. </w:t>
      </w:r>
      <w:r w:rsidRPr="00A3491F">
        <w:rPr>
          <w:sz w:val="22"/>
          <w:lang w:val="bg-BG"/>
        </w:rPr>
        <w:t xml:space="preserve">На него са възложени и правомощията по изпълнението на закона в частта му относно производството на </w:t>
      </w:r>
      <w:r w:rsidR="00775B30" w:rsidRPr="00A3491F">
        <w:rPr>
          <w:sz w:val="22"/>
          <w:lang w:val="bg-BG"/>
        </w:rPr>
        <w:t>етилов алкохол от земеделски произход, дестилати и спиртни напитки</w:t>
      </w:r>
      <w:r w:rsidRPr="00A3491F">
        <w:rPr>
          <w:sz w:val="22"/>
          <w:lang w:val="bg-BG"/>
        </w:rPr>
        <w:t xml:space="preserve">, при взаимодействието му с други държавни институции. </w:t>
      </w:r>
    </w:p>
    <w:p w:rsidR="009C25BF" w:rsidRPr="00A3491F" w:rsidRDefault="009C25BF" w:rsidP="006B3BB7">
      <w:pPr>
        <w:pStyle w:val="Heading3"/>
        <w:spacing w:before="240" w:after="120"/>
        <w:rPr>
          <w:rFonts w:ascii="Times New Roman" w:hAnsi="Times New Roman" w:cs="Times New Roman"/>
          <w:sz w:val="22"/>
          <w:lang w:val="bg-BG"/>
        </w:rPr>
      </w:pPr>
      <w:bookmarkStart w:id="16" w:name="_Toc496709946"/>
      <w:r w:rsidRPr="00A3491F">
        <w:rPr>
          <w:rFonts w:ascii="Times New Roman" w:hAnsi="Times New Roman" w:cs="Times New Roman"/>
          <w:sz w:val="22"/>
          <w:lang w:val="bg-BG"/>
        </w:rPr>
        <w:t>III.3.3. Контрол върху търговията с вино и спиртни напитки</w:t>
      </w:r>
      <w:bookmarkEnd w:id="16"/>
    </w:p>
    <w:p w:rsidR="009C25BF" w:rsidRPr="00A3491F" w:rsidRDefault="009C25BF" w:rsidP="006B3BB7">
      <w:pPr>
        <w:spacing w:after="120"/>
        <w:rPr>
          <w:sz w:val="22"/>
          <w:lang w:val="bg-BG"/>
        </w:rPr>
      </w:pPr>
      <w:r w:rsidRPr="00A3491F">
        <w:rPr>
          <w:rFonts w:eastAsia="Times New Roman"/>
          <w:sz w:val="22"/>
          <w:lang w:val="bg-BG" w:eastAsia="bg-BG"/>
        </w:rPr>
        <w:t>Контролът по спазване на изискванията на закона по отношение на търговията на дребно с бутилирани спиртни напитки се извършва от Комисията за защита на потребителите към министъра на икономиката. Контролът се извършва с цел защита на потребителите срещу рискове от придобиване на продукти, които не съответстват на установените изисквания.</w:t>
      </w:r>
    </w:p>
    <w:p w:rsidR="00CA75E2" w:rsidRPr="00A3491F" w:rsidRDefault="009C25BF" w:rsidP="006B3BB7">
      <w:pPr>
        <w:pStyle w:val="Heading1"/>
        <w:spacing w:after="120"/>
        <w:rPr>
          <w:rFonts w:cs="Times New Roman"/>
          <w:sz w:val="22"/>
          <w:szCs w:val="22"/>
          <w:lang w:val="bg-BG"/>
        </w:rPr>
      </w:pPr>
      <w:bookmarkStart w:id="17" w:name="_Toc496709947"/>
      <w:r w:rsidRPr="00A3491F">
        <w:rPr>
          <w:rFonts w:cs="Times New Roman"/>
          <w:sz w:val="22"/>
          <w:szCs w:val="22"/>
          <w:lang w:val="bg-BG"/>
        </w:rPr>
        <w:lastRenderedPageBreak/>
        <w:t>IV</w:t>
      </w:r>
      <w:r w:rsidR="00E47E10" w:rsidRPr="00A3491F">
        <w:rPr>
          <w:rFonts w:cs="Times New Roman"/>
          <w:sz w:val="22"/>
          <w:szCs w:val="22"/>
          <w:lang w:val="bg-BG"/>
        </w:rPr>
        <w:t xml:space="preserve">. </w:t>
      </w:r>
      <w:r w:rsidR="00CA75E2" w:rsidRPr="00A3491F">
        <w:rPr>
          <w:rFonts w:cs="Times New Roman"/>
          <w:sz w:val="22"/>
          <w:szCs w:val="22"/>
          <w:lang w:val="bg-BG"/>
        </w:rPr>
        <w:t>Определяне на целите</w:t>
      </w:r>
      <w:r w:rsidR="00C14C40" w:rsidRPr="00A3491F">
        <w:rPr>
          <w:rFonts w:cs="Times New Roman"/>
          <w:sz w:val="22"/>
          <w:szCs w:val="22"/>
          <w:lang w:val="bg-BG"/>
        </w:rPr>
        <w:t xml:space="preserve"> пред регулирането на обществените отношения с проекта на нормативен акт</w:t>
      </w:r>
      <w:bookmarkEnd w:id="17"/>
    </w:p>
    <w:p w:rsidR="00CA75E2" w:rsidRPr="00A3491F" w:rsidRDefault="009C25BF" w:rsidP="006B3BB7">
      <w:pPr>
        <w:pStyle w:val="Heading2"/>
        <w:spacing w:before="240" w:after="120"/>
        <w:rPr>
          <w:rFonts w:cs="Times New Roman"/>
          <w:sz w:val="22"/>
          <w:szCs w:val="22"/>
          <w:lang w:val="bg-BG"/>
        </w:rPr>
      </w:pPr>
      <w:bookmarkStart w:id="18" w:name="_Toc496709948"/>
      <w:r w:rsidRPr="00A3491F">
        <w:rPr>
          <w:rFonts w:cs="Times New Roman"/>
          <w:sz w:val="22"/>
          <w:szCs w:val="22"/>
          <w:lang w:val="bg-BG"/>
        </w:rPr>
        <w:t>IV</w:t>
      </w:r>
      <w:r w:rsidR="00061BD0" w:rsidRPr="00A3491F">
        <w:rPr>
          <w:rFonts w:cs="Times New Roman"/>
          <w:sz w:val="22"/>
          <w:szCs w:val="22"/>
          <w:lang w:val="bg-BG"/>
        </w:rPr>
        <w:t xml:space="preserve">.1. </w:t>
      </w:r>
      <w:r w:rsidR="00CA75E2" w:rsidRPr="00A3491F">
        <w:rPr>
          <w:rFonts w:cs="Times New Roman"/>
          <w:sz w:val="22"/>
          <w:szCs w:val="22"/>
          <w:lang w:val="bg-BG"/>
        </w:rPr>
        <w:t>Обща цел</w:t>
      </w:r>
      <w:bookmarkEnd w:id="18"/>
      <w:r w:rsidR="00CA75E2" w:rsidRPr="00A3491F">
        <w:rPr>
          <w:rFonts w:cs="Times New Roman"/>
          <w:sz w:val="22"/>
          <w:szCs w:val="22"/>
          <w:lang w:val="bg-BG"/>
        </w:rPr>
        <w:t xml:space="preserve"> </w:t>
      </w:r>
    </w:p>
    <w:p w:rsidR="009E3397" w:rsidRPr="00A3491F" w:rsidRDefault="00ED5B21" w:rsidP="006B3BB7">
      <w:pPr>
        <w:spacing w:after="120"/>
        <w:rPr>
          <w:sz w:val="22"/>
          <w:lang w:val="bg-BG"/>
        </w:rPr>
      </w:pPr>
      <w:r w:rsidRPr="00A3491F">
        <w:rPr>
          <w:sz w:val="22"/>
          <w:lang w:val="bg-BG"/>
        </w:rPr>
        <w:t xml:space="preserve">Общата цел на </w:t>
      </w:r>
      <w:r w:rsidR="00DA62F8" w:rsidRPr="00A3491F">
        <w:rPr>
          <w:sz w:val="22"/>
          <w:lang w:val="bg-BG"/>
        </w:rPr>
        <w:t>законо</w:t>
      </w:r>
      <w:r w:rsidRPr="00A3491F">
        <w:rPr>
          <w:sz w:val="22"/>
          <w:lang w:val="bg-BG"/>
        </w:rPr>
        <w:t xml:space="preserve">проекта е </w:t>
      </w:r>
      <w:r w:rsidR="00AC77D1" w:rsidRPr="00A3491F">
        <w:rPr>
          <w:sz w:val="22"/>
          <w:lang w:val="bg-BG"/>
        </w:rPr>
        <w:t>свързан</w:t>
      </w:r>
      <w:r w:rsidRPr="00A3491F">
        <w:rPr>
          <w:sz w:val="22"/>
          <w:lang w:val="bg-BG"/>
        </w:rPr>
        <w:t>а</w:t>
      </w:r>
      <w:r w:rsidR="00AC77D1" w:rsidRPr="00A3491F">
        <w:rPr>
          <w:sz w:val="22"/>
          <w:lang w:val="bg-BG"/>
        </w:rPr>
        <w:t xml:space="preserve"> с </w:t>
      </w:r>
      <w:r w:rsidR="006B1D0D" w:rsidRPr="00A3491F">
        <w:rPr>
          <w:sz w:val="22"/>
          <w:lang w:val="bg-BG"/>
        </w:rPr>
        <w:t xml:space="preserve">пълно и точно изпълнение от страна на българската държава на процедурите по приемане на </w:t>
      </w:r>
      <w:r w:rsidR="00DA62F8" w:rsidRPr="00A3491F">
        <w:rPr>
          <w:sz w:val="22"/>
          <w:lang w:val="bg-BG"/>
        </w:rPr>
        <w:t>Закон за виното и спиртните напитки съобразно</w:t>
      </w:r>
      <w:r w:rsidR="006B1D0D" w:rsidRPr="00A3491F">
        <w:rPr>
          <w:sz w:val="22"/>
          <w:lang w:val="bg-BG"/>
        </w:rPr>
        <w:t xml:space="preserve"> изискванията на законодателството на Европейския съюз и препоръките на </w:t>
      </w:r>
      <w:r w:rsidRPr="00A3491F">
        <w:rPr>
          <w:sz w:val="22"/>
          <w:lang w:val="bg-BG"/>
        </w:rPr>
        <w:t xml:space="preserve">Европейската комисия. </w:t>
      </w:r>
    </w:p>
    <w:p w:rsidR="009E3397" w:rsidRPr="00A3491F" w:rsidRDefault="009E3397" w:rsidP="006B3BB7">
      <w:pPr>
        <w:spacing w:after="120"/>
        <w:rPr>
          <w:sz w:val="22"/>
          <w:lang w:val="bg-BG"/>
        </w:rPr>
      </w:pPr>
      <w:r w:rsidRPr="00A3491F">
        <w:rPr>
          <w:sz w:val="22"/>
          <w:lang w:val="bg-BG"/>
        </w:rPr>
        <w:t xml:space="preserve">На първо място пред </w:t>
      </w:r>
      <w:r w:rsidR="00ED5B21" w:rsidRPr="00A3491F">
        <w:rPr>
          <w:sz w:val="22"/>
          <w:lang w:val="bg-BG"/>
        </w:rPr>
        <w:t>настоящия проект е поставена цел</w:t>
      </w:r>
      <w:r w:rsidR="00AB6594" w:rsidRPr="00A3491F">
        <w:rPr>
          <w:sz w:val="22"/>
          <w:lang w:val="bg-BG"/>
        </w:rPr>
        <w:t xml:space="preserve"> </w:t>
      </w:r>
      <w:r w:rsidR="00ED5B21" w:rsidRPr="00A3491F">
        <w:rPr>
          <w:sz w:val="22"/>
          <w:lang w:val="bg-BG"/>
        </w:rPr>
        <w:t>з</w:t>
      </w:r>
      <w:r w:rsidR="00AB6594" w:rsidRPr="00A3491F">
        <w:rPr>
          <w:sz w:val="22"/>
          <w:lang w:val="bg-BG"/>
        </w:rPr>
        <w:t>а осигур</w:t>
      </w:r>
      <w:r w:rsidR="00ED5B21" w:rsidRPr="00A3491F">
        <w:rPr>
          <w:sz w:val="22"/>
          <w:lang w:val="bg-BG"/>
        </w:rPr>
        <w:t>яване</w:t>
      </w:r>
      <w:r w:rsidR="00AB6594" w:rsidRPr="00A3491F">
        <w:rPr>
          <w:sz w:val="22"/>
          <w:lang w:val="bg-BG"/>
        </w:rPr>
        <w:t xml:space="preserve"> пълно съответствие на националното законодателство в сектора със съответните актове от правото на Европейския съюз. </w:t>
      </w:r>
      <w:r w:rsidR="00ED5B21" w:rsidRPr="00A3491F">
        <w:rPr>
          <w:sz w:val="22"/>
          <w:lang w:val="bg-BG"/>
        </w:rPr>
        <w:t xml:space="preserve">С </w:t>
      </w:r>
      <w:r w:rsidR="00AB6594" w:rsidRPr="00A3491F">
        <w:rPr>
          <w:sz w:val="22"/>
          <w:lang w:val="bg-BG"/>
        </w:rPr>
        <w:t>актуализиран</w:t>
      </w:r>
      <w:r w:rsidR="00ED5B21" w:rsidRPr="00A3491F">
        <w:rPr>
          <w:sz w:val="22"/>
          <w:lang w:val="bg-BG"/>
        </w:rPr>
        <w:t>ето на</w:t>
      </w:r>
      <w:r w:rsidR="00AB6594" w:rsidRPr="00A3491F">
        <w:rPr>
          <w:sz w:val="22"/>
          <w:lang w:val="bg-BG"/>
        </w:rPr>
        <w:t xml:space="preserve"> националната правна рамка с</w:t>
      </w:r>
      <w:r w:rsidR="00ED5B21" w:rsidRPr="00A3491F">
        <w:rPr>
          <w:sz w:val="22"/>
          <w:lang w:val="bg-BG"/>
        </w:rPr>
        <w:t>е</w:t>
      </w:r>
      <w:r w:rsidR="00AB6594" w:rsidRPr="00A3491F">
        <w:rPr>
          <w:sz w:val="22"/>
          <w:lang w:val="bg-BG"/>
        </w:rPr>
        <w:t xml:space="preserve"> цел</w:t>
      </w:r>
      <w:r w:rsidR="00ED5B21" w:rsidRPr="00A3491F">
        <w:rPr>
          <w:sz w:val="22"/>
          <w:lang w:val="bg-BG"/>
        </w:rPr>
        <w:t xml:space="preserve">и </w:t>
      </w:r>
      <w:r w:rsidRPr="00A3491F">
        <w:rPr>
          <w:sz w:val="22"/>
          <w:lang w:val="bg-BG"/>
        </w:rPr>
        <w:t>осъществяване на регулиране</w:t>
      </w:r>
      <w:r w:rsidR="00AB6594" w:rsidRPr="00A3491F">
        <w:rPr>
          <w:sz w:val="22"/>
          <w:lang w:val="bg-BG"/>
        </w:rPr>
        <w:t xml:space="preserve">, </w:t>
      </w:r>
      <w:r w:rsidR="007D1A14" w:rsidRPr="00A3491F">
        <w:rPr>
          <w:sz w:val="22"/>
          <w:lang w:val="bg-BG"/>
        </w:rPr>
        <w:t xml:space="preserve">което </w:t>
      </w:r>
      <w:r w:rsidR="00AB6594" w:rsidRPr="00A3491F">
        <w:rPr>
          <w:sz w:val="22"/>
          <w:lang w:val="bg-BG"/>
        </w:rPr>
        <w:t xml:space="preserve">съответства на европейските стандарти и изисквания </w:t>
      </w:r>
      <w:r w:rsidR="00ED5B21" w:rsidRPr="00A3491F">
        <w:rPr>
          <w:sz w:val="22"/>
          <w:lang w:val="bg-BG"/>
        </w:rPr>
        <w:t xml:space="preserve">като </w:t>
      </w:r>
      <w:r w:rsidR="007D1A14" w:rsidRPr="00A3491F">
        <w:rPr>
          <w:sz w:val="22"/>
          <w:lang w:val="bg-BG"/>
        </w:rPr>
        <w:t xml:space="preserve">не </w:t>
      </w:r>
      <w:r w:rsidR="00ED5B21" w:rsidRPr="00A3491F">
        <w:rPr>
          <w:sz w:val="22"/>
          <w:lang w:val="bg-BG"/>
        </w:rPr>
        <w:t xml:space="preserve">се </w:t>
      </w:r>
      <w:r w:rsidR="007D1A14" w:rsidRPr="00A3491F">
        <w:rPr>
          <w:sz w:val="22"/>
          <w:lang w:val="bg-BG"/>
        </w:rPr>
        <w:t xml:space="preserve">допуска </w:t>
      </w:r>
      <w:r w:rsidR="006B179E" w:rsidRPr="00A3491F">
        <w:rPr>
          <w:sz w:val="22"/>
          <w:lang w:val="bg-BG"/>
        </w:rPr>
        <w:t>дублиране и погрешно интерпретиране на пряко приложимите европейски правила</w:t>
      </w:r>
      <w:r w:rsidR="00AB6594" w:rsidRPr="00A3491F">
        <w:rPr>
          <w:sz w:val="22"/>
          <w:lang w:val="bg-BG"/>
        </w:rPr>
        <w:t xml:space="preserve">. </w:t>
      </w:r>
      <w:r w:rsidR="006B179E" w:rsidRPr="00A3491F">
        <w:rPr>
          <w:sz w:val="22"/>
          <w:lang w:val="bg-BG"/>
        </w:rPr>
        <w:t>Освен това е необходимо да се подчертае изцяло препращащият характер на тези национални правила и тяхната функция - да допринесат за пълното и безпротиворечиво прилагане на унифицираните европейски правила от националните органи.</w:t>
      </w:r>
      <w:r w:rsidR="00064E22" w:rsidRPr="00A3491F">
        <w:rPr>
          <w:sz w:val="22"/>
          <w:lang w:val="bg-BG"/>
        </w:rPr>
        <w:t xml:space="preserve"> </w:t>
      </w:r>
      <w:r w:rsidRPr="00A3491F">
        <w:rPr>
          <w:sz w:val="22"/>
          <w:lang w:val="bg-BG"/>
        </w:rPr>
        <w:t>Като резултат при постигане на тази цел законът следва да съдържа разпоредби, които, съобразно констатациите на Европейската комисия описани по-горе, бъдат отстранени всички несъответствия и на тяхно място бъдат включени норми, които изцяло препращат към съответните европейски актове.</w:t>
      </w:r>
    </w:p>
    <w:p w:rsidR="00AB6594" w:rsidRPr="00A3491F" w:rsidRDefault="009E3397" w:rsidP="006B3BB7">
      <w:pPr>
        <w:spacing w:after="120"/>
        <w:rPr>
          <w:sz w:val="22"/>
          <w:lang w:val="bg-BG"/>
        </w:rPr>
      </w:pPr>
      <w:r w:rsidRPr="00A3491F">
        <w:rPr>
          <w:sz w:val="22"/>
          <w:lang w:val="bg-BG"/>
        </w:rPr>
        <w:t>На следващо място, с</w:t>
      </w:r>
      <w:r w:rsidR="00064E22" w:rsidRPr="00A3491F">
        <w:rPr>
          <w:sz w:val="22"/>
          <w:lang w:val="bg-BG"/>
        </w:rPr>
        <w:t>лед приемане на необходимите изменения</w:t>
      </w:r>
      <w:r w:rsidR="00FE1E30" w:rsidRPr="00A3491F">
        <w:rPr>
          <w:sz w:val="22"/>
          <w:lang w:val="bg-BG"/>
        </w:rPr>
        <w:t>,</w:t>
      </w:r>
      <w:r w:rsidR="00064E22" w:rsidRPr="00A3491F">
        <w:rPr>
          <w:sz w:val="22"/>
          <w:lang w:val="bg-BG"/>
        </w:rPr>
        <w:t xml:space="preserve"> законът следва да бъде изпратен до Европейската комисия за съгласуване на това кои </w:t>
      </w:r>
      <w:r w:rsidRPr="00A3491F">
        <w:rPr>
          <w:sz w:val="22"/>
          <w:lang w:val="bg-BG"/>
        </w:rPr>
        <w:t xml:space="preserve">негови </w:t>
      </w:r>
      <w:r w:rsidR="00064E22" w:rsidRPr="00A3491F">
        <w:rPr>
          <w:sz w:val="22"/>
          <w:lang w:val="bg-BG"/>
        </w:rPr>
        <w:t xml:space="preserve">части </w:t>
      </w:r>
      <w:r w:rsidRPr="00A3491F">
        <w:rPr>
          <w:sz w:val="22"/>
          <w:lang w:val="bg-BG"/>
        </w:rPr>
        <w:t xml:space="preserve"> </w:t>
      </w:r>
      <w:r w:rsidR="00064E22" w:rsidRPr="00A3491F">
        <w:rPr>
          <w:sz w:val="22"/>
          <w:lang w:val="bg-BG"/>
        </w:rPr>
        <w:t xml:space="preserve">съдържат технически регламенти по смисъла на приложимото </w:t>
      </w:r>
      <w:r w:rsidR="00FE1E30" w:rsidRPr="00A3491F">
        <w:rPr>
          <w:sz w:val="22"/>
          <w:lang w:val="bg-BG"/>
        </w:rPr>
        <w:t>европейско</w:t>
      </w:r>
      <w:r w:rsidR="00064E22" w:rsidRPr="00A3491F">
        <w:rPr>
          <w:sz w:val="22"/>
          <w:lang w:val="bg-BG"/>
        </w:rPr>
        <w:t xml:space="preserve"> законодателство и следва да бъдат нотифицирани пред Европейската комисия</w:t>
      </w:r>
      <w:r w:rsidR="004312E3" w:rsidRPr="00A3491F">
        <w:rPr>
          <w:sz w:val="22"/>
          <w:lang w:val="bg-BG"/>
        </w:rPr>
        <w:t>.</w:t>
      </w:r>
      <w:r w:rsidR="00064E22" w:rsidRPr="00A3491F">
        <w:rPr>
          <w:sz w:val="22"/>
          <w:lang w:val="bg-BG"/>
        </w:rPr>
        <w:t xml:space="preserve"> </w:t>
      </w:r>
      <w:r w:rsidRPr="00A3491F">
        <w:rPr>
          <w:sz w:val="22"/>
          <w:lang w:val="bg-BG"/>
        </w:rPr>
        <w:t xml:space="preserve">Въз основа на тази консултация следва </w:t>
      </w:r>
      <w:r w:rsidR="00064E22" w:rsidRPr="00A3491F">
        <w:rPr>
          <w:sz w:val="22"/>
          <w:lang w:val="bg-BG"/>
        </w:rPr>
        <w:t xml:space="preserve"> да бъде осъществена официалната процедура по нотификация. По този начин националното ни законодателство в областта на виното и спиртните напитки ще съответства в пълна степен на специфичните европейски правила и ще може да </w:t>
      </w:r>
      <w:r w:rsidR="00FE1E30" w:rsidRPr="00A3491F">
        <w:rPr>
          <w:sz w:val="22"/>
          <w:lang w:val="bg-BG"/>
        </w:rPr>
        <w:t xml:space="preserve">изпълни максимално функциите си </w:t>
      </w:r>
      <w:r w:rsidRPr="00A3491F">
        <w:rPr>
          <w:sz w:val="22"/>
          <w:lang w:val="bg-BG"/>
        </w:rPr>
        <w:t>на регулатор</w:t>
      </w:r>
      <w:r w:rsidR="00FE1E30" w:rsidRPr="00A3491F">
        <w:rPr>
          <w:sz w:val="22"/>
          <w:lang w:val="bg-BG"/>
        </w:rPr>
        <w:t xml:space="preserve"> на обществените отношения в сектора.</w:t>
      </w:r>
    </w:p>
    <w:p w:rsidR="00CA75E2" w:rsidRPr="00A3491F" w:rsidRDefault="009C25BF" w:rsidP="006B3BB7">
      <w:pPr>
        <w:pStyle w:val="Heading2"/>
        <w:spacing w:before="240" w:after="120"/>
        <w:rPr>
          <w:rFonts w:cs="Times New Roman"/>
          <w:sz w:val="22"/>
          <w:szCs w:val="22"/>
          <w:lang w:val="bg-BG"/>
        </w:rPr>
      </w:pPr>
      <w:bookmarkStart w:id="19" w:name="_Toc496709949"/>
      <w:r w:rsidRPr="00A3491F">
        <w:rPr>
          <w:rFonts w:cs="Times New Roman"/>
          <w:sz w:val="22"/>
          <w:szCs w:val="22"/>
          <w:lang w:val="bg-BG"/>
        </w:rPr>
        <w:t>IV</w:t>
      </w:r>
      <w:r w:rsidR="00061BD0" w:rsidRPr="00A3491F">
        <w:rPr>
          <w:rFonts w:cs="Times New Roman"/>
          <w:sz w:val="22"/>
          <w:szCs w:val="22"/>
          <w:lang w:val="bg-BG"/>
        </w:rPr>
        <w:t xml:space="preserve">.2. </w:t>
      </w:r>
      <w:r w:rsidR="00CA75E2" w:rsidRPr="00A3491F">
        <w:rPr>
          <w:rFonts w:cs="Times New Roman"/>
          <w:sz w:val="22"/>
          <w:szCs w:val="22"/>
          <w:lang w:val="bg-BG"/>
        </w:rPr>
        <w:t>Специфични цели</w:t>
      </w:r>
      <w:bookmarkEnd w:id="19"/>
    </w:p>
    <w:p w:rsidR="005709F6" w:rsidRPr="00A3491F" w:rsidRDefault="00ED5B21" w:rsidP="006B3BB7">
      <w:pPr>
        <w:tabs>
          <w:tab w:val="left" w:pos="34"/>
          <w:tab w:val="left" w:pos="851"/>
        </w:tabs>
        <w:spacing w:after="120"/>
        <w:rPr>
          <w:color w:val="000000" w:themeColor="text1"/>
          <w:sz w:val="22"/>
          <w:lang w:val="bg-BG"/>
        </w:rPr>
      </w:pPr>
      <w:r w:rsidRPr="00A3491F">
        <w:rPr>
          <w:color w:val="000000" w:themeColor="text1"/>
          <w:sz w:val="22"/>
          <w:lang w:val="bg-BG"/>
        </w:rPr>
        <w:t>Предвижданите промени в новия Закон за виното и спиртните напитки имат за своя специфична задача да отстранят основни слабости и проблеми, възникнали при прилагането на действащия закон</w:t>
      </w:r>
      <w:r w:rsidR="007C524E" w:rsidRPr="00A3491F">
        <w:rPr>
          <w:color w:val="000000" w:themeColor="text1"/>
          <w:sz w:val="22"/>
          <w:lang w:val="bg-BG"/>
        </w:rPr>
        <w:t xml:space="preserve"> и описани по-горе</w:t>
      </w:r>
      <w:r w:rsidRPr="00A3491F">
        <w:rPr>
          <w:color w:val="000000" w:themeColor="text1"/>
          <w:sz w:val="22"/>
          <w:lang w:val="bg-BG"/>
        </w:rPr>
        <w:t xml:space="preserve">. </w:t>
      </w:r>
      <w:r w:rsidR="00AB6594" w:rsidRPr="00A3491F">
        <w:rPr>
          <w:color w:val="000000" w:themeColor="text1"/>
          <w:sz w:val="22"/>
          <w:lang w:val="bg-BG"/>
        </w:rPr>
        <w:t>Специфичните цели на закона са:</w:t>
      </w:r>
    </w:p>
    <w:p w:rsidR="009E3397" w:rsidRPr="00A3491F" w:rsidRDefault="009E3397" w:rsidP="006B3BB7">
      <w:pPr>
        <w:tabs>
          <w:tab w:val="left" w:pos="709"/>
          <w:tab w:val="left" w:pos="851"/>
        </w:tabs>
        <w:spacing w:after="120"/>
        <w:ind w:left="709" w:hanging="425"/>
        <w:rPr>
          <w:color w:val="000000" w:themeColor="text1"/>
          <w:sz w:val="22"/>
          <w:lang w:val="bg-BG"/>
        </w:rPr>
      </w:pPr>
      <w:r w:rsidRPr="00A3491F">
        <w:rPr>
          <w:color w:val="000000" w:themeColor="text1"/>
          <w:sz w:val="22"/>
          <w:lang w:val="bg-BG"/>
        </w:rPr>
        <w:t>•</w:t>
      </w:r>
      <w:r w:rsidRPr="00A3491F">
        <w:rPr>
          <w:color w:val="000000" w:themeColor="text1"/>
          <w:sz w:val="22"/>
          <w:lang w:val="bg-BG"/>
        </w:rPr>
        <w:tab/>
        <w:t>Разширяване на пазарите на вино в рамките на единния пазар на ЕС и по света</w:t>
      </w:r>
      <w:r w:rsidR="0093690E" w:rsidRPr="00A3491F">
        <w:rPr>
          <w:color w:val="000000" w:themeColor="text1"/>
          <w:sz w:val="22"/>
          <w:lang w:val="bg-BG"/>
        </w:rPr>
        <w:t xml:space="preserve">, чрез въвеждане на система от мерки за подобряване на контрола върху производството и предлагането </w:t>
      </w:r>
      <w:r w:rsidR="007D1A14" w:rsidRPr="00A3491F">
        <w:rPr>
          <w:color w:val="000000" w:themeColor="text1"/>
          <w:sz w:val="22"/>
          <w:lang w:val="bg-BG"/>
        </w:rPr>
        <w:t>н</w:t>
      </w:r>
      <w:r w:rsidR="0093690E" w:rsidRPr="00A3491F">
        <w:rPr>
          <w:color w:val="000000" w:themeColor="text1"/>
          <w:sz w:val="22"/>
          <w:lang w:val="bg-BG"/>
        </w:rPr>
        <w:t>а пазара на качествени грозде, вино, оцет</w:t>
      </w:r>
      <w:r w:rsidR="00775B30" w:rsidRPr="00A3491F">
        <w:rPr>
          <w:color w:val="000000" w:themeColor="text1"/>
          <w:sz w:val="22"/>
          <w:lang w:val="bg-BG"/>
        </w:rPr>
        <w:t xml:space="preserve">, плодови вина и </w:t>
      </w:r>
      <w:r w:rsidR="0093690E" w:rsidRPr="00A3491F">
        <w:rPr>
          <w:color w:val="000000" w:themeColor="text1"/>
          <w:sz w:val="22"/>
          <w:lang w:val="bg-BG"/>
        </w:rPr>
        <w:t>продукти, произведени от тях</w:t>
      </w:r>
      <w:r w:rsidR="0030711F" w:rsidRPr="00A3491F">
        <w:rPr>
          <w:color w:val="000000" w:themeColor="text1"/>
          <w:sz w:val="22"/>
          <w:lang w:val="bg-BG"/>
        </w:rPr>
        <w:t xml:space="preserve">, </w:t>
      </w:r>
      <w:r w:rsidR="00775B30" w:rsidRPr="00A3491F">
        <w:rPr>
          <w:sz w:val="22"/>
          <w:lang w:val="bg-BG"/>
        </w:rPr>
        <w:t xml:space="preserve">етилов алкохол от земеделски произход, дестилати и спиртни напитки, </w:t>
      </w:r>
      <w:r w:rsidR="0030711F" w:rsidRPr="00A3491F">
        <w:rPr>
          <w:color w:val="000000" w:themeColor="text1"/>
          <w:sz w:val="22"/>
          <w:lang w:val="bg-BG"/>
        </w:rPr>
        <w:t>както и актуализиране на законодателството с достиженията на европейското право в областта на предоставянето на правна закрила</w:t>
      </w:r>
      <w:r w:rsidR="007D1A14" w:rsidRPr="00A3491F">
        <w:rPr>
          <w:color w:val="000000" w:themeColor="text1"/>
          <w:sz w:val="22"/>
          <w:lang w:val="bg-BG"/>
        </w:rPr>
        <w:t xml:space="preserve"> на продукти със ЗНП и ЗГУ</w:t>
      </w:r>
      <w:r w:rsidRPr="00A3491F">
        <w:rPr>
          <w:color w:val="000000" w:themeColor="text1"/>
          <w:sz w:val="22"/>
          <w:lang w:val="bg-BG"/>
        </w:rPr>
        <w:t>;</w:t>
      </w:r>
    </w:p>
    <w:p w:rsidR="0093690E" w:rsidRPr="00A3491F" w:rsidRDefault="009E3397" w:rsidP="006B3BB7">
      <w:pPr>
        <w:pStyle w:val="ListParagraph"/>
        <w:tabs>
          <w:tab w:val="left" w:pos="709"/>
        </w:tabs>
        <w:spacing w:after="120"/>
        <w:ind w:left="709" w:hanging="425"/>
        <w:rPr>
          <w:color w:val="000000" w:themeColor="text1"/>
          <w:sz w:val="22"/>
          <w:lang w:val="bg-BG"/>
        </w:rPr>
      </w:pPr>
      <w:r w:rsidRPr="00A3491F">
        <w:rPr>
          <w:color w:val="000000" w:themeColor="text1"/>
          <w:sz w:val="22"/>
          <w:lang w:val="bg-BG"/>
        </w:rPr>
        <w:t>•</w:t>
      </w:r>
      <w:r w:rsidRPr="00A3491F">
        <w:rPr>
          <w:color w:val="000000" w:themeColor="text1"/>
          <w:sz w:val="22"/>
          <w:lang w:val="bg-BG"/>
        </w:rPr>
        <w:tab/>
        <w:t>Създаване на по-ясен, опростен и ефикасен лозаро-винарски режим, подсигуряващ равновесие между търсенето и предлагането</w:t>
      </w:r>
      <w:r w:rsidR="0093690E" w:rsidRPr="00A3491F">
        <w:rPr>
          <w:color w:val="000000" w:themeColor="text1"/>
          <w:sz w:val="22"/>
          <w:lang w:val="bg-BG"/>
        </w:rPr>
        <w:t xml:space="preserve">, чрез въвеждане на правила, които гарантират </w:t>
      </w:r>
      <w:proofErr w:type="spellStart"/>
      <w:r w:rsidR="0093690E" w:rsidRPr="00A3491F">
        <w:rPr>
          <w:color w:val="000000" w:themeColor="text1"/>
          <w:sz w:val="22"/>
          <w:lang w:val="bg-BG"/>
        </w:rPr>
        <w:t>равнопоставеността</w:t>
      </w:r>
      <w:proofErr w:type="spellEnd"/>
      <w:r w:rsidR="0093690E" w:rsidRPr="00A3491F">
        <w:rPr>
          <w:color w:val="000000" w:themeColor="text1"/>
          <w:sz w:val="22"/>
          <w:lang w:val="bg-BG"/>
        </w:rPr>
        <w:t xml:space="preserve"> на п</w:t>
      </w:r>
      <w:r w:rsidR="007D1A14" w:rsidRPr="00A3491F">
        <w:rPr>
          <w:color w:val="000000" w:themeColor="text1"/>
          <w:sz w:val="22"/>
          <w:lang w:val="bg-BG"/>
        </w:rPr>
        <w:t>роизводителите</w:t>
      </w:r>
      <w:r w:rsidR="0093690E" w:rsidRPr="00A3491F">
        <w:rPr>
          <w:color w:val="000000" w:themeColor="text1"/>
          <w:sz w:val="22"/>
          <w:lang w:val="bg-BG"/>
        </w:rPr>
        <w:t xml:space="preserve">, намаляването на административната тежест, опростяване на правилата за водене и съхранение на регистрите и произтичащите задължения </w:t>
      </w:r>
      <w:r w:rsidR="007D1A14" w:rsidRPr="00A3491F">
        <w:rPr>
          <w:color w:val="000000" w:themeColor="text1"/>
          <w:sz w:val="22"/>
          <w:lang w:val="bg-BG"/>
        </w:rPr>
        <w:t>з</w:t>
      </w:r>
      <w:r w:rsidR="0093690E" w:rsidRPr="00A3491F">
        <w:rPr>
          <w:color w:val="000000" w:themeColor="text1"/>
          <w:sz w:val="22"/>
          <w:lang w:val="bg-BG"/>
        </w:rPr>
        <w:t>а производителите</w:t>
      </w:r>
      <w:r w:rsidR="0030711F" w:rsidRPr="00A3491F">
        <w:rPr>
          <w:color w:val="000000" w:themeColor="text1"/>
          <w:sz w:val="22"/>
          <w:lang w:val="bg-BG"/>
        </w:rPr>
        <w:t xml:space="preserve"> и подобряване на условията за функциониране на специализираната администрация</w:t>
      </w:r>
      <w:r w:rsidR="0093690E" w:rsidRPr="00A3491F">
        <w:rPr>
          <w:color w:val="000000" w:themeColor="text1"/>
          <w:sz w:val="22"/>
          <w:lang w:val="bg-BG"/>
        </w:rPr>
        <w:t>;</w:t>
      </w:r>
    </w:p>
    <w:p w:rsidR="009E3397" w:rsidRPr="00A3491F" w:rsidRDefault="009E3397" w:rsidP="006B3BB7">
      <w:pPr>
        <w:pStyle w:val="ListParagraph"/>
        <w:tabs>
          <w:tab w:val="left" w:pos="34"/>
          <w:tab w:val="left" w:pos="709"/>
        </w:tabs>
        <w:spacing w:after="120"/>
        <w:ind w:hanging="436"/>
        <w:rPr>
          <w:color w:val="000000" w:themeColor="text1"/>
          <w:sz w:val="22"/>
          <w:lang w:val="bg-BG"/>
        </w:rPr>
      </w:pPr>
      <w:r w:rsidRPr="00A3491F">
        <w:rPr>
          <w:color w:val="000000" w:themeColor="text1"/>
          <w:sz w:val="22"/>
          <w:lang w:val="bg-BG"/>
        </w:rPr>
        <w:t>•</w:t>
      </w:r>
      <w:r w:rsidRPr="00A3491F">
        <w:rPr>
          <w:color w:val="000000" w:themeColor="text1"/>
          <w:sz w:val="22"/>
          <w:lang w:val="bg-BG"/>
        </w:rPr>
        <w:tab/>
        <w:t>Осигуряване на прозрачна, справедлива и навременно функционираща система за контролиране на новите лозови насаждения</w:t>
      </w:r>
      <w:r w:rsidR="0093690E" w:rsidRPr="00A3491F">
        <w:rPr>
          <w:color w:val="000000" w:themeColor="text1"/>
          <w:sz w:val="22"/>
          <w:lang w:val="bg-BG"/>
        </w:rPr>
        <w:t xml:space="preserve"> и ограничаване на площта им </w:t>
      </w:r>
      <w:r w:rsidRPr="00A3491F">
        <w:rPr>
          <w:color w:val="000000" w:themeColor="text1"/>
          <w:sz w:val="22"/>
          <w:lang w:val="bg-BG"/>
        </w:rPr>
        <w:t>според нуждите на сектора</w:t>
      </w:r>
      <w:r w:rsidR="0093690E" w:rsidRPr="00A3491F">
        <w:rPr>
          <w:color w:val="000000" w:themeColor="text1"/>
          <w:sz w:val="22"/>
          <w:lang w:val="bg-BG"/>
        </w:rPr>
        <w:t xml:space="preserve"> до </w:t>
      </w:r>
      <w:r w:rsidR="00860AC8" w:rsidRPr="00A3491F">
        <w:rPr>
          <w:color w:val="000000" w:themeColor="text1"/>
          <w:sz w:val="22"/>
          <w:lang w:val="bg-BG"/>
        </w:rPr>
        <w:t xml:space="preserve">предвидения в Регламент (ЕС) №1308/2013 максимум от </w:t>
      </w:r>
      <w:r w:rsidR="0093690E" w:rsidRPr="00A3491F">
        <w:rPr>
          <w:color w:val="000000" w:themeColor="text1"/>
          <w:sz w:val="22"/>
          <w:lang w:val="bg-BG"/>
        </w:rPr>
        <w:t xml:space="preserve">1% от лозарския потенциал на страната за предходната година, чрез въвеждане на механизъм за контролиране нарастването на </w:t>
      </w:r>
      <w:r w:rsidR="00860AC8" w:rsidRPr="00A3491F">
        <w:rPr>
          <w:color w:val="000000" w:themeColor="text1"/>
          <w:sz w:val="22"/>
          <w:lang w:val="bg-BG"/>
        </w:rPr>
        <w:t xml:space="preserve">площите </w:t>
      </w:r>
      <w:r w:rsidR="00860AC8" w:rsidRPr="00A3491F">
        <w:rPr>
          <w:color w:val="000000" w:themeColor="text1"/>
          <w:sz w:val="22"/>
          <w:lang w:val="bg-BG"/>
        </w:rPr>
        <w:lastRenderedPageBreak/>
        <w:t xml:space="preserve">с </w:t>
      </w:r>
      <w:r w:rsidR="0093690E" w:rsidRPr="00A3491F">
        <w:rPr>
          <w:color w:val="000000" w:themeColor="text1"/>
          <w:sz w:val="22"/>
          <w:lang w:val="bg-BG"/>
        </w:rPr>
        <w:t>насаждения като част от общата Европейска политика по контролиране на лозарския потенциал</w:t>
      </w:r>
      <w:r w:rsidRPr="00A3491F">
        <w:rPr>
          <w:color w:val="000000" w:themeColor="text1"/>
          <w:sz w:val="22"/>
          <w:lang w:val="bg-BG"/>
        </w:rPr>
        <w:t>;</w:t>
      </w:r>
    </w:p>
    <w:p w:rsidR="009E3397" w:rsidRPr="00A3491F" w:rsidRDefault="009E3397" w:rsidP="006B3BB7">
      <w:pPr>
        <w:pStyle w:val="ListParagraph"/>
        <w:tabs>
          <w:tab w:val="left" w:pos="34"/>
          <w:tab w:val="left" w:pos="709"/>
        </w:tabs>
        <w:spacing w:after="120"/>
        <w:ind w:hanging="436"/>
        <w:rPr>
          <w:color w:val="000000" w:themeColor="text1"/>
          <w:sz w:val="22"/>
          <w:lang w:val="bg-BG"/>
        </w:rPr>
      </w:pPr>
      <w:r w:rsidRPr="00A3491F">
        <w:rPr>
          <w:color w:val="000000" w:themeColor="text1"/>
          <w:sz w:val="22"/>
          <w:lang w:val="bg-BG"/>
        </w:rPr>
        <w:t>•</w:t>
      </w:r>
      <w:r w:rsidRPr="00A3491F">
        <w:rPr>
          <w:color w:val="000000" w:themeColor="text1"/>
          <w:sz w:val="22"/>
          <w:lang w:val="bg-BG"/>
        </w:rPr>
        <w:tab/>
        <w:t xml:space="preserve">Използване на референтни методи за изотопен анализ, като се улесни разчитането на резултатите от анализа, </w:t>
      </w:r>
      <w:r w:rsidR="0068114D" w:rsidRPr="00A3491F">
        <w:rPr>
          <w:color w:val="000000" w:themeColor="text1"/>
          <w:sz w:val="22"/>
          <w:lang w:val="bg-BG"/>
        </w:rPr>
        <w:t>с цел</w:t>
      </w:r>
      <w:r w:rsidRPr="00A3491F">
        <w:rPr>
          <w:color w:val="000000" w:themeColor="text1"/>
          <w:sz w:val="22"/>
          <w:lang w:val="bg-BG"/>
        </w:rPr>
        <w:t xml:space="preserve"> да се </w:t>
      </w:r>
      <w:r w:rsidR="0068114D" w:rsidRPr="00A3491F">
        <w:rPr>
          <w:color w:val="000000" w:themeColor="text1"/>
          <w:sz w:val="22"/>
          <w:lang w:val="bg-BG"/>
        </w:rPr>
        <w:t>осигури по-ефективен контрол на обогатяването на лозаро-винарските продукти</w:t>
      </w:r>
      <w:r w:rsidR="00860AC8" w:rsidRPr="00A3491F">
        <w:rPr>
          <w:color w:val="000000" w:themeColor="text1"/>
          <w:sz w:val="22"/>
          <w:lang w:val="bg-BG"/>
        </w:rPr>
        <w:t>,</w:t>
      </w:r>
      <w:r w:rsidR="0068114D" w:rsidRPr="00A3491F">
        <w:rPr>
          <w:color w:val="000000" w:themeColor="text1"/>
          <w:sz w:val="22"/>
          <w:lang w:val="bg-BG"/>
        </w:rPr>
        <w:t xml:space="preserve"> откриването на добав</w:t>
      </w:r>
      <w:r w:rsidR="00860AC8" w:rsidRPr="00A3491F">
        <w:rPr>
          <w:color w:val="000000" w:themeColor="text1"/>
          <w:sz w:val="22"/>
          <w:lang w:val="bg-BG"/>
        </w:rPr>
        <w:t>ена</w:t>
      </w:r>
      <w:r w:rsidR="0068114D" w:rsidRPr="00A3491F">
        <w:rPr>
          <w:color w:val="000000" w:themeColor="text1"/>
          <w:sz w:val="22"/>
          <w:lang w:val="bg-BG"/>
        </w:rPr>
        <w:t xml:space="preserve"> вода към </w:t>
      </w:r>
      <w:r w:rsidR="00860AC8" w:rsidRPr="00A3491F">
        <w:rPr>
          <w:color w:val="000000" w:themeColor="text1"/>
          <w:sz w:val="22"/>
          <w:lang w:val="bg-BG"/>
        </w:rPr>
        <w:t>тях и</w:t>
      </w:r>
      <w:r w:rsidR="0068114D" w:rsidRPr="00A3491F">
        <w:rPr>
          <w:color w:val="000000" w:themeColor="text1"/>
          <w:sz w:val="22"/>
          <w:lang w:val="bg-BG"/>
        </w:rPr>
        <w:t xml:space="preserve"> </w:t>
      </w:r>
      <w:r w:rsidR="00860AC8" w:rsidRPr="00A3491F">
        <w:rPr>
          <w:color w:val="000000" w:themeColor="text1"/>
          <w:sz w:val="22"/>
          <w:lang w:val="bg-BG"/>
        </w:rPr>
        <w:t>сравнението с</w:t>
      </w:r>
      <w:r w:rsidR="0068114D" w:rsidRPr="00A3491F">
        <w:rPr>
          <w:color w:val="000000" w:themeColor="text1"/>
          <w:sz w:val="22"/>
          <w:lang w:val="bg-BG"/>
        </w:rPr>
        <w:t xml:space="preserve"> резултати</w:t>
      </w:r>
      <w:r w:rsidR="00860AC8" w:rsidRPr="00A3491F">
        <w:rPr>
          <w:color w:val="000000" w:themeColor="text1"/>
          <w:sz w:val="22"/>
          <w:lang w:val="bg-BG"/>
        </w:rPr>
        <w:t xml:space="preserve"> от анализ</w:t>
      </w:r>
      <w:r w:rsidR="0068114D" w:rsidRPr="00A3491F">
        <w:rPr>
          <w:color w:val="000000" w:themeColor="text1"/>
          <w:sz w:val="22"/>
          <w:lang w:val="bg-BG"/>
        </w:rPr>
        <w:t xml:space="preserve"> на други изотопни характеристики на такива продукти, като помогне да се провери съответствието с произхода, посочен в тяхното наименование</w:t>
      </w:r>
      <w:r w:rsidRPr="00A3491F">
        <w:rPr>
          <w:color w:val="000000" w:themeColor="text1"/>
          <w:sz w:val="22"/>
          <w:lang w:val="bg-BG"/>
        </w:rPr>
        <w:t>;</w:t>
      </w:r>
    </w:p>
    <w:p w:rsidR="006A7040" w:rsidRPr="00A3491F" w:rsidRDefault="009E3397" w:rsidP="006B3BB7">
      <w:pPr>
        <w:pStyle w:val="ListParagraph"/>
        <w:tabs>
          <w:tab w:val="left" w:pos="709"/>
        </w:tabs>
        <w:spacing w:after="120"/>
        <w:ind w:left="709" w:hanging="425"/>
        <w:rPr>
          <w:color w:val="000000" w:themeColor="text1"/>
          <w:sz w:val="22"/>
          <w:lang w:val="bg-BG"/>
        </w:rPr>
      </w:pPr>
      <w:r w:rsidRPr="00A3491F">
        <w:rPr>
          <w:color w:val="000000" w:themeColor="text1"/>
          <w:sz w:val="22"/>
          <w:lang w:val="bg-BG"/>
        </w:rPr>
        <w:t>•</w:t>
      </w:r>
      <w:r w:rsidRPr="00A3491F">
        <w:rPr>
          <w:color w:val="000000" w:themeColor="text1"/>
          <w:sz w:val="22"/>
          <w:lang w:val="bg-BG"/>
        </w:rPr>
        <w:tab/>
        <w:t xml:space="preserve">Постигане на прозрачност на пазара и честна конкуренция при производството на грозде, вино и спиртни напитки чрез </w:t>
      </w:r>
      <w:r w:rsidR="0068114D" w:rsidRPr="00A3491F">
        <w:rPr>
          <w:color w:val="000000" w:themeColor="text1"/>
          <w:sz w:val="22"/>
          <w:lang w:val="bg-BG"/>
        </w:rPr>
        <w:t>подобряване на средствата за контрол върху всички производители, предлагащи продукцията си на пазара, проследяване на</w:t>
      </w:r>
      <w:r w:rsidRPr="00A3491F">
        <w:rPr>
          <w:color w:val="000000" w:themeColor="text1"/>
          <w:sz w:val="22"/>
          <w:lang w:val="bg-BG"/>
        </w:rPr>
        <w:t xml:space="preserve"> процеса на производство, </w:t>
      </w:r>
      <w:r w:rsidR="0068114D" w:rsidRPr="00A3491F">
        <w:rPr>
          <w:color w:val="000000" w:themeColor="text1"/>
          <w:sz w:val="22"/>
          <w:lang w:val="bg-BG"/>
        </w:rPr>
        <w:t>осигуряване</w:t>
      </w:r>
      <w:r w:rsidR="00860AC8" w:rsidRPr="00A3491F">
        <w:rPr>
          <w:color w:val="000000" w:themeColor="text1"/>
          <w:sz w:val="22"/>
          <w:lang w:val="bg-BG"/>
        </w:rPr>
        <w:t xml:space="preserve"> предвидима бизнес среда чрез </w:t>
      </w:r>
      <w:r w:rsidR="0068114D" w:rsidRPr="00A3491F">
        <w:rPr>
          <w:color w:val="000000" w:themeColor="text1"/>
          <w:sz w:val="22"/>
          <w:lang w:val="bg-BG"/>
        </w:rPr>
        <w:t>еднакво</w:t>
      </w:r>
      <w:r w:rsidR="00860AC8" w:rsidRPr="00A3491F">
        <w:rPr>
          <w:color w:val="000000" w:themeColor="text1"/>
          <w:sz w:val="22"/>
          <w:lang w:val="bg-BG"/>
        </w:rPr>
        <w:t>то</w:t>
      </w:r>
      <w:r w:rsidR="0068114D" w:rsidRPr="00A3491F">
        <w:rPr>
          <w:color w:val="000000" w:themeColor="text1"/>
          <w:sz w:val="22"/>
          <w:lang w:val="bg-BG"/>
        </w:rPr>
        <w:t xml:space="preserve"> прилагане на законовите правила от производителите</w:t>
      </w:r>
      <w:r w:rsidRPr="00A3491F">
        <w:rPr>
          <w:color w:val="000000" w:themeColor="text1"/>
          <w:sz w:val="22"/>
          <w:lang w:val="bg-BG"/>
        </w:rPr>
        <w:t>.</w:t>
      </w:r>
    </w:p>
    <w:p w:rsidR="00C14C40" w:rsidRPr="00A3491F" w:rsidRDefault="009C25BF" w:rsidP="006B3BB7">
      <w:pPr>
        <w:pStyle w:val="Heading2"/>
        <w:spacing w:before="240" w:after="120"/>
        <w:rPr>
          <w:rFonts w:cs="Times New Roman"/>
          <w:sz w:val="22"/>
          <w:szCs w:val="22"/>
          <w:lang w:val="bg-BG"/>
        </w:rPr>
      </w:pPr>
      <w:bookmarkStart w:id="20" w:name="_Toc496709950"/>
      <w:r w:rsidRPr="00A3491F">
        <w:rPr>
          <w:rFonts w:cs="Times New Roman"/>
          <w:sz w:val="22"/>
          <w:szCs w:val="22"/>
          <w:lang w:val="bg-BG"/>
        </w:rPr>
        <w:t>IV.3.</w:t>
      </w:r>
      <w:r w:rsidR="00C14C40" w:rsidRPr="00A3491F">
        <w:rPr>
          <w:rFonts w:cs="Times New Roman"/>
          <w:sz w:val="22"/>
          <w:szCs w:val="22"/>
          <w:lang w:val="bg-BG"/>
        </w:rPr>
        <w:t>Времеви график за постигане на целите</w:t>
      </w:r>
      <w:bookmarkEnd w:id="20"/>
    </w:p>
    <w:p w:rsidR="00B96CCE" w:rsidRPr="00A3491F" w:rsidRDefault="003E20E7" w:rsidP="006B3BB7">
      <w:pPr>
        <w:spacing w:after="120"/>
        <w:rPr>
          <w:sz w:val="22"/>
          <w:lang w:val="bg-BG"/>
        </w:rPr>
      </w:pPr>
      <w:r w:rsidRPr="00A3491F">
        <w:rPr>
          <w:lang w:val="bg-BG"/>
        </w:rPr>
        <w:t xml:space="preserve">Проектът на нов </w:t>
      </w:r>
      <w:r w:rsidR="00AB6594" w:rsidRPr="00A3491F">
        <w:rPr>
          <w:lang w:val="bg-BG"/>
        </w:rPr>
        <w:t>Закон</w:t>
      </w:r>
      <w:r w:rsidRPr="00A3491F">
        <w:rPr>
          <w:lang w:val="bg-BG"/>
        </w:rPr>
        <w:t xml:space="preserve"> за виното и спиртните напитки</w:t>
      </w:r>
      <w:r w:rsidR="00AB6594" w:rsidRPr="00A3491F">
        <w:rPr>
          <w:lang w:val="bg-BG"/>
        </w:rPr>
        <w:t xml:space="preserve"> трябва да бъде нотифициран </w:t>
      </w:r>
      <w:r w:rsidRPr="00A3491F">
        <w:rPr>
          <w:lang w:val="bg-BG"/>
        </w:rPr>
        <w:t xml:space="preserve">пред Европейската </w:t>
      </w:r>
      <w:r w:rsidRPr="00A3491F">
        <w:rPr>
          <w:sz w:val="22"/>
          <w:lang w:val="bg-BG"/>
        </w:rPr>
        <w:t xml:space="preserve">комисия в съответствие с правилата на Директива </w:t>
      </w:r>
      <w:r w:rsidR="004B086C" w:rsidRPr="00A3491F">
        <w:rPr>
          <w:sz w:val="22"/>
          <w:lang w:val="bg-BG"/>
        </w:rPr>
        <w:t xml:space="preserve">2015/1535 </w:t>
      </w:r>
      <w:r w:rsidRPr="00A3491F">
        <w:rPr>
          <w:sz w:val="22"/>
          <w:lang w:val="bg-BG"/>
        </w:rPr>
        <w:t xml:space="preserve"> преди приемането му и преди да бъде осъществена междуведомствената съгласувателна процедура</w:t>
      </w:r>
      <w:r w:rsidR="0072714B" w:rsidRPr="00A3491F">
        <w:rPr>
          <w:sz w:val="22"/>
          <w:lang w:val="bg-BG"/>
        </w:rPr>
        <w:t>,</w:t>
      </w:r>
      <w:r w:rsidRPr="00A3491F">
        <w:rPr>
          <w:sz w:val="22"/>
          <w:lang w:val="bg-BG"/>
        </w:rPr>
        <w:t xml:space="preserve"> предвидена в Устройствения правилник на Министерския съвет и неговата администрация. Крайният срок за осъществяване на тази цел е м</w:t>
      </w:r>
      <w:r w:rsidR="00BE556E" w:rsidRPr="00A3491F">
        <w:rPr>
          <w:sz w:val="22"/>
          <w:lang w:val="bg-BG"/>
        </w:rPr>
        <w:t>есец</w:t>
      </w:r>
      <w:r w:rsidRPr="00A3491F">
        <w:rPr>
          <w:sz w:val="22"/>
          <w:lang w:val="bg-BG"/>
        </w:rPr>
        <w:t xml:space="preserve"> декември 2017 г.</w:t>
      </w:r>
    </w:p>
    <w:p w:rsidR="00B96CCE" w:rsidRPr="00A3491F" w:rsidRDefault="002E6FFB" w:rsidP="006B3BB7">
      <w:pPr>
        <w:spacing w:after="120"/>
        <w:rPr>
          <w:sz w:val="22"/>
          <w:lang w:val="bg-BG"/>
        </w:rPr>
      </w:pPr>
      <w:r w:rsidRPr="00A3491F">
        <w:rPr>
          <w:sz w:val="22"/>
          <w:lang w:val="bg-BG"/>
        </w:rPr>
        <w:t xml:space="preserve">Проектът на Закон за виното и спиртните напитки следва да бъде внесен в Народното събрание до </w:t>
      </w:r>
      <w:r w:rsidR="00796362" w:rsidRPr="00A3491F">
        <w:rPr>
          <w:sz w:val="22"/>
          <w:lang w:val="bg-BG"/>
        </w:rPr>
        <w:t>31.03.2018 г</w:t>
      </w:r>
      <w:r w:rsidRPr="00A3491F">
        <w:rPr>
          <w:sz w:val="22"/>
          <w:lang w:val="bg-BG"/>
        </w:rPr>
        <w:t xml:space="preserve">. Предвижда се </w:t>
      </w:r>
      <w:r w:rsidR="00AB6594" w:rsidRPr="00A3491F">
        <w:rPr>
          <w:sz w:val="22"/>
          <w:lang w:val="bg-BG"/>
        </w:rPr>
        <w:t xml:space="preserve">законът да влезе в сила в 3-дневен срок от обнародването му в </w:t>
      </w:r>
      <w:r w:rsidR="00FC1BC7" w:rsidRPr="00A3491F">
        <w:rPr>
          <w:sz w:val="22"/>
          <w:lang w:val="bg-BG"/>
        </w:rPr>
        <w:t>Д</w:t>
      </w:r>
      <w:r w:rsidR="00AB6594" w:rsidRPr="00A3491F">
        <w:rPr>
          <w:sz w:val="22"/>
          <w:lang w:val="bg-BG"/>
        </w:rPr>
        <w:t>ържавен вестник.</w:t>
      </w:r>
    </w:p>
    <w:p w:rsidR="001B7CD1" w:rsidRPr="00A3491F" w:rsidRDefault="00AB6594" w:rsidP="006B3BB7">
      <w:pPr>
        <w:spacing w:after="120"/>
        <w:rPr>
          <w:sz w:val="22"/>
          <w:lang w:val="bg-BG"/>
        </w:rPr>
      </w:pPr>
      <w:r w:rsidRPr="00A3491F">
        <w:rPr>
          <w:sz w:val="22"/>
          <w:lang w:val="bg-BG"/>
        </w:rPr>
        <w:t>Предвидените подзаконови нормативни актове, чрез които пряко ще се въведат детайлни правила за постигане на целите на настоящия закон, следва да бъдат приети в срок от 6 месе</w:t>
      </w:r>
      <w:r w:rsidR="005709F6" w:rsidRPr="00A3491F">
        <w:rPr>
          <w:sz w:val="22"/>
          <w:lang w:val="bg-BG"/>
        </w:rPr>
        <w:t>ца от влизане в сила на закона.</w:t>
      </w:r>
    </w:p>
    <w:p w:rsidR="0072714B" w:rsidRPr="00A3491F" w:rsidRDefault="00FC1BC7" w:rsidP="006B3BB7">
      <w:pPr>
        <w:spacing w:after="120"/>
        <w:rPr>
          <w:lang w:val="bg-BG"/>
        </w:rPr>
      </w:pPr>
      <w:r w:rsidRPr="00A3491F">
        <w:rPr>
          <w:sz w:val="22"/>
          <w:lang w:val="bg-BG"/>
        </w:rPr>
        <w:t>Очаква се</w:t>
      </w:r>
      <w:r w:rsidR="00AB6594" w:rsidRPr="00A3491F">
        <w:rPr>
          <w:sz w:val="22"/>
          <w:lang w:val="bg-BG"/>
        </w:rPr>
        <w:t xml:space="preserve"> пълно </w:t>
      </w:r>
      <w:r w:rsidRPr="00A3491F">
        <w:rPr>
          <w:sz w:val="22"/>
          <w:lang w:val="bg-BG"/>
        </w:rPr>
        <w:t>осъществяване</w:t>
      </w:r>
      <w:r w:rsidR="00AB6594" w:rsidRPr="00A3491F">
        <w:rPr>
          <w:sz w:val="22"/>
          <w:lang w:val="bg-BG"/>
        </w:rPr>
        <w:t xml:space="preserve"> на </w:t>
      </w:r>
      <w:r w:rsidR="002E6FFB" w:rsidRPr="00A3491F">
        <w:rPr>
          <w:sz w:val="22"/>
          <w:lang w:val="bg-BG"/>
        </w:rPr>
        <w:t>специфичните цели</w:t>
      </w:r>
      <w:r w:rsidR="00AB6594" w:rsidRPr="00A3491F">
        <w:rPr>
          <w:sz w:val="22"/>
          <w:lang w:val="bg-BG"/>
        </w:rPr>
        <w:t xml:space="preserve"> на закона да бъде </w:t>
      </w:r>
      <w:r w:rsidRPr="00A3491F">
        <w:rPr>
          <w:sz w:val="22"/>
          <w:lang w:val="bg-BG"/>
        </w:rPr>
        <w:t xml:space="preserve">постигнато </w:t>
      </w:r>
      <w:r w:rsidR="00AB6594" w:rsidRPr="00A3491F">
        <w:rPr>
          <w:sz w:val="22"/>
          <w:lang w:val="bg-BG"/>
        </w:rPr>
        <w:t xml:space="preserve">в </w:t>
      </w:r>
      <w:r w:rsidRPr="00A3491F">
        <w:rPr>
          <w:sz w:val="22"/>
          <w:lang w:val="bg-BG"/>
        </w:rPr>
        <w:t>пет</w:t>
      </w:r>
      <w:r w:rsidR="00AB6594" w:rsidRPr="00A3491F">
        <w:rPr>
          <w:sz w:val="22"/>
          <w:lang w:val="bg-BG"/>
        </w:rPr>
        <w:t>годишен срок от неговото приемане.</w:t>
      </w:r>
    </w:p>
    <w:p w:rsidR="00B96F8E" w:rsidRPr="00A3491F" w:rsidRDefault="00061BD0" w:rsidP="006B3BB7">
      <w:pPr>
        <w:pStyle w:val="Heading1"/>
        <w:spacing w:after="120"/>
        <w:rPr>
          <w:rFonts w:cs="Times New Roman"/>
          <w:sz w:val="22"/>
          <w:szCs w:val="22"/>
          <w:lang w:val="bg-BG"/>
        </w:rPr>
      </w:pPr>
      <w:bookmarkStart w:id="21" w:name="_Toc496709951"/>
      <w:r w:rsidRPr="00A3491F">
        <w:rPr>
          <w:rFonts w:cs="Times New Roman"/>
          <w:sz w:val="22"/>
          <w:szCs w:val="22"/>
          <w:lang w:val="bg-BG"/>
        </w:rPr>
        <w:t xml:space="preserve">V. </w:t>
      </w:r>
      <w:r w:rsidR="00C14C40" w:rsidRPr="00A3491F">
        <w:rPr>
          <w:rFonts w:cs="Times New Roman"/>
          <w:sz w:val="22"/>
          <w:szCs w:val="22"/>
          <w:lang w:val="bg-BG"/>
        </w:rPr>
        <w:t>Определяне на възможните варианти за действие за постигане на целите</w:t>
      </w:r>
      <w:bookmarkEnd w:id="21"/>
    </w:p>
    <w:p w:rsidR="00B96F8E" w:rsidRPr="00A3491F" w:rsidRDefault="00B96F8E" w:rsidP="006B3BB7">
      <w:pPr>
        <w:spacing w:after="120"/>
        <w:rPr>
          <w:sz w:val="22"/>
          <w:lang w:val="bg-BG"/>
        </w:rPr>
      </w:pPr>
      <w:r w:rsidRPr="00A3491F">
        <w:rPr>
          <w:sz w:val="22"/>
          <w:lang w:val="bg-BG"/>
        </w:rPr>
        <w:t xml:space="preserve">При извършване на оценка на въздействието на проекта на Закон за виното и спиртните напитки бяха идентифицирани </w:t>
      </w:r>
      <w:r w:rsidR="00004B4F" w:rsidRPr="00A3491F">
        <w:rPr>
          <w:sz w:val="22"/>
          <w:lang w:val="bg-BG"/>
        </w:rPr>
        <w:t xml:space="preserve">три основни </w:t>
      </w:r>
      <w:r w:rsidRPr="00A3491F">
        <w:rPr>
          <w:sz w:val="22"/>
          <w:lang w:val="bg-BG"/>
        </w:rPr>
        <w:t>възможни вариант</w:t>
      </w:r>
      <w:r w:rsidR="00004B4F" w:rsidRPr="00A3491F">
        <w:rPr>
          <w:sz w:val="22"/>
          <w:lang w:val="bg-BG"/>
        </w:rPr>
        <w:t>а</w:t>
      </w:r>
      <w:r w:rsidRPr="00A3491F">
        <w:rPr>
          <w:sz w:val="22"/>
          <w:lang w:val="bg-BG"/>
        </w:rPr>
        <w:t xml:space="preserve"> на действие по отношение на заложените цели</w:t>
      </w:r>
      <w:r w:rsidR="00004B4F" w:rsidRPr="00A3491F">
        <w:rPr>
          <w:sz w:val="22"/>
          <w:lang w:val="bg-BG"/>
        </w:rPr>
        <w:t xml:space="preserve"> – (1) бездействие и поддържане на текущото положение, (2) изменение и допълнение на съществуващия закон за виното и спиртните напитки и (3) приемане на нов закон за виното и спиртните напитки.</w:t>
      </w:r>
    </w:p>
    <w:p w:rsidR="00C14C40" w:rsidRPr="00A3491F" w:rsidRDefault="00061BD0" w:rsidP="006B3BB7">
      <w:pPr>
        <w:pStyle w:val="Heading2"/>
        <w:spacing w:before="240" w:after="120"/>
        <w:rPr>
          <w:rFonts w:cs="Times New Roman"/>
          <w:sz w:val="22"/>
          <w:szCs w:val="22"/>
          <w:lang w:val="bg-BG"/>
        </w:rPr>
      </w:pPr>
      <w:bookmarkStart w:id="22" w:name="_Toc496709952"/>
      <w:r w:rsidRPr="00A3491F">
        <w:rPr>
          <w:rFonts w:cs="Times New Roman"/>
          <w:sz w:val="22"/>
          <w:szCs w:val="22"/>
          <w:lang w:val="bg-BG"/>
        </w:rPr>
        <w:t xml:space="preserve">V.1. </w:t>
      </w:r>
      <w:r w:rsidR="00C14C40" w:rsidRPr="00A3491F">
        <w:rPr>
          <w:rFonts w:cs="Times New Roman"/>
          <w:sz w:val="22"/>
          <w:szCs w:val="22"/>
          <w:lang w:val="bg-BG"/>
        </w:rPr>
        <w:t xml:space="preserve">Вариант </w:t>
      </w:r>
      <w:r w:rsidR="00E95FCD" w:rsidRPr="00A3491F">
        <w:rPr>
          <w:rFonts w:cs="Times New Roman"/>
          <w:sz w:val="22"/>
          <w:szCs w:val="22"/>
          <w:lang w:val="bg-BG"/>
        </w:rPr>
        <w:t xml:space="preserve">1: </w:t>
      </w:r>
      <w:r w:rsidR="00C14C40" w:rsidRPr="00A3491F">
        <w:rPr>
          <w:rFonts w:cs="Times New Roman"/>
          <w:sz w:val="22"/>
          <w:szCs w:val="22"/>
          <w:lang w:val="bg-BG"/>
        </w:rPr>
        <w:t>Без действие</w:t>
      </w:r>
      <w:bookmarkEnd w:id="22"/>
    </w:p>
    <w:p w:rsidR="00EB19F8" w:rsidRPr="00A3491F" w:rsidRDefault="00F40574" w:rsidP="006B3BB7">
      <w:pPr>
        <w:spacing w:after="120"/>
        <w:rPr>
          <w:sz w:val="22"/>
          <w:lang w:val="bg-BG"/>
        </w:rPr>
      </w:pPr>
      <w:r w:rsidRPr="00A3491F">
        <w:rPr>
          <w:sz w:val="22"/>
          <w:lang w:val="bg-BG"/>
        </w:rPr>
        <w:t xml:space="preserve">При реализиране на вариант „Без действие“ няма да бъдат предприети действия по изменение в нормативната уредба на обществените отношения възникващи по повод производството и търговията с лозаро-винарски продукти и </w:t>
      </w:r>
      <w:r w:rsidR="00775B30" w:rsidRPr="00A3491F">
        <w:rPr>
          <w:sz w:val="22"/>
          <w:lang w:val="bg-BG"/>
        </w:rPr>
        <w:t>етилов алкохол от земеделски произход, дестилати и спиртни напитки</w:t>
      </w:r>
      <w:r w:rsidRPr="00A3491F">
        <w:rPr>
          <w:sz w:val="22"/>
          <w:lang w:val="bg-BG"/>
        </w:rPr>
        <w:t xml:space="preserve">. В този случай действащото законодателство няма да отразява правилно пряко приложимите изисквания на европейските актове в областта. </w:t>
      </w:r>
      <w:r w:rsidR="00C466D3" w:rsidRPr="00A3491F">
        <w:rPr>
          <w:sz w:val="22"/>
          <w:lang w:val="bg-BG"/>
        </w:rPr>
        <w:t>Освен това</w:t>
      </w:r>
      <w:r w:rsidR="00850FE7" w:rsidRPr="00A3491F">
        <w:rPr>
          <w:sz w:val="22"/>
          <w:lang w:val="bg-BG"/>
        </w:rPr>
        <w:t>,</w:t>
      </w:r>
      <w:r w:rsidR="00C466D3" w:rsidRPr="00A3491F">
        <w:rPr>
          <w:sz w:val="22"/>
          <w:lang w:val="bg-BG"/>
        </w:rPr>
        <w:t xml:space="preserve"> липсата на нотифициране на техническите регламенти пред Европейската комисия ще доведе до неприлагане на закона в тези му части, а страната ни няма да изпълни поетите пред Европейската комисия ангажименти. Това ще доведе до започване на процедура по установяване на нарушение на правото на ЕС и налагане на финансови санкции до привеждане на нормативната уредба в съответствие с европейските регламенти. </w:t>
      </w:r>
      <w:r w:rsidR="00B022BE" w:rsidRPr="00A3491F">
        <w:rPr>
          <w:sz w:val="22"/>
          <w:lang w:val="bg-BG"/>
        </w:rPr>
        <w:t xml:space="preserve">Поради неприемането на предвидения Правилник за прилагане на Закона за виното и спиртните напитки, редица от заложените в действащия </w:t>
      </w:r>
      <w:r w:rsidR="00B022BE" w:rsidRPr="00A3491F">
        <w:rPr>
          <w:sz w:val="22"/>
          <w:lang w:val="bg-BG"/>
        </w:rPr>
        <w:lastRenderedPageBreak/>
        <w:t xml:space="preserve">закон правила </w:t>
      </w:r>
      <w:r w:rsidR="00AF3758" w:rsidRPr="00A3491F">
        <w:rPr>
          <w:sz w:val="22"/>
          <w:lang w:val="bg-BG"/>
        </w:rPr>
        <w:t>ще продължат</w:t>
      </w:r>
      <w:r w:rsidR="00B022BE" w:rsidRPr="00A3491F">
        <w:rPr>
          <w:sz w:val="22"/>
          <w:lang w:val="bg-BG"/>
        </w:rPr>
        <w:t xml:space="preserve"> да </w:t>
      </w:r>
      <w:r w:rsidR="00AF3758" w:rsidRPr="00A3491F">
        <w:rPr>
          <w:sz w:val="22"/>
          <w:lang w:val="bg-BG"/>
        </w:rPr>
        <w:t xml:space="preserve">не </w:t>
      </w:r>
      <w:r w:rsidR="00B022BE" w:rsidRPr="00A3491F">
        <w:rPr>
          <w:sz w:val="22"/>
          <w:lang w:val="bg-BG"/>
        </w:rPr>
        <w:t xml:space="preserve">се прилагат, </w:t>
      </w:r>
      <w:r w:rsidR="00AF3758" w:rsidRPr="00A3491F">
        <w:rPr>
          <w:sz w:val="22"/>
          <w:lang w:val="bg-BG"/>
        </w:rPr>
        <w:t xml:space="preserve">поради </w:t>
      </w:r>
      <w:r w:rsidR="00B022BE" w:rsidRPr="00A3491F">
        <w:rPr>
          <w:sz w:val="22"/>
          <w:lang w:val="bg-BG"/>
        </w:rPr>
        <w:t>липс</w:t>
      </w:r>
      <w:r w:rsidR="00AF3758" w:rsidRPr="00A3491F">
        <w:rPr>
          <w:sz w:val="22"/>
          <w:lang w:val="bg-BG"/>
        </w:rPr>
        <w:t>ата на</w:t>
      </w:r>
      <w:r w:rsidR="00B022BE" w:rsidRPr="00A3491F">
        <w:rPr>
          <w:sz w:val="22"/>
          <w:lang w:val="bg-BG"/>
        </w:rPr>
        <w:t xml:space="preserve"> </w:t>
      </w:r>
      <w:r w:rsidR="00AF3758" w:rsidRPr="00A3491F">
        <w:rPr>
          <w:sz w:val="22"/>
          <w:lang w:val="bg-BG"/>
        </w:rPr>
        <w:t xml:space="preserve">конкретизираща </w:t>
      </w:r>
      <w:r w:rsidR="00B022BE" w:rsidRPr="00A3491F">
        <w:rPr>
          <w:sz w:val="22"/>
          <w:lang w:val="bg-BG"/>
        </w:rPr>
        <w:t>уредба на реда за предоставяне на някои административни услуги, както и за събиране н</w:t>
      </w:r>
      <w:r w:rsidR="00AF3758" w:rsidRPr="00A3491F">
        <w:rPr>
          <w:sz w:val="22"/>
          <w:lang w:val="bg-BG"/>
        </w:rPr>
        <w:t>а предвидените за тях такси. Н</w:t>
      </w:r>
      <w:r w:rsidR="00B022BE" w:rsidRPr="00A3491F">
        <w:rPr>
          <w:sz w:val="22"/>
          <w:lang w:val="bg-BG"/>
        </w:rPr>
        <w:t>яма да може да се извършва контролна дейност по отношение на производството и регистрацията на вината със ЗНП, вината със ЗГУ и сортовите вина без ЗНП/ЗГУ, енологичните практики, приложими към производството и съхраняването на продуктите, граничните стойности при употребата им, както и спецификациите за чистотата и идентичността на веществата, използвани в енологичните практики, условията и редът за извеждането на вторичните продукти под наблюдение, условията и редът за производството, признаването и предлагането на плодово вино и оцет, условията и реда за унищожаване на продуктите, произведени чрез различни от разрешените енологични практики и в нарушение на ограниченията за производството и съхраняването им, част от правилата за етикетиране, придружителните документи, както и условията и реда за превоз на лозаро-винарски продукти, условията и реда за издаване на писменото становище на ИАЛВ за освобождаване на специална гаранция за внесени от трети страни продукти, устройството и дейността на дегустационните комисии</w:t>
      </w:r>
      <w:r w:rsidR="000B367C" w:rsidRPr="00A3491F">
        <w:rPr>
          <w:sz w:val="22"/>
          <w:lang w:val="bg-BG"/>
        </w:rPr>
        <w:t>.</w:t>
      </w:r>
      <w:r w:rsidR="00B022BE" w:rsidRPr="00A3491F">
        <w:rPr>
          <w:sz w:val="22"/>
          <w:lang w:val="bg-BG"/>
        </w:rPr>
        <w:t xml:space="preserve"> Същевременно, липсата на контрол върху тези дейности ще създава дисбаланс в сектора. Липсата на законодателство на национално ниво</w:t>
      </w:r>
      <w:r w:rsidR="00AF3758" w:rsidRPr="00A3491F">
        <w:rPr>
          <w:sz w:val="22"/>
          <w:lang w:val="bg-BG"/>
        </w:rPr>
        <w:t>, дефиниращо конкретно плодовите вина и продуктите от тях, както и оцета,</w:t>
      </w:r>
      <w:r w:rsidR="00B022BE" w:rsidRPr="00A3491F">
        <w:rPr>
          <w:sz w:val="22"/>
          <w:lang w:val="bg-BG"/>
        </w:rPr>
        <w:t xml:space="preserve"> дава възможност на пазара да се предлагат с еднакво обозначение разнородни продукти с широка гама от характеристики. Това пречи на лоялната конкуренция в сектора и създава опасност за живота и здравето на потребителите. </w:t>
      </w:r>
    </w:p>
    <w:p w:rsidR="00A35924" w:rsidRPr="00A3491F" w:rsidRDefault="00061BD0" w:rsidP="006B3BB7">
      <w:pPr>
        <w:pStyle w:val="Heading2"/>
        <w:spacing w:before="240" w:after="120"/>
        <w:rPr>
          <w:rFonts w:eastAsiaTheme="minorEastAsia" w:cs="Times New Roman"/>
          <w:sz w:val="22"/>
          <w:szCs w:val="22"/>
          <w:lang w:val="bg-BG"/>
        </w:rPr>
      </w:pPr>
      <w:bookmarkStart w:id="23" w:name="_Toc496709953"/>
      <w:r w:rsidRPr="00A3491F">
        <w:rPr>
          <w:rFonts w:eastAsiaTheme="minorEastAsia" w:cs="Times New Roman"/>
          <w:sz w:val="22"/>
          <w:szCs w:val="22"/>
          <w:lang w:val="bg-BG"/>
        </w:rPr>
        <w:t xml:space="preserve">V.2. </w:t>
      </w:r>
      <w:r w:rsidR="00C14C40" w:rsidRPr="00A3491F">
        <w:rPr>
          <w:rFonts w:eastAsiaTheme="minorEastAsia" w:cs="Times New Roman"/>
          <w:sz w:val="22"/>
          <w:szCs w:val="22"/>
          <w:lang w:val="bg-BG"/>
        </w:rPr>
        <w:t xml:space="preserve">Вариант </w:t>
      </w:r>
      <w:r w:rsidR="00E95FCD" w:rsidRPr="00A3491F">
        <w:rPr>
          <w:rFonts w:eastAsiaTheme="minorEastAsia" w:cs="Times New Roman"/>
          <w:sz w:val="22"/>
          <w:szCs w:val="22"/>
          <w:lang w:val="bg-BG"/>
        </w:rPr>
        <w:t xml:space="preserve">2: </w:t>
      </w:r>
      <w:r w:rsidR="00C14C40" w:rsidRPr="00A3491F">
        <w:rPr>
          <w:rFonts w:eastAsiaTheme="minorEastAsia" w:cs="Times New Roman"/>
          <w:sz w:val="22"/>
          <w:szCs w:val="22"/>
          <w:lang w:val="bg-BG"/>
        </w:rPr>
        <w:t xml:space="preserve">Изменение </w:t>
      </w:r>
      <w:r w:rsidR="00E95FCD" w:rsidRPr="00A3491F">
        <w:rPr>
          <w:rFonts w:eastAsiaTheme="minorEastAsia" w:cs="Times New Roman"/>
          <w:sz w:val="22"/>
          <w:szCs w:val="22"/>
          <w:lang w:val="bg-BG"/>
        </w:rPr>
        <w:t xml:space="preserve">и допълнение </w:t>
      </w:r>
      <w:r w:rsidR="00C14C40" w:rsidRPr="00A3491F">
        <w:rPr>
          <w:rFonts w:eastAsiaTheme="minorEastAsia" w:cs="Times New Roman"/>
          <w:sz w:val="22"/>
          <w:szCs w:val="22"/>
          <w:lang w:val="bg-BG"/>
        </w:rPr>
        <w:t>на съществуващия Закон за виното и спиртните напитки</w:t>
      </w:r>
      <w:bookmarkEnd w:id="23"/>
    </w:p>
    <w:p w:rsidR="00AB04A7" w:rsidRPr="00A3491F" w:rsidRDefault="00FC69E9" w:rsidP="006B3BB7">
      <w:pPr>
        <w:spacing w:after="120"/>
        <w:rPr>
          <w:sz w:val="22"/>
          <w:lang w:val="bg-BG"/>
        </w:rPr>
      </w:pPr>
      <w:r w:rsidRPr="00A3491F">
        <w:rPr>
          <w:sz w:val="22"/>
          <w:lang w:val="bg-BG"/>
        </w:rPr>
        <w:t xml:space="preserve">За осъществяването на Вариант 2 ще бъдат предприети действия по изменение </w:t>
      </w:r>
      <w:r w:rsidR="00EB0799" w:rsidRPr="00A3491F">
        <w:rPr>
          <w:sz w:val="22"/>
          <w:lang w:val="bg-BG"/>
        </w:rPr>
        <w:t xml:space="preserve">и допълнение </w:t>
      </w:r>
      <w:r w:rsidRPr="00A3491F">
        <w:rPr>
          <w:sz w:val="22"/>
          <w:lang w:val="bg-BG"/>
        </w:rPr>
        <w:t xml:space="preserve">на съществуващите правила по начин, който да доведе до </w:t>
      </w:r>
      <w:r w:rsidR="000A7A15" w:rsidRPr="00A3491F">
        <w:rPr>
          <w:sz w:val="22"/>
          <w:lang w:val="bg-BG"/>
        </w:rPr>
        <w:t xml:space="preserve">разрешаване на част от проблемите, възникващи при прилагането на европейските регламенти. На следващо място голяма част от специфичните проблеми, изискващи действия на национално ниво също ще могат да бъдат разрешени. Така няма да бъде приет изцяло нов закон, а ще се продължи прилагането на сегашния. Ще се запази действието на онези правила, чието прилагане се е доказало като ефективно и благоприятно за секторите на производство на лозаро-винарски продукти и </w:t>
      </w:r>
      <w:r w:rsidR="00775B30" w:rsidRPr="00A3491F">
        <w:rPr>
          <w:sz w:val="22"/>
          <w:lang w:val="bg-BG"/>
        </w:rPr>
        <w:t>етилов алкохол от земеделски произход, дестилати и спиртни напитки</w:t>
      </w:r>
      <w:r w:rsidR="000A7A15" w:rsidRPr="00A3491F">
        <w:rPr>
          <w:sz w:val="22"/>
          <w:lang w:val="bg-BG"/>
        </w:rPr>
        <w:t xml:space="preserve">. </w:t>
      </w:r>
      <w:r w:rsidR="00850FE7" w:rsidRPr="00A3491F">
        <w:rPr>
          <w:sz w:val="22"/>
          <w:lang w:val="bg-BG"/>
        </w:rPr>
        <w:t>Щ</w:t>
      </w:r>
      <w:r w:rsidR="000A7A15" w:rsidRPr="00A3491F">
        <w:rPr>
          <w:sz w:val="22"/>
          <w:lang w:val="bg-BG"/>
        </w:rPr>
        <w:t xml:space="preserve">е бъде предвидено приемането на нови подзаконови нормативни актове, които да допълнят и да конкретизират материята. </w:t>
      </w:r>
      <w:r w:rsidR="0048212B" w:rsidRPr="00A3491F">
        <w:rPr>
          <w:sz w:val="22"/>
          <w:lang w:val="bg-BG"/>
        </w:rPr>
        <w:t>Не се предвижда да се създадат нови административни режими, нито се очаква да бъде повишена административната тежест. Ще бъде продължено воденето на съществуващите регистри на производителите при използването на техническите им възможности и бази данни.</w:t>
      </w:r>
    </w:p>
    <w:p w:rsidR="00B96CCE" w:rsidRPr="00A3491F" w:rsidRDefault="000B5086" w:rsidP="006B3BB7">
      <w:pPr>
        <w:spacing w:after="120"/>
        <w:rPr>
          <w:sz w:val="22"/>
          <w:lang w:val="bg-BG"/>
        </w:rPr>
      </w:pPr>
      <w:r w:rsidRPr="00A3491F">
        <w:rPr>
          <w:lang w:val="bg-BG"/>
        </w:rPr>
        <w:t xml:space="preserve">Чрез приемането на Закон за изменение и допълнение на Закона за виното и спиртните напитки ще </w:t>
      </w:r>
      <w:r w:rsidRPr="00A3491F">
        <w:rPr>
          <w:sz w:val="22"/>
          <w:lang w:val="bg-BG"/>
        </w:rPr>
        <w:t>бъдат разрешени специфичните проблеми на действащата уредба, както са дефинирани по-горе. В него ще бъдат предвидени по - ясни правила за провеждане на политиката в лозаро-винарския сектор, както и ефективни правила за контрола по спазването им. Продуктите от лозаро-винарския сектор ще се произвеждат в съответствие с определени енологични практики и производствени методи, гарантиращи  опазването на общественото здраве и очакванията на потребителите по отношение на качеството</w:t>
      </w:r>
      <w:r w:rsidR="00C21012" w:rsidRPr="00A3491F">
        <w:rPr>
          <w:sz w:val="22"/>
          <w:lang w:val="bg-BG"/>
        </w:rPr>
        <w:t xml:space="preserve">, според изискванията на </w:t>
      </w:r>
      <w:r w:rsidR="00C21012" w:rsidRPr="00A3491F">
        <w:rPr>
          <w:rFonts w:eastAsia="Times New Roman"/>
          <w:sz w:val="22"/>
          <w:lang w:val="bg-BG" w:eastAsia="bg-BG"/>
        </w:rPr>
        <w:t>Регламент (ЕС) № 1308/2013, Регламент (ЕС) № 251/2014 и Регламент (ЕО) № 606/2009</w:t>
      </w:r>
      <w:r w:rsidRPr="00A3491F">
        <w:rPr>
          <w:sz w:val="22"/>
          <w:lang w:val="bg-BG"/>
        </w:rPr>
        <w:t xml:space="preserve">. </w:t>
      </w:r>
      <w:r w:rsidR="009A106A" w:rsidRPr="00A3491F">
        <w:rPr>
          <w:sz w:val="22"/>
          <w:lang w:val="bg-BG"/>
        </w:rPr>
        <w:t xml:space="preserve">В предметния обхват на закона ще бъде включено </w:t>
      </w:r>
      <w:r w:rsidRPr="00A3491F">
        <w:rPr>
          <w:sz w:val="22"/>
          <w:lang w:val="bg-BG"/>
        </w:rPr>
        <w:t xml:space="preserve">производството на плодови вина и оцет. Контролът за спазване на закона по отношение на лозовите насаждения, лозаро-винарските продукти, плодовите вина и оцета </w:t>
      </w:r>
      <w:r w:rsidR="009A106A" w:rsidRPr="00A3491F">
        <w:rPr>
          <w:sz w:val="22"/>
          <w:lang w:val="bg-BG"/>
        </w:rPr>
        <w:t xml:space="preserve">ще </w:t>
      </w:r>
      <w:r w:rsidRPr="00A3491F">
        <w:rPr>
          <w:sz w:val="22"/>
          <w:lang w:val="bg-BG"/>
        </w:rPr>
        <w:t>се упражнява от Изпълнителната агенция по лозата и виното</w:t>
      </w:r>
      <w:r w:rsidR="009A106A" w:rsidRPr="00A3491F">
        <w:rPr>
          <w:sz w:val="22"/>
          <w:lang w:val="bg-BG"/>
        </w:rPr>
        <w:t>, както и до момента</w:t>
      </w:r>
      <w:r w:rsidRPr="00A3491F">
        <w:rPr>
          <w:sz w:val="22"/>
          <w:lang w:val="bg-BG"/>
        </w:rPr>
        <w:t>.</w:t>
      </w:r>
    </w:p>
    <w:p w:rsidR="00F131C7" w:rsidRPr="00A3491F" w:rsidRDefault="000B5086" w:rsidP="006B3BB7">
      <w:pPr>
        <w:spacing w:after="120"/>
        <w:rPr>
          <w:sz w:val="22"/>
          <w:lang w:val="bg-BG"/>
        </w:rPr>
      </w:pPr>
      <w:r w:rsidRPr="00A3491F">
        <w:rPr>
          <w:sz w:val="22"/>
          <w:lang w:val="bg-BG"/>
        </w:rPr>
        <w:t xml:space="preserve">Основната цел е новите текстове да съответстват на европейските регламенти. Така в </w:t>
      </w:r>
      <w:r w:rsidR="009A106A" w:rsidRPr="00A3491F">
        <w:rPr>
          <w:sz w:val="22"/>
          <w:lang w:val="bg-BG"/>
        </w:rPr>
        <w:t xml:space="preserve">закона ще бъдат </w:t>
      </w:r>
      <w:r w:rsidR="00BC001C" w:rsidRPr="00A3491F">
        <w:rPr>
          <w:sz w:val="22"/>
          <w:lang w:val="bg-BG"/>
        </w:rPr>
        <w:t xml:space="preserve">изменени </w:t>
      </w:r>
      <w:r w:rsidRPr="00A3491F">
        <w:rPr>
          <w:sz w:val="22"/>
          <w:lang w:val="bg-BG"/>
        </w:rPr>
        <w:t>правила</w:t>
      </w:r>
      <w:r w:rsidR="00BC001C" w:rsidRPr="00A3491F">
        <w:rPr>
          <w:sz w:val="22"/>
          <w:lang w:val="bg-BG"/>
        </w:rPr>
        <w:t>та</w:t>
      </w:r>
      <w:r w:rsidRPr="00A3491F">
        <w:rPr>
          <w:sz w:val="22"/>
          <w:lang w:val="bg-BG"/>
        </w:rPr>
        <w:t xml:space="preserve"> за производството, получаването, преработката, етикетирането, търговията и </w:t>
      </w:r>
      <w:r w:rsidRPr="00A3491F">
        <w:rPr>
          <w:sz w:val="22"/>
          <w:lang w:val="bg-BG"/>
        </w:rPr>
        <w:lastRenderedPageBreak/>
        <w:t>контрола на гроздето, предназначено за производство на вино, вината, продуктите, получени от грозде и вино, плодовите вина, оцета, етиловия алкохол, дестилатите от земеделски произход и спиртните напитки, както и управлението и контрола на лозаро-винарския потенциал</w:t>
      </w:r>
      <w:r w:rsidR="009A106A" w:rsidRPr="00A3491F">
        <w:rPr>
          <w:sz w:val="22"/>
          <w:lang w:val="bg-BG"/>
        </w:rPr>
        <w:t xml:space="preserve">. </w:t>
      </w:r>
      <w:r w:rsidR="00BC001C" w:rsidRPr="00A3491F">
        <w:rPr>
          <w:sz w:val="22"/>
          <w:lang w:val="bg-BG"/>
        </w:rPr>
        <w:t>Р</w:t>
      </w:r>
      <w:r w:rsidR="009A106A" w:rsidRPr="00A3491F">
        <w:rPr>
          <w:sz w:val="22"/>
          <w:lang w:val="bg-BG"/>
        </w:rPr>
        <w:t xml:space="preserve">азпоредбите ще бъдат приведени в съответствие с поетите пред Европейската комисия ангажименти по отстраняване на неправилните препращания и възпроизвеждането на </w:t>
      </w:r>
      <w:r w:rsidR="00BC001C" w:rsidRPr="00A3491F">
        <w:rPr>
          <w:sz w:val="22"/>
          <w:lang w:val="bg-BG"/>
        </w:rPr>
        <w:t>правилата на вторичното европейско законодателство</w:t>
      </w:r>
      <w:r w:rsidR="00B96CCE" w:rsidRPr="00A3491F">
        <w:rPr>
          <w:sz w:val="22"/>
          <w:lang w:val="bg-BG"/>
        </w:rPr>
        <w:t>.</w:t>
      </w:r>
    </w:p>
    <w:p w:rsidR="00B96CCE" w:rsidRPr="00A3491F" w:rsidRDefault="00F131C7" w:rsidP="006B3BB7">
      <w:pPr>
        <w:spacing w:after="120"/>
        <w:rPr>
          <w:sz w:val="22"/>
          <w:lang w:val="bg-BG"/>
        </w:rPr>
      </w:pPr>
      <w:r w:rsidRPr="00A3491F">
        <w:rPr>
          <w:sz w:val="22"/>
          <w:lang w:val="bg-BG"/>
        </w:rPr>
        <w:t>С оглед да бъде гарантирано прилагането на процедури за контрол на качеството на лозаро-винарските продукти, използвани във всички държави-членки на ЕС, ще бъде въведено използването на референтни методи за изотопен анализ, който ще се извършва от лабораторията на ИАЛВ, вместо от Съвместния изследователски център</w:t>
      </w:r>
      <w:r w:rsidR="000859CF" w:rsidRPr="00A3491F">
        <w:rPr>
          <w:sz w:val="22"/>
          <w:lang w:val="bg-BG"/>
        </w:rPr>
        <w:t xml:space="preserve">, съобразно с </w:t>
      </w:r>
      <w:r w:rsidR="00BC001C" w:rsidRPr="00A3491F">
        <w:rPr>
          <w:sz w:val="22"/>
          <w:lang w:val="bg-BG"/>
        </w:rPr>
        <w:t>изискванията</w:t>
      </w:r>
      <w:r w:rsidR="00C21012" w:rsidRPr="00A3491F">
        <w:rPr>
          <w:sz w:val="22"/>
          <w:lang w:val="bg-BG"/>
        </w:rPr>
        <w:t xml:space="preserve"> на Регламент (ЕО) № 555/2008</w:t>
      </w:r>
      <w:r w:rsidR="005709F6" w:rsidRPr="00A3491F">
        <w:rPr>
          <w:sz w:val="22"/>
          <w:lang w:val="bg-BG"/>
        </w:rPr>
        <w:t>.</w:t>
      </w:r>
    </w:p>
    <w:p w:rsidR="000B5086" w:rsidRPr="00A3491F" w:rsidRDefault="009A106A" w:rsidP="006B3BB7">
      <w:pPr>
        <w:spacing w:after="120"/>
        <w:rPr>
          <w:sz w:val="22"/>
          <w:lang w:val="bg-BG"/>
        </w:rPr>
      </w:pPr>
      <w:r w:rsidRPr="00A3491F">
        <w:rPr>
          <w:sz w:val="22"/>
          <w:lang w:val="bg-BG"/>
        </w:rPr>
        <w:t>С цел въвеждане на системата за контрол на нерегламентираното нарастване на лозовите насаждения ще бъдат предвидени подробни</w:t>
      </w:r>
      <w:r w:rsidR="000B5086" w:rsidRPr="00A3491F">
        <w:rPr>
          <w:sz w:val="22"/>
          <w:lang w:val="bg-BG"/>
        </w:rPr>
        <w:t xml:space="preserve"> условия и ред за издаване на разрешения за засаждане на нови насаждения и за презасаждане</w:t>
      </w:r>
      <w:r w:rsidRPr="00A3491F">
        <w:rPr>
          <w:sz w:val="22"/>
          <w:lang w:val="bg-BG"/>
        </w:rPr>
        <w:t xml:space="preserve"> и </w:t>
      </w:r>
      <w:r w:rsidR="000B5086" w:rsidRPr="00A3491F">
        <w:rPr>
          <w:sz w:val="22"/>
          <w:lang w:val="bg-BG"/>
        </w:rPr>
        <w:t xml:space="preserve">прилагането на преходния режим за преобразуване на права за засаждане и презасаждане в разрешения за засаждане на нови насаждения. </w:t>
      </w:r>
      <w:r w:rsidRPr="00A3491F">
        <w:rPr>
          <w:sz w:val="22"/>
          <w:lang w:val="bg-BG"/>
        </w:rPr>
        <w:t xml:space="preserve">В съответствие с </w:t>
      </w:r>
      <w:r w:rsidR="00C21012" w:rsidRPr="00A3491F">
        <w:rPr>
          <w:rFonts w:eastAsia="Times New Roman"/>
          <w:sz w:val="22"/>
          <w:lang w:val="bg-BG" w:eastAsia="bg-BG"/>
        </w:rPr>
        <w:t>Регламент (ЕС) № 130</w:t>
      </w:r>
      <w:r w:rsidR="0011133E" w:rsidRPr="00A3491F">
        <w:rPr>
          <w:rFonts w:eastAsia="Times New Roman"/>
          <w:sz w:val="22"/>
          <w:lang w:val="bg-BG" w:eastAsia="bg-BG"/>
        </w:rPr>
        <w:t>8</w:t>
      </w:r>
      <w:r w:rsidR="00C21012" w:rsidRPr="00A3491F">
        <w:rPr>
          <w:rFonts w:eastAsia="Times New Roman"/>
          <w:sz w:val="22"/>
          <w:lang w:val="bg-BG" w:eastAsia="bg-BG"/>
        </w:rPr>
        <w:t>/2013</w:t>
      </w:r>
      <w:r w:rsidR="00BC001C" w:rsidRPr="00A3491F">
        <w:rPr>
          <w:rFonts w:eastAsia="Times New Roman"/>
          <w:sz w:val="22"/>
          <w:lang w:val="bg-BG" w:eastAsia="bg-BG"/>
        </w:rPr>
        <w:t>,</w:t>
      </w:r>
      <w:r w:rsidR="00BC001C" w:rsidRPr="00A3491F">
        <w:rPr>
          <w:sz w:val="22"/>
          <w:lang w:val="bg-BG"/>
        </w:rPr>
        <w:t xml:space="preserve">с който е наложена цялата система от мерки, </w:t>
      </w:r>
      <w:r w:rsidRPr="00A3491F">
        <w:rPr>
          <w:sz w:val="22"/>
          <w:lang w:val="bg-BG"/>
        </w:rPr>
        <w:t>ще бъдат о</w:t>
      </w:r>
      <w:r w:rsidR="000B5086" w:rsidRPr="00A3491F">
        <w:rPr>
          <w:sz w:val="22"/>
          <w:lang w:val="bg-BG"/>
        </w:rPr>
        <w:t>пределени случаите, в които не се изисква издаване на ра</w:t>
      </w:r>
      <w:r w:rsidR="005709F6" w:rsidRPr="00A3491F">
        <w:rPr>
          <w:sz w:val="22"/>
          <w:lang w:val="bg-BG"/>
        </w:rPr>
        <w:t xml:space="preserve">зрешение за лозови насаждения. </w:t>
      </w:r>
    </w:p>
    <w:p w:rsidR="00B96CCE" w:rsidRPr="00A3491F" w:rsidRDefault="000B5086" w:rsidP="006B3BB7">
      <w:pPr>
        <w:spacing w:after="120"/>
        <w:rPr>
          <w:sz w:val="22"/>
          <w:lang w:val="bg-BG"/>
        </w:rPr>
      </w:pPr>
      <w:r w:rsidRPr="00A3491F">
        <w:rPr>
          <w:sz w:val="22"/>
          <w:lang w:val="bg-BG"/>
        </w:rPr>
        <w:t xml:space="preserve">За целите на контрола </w:t>
      </w:r>
      <w:r w:rsidR="009A106A" w:rsidRPr="00A3491F">
        <w:rPr>
          <w:sz w:val="22"/>
          <w:lang w:val="bg-BG"/>
        </w:rPr>
        <w:t xml:space="preserve">ще бъдат променени правилата за </w:t>
      </w:r>
      <w:r w:rsidRPr="00A3491F">
        <w:rPr>
          <w:sz w:val="22"/>
          <w:lang w:val="bg-BG"/>
        </w:rPr>
        <w:t>поддържане на лозарски</w:t>
      </w:r>
      <w:r w:rsidR="009A106A" w:rsidRPr="00A3491F">
        <w:rPr>
          <w:sz w:val="22"/>
          <w:lang w:val="bg-BG"/>
        </w:rPr>
        <w:t>я</w:t>
      </w:r>
      <w:r w:rsidRPr="00A3491F">
        <w:rPr>
          <w:sz w:val="22"/>
          <w:lang w:val="bg-BG"/>
        </w:rPr>
        <w:t xml:space="preserve"> регистър</w:t>
      </w:r>
      <w:r w:rsidR="009A106A" w:rsidRPr="00A3491F">
        <w:rPr>
          <w:sz w:val="22"/>
          <w:lang w:val="bg-BG"/>
        </w:rPr>
        <w:t xml:space="preserve"> при спазване на изискванията </w:t>
      </w:r>
      <w:r w:rsidRPr="00A3491F">
        <w:rPr>
          <w:sz w:val="22"/>
          <w:lang w:val="bg-BG"/>
        </w:rPr>
        <w:t>Регламент (ЕО) № 436/2009 на Комисията</w:t>
      </w:r>
      <w:r w:rsidR="009D0AB4" w:rsidRPr="00A3491F">
        <w:rPr>
          <w:sz w:val="22"/>
          <w:lang w:val="bg-BG"/>
        </w:rPr>
        <w:t xml:space="preserve"> и Регламент (ЕО) № 479/2008 на Съвета</w:t>
      </w:r>
      <w:r w:rsidRPr="00A3491F">
        <w:rPr>
          <w:sz w:val="22"/>
          <w:lang w:val="bg-BG"/>
        </w:rPr>
        <w:t xml:space="preserve">. Категориите лозаро-винарски продукти и типът на вината </w:t>
      </w:r>
      <w:r w:rsidR="009A106A" w:rsidRPr="00A3491F">
        <w:rPr>
          <w:sz w:val="22"/>
          <w:lang w:val="bg-BG"/>
        </w:rPr>
        <w:t>ще бъдат</w:t>
      </w:r>
      <w:r w:rsidRPr="00A3491F">
        <w:rPr>
          <w:sz w:val="22"/>
          <w:lang w:val="bg-BG"/>
        </w:rPr>
        <w:t xml:space="preserve"> определени съгласно </w:t>
      </w:r>
      <w:r w:rsidR="009D0AB4" w:rsidRPr="00A3491F">
        <w:rPr>
          <w:rFonts w:eastAsia="Times New Roman"/>
          <w:sz w:val="22"/>
          <w:lang w:val="bg-BG" w:eastAsia="bg-BG"/>
        </w:rPr>
        <w:t>Регламент (ЕС) № 1308/2013, Регламент (ЕО) № 607/2009</w:t>
      </w:r>
      <w:r w:rsidR="0011133E" w:rsidRPr="00A3491F">
        <w:rPr>
          <w:rFonts w:eastAsia="Times New Roman"/>
          <w:sz w:val="22"/>
          <w:lang w:val="bg-BG" w:eastAsia="bg-BG"/>
        </w:rPr>
        <w:t xml:space="preserve"> и</w:t>
      </w:r>
      <w:r w:rsidR="009D0AB4" w:rsidRPr="00A3491F">
        <w:rPr>
          <w:rFonts w:eastAsia="Times New Roman"/>
          <w:sz w:val="22"/>
          <w:lang w:val="bg-BG" w:eastAsia="bg-BG"/>
        </w:rPr>
        <w:t xml:space="preserve"> Регламент </w:t>
      </w:r>
      <w:r w:rsidR="000B367C" w:rsidRPr="00A3491F">
        <w:rPr>
          <w:rFonts w:eastAsia="Times New Roman"/>
          <w:sz w:val="22"/>
          <w:lang w:val="bg-BG" w:eastAsia="bg-BG"/>
        </w:rPr>
        <w:t>(ЕС) № 251/2014</w:t>
      </w:r>
      <w:r w:rsidRPr="00A3491F">
        <w:rPr>
          <w:sz w:val="22"/>
          <w:lang w:val="bg-BG"/>
        </w:rPr>
        <w:t xml:space="preserve">. Изискванията към вината със защитено наименование </w:t>
      </w:r>
      <w:r w:rsidR="0011133E" w:rsidRPr="00A3491F">
        <w:rPr>
          <w:sz w:val="22"/>
          <w:lang w:val="bg-BG"/>
        </w:rPr>
        <w:t xml:space="preserve">за </w:t>
      </w:r>
      <w:r w:rsidRPr="00A3491F">
        <w:rPr>
          <w:sz w:val="22"/>
          <w:lang w:val="bg-BG"/>
        </w:rPr>
        <w:t xml:space="preserve">произход (ЗНП), вината със защитено географско указание (ЗГУ), сортовите вина без ЗНП и ЗГУ и вината без ЗНП и ЗГУ, както и редът за предоставяне на правна закрила също </w:t>
      </w:r>
      <w:r w:rsidR="009A106A" w:rsidRPr="00A3491F">
        <w:rPr>
          <w:sz w:val="22"/>
          <w:lang w:val="bg-BG"/>
        </w:rPr>
        <w:t>ще бъдат</w:t>
      </w:r>
      <w:r w:rsidRPr="00A3491F">
        <w:rPr>
          <w:sz w:val="22"/>
          <w:lang w:val="bg-BG"/>
        </w:rPr>
        <w:t xml:space="preserve"> актуализирани съответствие с </w:t>
      </w:r>
      <w:r w:rsidR="009A106A" w:rsidRPr="00A3491F">
        <w:rPr>
          <w:sz w:val="22"/>
          <w:lang w:val="bg-BG"/>
        </w:rPr>
        <w:t>достиженията на европейското законодателство.</w:t>
      </w:r>
    </w:p>
    <w:p w:rsidR="000B5086" w:rsidRPr="00A3491F" w:rsidRDefault="009A106A" w:rsidP="006B3BB7">
      <w:pPr>
        <w:spacing w:after="120"/>
        <w:rPr>
          <w:sz w:val="22"/>
          <w:lang w:val="bg-BG"/>
        </w:rPr>
      </w:pPr>
      <w:r w:rsidRPr="00A3491F">
        <w:rPr>
          <w:sz w:val="22"/>
          <w:lang w:val="bg-BG"/>
        </w:rPr>
        <w:t>Чрез измененията в закона ще бъдат допълнени</w:t>
      </w:r>
      <w:r w:rsidR="000B5086" w:rsidRPr="00A3491F">
        <w:rPr>
          <w:sz w:val="22"/>
          <w:lang w:val="bg-BG"/>
        </w:rPr>
        <w:t xml:space="preserve"> правата и задълженията на производителите и търговците на винено грозде и лозаро-винарски продукти, както и плодови вина и оцет</w:t>
      </w:r>
      <w:r w:rsidRPr="00A3491F">
        <w:rPr>
          <w:sz w:val="22"/>
          <w:lang w:val="bg-BG"/>
        </w:rPr>
        <w:t xml:space="preserve"> по отношение на</w:t>
      </w:r>
      <w:r w:rsidR="000B5086" w:rsidRPr="00A3491F">
        <w:rPr>
          <w:sz w:val="22"/>
          <w:lang w:val="bg-BG"/>
        </w:rPr>
        <w:t xml:space="preserve"> ежегодното подаване на декларации и воденето на дневници</w:t>
      </w:r>
      <w:r w:rsidR="009D0AB4" w:rsidRPr="00A3491F">
        <w:rPr>
          <w:sz w:val="22"/>
          <w:lang w:val="bg-BG"/>
        </w:rPr>
        <w:t xml:space="preserve"> (Регламент (ЕО) № 436/2009 на Комисията)</w:t>
      </w:r>
      <w:r w:rsidR="000B5086" w:rsidRPr="00A3491F">
        <w:rPr>
          <w:sz w:val="22"/>
          <w:lang w:val="bg-BG"/>
        </w:rPr>
        <w:t>, правилата за прилагане на разрешените енологични практики при производството и съхраняването на лозаро-винарски продукти, граничните стойности при употребата им, спецификациите за чистотата и идентичността на веществата, използвани в енологичните практики</w:t>
      </w:r>
      <w:r w:rsidR="00F131C7" w:rsidRPr="00A3491F">
        <w:rPr>
          <w:sz w:val="22"/>
          <w:lang w:val="bg-BG"/>
        </w:rPr>
        <w:t>,</w:t>
      </w:r>
      <w:r w:rsidR="000B5086" w:rsidRPr="00A3491F">
        <w:rPr>
          <w:sz w:val="22"/>
          <w:lang w:val="bg-BG"/>
        </w:rPr>
        <w:t xml:space="preserve"> както и експериментите за прилагането на нови енологични практики</w:t>
      </w:r>
      <w:r w:rsidR="009D0AB4" w:rsidRPr="00A3491F">
        <w:rPr>
          <w:sz w:val="22"/>
          <w:lang w:val="bg-BG"/>
        </w:rPr>
        <w:t xml:space="preserve"> (Регламент (ЕС) № 1308/2013 и Регламент (ЕО) № 606/2009)</w:t>
      </w:r>
      <w:r w:rsidR="000B5086" w:rsidRPr="00A3491F">
        <w:rPr>
          <w:sz w:val="22"/>
          <w:lang w:val="bg-BG"/>
        </w:rPr>
        <w:t>. Предвиждат се специални правила за унищожаване на продуктите, произведени чрез различни от разрешените енологични практики и/или в нарушение на ограниченията за про</w:t>
      </w:r>
      <w:r w:rsidR="005709F6" w:rsidRPr="00A3491F">
        <w:rPr>
          <w:sz w:val="22"/>
          <w:lang w:val="bg-BG"/>
        </w:rPr>
        <w:t>изводството и съхраняването им.</w:t>
      </w:r>
    </w:p>
    <w:p w:rsidR="000B5086" w:rsidRPr="00A3491F" w:rsidRDefault="000B5086" w:rsidP="006B3BB7">
      <w:pPr>
        <w:spacing w:after="120"/>
        <w:rPr>
          <w:sz w:val="22"/>
          <w:lang w:val="bg-BG"/>
        </w:rPr>
      </w:pPr>
      <w:r w:rsidRPr="00A3491F">
        <w:rPr>
          <w:sz w:val="22"/>
          <w:lang w:val="bg-BG"/>
        </w:rPr>
        <w:t xml:space="preserve">Правилата за етикетиране и представяне на лозаро-винарски продукти, за придружителните документи за превоз на територията на страната или на друга държава-членка на ЕС, както и предоставянето на специална гаранция при внос на лозаро-винарски продукти </w:t>
      </w:r>
      <w:r w:rsidR="009A106A" w:rsidRPr="00A3491F">
        <w:rPr>
          <w:sz w:val="22"/>
          <w:lang w:val="bg-BG"/>
        </w:rPr>
        <w:t>ще бъдат</w:t>
      </w:r>
      <w:r w:rsidRPr="00A3491F">
        <w:rPr>
          <w:sz w:val="22"/>
          <w:lang w:val="bg-BG"/>
        </w:rPr>
        <w:t xml:space="preserve"> </w:t>
      </w:r>
      <w:r w:rsidR="009A106A" w:rsidRPr="00A3491F">
        <w:rPr>
          <w:sz w:val="22"/>
          <w:lang w:val="bg-BG"/>
        </w:rPr>
        <w:t>приведени в пълно съответствие с</w:t>
      </w:r>
      <w:r w:rsidRPr="00A3491F">
        <w:rPr>
          <w:sz w:val="22"/>
          <w:lang w:val="bg-BG"/>
        </w:rPr>
        <w:t xml:space="preserve"> изискванията на Глава IV</w:t>
      </w:r>
      <w:r w:rsidR="005709F6" w:rsidRPr="00A3491F">
        <w:rPr>
          <w:sz w:val="22"/>
          <w:lang w:val="bg-BG"/>
        </w:rPr>
        <w:t xml:space="preserve"> от Регламент (ЕО) № 607/2009. </w:t>
      </w:r>
    </w:p>
    <w:p w:rsidR="000B5086" w:rsidRPr="00A3491F" w:rsidRDefault="000B5086" w:rsidP="006B3BB7">
      <w:pPr>
        <w:spacing w:after="120"/>
        <w:rPr>
          <w:sz w:val="22"/>
          <w:lang w:val="bg-BG"/>
        </w:rPr>
      </w:pPr>
      <w:r w:rsidRPr="00A3491F">
        <w:rPr>
          <w:sz w:val="22"/>
          <w:lang w:val="bg-BG"/>
        </w:rPr>
        <w:t xml:space="preserve">В </w:t>
      </w:r>
      <w:r w:rsidR="009A106A" w:rsidRPr="00A3491F">
        <w:rPr>
          <w:sz w:val="22"/>
          <w:lang w:val="bg-BG"/>
        </w:rPr>
        <w:t xml:space="preserve">новите </w:t>
      </w:r>
      <w:r w:rsidRPr="00A3491F">
        <w:rPr>
          <w:sz w:val="22"/>
          <w:lang w:val="bg-BG"/>
        </w:rPr>
        <w:t>текст</w:t>
      </w:r>
      <w:r w:rsidR="009A106A" w:rsidRPr="00A3491F">
        <w:rPr>
          <w:sz w:val="22"/>
          <w:lang w:val="bg-BG"/>
        </w:rPr>
        <w:t>ове</w:t>
      </w:r>
      <w:r w:rsidRPr="00A3491F">
        <w:rPr>
          <w:sz w:val="22"/>
          <w:lang w:val="bg-BG"/>
        </w:rPr>
        <w:t xml:space="preserve"> правилата за производство, техническите определения, означаването, представянето и етикетирането на етилов алкохол от земеделски произход, дестилати от земеделски произход и спиртни напитки </w:t>
      </w:r>
      <w:r w:rsidR="009A106A" w:rsidRPr="00A3491F">
        <w:rPr>
          <w:sz w:val="22"/>
          <w:lang w:val="bg-BG"/>
        </w:rPr>
        <w:t>ще бъдат</w:t>
      </w:r>
      <w:r w:rsidRPr="00A3491F">
        <w:rPr>
          <w:sz w:val="22"/>
          <w:lang w:val="bg-BG"/>
        </w:rPr>
        <w:t xml:space="preserve"> изцяло хармонизирани с изискваният</w:t>
      </w:r>
      <w:r w:rsidR="005709F6" w:rsidRPr="00A3491F">
        <w:rPr>
          <w:sz w:val="22"/>
          <w:lang w:val="bg-BG"/>
        </w:rPr>
        <w:t>а на Регламент (ЕО) № 110/2008.</w:t>
      </w:r>
    </w:p>
    <w:p w:rsidR="000B5086" w:rsidRPr="00A3491F" w:rsidRDefault="009A106A" w:rsidP="006B3BB7">
      <w:pPr>
        <w:spacing w:after="120"/>
        <w:rPr>
          <w:sz w:val="22"/>
          <w:lang w:val="bg-BG"/>
        </w:rPr>
      </w:pPr>
      <w:r w:rsidRPr="00A3491F">
        <w:rPr>
          <w:sz w:val="22"/>
          <w:lang w:val="bg-BG"/>
        </w:rPr>
        <w:t>С оглед</w:t>
      </w:r>
      <w:r w:rsidR="000B5086" w:rsidRPr="00A3491F">
        <w:rPr>
          <w:sz w:val="22"/>
          <w:lang w:val="bg-BG"/>
        </w:rPr>
        <w:t xml:space="preserve"> наложените добри традиционни практики, </w:t>
      </w:r>
      <w:r w:rsidRPr="00A3491F">
        <w:rPr>
          <w:sz w:val="22"/>
          <w:lang w:val="bg-BG"/>
        </w:rPr>
        <w:t>ще бъдат включени</w:t>
      </w:r>
      <w:r w:rsidR="000B5086" w:rsidRPr="00A3491F">
        <w:rPr>
          <w:sz w:val="22"/>
          <w:lang w:val="bg-BG"/>
        </w:rPr>
        <w:t xml:space="preserve"> специфични определения и изисквания за ракия, мастика и дестилатите за тяхното производство. Допълнително </w:t>
      </w:r>
      <w:r w:rsidRPr="00A3491F">
        <w:rPr>
          <w:sz w:val="22"/>
          <w:lang w:val="bg-BG"/>
        </w:rPr>
        <w:t xml:space="preserve">ще се </w:t>
      </w:r>
      <w:r w:rsidR="000B5086" w:rsidRPr="00A3491F">
        <w:rPr>
          <w:sz w:val="22"/>
          <w:lang w:val="bg-BG"/>
        </w:rPr>
        <w:t xml:space="preserve"> предвид</w:t>
      </w:r>
      <w:r w:rsidRPr="00A3491F">
        <w:rPr>
          <w:sz w:val="22"/>
          <w:lang w:val="bg-BG"/>
        </w:rPr>
        <w:t>ят</w:t>
      </w:r>
      <w:r w:rsidR="000B5086" w:rsidRPr="00A3491F">
        <w:rPr>
          <w:sz w:val="22"/>
          <w:lang w:val="bg-BG"/>
        </w:rPr>
        <w:t xml:space="preserve"> правила за производство на спиртни напитки с географско указание. </w:t>
      </w:r>
      <w:r w:rsidR="00CF0774" w:rsidRPr="00A3491F">
        <w:rPr>
          <w:sz w:val="22"/>
          <w:lang w:val="bg-BG"/>
        </w:rPr>
        <w:t>Освен това,</w:t>
      </w:r>
      <w:r w:rsidR="000B5086" w:rsidRPr="00A3491F">
        <w:rPr>
          <w:sz w:val="22"/>
          <w:lang w:val="bg-BG"/>
        </w:rPr>
        <w:t xml:space="preserve"> броят на дневниците, които производителите водят и в които вписват данни за стоките и извършените производствени </w:t>
      </w:r>
      <w:r w:rsidR="000B5086" w:rsidRPr="00A3491F">
        <w:rPr>
          <w:sz w:val="22"/>
          <w:lang w:val="bg-BG"/>
        </w:rPr>
        <w:lastRenderedPageBreak/>
        <w:t xml:space="preserve">манипулации </w:t>
      </w:r>
      <w:r w:rsidR="00CF0774" w:rsidRPr="00A3491F">
        <w:rPr>
          <w:sz w:val="22"/>
          <w:lang w:val="bg-BG"/>
        </w:rPr>
        <w:t>ще</w:t>
      </w:r>
      <w:r w:rsidR="000B5086" w:rsidRPr="00A3491F">
        <w:rPr>
          <w:sz w:val="22"/>
          <w:lang w:val="bg-BG"/>
        </w:rPr>
        <w:t xml:space="preserve"> бъде намален. </w:t>
      </w:r>
      <w:r w:rsidR="00CF0774" w:rsidRPr="00A3491F">
        <w:rPr>
          <w:sz w:val="22"/>
          <w:lang w:val="bg-BG"/>
        </w:rPr>
        <w:t xml:space="preserve">По отношение на </w:t>
      </w:r>
      <w:r w:rsidR="000B5086" w:rsidRPr="00A3491F">
        <w:rPr>
          <w:sz w:val="22"/>
          <w:lang w:val="bg-BG"/>
        </w:rPr>
        <w:t xml:space="preserve">вноса и износа на спиртни напитки в трети страни, </w:t>
      </w:r>
      <w:r w:rsidR="00CF0774" w:rsidRPr="00A3491F">
        <w:rPr>
          <w:sz w:val="22"/>
          <w:lang w:val="bg-BG"/>
        </w:rPr>
        <w:t xml:space="preserve">ще бъдат добавени нови правила във връзка с придружителните документи, които да осигурят в по-голяма степен защитата на </w:t>
      </w:r>
      <w:r w:rsidR="000B5086" w:rsidRPr="00A3491F">
        <w:rPr>
          <w:sz w:val="22"/>
          <w:lang w:val="bg-BG"/>
        </w:rPr>
        <w:t>българските</w:t>
      </w:r>
      <w:r w:rsidR="005709F6" w:rsidRPr="00A3491F">
        <w:rPr>
          <w:sz w:val="22"/>
          <w:lang w:val="bg-BG"/>
        </w:rPr>
        <w:t xml:space="preserve"> и чуждестранните потребители. </w:t>
      </w:r>
    </w:p>
    <w:p w:rsidR="000B5086" w:rsidRPr="00A3491F" w:rsidRDefault="000B5086" w:rsidP="006B3BB7">
      <w:pPr>
        <w:spacing w:after="120"/>
        <w:rPr>
          <w:sz w:val="22"/>
          <w:lang w:val="bg-BG"/>
        </w:rPr>
      </w:pPr>
      <w:r w:rsidRPr="00A3491F">
        <w:rPr>
          <w:sz w:val="22"/>
          <w:lang w:val="bg-BG"/>
        </w:rPr>
        <w:t xml:space="preserve">В Министерство на икономиката </w:t>
      </w:r>
      <w:r w:rsidR="00CF0774" w:rsidRPr="00A3491F">
        <w:rPr>
          <w:sz w:val="22"/>
          <w:lang w:val="bg-BG"/>
        </w:rPr>
        <w:t>ще продължи</w:t>
      </w:r>
      <w:r w:rsidRPr="00A3491F">
        <w:rPr>
          <w:sz w:val="22"/>
          <w:lang w:val="bg-BG"/>
        </w:rPr>
        <w:t xml:space="preserve"> воденето на</w:t>
      </w:r>
      <w:r w:rsidR="00CF0774" w:rsidRPr="00A3491F">
        <w:rPr>
          <w:sz w:val="22"/>
          <w:lang w:val="bg-BG"/>
        </w:rPr>
        <w:t xml:space="preserve"> регист</w:t>
      </w:r>
      <w:r w:rsidRPr="00A3491F">
        <w:rPr>
          <w:sz w:val="22"/>
          <w:lang w:val="bg-BG"/>
        </w:rPr>
        <w:t>р</w:t>
      </w:r>
      <w:r w:rsidR="00CF0774" w:rsidRPr="00A3491F">
        <w:rPr>
          <w:sz w:val="22"/>
          <w:lang w:val="bg-BG"/>
        </w:rPr>
        <w:t>ите</w:t>
      </w:r>
      <w:r w:rsidRPr="00A3491F">
        <w:rPr>
          <w:sz w:val="22"/>
          <w:lang w:val="bg-BG"/>
        </w:rPr>
        <w:t xml:space="preserve"> на производителите на етилов алкохол от земеделски произход, дестилати и спиртни напитки</w:t>
      </w:r>
      <w:r w:rsidR="00CF0774" w:rsidRPr="00A3491F">
        <w:rPr>
          <w:sz w:val="22"/>
          <w:lang w:val="bg-BG"/>
        </w:rPr>
        <w:t>, както и на лицата, които извършват дейност с дестилационни съоръжения за производство на етилов алкохол, дестилати и спиртни напитки, включително внос, въвеждане на територията на страната, производство продажба и предоставяне на дестилационни съоръжения, създадени на основание действащата редакция на ЗВСН. Ще бъде п</w:t>
      </w:r>
      <w:r w:rsidRPr="00A3491F">
        <w:rPr>
          <w:sz w:val="22"/>
          <w:lang w:val="bg-BG"/>
        </w:rPr>
        <w:t xml:space="preserve">редвидена санкция за невписване в </w:t>
      </w:r>
      <w:r w:rsidR="00CF0774" w:rsidRPr="00A3491F">
        <w:rPr>
          <w:sz w:val="22"/>
          <w:lang w:val="bg-BG"/>
        </w:rPr>
        <w:t>последния</w:t>
      </w:r>
      <w:r w:rsidRPr="00A3491F">
        <w:rPr>
          <w:sz w:val="22"/>
          <w:lang w:val="bg-BG"/>
        </w:rPr>
        <w:t>, което допълнително ще допринесе са намаляване на сивия сектор в бранша и подоб</w:t>
      </w:r>
      <w:r w:rsidR="005709F6" w:rsidRPr="00A3491F">
        <w:rPr>
          <w:sz w:val="22"/>
          <w:lang w:val="bg-BG"/>
        </w:rPr>
        <w:t xml:space="preserve">ряване на конкурентната среда. </w:t>
      </w:r>
    </w:p>
    <w:p w:rsidR="000B5086" w:rsidRPr="00A3491F" w:rsidRDefault="00CF0774" w:rsidP="006B3BB7">
      <w:pPr>
        <w:spacing w:after="120"/>
        <w:rPr>
          <w:sz w:val="22"/>
          <w:lang w:val="bg-BG"/>
        </w:rPr>
      </w:pPr>
      <w:r w:rsidRPr="00A3491F">
        <w:rPr>
          <w:sz w:val="22"/>
          <w:lang w:val="bg-BG"/>
        </w:rPr>
        <w:t>С промените в</w:t>
      </w:r>
      <w:r w:rsidR="000B5086" w:rsidRPr="00A3491F">
        <w:rPr>
          <w:sz w:val="22"/>
          <w:lang w:val="bg-BG"/>
        </w:rPr>
        <w:t xml:space="preserve"> Закон</w:t>
      </w:r>
      <w:r w:rsidRPr="00A3491F">
        <w:rPr>
          <w:sz w:val="22"/>
          <w:lang w:val="bg-BG"/>
        </w:rPr>
        <w:t>а</w:t>
      </w:r>
      <w:r w:rsidR="000B5086" w:rsidRPr="00A3491F">
        <w:rPr>
          <w:sz w:val="22"/>
          <w:lang w:val="bg-BG"/>
        </w:rPr>
        <w:t xml:space="preserve"> за виното и спиртните напитки </w:t>
      </w:r>
      <w:r w:rsidRPr="00A3491F">
        <w:rPr>
          <w:sz w:val="22"/>
          <w:lang w:val="bg-BG"/>
        </w:rPr>
        <w:t>ще бъдат</w:t>
      </w:r>
      <w:r w:rsidR="000B5086" w:rsidRPr="00A3491F">
        <w:rPr>
          <w:sz w:val="22"/>
          <w:lang w:val="bg-BG"/>
        </w:rPr>
        <w:t xml:space="preserve"> уредени </w:t>
      </w:r>
      <w:r w:rsidRPr="00A3491F">
        <w:rPr>
          <w:sz w:val="22"/>
          <w:lang w:val="bg-BG"/>
        </w:rPr>
        <w:t xml:space="preserve">по нов начин </w:t>
      </w:r>
      <w:r w:rsidR="000B5086" w:rsidRPr="00A3491F">
        <w:rPr>
          <w:sz w:val="22"/>
          <w:lang w:val="bg-BG"/>
        </w:rPr>
        <w:t>условията и редът за: признаване на браншови организации на производителите</w:t>
      </w:r>
      <w:r w:rsidR="00C21012" w:rsidRPr="00A3491F">
        <w:rPr>
          <w:sz w:val="22"/>
          <w:lang w:val="bg-BG"/>
        </w:rPr>
        <w:t xml:space="preserve"> съгласно </w:t>
      </w:r>
      <w:r w:rsidR="00C21012" w:rsidRPr="00A3491F">
        <w:rPr>
          <w:rFonts w:eastAsia="Times New Roman"/>
          <w:sz w:val="22"/>
          <w:lang w:val="bg-BG" w:eastAsia="bg-BG"/>
        </w:rPr>
        <w:t>Регламент (ЕС) № 1308/2013</w:t>
      </w:r>
      <w:r w:rsidR="000B5086" w:rsidRPr="00A3491F">
        <w:rPr>
          <w:sz w:val="22"/>
          <w:lang w:val="bg-BG"/>
        </w:rPr>
        <w:t>; изпитвателните лаборатории и методите за изпитване; контролът върху производството и търговията с лозаро-винарски продукти, етилов алкохол от земеделски произход, дестилати и спиртни напитки и утвърждаването на състава на дегуст</w:t>
      </w:r>
      <w:r w:rsidR="005709F6" w:rsidRPr="00A3491F">
        <w:rPr>
          <w:sz w:val="22"/>
          <w:lang w:val="bg-BG"/>
        </w:rPr>
        <w:t>ационните комисии.</w:t>
      </w:r>
    </w:p>
    <w:p w:rsidR="00925EF2" w:rsidRPr="00A3491F" w:rsidRDefault="000B5086" w:rsidP="006B3BB7">
      <w:pPr>
        <w:spacing w:after="120"/>
        <w:rPr>
          <w:sz w:val="22"/>
          <w:lang w:val="bg-BG"/>
        </w:rPr>
      </w:pPr>
      <w:r w:rsidRPr="00A3491F">
        <w:rPr>
          <w:sz w:val="22"/>
          <w:lang w:val="bg-BG"/>
        </w:rPr>
        <w:t xml:space="preserve">Предвидените санкции в административнонаказателните разпоредби </w:t>
      </w:r>
      <w:r w:rsidR="00CF0774" w:rsidRPr="00A3491F">
        <w:rPr>
          <w:sz w:val="22"/>
          <w:lang w:val="bg-BG"/>
        </w:rPr>
        <w:t>ще бъд</w:t>
      </w:r>
      <w:r w:rsidRPr="00A3491F">
        <w:rPr>
          <w:sz w:val="22"/>
          <w:lang w:val="bg-BG"/>
        </w:rPr>
        <w:t>а</w:t>
      </w:r>
      <w:r w:rsidR="00CF0774" w:rsidRPr="00A3491F">
        <w:rPr>
          <w:sz w:val="22"/>
          <w:lang w:val="bg-BG"/>
        </w:rPr>
        <w:t>т</w:t>
      </w:r>
      <w:r w:rsidRPr="00A3491F">
        <w:rPr>
          <w:sz w:val="22"/>
          <w:lang w:val="bg-BG"/>
        </w:rPr>
        <w:t xml:space="preserve"> съобразени изцяло с възможностите на производителите, за да се постигнат целите на налаганите наказания, по-висока </w:t>
      </w:r>
      <w:proofErr w:type="spellStart"/>
      <w:r w:rsidRPr="00A3491F">
        <w:rPr>
          <w:sz w:val="22"/>
          <w:lang w:val="bg-BG"/>
        </w:rPr>
        <w:t>събираемост</w:t>
      </w:r>
      <w:proofErr w:type="spellEnd"/>
      <w:r w:rsidRPr="00A3491F">
        <w:rPr>
          <w:sz w:val="22"/>
          <w:lang w:val="bg-BG"/>
        </w:rPr>
        <w:t xml:space="preserve"> на налаганите санкции и по</w:t>
      </w:r>
      <w:r w:rsidR="00B96CCE" w:rsidRPr="00A3491F">
        <w:rPr>
          <w:sz w:val="22"/>
          <w:lang w:val="bg-BG"/>
        </w:rPr>
        <w:t>-добра защита на потребителите.</w:t>
      </w:r>
    </w:p>
    <w:p w:rsidR="00850FE7" w:rsidRPr="00A3491F" w:rsidRDefault="00850FE7" w:rsidP="006B3BB7">
      <w:pPr>
        <w:spacing w:after="120"/>
        <w:rPr>
          <w:sz w:val="22"/>
          <w:lang w:val="bg-BG"/>
        </w:rPr>
      </w:pPr>
      <w:r w:rsidRPr="00A3491F">
        <w:rPr>
          <w:sz w:val="22"/>
          <w:lang w:val="bg-BG"/>
        </w:rPr>
        <w:t xml:space="preserve">Въпреки това, този вариант няма да </w:t>
      </w:r>
      <w:r w:rsidR="00C95C78" w:rsidRPr="00A3491F">
        <w:rPr>
          <w:sz w:val="22"/>
          <w:lang w:val="bg-BG"/>
        </w:rPr>
        <w:t>позволи да бъде</w:t>
      </w:r>
      <w:r w:rsidRPr="00A3491F">
        <w:rPr>
          <w:sz w:val="22"/>
          <w:lang w:val="bg-BG"/>
        </w:rPr>
        <w:t xml:space="preserve"> изпълне</w:t>
      </w:r>
      <w:r w:rsidR="00C95C78" w:rsidRPr="00A3491F">
        <w:rPr>
          <w:sz w:val="22"/>
          <w:lang w:val="bg-BG"/>
        </w:rPr>
        <w:t>на</w:t>
      </w:r>
      <w:r w:rsidRPr="00A3491F">
        <w:rPr>
          <w:sz w:val="22"/>
          <w:lang w:val="bg-BG"/>
        </w:rPr>
        <w:t xml:space="preserve"> процедурата по нотифициране </w:t>
      </w:r>
      <w:r w:rsidR="00C95C78" w:rsidRPr="00A3491F">
        <w:rPr>
          <w:sz w:val="22"/>
          <w:lang w:val="bg-BG"/>
        </w:rPr>
        <w:t xml:space="preserve">на предприетите изменения на техническите регламенти, съдържащи се в закона, </w:t>
      </w:r>
      <w:r w:rsidRPr="00A3491F">
        <w:rPr>
          <w:sz w:val="22"/>
          <w:lang w:val="bg-BG"/>
        </w:rPr>
        <w:t xml:space="preserve">пред Европейската </w:t>
      </w:r>
      <w:r w:rsidR="00F979AD" w:rsidRPr="00A3491F">
        <w:rPr>
          <w:sz w:val="22"/>
          <w:lang w:val="bg-BG"/>
        </w:rPr>
        <w:t>к</w:t>
      </w:r>
      <w:r w:rsidRPr="00A3491F">
        <w:rPr>
          <w:sz w:val="22"/>
          <w:lang w:val="bg-BG"/>
        </w:rPr>
        <w:t xml:space="preserve">омисия. </w:t>
      </w:r>
      <w:r w:rsidR="0094741E" w:rsidRPr="00A3491F">
        <w:rPr>
          <w:sz w:val="22"/>
          <w:lang w:val="bg-BG"/>
        </w:rPr>
        <w:t xml:space="preserve">Закъснялото нотифициране на ЗВСН (2012) до Европейската комисия, предвид особеностите на нотификационната процедура, преклудира възможността за саниране на нарушенията в процедурата. Поради това чрез приемане на закон за изменение и допълнение на сега действащия закон нарушението не би могло да бъде отстранено. Още повече, в процеса на обсъждане на констатираните несъответствия с европейското законодателство, Европейската комисия изрично е подчертала необходимостта от нотифициране на изцяло нов закон. </w:t>
      </w:r>
      <w:r w:rsidRPr="00A3491F">
        <w:rPr>
          <w:sz w:val="22"/>
          <w:lang w:val="bg-BG"/>
        </w:rPr>
        <w:t xml:space="preserve">Допълнително, този вариант на действие не позволява </w:t>
      </w:r>
      <w:r w:rsidR="00C95C78" w:rsidRPr="00A3491F">
        <w:rPr>
          <w:sz w:val="22"/>
          <w:lang w:val="bg-BG"/>
        </w:rPr>
        <w:t>детайлизиране на предвижданите</w:t>
      </w:r>
      <w:r w:rsidRPr="00A3491F">
        <w:rPr>
          <w:sz w:val="22"/>
          <w:lang w:val="bg-BG"/>
        </w:rPr>
        <w:t xml:space="preserve"> промени, особено в структурно отношение</w:t>
      </w:r>
      <w:r w:rsidR="00C95C78" w:rsidRPr="00A3491F">
        <w:rPr>
          <w:sz w:val="22"/>
          <w:lang w:val="bg-BG"/>
        </w:rPr>
        <w:t>.</w:t>
      </w:r>
    </w:p>
    <w:p w:rsidR="00C14C40" w:rsidRPr="00A3491F" w:rsidRDefault="00061BD0" w:rsidP="006B3BB7">
      <w:pPr>
        <w:pStyle w:val="Heading2"/>
        <w:spacing w:before="240" w:after="120"/>
        <w:rPr>
          <w:rFonts w:cs="Times New Roman"/>
          <w:sz w:val="22"/>
          <w:szCs w:val="22"/>
          <w:lang w:val="bg-BG"/>
        </w:rPr>
      </w:pPr>
      <w:bookmarkStart w:id="24" w:name="_Toc496709954"/>
      <w:r w:rsidRPr="00A3491F">
        <w:rPr>
          <w:rFonts w:cs="Times New Roman"/>
          <w:sz w:val="22"/>
          <w:szCs w:val="22"/>
          <w:lang w:val="bg-BG"/>
        </w:rPr>
        <w:t xml:space="preserve">V.3. </w:t>
      </w:r>
      <w:r w:rsidR="00C14C40" w:rsidRPr="00A3491F">
        <w:rPr>
          <w:rFonts w:cs="Times New Roman"/>
          <w:sz w:val="22"/>
          <w:szCs w:val="22"/>
          <w:lang w:val="bg-BG"/>
        </w:rPr>
        <w:t xml:space="preserve">Вариант </w:t>
      </w:r>
      <w:r w:rsidR="00E95FCD" w:rsidRPr="00A3491F">
        <w:rPr>
          <w:rFonts w:cs="Times New Roman"/>
          <w:sz w:val="22"/>
          <w:szCs w:val="22"/>
          <w:lang w:val="bg-BG"/>
        </w:rPr>
        <w:t xml:space="preserve">3: </w:t>
      </w:r>
      <w:r w:rsidR="00C14C40" w:rsidRPr="00A3491F">
        <w:rPr>
          <w:rFonts w:cs="Times New Roman"/>
          <w:sz w:val="22"/>
          <w:szCs w:val="22"/>
          <w:lang w:val="bg-BG"/>
        </w:rPr>
        <w:t>Приемане на нов Закон за виното и спиртните напитки</w:t>
      </w:r>
      <w:bookmarkEnd w:id="24"/>
    </w:p>
    <w:p w:rsidR="004E6505" w:rsidRPr="00A3491F" w:rsidRDefault="00302EEF" w:rsidP="006B3BB7">
      <w:pPr>
        <w:spacing w:after="120"/>
        <w:rPr>
          <w:sz w:val="22"/>
          <w:lang w:val="bg-BG"/>
        </w:rPr>
      </w:pPr>
      <w:r w:rsidRPr="00A3491F">
        <w:rPr>
          <w:sz w:val="22"/>
          <w:lang w:val="bg-BG"/>
        </w:rPr>
        <w:t>При осъществяване на този вариант ще бъде приет нов Закон за виното и спиртните напитки. С него ще бъде отменен действащия</w:t>
      </w:r>
      <w:r w:rsidR="0094741E" w:rsidRPr="00A3491F">
        <w:rPr>
          <w:sz w:val="22"/>
          <w:lang w:val="bg-BG"/>
        </w:rPr>
        <w:t>т</w:t>
      </w:r>
      <w:r w:rsidRPr="00A3491F">
        <w:rPr>
          <w:sz w:val="22"/>
          <w:lang w:val="bg-BG"/>
        </w:rPr>
        <w:t xml:space="preserve"> </w:t>
      </w:r>
      <w:r w:rsidR="0094741E" w:rsidRPr="00A3491F">
        <w:rPr>
          <w:sz w:val="22"/>
          <w:lang w:val="bg-BG"/>
        </w:rPr>
        <w:t>ЗВСН</w:t>
      </w:r>
      <w:r w:rsidRPr="00A3491F">
        <w:rPr>
          <w:sz w:val="22"/>
          <w:lang w:val="bg-BG"/>
        </w:rPr>
        <w:t xml:space="preserve">, приет през 2012 г. Ще бъдат въведени всички предвиждани промени в нормативната уредба в лозаро-винарския сектор и производството и търговията с </w:t>
      </w:r>
      <w:r w:rsidR="00526667" w:rsidRPr="00A3491F">
        <w:rPr>
          <w:rFonts w:eastAsia="Times New Roman"/>
          <w:sz w:val="22"/>
          <w:lang w:val="bg-BG" w:eastAsia="bg-BG"/>
        </w:rPr>
        <w:t>етилов алкохол от земеделски произход, дестилати от земеделски произход и на спиртните напитки</w:t>
      </w:r>
      <w:r w:rsidRPr="00A3491F">
        <w:rPr>
          <w:sz w:val="22"/>
          <w:lang w:val="bg-BG"/>
        </w:rPr>
        <w:t xml:space="preserve">. Ще бъде осъществено и предварително нотифициране на техническите регламенти на новия закон пред Европейската </w:t>
      </w:r>
      <w:r w:rsidR="00F979AD" w:rsidRPr="00A3491F">
        <w:rPr>
          <w:sz w:val="22"/>
          <w:lang w:val="bg-BG"/>
        </w:rPr>
        <w:t>к</w:t>
      </w:r>
      <w:r w:rsidRPr="00A3491F">
        <w:rPr>
          <w:sz w:val="22"/>
          <w:lang w:val="bg-BG"/>
        </w:rPr>
        <w:t>омисия, след съгласуване с нейните служби.</w:t>
      </w:r>
    </w:p>
    <w:p w:rsidR="000B5086" w:rsidRPr="00A3491F" w:rsidRDefault="000B5086" w:rsidP="006B3BB7">
      <w:pPr>
        <w:spacing w:after="120"/>
        <w:rPr>
          <w:sz w:val="22"/>
          <w:lang w:val="bg-BG"/>
        </w:rPr>
      </w:pPr>
      <w:r w:rsidRPr="00A3491F">
        <w:rPr>
          <w:sz w:val="22"/>
          <w:lang w:val="bg-BG"/>
        </w:rPr>
        <w:t xml:space="preserve">В новия законопроект са направени общи референции към съответните актове от общностното законодателство, без да се преповтарят и възпроизвеждат неговите правила. По този начин ще се избегнат всички неблагоприятни последици от неправилното и ненужно възпроизвеждане на пряко приложими общностни правила извън предвидените в съответните регламенти. Този нов закон следва да бъде надлежно и предварително нотифициран в частта, определена от Европейската комисия след предварителна консултация с нейните служби. Това трябва да стане преди извършване на междуведомствените консултации и преди приемане на законопроекта. Освен това, уведомяването на Комисията следва да бъде извършено в съответствие с новата Директива 2015/1535. </w:t>
      </w:r>
    </w:p>
    <w:p w:rsidR="004E6505" w:rsidRPr="00A3491F" w:rsidRDefault="000B5086" w:rsidP="006B3BB7">
      <w:pPr>
        <w:spacing w:after="120"/>
        <w:rPr>
          <w:rFonts w:eastAsiaTheme="minorHAnsi"/>
          <w:sz w:val="22"/>
          <w:lang w:val="bg-BG"/>
        </w:rPr>
      </w:pPr>
      <w:r w:rsidRPr="00A3491F">
        <w:rPr>
          <w:color w:val="000000" w:themeColor="text1"/>
          <w:sz w:val="22"/>
          <w:lang w:val="bg-BG"/>
        </w:rPr>
        <w:t>В проектът на ЗВСН са заложени различни средства за постигане на дефинираните специфични цели</w:t>
      </w:r>
      <w:r w:rsidR="0048212B" w:rsidRPr="00A3491F">
        <w:rPr>
          <w:color w:val="000000" w:themeColor="text1"/>
          <w:sz w:val="22"/>
          <w:lang w:val="bg-BG"/>
        </w:rPr>
        <w:t xml:space="preserve">. </w:t>
      </w:r>
      <w:r w:rsidR="0094741E" w:rsidRPr="00A3491F">
        <w:rPr>
          <w:sz w:val="22"/>
          <w:lang w:val="bg-BG"/>
        </w:rPr>
        <w:t>С тях не</w:t>
      </w:r>
      <w:r w:rsidR="0048212B" w:rsidRPr="00A3491F">
        <w:rPr>
          <w:sz w:val="22"/>
          <w:lang w:val="bg-BG"/>
        </w:rPr>
        <w:t xml:space="preserve"> се предвижда създа</w:t>
      </w:r>
      <w:r w:rsidR="0094741E" w:rsidRPr="00A3491F">
        <w:rPr>
          <w:sz w:val="22"/>
          <w:lang w:val="bg-BG"/>
        </w:rPr>
        <w:t>ването на</w:t>
      </w:r>
      <w:r w:rsidR="0048212B" w:rsidRPr="00A3491F">
        <w:rPr>
          <w:sz w:val="22"/>
          <w:lang w:val="bg-BG"/>
        </w:rPr>
        <w:t xml:space="preserve"> нови административни режими, </w:t>
      </w:r>
      <w:r w:rsidR="00855273" w:rsidRPr="00A3491F">
        <w:rPr>
          <w:sz w:val="22"/>
          <w:lang w:val="bg-BG"/>
        </w:rPr>
        <w:t xml:space="preserve">които не са необходими съгласно </w:t>
      </w:r>
      <w:r w:rsidR="00855273" w:rsidRPr="00A3491F">
        <w:rPr>
          <w:sz w:val="22"/>
          <w:lang w:val="bg-BG"/>
        </w:rPr>
        <w:lastRenderedPageBreak/>
        <w:t>изискванията на европейското законодателство и с които не се преследва постигането на посочените цели на законопроекта. Не</w:t>
      </w:r>
      <w:r w:rsidR="0048212B" w:rsidRPr="00A3491F">
        <w:rPr>
          <w:sz w:val="22"/>
          <w:lang w:val="bg-BG"/>
        </w:rPr>
        <w:t xml:space="preserve"> се очаква да бъде повишена административната тежест извън необходимото съгласно европейското законодателство. Ще бъде продължено воденето на съществуващите регистри на производителите при използването на техническите им възможности и бази данни.</w:t>
      </w:r>
    </w:p>
    <w:p w:rsidR="000B5086" w:rsidRPr="00A3491F" w:rsidRDefault="000B5086" w:rsidP="006B3BB7">
      <w:pPr>
        <w:spacing w:after="120"/>
        <w:rPr>
          <w:color w:val="000000" w:themeColor="text1"/>
          <w:sz w:val="22"/>
          <w:lang w:val="bg-BG"/>
        </w:rPr>
      </w:pPr>
      <w:r w:rsidRPr="00A3491F">
        <w:rPr>
          <w:color w:val="000000" w:themeColor="text1"/>
          <w:sz w:val="22"/>
          <w:lang w:val="bg-BG"/>
        </w:rPr>
        <w:t>Основно в законопроекта са предвидени по - ясни правила за провеждане на политиката в лозаро-винарския сектор, както и ефективни правила за контрол при спазването им. Продуктите от лозаро-винарския сектор следва да се произвеждат в съответствие с определени енологични практики и производствени методи, гарантиращи опазването на общественото здраве и очакванията на потребителите по отношение на качеството</w:t>
      </w:r>
      <w:r w:rsidR="000859CF" w:rsidRPr="00A3491F">
        <w:rPr>
          <w:color w:val="000000" w:themeColor="text1"/>
          <w:sz w:val="22"/>
          <w:lang w:val="bg-BG"/>
        </w:rPr>
        <w:t xml:space="preserve">, според изискванията на </w:t>
      </w:r>
      <w:r w:rsidR="000859CF" w:rsidRPr="00A3491F">
        <w:rPr>
          <w:rFonts w:eastAsia="Times New Roman"/>
          <w:sz w:val="22"/>
          <w:lang w:val="bg-BG" w:eastAsia="bg-BG"/>
        </w:rPr>
        <w:t>Регламент (ЕС) № 1308/2013, Регламент (ЕС) № 251/2014 и Регламент (ЕО) № 606/2009</w:t>
      </w:r>
      <w:r w:rsidRPr="00A3491F">
        <w:rPr>
          <w:color w:val="000000" w:themeColor="text1"/>
          <w:sz w:val="22"/>
          <w:lang w:val="bg-BG"/>
        </w:rPr>
        <w:t>. В тази връзка се предвижда Министърът на земеделието, храните и горите да осъществява държавната политика в лозаро-винарския сектор и по отношение на производството на плодови вина и оцет. Контролът за спазване на закона по отношение на лозовите насаждения, лозаро-винарските продукти, плодовите вина и оцета се упражнява от Изпълнителната агенция по лозата и виното.</w:t>
      </w:r>
    </w:p>
    <w:p w:rsidR="00E55D2E" w:rsidRPr="00A3491F" w:rsidRDefault="000B5086" w:rsidP="006B3BB7">
      <w:pPr>
        <w:spacing w:after="120"/>
        <w:rPr>
          <w:color w:val="000000" w:themeColor="text1"/>
          <w:sz w:val="22"/>
          <w:lang w:val="bg-BG"/>
        </w:rPr>
      </w:pPr>
      <w:r w:rsidRPr="00A3491F">
        <w:rPr>
          <w:color w:val="000000" w:themeColor="text1"/>
          <w:sz w:val="22"/>
          <w:lang w:val="bg-BG"/>
        </w:rPr>
        <w:t xml:space="preserve">Новият закон отменя действащия сега Закон за виното и спиртните напитки. Той ще регулира цялостно дейностите в лозаро-винарския сектор. Основната цел е новите текстове да съответстват изцяло на европейските регламенти и на националните особености на сектора. Така в проектозакона се предвиждат </w:t>
      </w:r>
      <w:r w:rsidR="00855273" w:rsidRPr="00A3491F">
        <w:rPr>
          <w:color w:val="000000" w:themeColor="text1"/>
          <w:sz w:val="22"/>
          <w:lang w:val="bg-BG"/>
        </w:rPr>
        <w:t xml:space="preserve">изменения на </w:t>
      </w:r>
      <w:r w:rsidRPr="00A3491F">
        <w:rPr>
          <w:color w:val="000000" w:themeColor="text1"/>
          <w:sz w:val="22"/>
          <w:lang w:val="bg-BG"/>
        </w:rPr>
        <w:t>правила</w:t>
      </w:r>
      <w:r w:rsidR="00855273" w:rsidRPr="00A3491F">
        <w:rPr>
          <w:color w:val="000000" w:themeColor="text1"/>
          <w:sz w:val="22"/>
          <w:lang w:val="bg-BG"/>
        </w:rPr>
        <w:t>та</w:t>
      </w:r>
      <w:r w:rsidRPr="00A3491F">
        <w:rPr>
          <w:color w:val="000000" w:themeColor="text1"/>
          <w:sz w:val="22"/>
          <w:lang w:val="bg-BG"/>
        </w:rPr>
        <w:t xml:space="preserve"> за производство, получаване, преработка, етикетиране, търговия и контрол на гроздето, предназначено за производство на вино, </w:t>
      </w:r>
      <w:r w:rsidR="00855273" w:rsidRPr="00A3491F">
        <w:rPr>
          <w:color w:val="000000" w:themeColor="text1"/>
          <w:sz w:val="22"/>
          <w:lang w:val="bg-BG"/>
        </w:rPr>
        <w:t xml:space="preserve">на </w:t>
      </w:r>
      <w:r w:rsidRPr="00A3491F">
        <w:rPr>
          <w:color w:val="000000" w:themeColor="text1"/>
          <w:sz w:val="22"/>
          <w:lang w:val="bg-BG"/>
        </w:rPr>
        <w:t>вината, продуктите, получени от грозде и вино, плодовите вина</w:t>
      </w:r>
      <w:r w:rsidR="00855273" w:rsidRPr="00A3491F">
        <w:rPr>
          <w:color w:val="000000" w:themeColor="text1"/>
          <w:sz w:val="22"/>
          <w:lang w:val="bg-BG"/>
        </w:rPr>
        <w:t xml:space="preserve"> и </w:t>
      </w:r>
      <w:r w:rsidRPr="00A3491F">
        <w:rPr>
          <w:color w:val="000000" w:themeColor="text1"/>
          <w:sz w:val="22"/>
          <w:lang w:val="bg-BG"/>
        </w:rPr>
        <w:t>оцета, , както и управлението и контрола</w:t>
      </w:r>
      <w:r w:rsidR="005709F6" w:rsidRPr="00A3491F">
        <w:rPr>
          <w:color w:val="000000" w:themeColor="text1"/>
          <w:sz w:val="22"/>
          <w:lang w:val="bg-BG"/>
        </w:rPr>
        <w:t xml:space="preserve"> на лозаро-винарския потенциал.</w:t>
      </w:r>
    </w:p>
    <w:p w:rsidR="000B5086" w:rsidRPr="00A3491F" w:rsidRDefault="00E55D2E" w:rsidP="006B3BB7">
      <w:pPr>
        <w:spacing w:after="120"/>
        <w:rPr>
          <w:color w:val="000000" w:themeColor="text1"/>
          <w:sz w:val="22"/>
          <w:lang w:val="bg-BG"/>
        </w:rPr>
      </w:pPr>
      <w:r w:rsidRPr="00A3491F">
        <w:rPr>
          <w:color w:val="000000" w:themeColor="text1"/>
          <w:sz w:val="22"/>
          <w:lang w:val="bg-BG"/>
        </w:rPr>
        <w:t>С оглед да бъде гарантирано прилагането на процедури за контрол на качеството на лозаро-винарските продукти, използвани във всички държави-членки на ЕС, ще бъде въведено използването на референтни методи за изотопен анализ, който ще се извършва от лабораторията на ИАЛВ, вместо от Съвместния изследователски център</w:t>
      </w:r>
      <w:r w:rsidR="000859CF" w:rsidRPr="00A3491F">
        <w:rPr>
          <w:color w:val="000000" w:themeColor="text1"/>
          <w:sz w:val="22"/>
          <w:lang w:val="bg-BG"/>
        </w:rPr>
        <w:t xml:space="preserve">, съобразно с </w:t>
      </w:r>
      <w:r w:rsidR="0011133E" w:rsidRPr="00A3491F">
        <w:rPr>
          <w:color w:val="000000" w:themeColor="text1"/>
          <w:sz w:val="22"/>
          <w:lang w:val="bg-BG"/>
        </w:rPr>
        <w:t>изискванията</w:t>
      </w:r>
      <w:r w:rsidR="000859CF" w:rsidRPr="00A3491F">
        <w:rPr>
          <w:color w:val="000000" w:themeColor="text1"/>
          <w:sz w:val="22"/>
          <w:lang w:val="bg-BG"/>
        </w:rPr>
        <w:t xml:space="preserve"> на Регламент (ЕО) № 555/2008</w:t>
      </w:r>
      <w:r w:rsidR="005709F6" w:rsidRPr="00A3491F">
        <w:rPr>
          <w:color w:val="000000" w:themeColor="text1"/>
          <w:sz w:val="22"/>
          <w:lang w:val="bg-BG"/>
        </w:rPr>
        <w:t>.</w:t>
      </w:r>
    </w:p>
    <w:p w:rsidR="000B5086" w:rsidRPr="00A3491F" w:rsidRDefault="000859CF" w:rsidP="006B3BB7">
      <w:pPr>
        <w:spacing w:after="120"/>
        <w:rPr>
          <w:color w:val="000000" w:themeColor="text1"/>
          <w:sz w:val="22"/>
          <w:lang w:val="bg-BG"/>
        </w:rPr>
      </w:pPr>
      <w:r w:rsidRPr="00A3491F">
        <w:rPr>
          <w:color w:val="000000" w:themeColor="text1"/>
          <w:sz w:val="22"/>
          <w:lang w:val="bg-BG"/>
        </w:rPr>
        <w:t xml:space="preserve">В </w:t>
      </w:r>
      <w:r w:rsidR="00855273" w:rsidRPr="00A3491F">
        <w:rPr>
          <w:color w:val="000000" w:themeColor="text1"/>
          <w:sz w:val="22"/>
          <w:lang w:val="bg-BG"/>
        </w:rPr>
        <w:t xml:space="preserve">пълно </w:t>
      </w:r>
      <w:r w:rsidRPr="00A3491F">
        <w:rPr>
          <w:color w:val="000000" w:themeColor="text1"/>
          <w:sz w:val="22"/>
          <w:lang w:val="bg-BG"/>
        </w:rPr>
        <w:t xml:space="preserve">съответствие с европейските изисквания  на </w:t>
      </w:r>
      <w:r w:rsidRPr="00A3491F">
        <w:rPr>
          <w:rFonts w:eastAsia="Times New Roman"/>
          <w:sz w:val="22"/>
          <w:lang w:val="bg-BG" w:eastAsia="bg-BG"/>
        </w:rPr>
        <w:t>Регламент (ЕС) № 130</w:t>
      </w:r>
      <w:r w:rsidR="00BC001C" w:rsidRPr="00A3491F">
        <w:rPr>
          <w:rFonts w:eastAsia="Times New Roman"/>
          <w:sz w:val="22"/>
          <w:lang w:val="bg-BG" w:eastAsia="bg-BG"/>
        </w:rPr>
        <w:t>8</w:t>
      </w:r>
      <w:r w:rsidRPr="00A3491F">
        <w:rPr>
          <w:rFonts w:eastAsia="Times New Roman"/>
          <w:sz w:val="22"/>
          <w:lang w:val="bg-BG" w:eastAsia="bg-BG"/>
        </w:rPr>
        <w:t>/2013,</w:t>
      </w:r>
      <w:r w:rsidRPr="00A3491F">
        <w:rPr>
          <w:color w:val="000000" w:themeColor="text1"/>
          <w:sz w:val="22"/>
          <w:lang w:val="bg-BG"/>
        </w:rPr>
        <w:t xml:space="preserve"> п</w:t>
      </w:r>
      <w:r w:rsidR="000B5086" w:rsidRPr="00A3491F">
        <w:rPr>
          <w:color w:val="000000" w:themeColor="text1"/>
          <w:sz w:val="22"/>
          <w:lang w:val="bg-BG"/>
        </w:rPr>
        <w:t>одробно са уредени</w:t>
      </w:r>
      <w:r w:rsidR="00855273" w:rsidRPr="00A3491F">
        <w:rPr>
          <w:color w:val="000000" w:themeColor="text1"/>
          <w:sz w:val="22"/>
          <w:lang w:val="bg-BG"/>
        </w:rPr>
        <w:t xml:space="preserve"> </w:t>
      </w:r>
      <w:r w:rsidR="000B5086" w:rsidRPr="00A3491F">
        <w:rPr>
          <w:color w:val="000000" w:themeColor="text1"/>
          <w:sz w:val="22"/>
          <w:lang w:val="bg-BG"/>
        </w:rPr>
        <w:t xml:space="preserve">условията и реда за издаване на разрешения за засаждане на нови насаждения и за презасаждане. Включени са текстове, свързани с прилагането на преходния режим за преобразуване на права за засаждане и презасаждане в разрешения за засаждане на нови насаждения. Определени са случаите, в които не се изисква издаване на разрешение за лозови насаждения. Такива случаи са: засаждането или презасаждането на площи, предназначени за експериментални цели; отглеждане на лозов посадъчен материал, от който се произвежда вино или лозаро-винарски продукти, предназначени за консумация само в домакинството на производителя или от организации, произвеждащи вино само за вътрешна консумация; при презасаждане от производител, на когото са отчуждени имоти за държавна или общинска нужда, </w:t>
      </w:r>
      <w:r w:rsidR="005709F6" w:rsidRPr="00A3491F">
        <w:rPr>
          <w:color w:val="000000" w:themeColor="text1"/>
          <w:sz w:val="22"/>
          <w:lang w:val="bg-BG"/>
        </w:rPr>
        <w:t xml:space="preserve">които са били засадени с лозя. </w:t>
      </w:r>
    </w:p>
    <w:p w:rsidR="000B5086" w:rsidRPr="00A3491F" w:rsidRDefault="000B5086" w:rsidP="006B3BB7">
      <w:pPr>
        <w:spacing w:after="120"/>
        <w:rPr>
          <w:color w:val="000000" w:themeColor="text1"/>
          <w:sz w:val="22"/>
          <w:lang w:val="bg-BG"/>
        </w:rPr>
      </w:pPr>
      <w:r w:rsidRPr="00A3491F">
        <w:rPr>
          <w:color w:val="000000" w:themeColor="text1"/>
          <w:sz w:val="22"/>
          <w:lang w:val="bg-BG"/>
        </w:rPr>
        <w:t xml:space="preserve">За целите на контрола е </w:t>
      </w:r>
      <w:r w:rsidR="00CF0774" w:rsidRPr="00A3491F">
        <w:rPr>
          <w:color w:val="000000" w:themeColor="text1"/>
          <w:sz w:val="22"/>
          <w:lang w:val="bg-BG"/>
        </w:rPr>
        <w:t>предвидено да продължи</w:t>
      </w:r>
      <w:r w:rsidRPr="00A3491F">
        <w:rPr>
          <w:color w:val="000000" w:themeColor="text1"/>
          <w:sz w:val="22"/>
          <w:lang w:val="bg-BG"/>
        </w:rPr>
        <w:t xml:space="preserve"> поддържането на лозарски регистър, съдържащ данни за гроздопроизводителите, управляваните от тях лозарски стопанства и винопроизводителите.  Правилата относно </w:t>
      </w:r>
      <w:r w:rsidR="00CF0774" w:rsidRPr="00A3491F">
        <w:rPr>
          <w:color w:val="000000" w:themeColor="text1"/>
          <w:sz w:val="22"/>
          <w:lang w:val="bg-BG"/>
        </w:rPr>
        <w:t>воденето му ще бъдат изменени с цел привеждане</w:t>
      </w:r>
      <w:r w:rsidRPr="00A3491F">
        <w:rPr>
          <w:color w:val="000000" w:themeColor="text1"/>
          <w:sz w:val="22"/>
          <w:lang w:val="bg-BG"/>
        </w:rPr>
        <w:t xml:space="preserve"> в пълно съответствие с изискванията на Регламент (ЕО) № 436/2009 на Комисията</w:t>
      </w:r>
      <w:r w:rsidR="000859CF" w:rsidRPr="00A3491F">
        <w:rPr>
          <w:color w:val="000000" w:themeColor="text1"/>
          <w:sz w:val="22"/>
          <w:lang w:val="bg-BG"/>
        </w:rPr>
        <w:t xml:space="preserve"> и Регламент (ЕО) № 479/2008 на Съвета</w:t>
      </w:r>
      <w:r w:rsidRPr="00A3491F">
        <w:rPr>
          <w:color w:val="000000" w:themeColor="text1"/>
          <w:sz w:val="22"/>
          <w:lang w:val="bg-BG"/>
        </w:rPr>
        <w:t xml:space="preserve">. </w:t>
      </w:r>
      <w:r w:rsidRPr="00A3491F">
        <w:rPr>
          <w:rFonts w:eastAsia="Times New Roman"/>
          <w:sz w:val="22"/>
          <w:lang w:val="bg-BG" w:eastAsia="bg-BG"/>
        </w:rPr>
        <w:t xml:space="preserve">ИАЛВ ще има задължение да впише служебно </w:t>
      </w:r>
      <w:r w:rsidR="00855273" w:rsidRPr="00A3491F">
        <w:rPr>
          <w:rFonts w:eastAsia="Times New Roman"/>
          <w:sz w:val="22"/>
          <w:lang w:val="bg-BG" w:eastAsia="bg-BG"/>
        </w:rPr>
        <w:t xml:space="preserve">данните за </w:t>
      </w:r>
      <w:r w:rsidRPr="00A3491F">
        <w:rPr>
          <w:rFonts w:eastAsia="Times New Roman"/>
          <w:sz w:val="22"/>
          <w:lang w:val="bg-BG" w:eastAsia="bg-BG"/>
        </w:rPr>
        <w:t xml:space="preserve">гроздопроизводителите, лозарските стопанства, винопроизводителите и оцетопроизводителите, вписани </w:t>
      </w:r>
      <w:r w:rsidR="00CF0774" w:rsidRPr="00A3491F">
        <w:rPr>
          <w:rFonts w:eastAsia="Times New Roman"/>
          <w:sz w:val="22"/>
          <w:lang w:val="bg-BG" w:eastAsia="bg-BG"/>
        </w:rPr>
        <w:t>към момента</w:t>
      </w:r>
      <w:r w:rsidRPr="00A3491F">
        <w:rPr>
          <w:rFonts w:eastAsia="Times New Roman"/>
          <w:sz w:val="22"/>
          <w:lang w:val="bg-BG" w:eastAsia="bg-BG"/>
        </w:rPr>
        <w:t xml:space="preserve">. </w:t>
      </w:r>
      <w:r w:rsidR="00CF0774" w:rsidRPr="00A3491F">
        <w:rPr>
          <w:rFonts w:eastAsia="Times New Roman"/>
          <w:sz w:val="22"/>
          <w:lang w:val="bg-BG" w:eastAsia="bg-BG"/>
        </w:rPr>
        <w:t xml:space="preserve">При воденето му техническите възможности и базите данни, налични към момента ще бъдат изцяло използвани. </w:t>
      </w:r>
      <w:r w:rsidR="00855273" w:rsidRPr="00A3491F">
        <w:rPr>
          <w:rFonts w:eastAsia="Times New Roman"/>
          <w:sz w:val="22"/>
          <w:lang w:val="bg-BG" w:eastAsia="bg-BG"/>
        </w:rPr>
        <w:t xml:space="preserve">Няма да се наложат допълнителни разходи за воденето на лозарския регистри при действието на проекта на ЗВСН. </w:t>
      </w:r>
      <w:r w:rsidRPr="00A3491F">
        <w:rPr>
          <w:color w:val="000000" w:themeColor="text1"/>
          <w:sz w:val="22"/>
          <w:lang w:val="bg-BG"/>
        </w:rPr>
        <w:t xml:space="preserve">Категориите лозаро-винарски продукти и типът на вината са определени съгласно </w:t>
      </w:r>
      <w:r w:rsidR="000859CF" w:rsidRPr="00A3491F">
        <w:rPr>
          <w:color w:val="000000" w:themeColor="text1"/>
          <w:sz w:val="22"/>
          <w:lang w:val="bg-BG"/>
        </w:rPr>
        <w:t>Регламент (ЕС) № 1308/2013, Регламент (ЕО) № 607/2009</w:t>
      </w:r>
      <w:r w:rsidR="0011133E" w:rsidRPr="00A3491F">
        <w:rPr>
          <w:color w:val="000000" w:themeColor="text1"/>
          <w:sz w:val="22"/>
          <w:lang w:val="bg-BG"/>
        </w:rPr>
        <w:t xml:space="preserve"> и</w:t>
      </w:r>
      <w:r w:rsidR="000859CF" w:rsidRPr="00A3491F">
        <w:rPr>
          <w:color w:val="000000" w:themeColor="text1"/>
          <w:sz w:val="22"/>
          <w:lang w:val="bg-BG"/>
        </w:rPr>
        <w:t xml:space="preserve"> Регламент (ЕС) № 251/2014</w:t>
      </w:r>
      <w:r w:rsidRPr="00A3491F">
        <w:rPr>
          <w:color w:val="000000" w:themeColor="text1"/>
          <w:sz w:val="22"/>
          <w:lang w:val="bg-BG"/>
        </w:rPr>
        <w:t xml:space="preserve">. Изискванията към вината </w:t>
      </w:r>
      <w:r w:rsidRPr="00A3491F">
        <w:rPr>
          <w:color w:val="000000" w:themeColor="text1"/>
          <w:sz w:val="22"/>
          <w:lang w:val="bg-BG"/>
        </w:rPr>
        <w:lastRenderedPageBreak/>
        <w:t xml:space="preserve">със защитено наименование на произход (ЗНП), вината със защитено географско указание (ЗГУ), сортовите вина без ЗНП и ЗГУ и вината без ЗНП и ЗГУ, както и редът за предоставяне на правна закрила също са актуализирани </w:t>
      </w:r>
      <w:r w:rsidR="0011133E" w:rsidRPr="00A3491F">
        <w:rPr>
          <w:color w:val="000000" w:themeColor="text1"/>
          <w:sz w:val="22"/>
          <w:lang w:val="bg-BG"/>
        </w:rPr>
        <w:t xml:space="preserve">в </w:t>
      </w:r>
      <w:r w:rsidRPr="00A3491F">
        <w:rPr>
          <w:color w:val="000000" w:themeColor="text1"/>
          <w:sz w:val="22"/>
          <w:lang w:val="bg-BG"/>
        </w:rPr>
        <w:t>съответс</w:t>
      </w:r>
      <w:r w:rsidR="005709F6" w:rsidRPr="00A3491F">
        <w:rPr>
          <w:color w:val="000000" w:themeColor="text1"/>
          <w:sz w:val="22"/>
          <w:lang w:val="bg-BG"/>
        </w:rPr>
        <w:t>твие с европейските регламенти.</w:t>
      </w:r>
    </w:p>
    <w:p w:rsidR="000B5086" w:rsidRPr="00A3491F" w:rsidRDefault="000B5086" w:rsidP="006B3BB7">
      <w:pPr>
        <w:spacing w:after="120"/>
        <w:rPr>
          <w:rFonts w:eastAsiaTheme="minorHAnsi"/>
          <w:sz w:val="22"/>
          <w:lang w:val="bg-BG"/>
        </w:rPr>
      </w:pPr>
      <w:r w:rsidRPr="00A3491F">
        <w:rPr>
          <w:color w:val="000000" w:themeColor="text1"/>
          <w:sz w:val="22"/>
          <w:lang w:val="bg-BG"/>
        </w:rPr>
        <w:t>Проектът на ЗВСН определя правата и задълженията на производителите и търговците на винено грозде и лозаро-винарски продукти, както и плодови вина и оцет. Те са свързани с ежегодното подаване на декларации и воденето на дневници</w:t>
      </w:r>
      <w:r w:rsidR="000859CF" w:rsidRPr="00A3491F">
        <w:rPr>
          <w:color w:val="000000" w:themeColor="text1"/>
          <w:sz w:val="22"/>
          <w:lang w:val="bg-BG"/>
        </w:rPr>
        <w:t xml:space="preserve"> (</w:t>
      </w:r>
      <w:r w:rsidR="00734653" w:rsidRPr="00A3491F">
        <w:rPr>
          <w:color w:val="000000" w:themeColor="text1"/>
          <w:sz w:val="22"/>
          <w:lang w:val="bg-BG"/>
        </w:rPr>
        <w:t xml:space="preserve">произтичащи от </w:t>
      </w:r>
      <w:r w:rsidR="000859CF" w:rsidRPr="00A3491F">
        <w:rPr>
          <w:color w:val="000000" w:themeColor="text1"/>
          <w:sz w:val="22"/>
          <w:lang w:val="bg-BG"/>
        </w:rPr>
        <w:t>Регламент (ЕО) № 436/2009 на Комисията)</w:t>
      </w:r>
      <w:r w:rsidRPr="00A3491F">
        <w:rPr>
          <w:color w:val="000000" w:themeColor="text1"/>
          <w:sz w:val="22"/>
          <w:lang w:val="bg-BG"/>
        </w:rPr>
        <w:t>, правилата за прилагане на разрешените енологични практики при производството и съхраняването на лозаро-винарски продукти, граничните стойности при употребата им, спецификациите за чистотата и идентичността на веществата, използвани в енологичните практики</w:t>
      </w:r>
      <w:r w:rsidR="000859CF" w:rsidRPr="00A3491F">
        <w:rPr>
          <w:color w:val="000000" w:themeColor="text1"/>
          <w:sz w:val="22"/>
          <w:lang w:val="bg-BG"/>
        </w:rPr>
        <w:t>,</w:t>
      </w:r>
      <w:r w:rsidRPr="00A3491F">
        <w:rPr>
          <w:color w:val="000000" w:themeColor="text1"/>
          <w:sz w:val="22"/>
          <w:lang w:val="bg-BG"/>
        </w:rPr>
        <w:t xml:space="preserve"> както и експериментите за прилагането на нови енологични практики</w:t>
      </w:r>
      <w:r w:rsidR="000859CF" w:rsidRPr="00A3491F">
        <w:rPr>
          <w:color w:val="000000" w:themeColor="text1"/>
          <w:sz w:val="22"/>
          <w:lang w:val="bg-BG"/>
        </w:rPr>
        <w:t xml:space="preserve"> (</w:t>
      </w:r>
      <w:r w:rsidR="00734653" w:rsidRPr="00A3491F">
        <w:rPr>
          <w:color w:val="000000" w:themeColor="text1"/>
          <w:sz w:val="22"/>
          <w:lang w:val="bg-BG"/>
        </w:rPr>
        <w:t xml:space="preserve">предвидени в </w:t>
      </w:r>
      <w:r w:rsidR="000859CF" w:rsidRPr="00A3491F">
        <w:rPr>
          <w:color w:val="000000" w:themeColor="text1"/>
          <w:sz w:val="22"/>
          <w:lang w:val="bg-BG"/>
        </w:rPr>
        <w:t>Регламент (ЕС) № 1308/2013 и Регламент (ЕО) № 606/2009)</w:t>
      </w:r>
      <w:r w:rsidRPr="00A3491F">
        <w:rPr>
          <w:color w:val="000000" w:themeColor="text1"/>
          <w:sz w:val="22"/>
          <w:lang w:val="bg-BG"/>
        </w:rPr>
        <w:t>. Предвиждат се специални правила за унищожаване на продуктите, произведени чрез различни от разрешените енологични практики и/или в нарушение на ограниченията за производството и съхраняването им.</w:t>
      </w:r>
      <w:r w:rsidR="004E6505" w:rsidRPr="00A3491F">
        <w:rPr>
          <w:rFonts w:eastAsiaTheme="minorHAnsi"/>
          <w:sz w:val="22"/>
          <w:lang w:val="bg-BG"/>
        </w:rPr>
        <w:t xml:space="preserve"> </w:t>
      </w:r>
    </w:p>
    <w:p w:rsidR="000B5086" w:rsidRPr="00A3491F" w:rsidRDefault="000B5086" w:rsidP="006B3BB7">
      <w:pPr>
        <w:spacing w:after="120"/>
        <w:rPr>
          <w:color w:val="000000" w:themeColor="text1"/>
          <w:sz w:val="22"/>
          <w:lang w:val="bg-BG"/>
        </w:rPr>
      </w:pPr>
      <w:r w:rsidRPr="00A3491F">
        <w:rPr>
          <w:color w:val="000000" w:themeColor="text1"/>
          <w:sz w:val="22"/>
          <w:lang w:val="bg-BG"/>
        </w:rPr>
        <w:t>Правилата за етикетиране и представяне на лозаро-винарски продукти, за придружителните документи за превоз на територията на страната или на друга държава-членка на ЕС, както и предоставянето на специална гаранция при внос на лозаро-винарски продукти са разписани при спазване на изискванията на Глава IV</w:t>
      </w:r>
      <w:r w:rsidR="005709F6" w:rsidRPr="00A3491F">
        <w:rPr>
          <w:color w:val="000000" w:themeColor="text1"/>
          <w:sz w:val="22"/>
          <w:lang w:val="bg-BG"/>
        </w:rPr>
        <w:t xml:space="preserve"> от Регламент (ЕО) № 607/2009. </w:t>
      </w:r>
    </w:p>
    <w:p w:rsidR="000B5086" w:rsidRPr="00A3491F" w:rsidRDefault="000B5086" w:rsidP="006B3BB7">
      <w:pPr>
        <w:spacing w:after="120"/>
        <w:rPr>
          <w:color w:val="000000" w:themeColor="text1"/>
          <w:sz w:val="22"/>
          <w:lang w:val="bg-BG"/>
        </w:rPr>
      </w:pPr>
      <w:r w:rsidRPr="00A3491F">
        <w:rPr>
          <w:color w:val="000000" w:themeColor="text1"/>
          <w:sz w:val="22"/>
          <w:lang w:val="bg-BG"/>
        </w:rPr>
        <w:t>Министърът на икономиката осъществява държавната политика по отношение на производството на етилов алкохол от земеделски произход, дестилати от земеделски</w:t>
      </w:r>
      <w:r w:rsidR="005709F6" w:rsidRPr="00A3491F">
        <w:rPr>
          <w:color w:val="000000" w:themeColor="text1"/>
          <w:sz w:val="22"/>
          <w:lang w:val="bg-BG"/>
        </w:rPr>
        <w:t xml:space="preserve"> произход и на спиртни напитки.</w:t>
      </w:r>
    </w:p>
    <w:p w:rsidR="000B5086" w:rsidRPr="00A3491F" w:rsidRDefault="000B5086" w:rsidP="006B3BB7">
      <w:pPr>
        <w:spacing w:after="120"/>
        <w:rPr>
          <w:color w:val="000000" w:themeColor="text1"/>
          <w:sz w:val="22"/>
          <w:lang w:val="bg-BG"/>
        </w:rPr>
      </w:pPr>
      <w:r w:rsidRPr="00A3491F">
        <w:rPr>
          <w:color w:val="000000" w:themeColor="text1"/>
          <w:sz w:val="22"/>
          <w:lang w:val="bg-BG"/>
        </w:rPr>
        <w:t>В текста на новия закон правилата за производство, техническите определения, означаването, представянето и етикетирането на етилов алкохол от земеделски произход, дестилати от земеделски произход и спиртни напитки са изцяло хармонизирани с изискваният</w:t>
      </w:r>
      <w:r w:rsidR="005709F6" w:rsidRPr="00A3491F">
        <w:rPr>
          <w:color w:val="000000" w:themeColor="text1"/>
          <w:sz w:val="22"/>
          <w:lang w:val="bg-BG"/>
        </w:rPr>
        <w:t>а на Регламент (ЕО) № 110/2008.</w:t>
      </w:r>
    </w:p>
    <w:p w:rsidR="000B5086" w:rsidRPr="00A3491F" w:rsidRDefault="000B5086" w:rsidP="006B3BB7">
      <w:pPr>
        <w:spacing w:after="120"/>
        <w:rPr>
          <w:color w:val="000000" w:themeColor="text1"/>
          <w:sz w:val="22"/>
          <w:lang w:val="bg-BG"/>
        </w:rPr>
      </w:pPr>
      <w:r w:rsidRPr="00A3491F">
        <w:rPr>
          <w:color w:val="000000" w:themeColor="text1"/>
          <w:sz w:val="22"/>
          <w:lang w:val="bg-BG"/>
        </w:rPr>
        <w:t>За целите на българските производители и потребители, съобразно наложените добри традиционни практики, са установени специфични определения и изисквания за ракия, мастика и дестилатите за тяхното производство. Тези определения подчертават традиционния характер на българските напитки и по-специално на ракията. Допълнително са предвидени правила за производство на спиртни напитки с географско указание. Определени са и контролните органи при производството и търговията на дребно със спиртни напитки и техните правомощия. Предвижда се броят на дневниците, които производителите водят, и в които вписват данни за стоките и извършените производствени манипулации да бъде намален. Добавени са текстове, регулиращи вноса и износа на спиртни напитки в трети страни, което в още по-голяма степен ще защити българските</w:t>
      </w:r>
      <w:r w:rsidR="005709F6" w:rsidRPr="00A3491F">
        <w:rPr>
          <w:color w:val="000000" w:themeColor="text1"/>
          <w:sz w:val="22"/>
          <w:lang w:val="bg-BG"/>
        </w:rPr>
        <w:t xml:space="preserve"> и чуждестранните потребители. </w:t>
      </w:r>
    </w:p>
    <w:p w:rsidR="000B5086" w:rsidRPr="00A3491F" w:rsidRDefault="000B5086" w:rsidP="006B3BB7">
      <w:pPr>
        <w:spacing w:after="120"/>
        <w:rPr>
          <w:color w:val="000000" w:themeColor="text1"/>
          <w:sz w:val="22"/>
          <w:lang w:val="bg-BG"/>
        </w:rPr>
      </w:pPr>
      <w:r w:rsidRPr="00A3491F">
        <w:rPr>
          <w:color w:val="000000" w:themeColor="text1"/>
          <w:sz w:val="22"/>
          <w:lang w:val="bg-BG"/>
        </w:rPr>
        <w:t xml:space="preserve">В Министерство на икономиката </w:t>
      </w:r>
      <w:r w:rsidR="00CF0774" w:rsidRPr="00A3491F">
        <w:rPr>
          <w:color w:val="000000" w:themeColor="text1"/>
          <w:sz w:val="22"/>
          <w:lang w:val="bg-BG"/>
        </w:rPr>
        <w:t>ще продължи и</w:t>
      </w:r>
      <w:r w:rsidRPr="00A3491F">
        <w:rPr>
          <w:color w:val="000000" w:themeColor="text1"/>
          <w:sz w:val="22"/>
          <w:lang w:val="bg-BG"/>
        </w:rPr>
        <w:t xml:space="preserve"> воденето на регистър на производителите на етилов алкохол от земеделски произход, дестилати и спиртни напитки. Контролът върху производството им ще се осъществява от лица, оправомощени от министъра на икономиката. В законопроекта се уреждат правилата за регистриране и заличаване от регистъра на производителите и правомощията на контролните органи.</w:t>
      </w:r>
      <w:r w:rsidR="00CF0774" w:rsidRPr="00A3491F">
        <w:rPr>
          <w:color w:val="000000" w:themeColor="text1"/>
          <w:sz w:val="22"/>
          <w:lang w:val="bg-BG"/>
        </w:rPr>
        <w:t xml:space="preserve"> Създадените при действието на сегашния закон бази данни и технически възможности във връзка с воденето на регистъра ще бъдат изцяло използвани.</w:t>
      </w:r>
    </w:p>
    <w:p w:rsidR="000B5086" w:rsidRPr="00A3491F" w:rsidRDefault="000B5086" w:rsidP="006B3BB7">
      <w:pPr>
        <w:spacing w:after="120"/>
        <w:rPr>
          <w:color w:val="000000" w:themeColor="text1"/>
          <w:sz w:val="22"/>
          <w:lang w:val="bg-BG"/>
        </w:rPr>
      </w:pPr>
      <w:r w:rsidRPr="00A3491F">
        <w:rPr>
          <w:color w:val="000000" w:themeColor="text1"/>
          <w:sz w:val="22"/>
          <w:lang w:val="bg-BG"/>
        </w:rPr>
        <w:t>Предвидено е</w:t>
      </w:r>
      <w:r w:rsidR="00CF0774" w:rsidRPr="00A3491F">
        <w:rPr>
          <w:color w:val="000000" w:themeColor="text1"/>
          <w:sz w:val="22"/>
          <w:lang w:val="bg-BG"/>
        </w:rPr>
        <w:t xml:space="preserve"> да бъде запазен</w:t>
      </w:r>
      <w:r w:rsidRPr="00A3491F">
        <w:rPr>
          <w:color w:val="000000" w:themeColor="text1"/>
          <w:sz w:val="22"/>
          <w:lang w:val="bg-BG"/>
        </w:rPr>
        <w:t xml:space="preserve"> и </w:t>
      </w:r>
      <w:r w:rsidR="00CF0774" w:rsidRPr="00A3491F">
        <w:rPr>
          <w:color w:val="000000" w:themeColor="text1"/>
          <w:sz w:val="22"/>
          <w:lang w:val="bg-BG"/>
        </w:rPr>
        <w:t>другия</w:t>
      </w:r>
      <w:r w:rsidR="00E55D2E" w:rsidRPr="00A3491F">
        <w:rPr>
          <w:color w:val="000000" w:themeColor="text1"/>
          <w:sz w:val="22"/>
          <w:lang w:val="bg-BG"/>
        </w:rPr>
        <w:t>т</w:t>
      </w:r>
      <w:r w:rsidR="00CF0774" w:rsidRPr="00A3491F">
        <w:rPr>
          <w:color w:val="000000" w:themeColor="text1"/>
          <w:sz w:val="22"/>
          <w:lang w:val="bg-BG"/>
        </w:rPr>
        <w:t xml:space="preserve"> </w:t>
      </w:r>
      <w:r w:rsidRPr="00A3491F">
        <w:rPr>
          <w:color w:val="000000" w:themeColor="text1"/>
          <w:sz w:val="22"/>
          <w:lang w:val="bg-BG"/>
        </w:rPr>
        <w:t>регистър в системата на Министерство на икономиката – на лицата, които извършват дейност с дестилационни съоръжения за производство на етилов алкохол, дестилати и спиртни напитки, включително внос, въвеждане на територията на страната, производство продажба и предоставяне на дестилационни съоръжения. Пр</w:t>
      </w:r>
      <w:r w:rsidR="00CF0774" w:rsidRPr="00A3491F">
        <w:rPr>
          <w:color w:val="000000" w:themeColor="text1"/>
          <w:sz w:val="22"/>
          <w:lang w:val="bg-BG"/>
        </w:rPr>
        <w:t xml:space="preserve">и </w:t>
      </w:r>
      <w:r w:rsidRPr="00A3491F">
        <w:rPr>
          <w:color w:val="000000" w:themeColor="text1"/>
          <w:sz w:val="22"/>
          <w:lang w:val="bg-BG"/>
        </w:rPr>
        <w:t>невписване в този регистър</w:t>
      </w:r>
      <w:r w:rsidR="00CF0774" w:rsidRPr="00A3491F">
        <w:rPr>
          <w:color w:val="000000" w:themeColor="text1"/>
          <w:sz w:val="22"/>
          <w:lang w:val="bg-BG"/>
        </w:rPr>
        <w:t xml:space="preserve"> ще бъде налагана санкция</w:t>
      </w:r>
      <w:r w:rsidRPr="00A3491F">
        <w:rPr>
          <w:color w:val="000000" w:themeColor="text1"/>
          <w:sz w:val="22"/>
          <w:lang w:val="bg-BG"/>
        </w:rPr>
        <w:t xml:space="preserve">, което допълнително ще допринесе са намаляване на сивия сектор в бранша и подобряване на конкурентната среда. </w:t>
      </w:r>
    </w:p>
    <w:p w:rsidR="000B5086" w:rsidRPr="00A3491F" w:rsidRDefault="000B5086" w:rsidP="006B3BB7">
      <w:pPr>
        <w:spacing w:after="120"/>
        <w:rPr>
          <w:color w:val="000000" w:themeColor="text1"/>
          <w:sz w:val="22"/>
          <w:lang w:val="bg-BG"/>
        </w:rPr>
      </w:pPr>
      <w:r w:rsidRPr="00A3491F">
        <w:rPr>
          <w:color w:val="000000" w:themeColor="text1"/>
          <w:sz w:val="22"/>
          <w:lang w:val="bg-BG"/>
        </w:rPr>
        <w:lastRenderedPageBreak/>
        <w:t>В новия Закон за виното и спиртните напитки са уредени условията и редът за: признаване на браншови организации на производителите</w:t>
      </w:r>
      <w:r w:rsidR="000859CF" w:rsidRPr="00A3491F">
        <w:rPr>
          <w:color w:val="000000" w:themeColor="text1"/>
          <w:sz w:val="22"/>
          <w:lang w:val="bg-BG"/>
        </w:rPr>
        <w:t xml:space="preserve">, съгласно </w:t>
      </w:r>
      <w:r w:rsidR="000859CF" w:rsidRPr="00A3491F">
        <w:rPr>
          <w:rFonts w:eastAsia="Times New Roman"/>
          <w:sz w:val="22"/>
          <w:lang w:val="bg-BG" w:eastAsia="bg-BG"/>
        </w:rPr>
        <w:t>Регламент (ЕС) № 1308/2013</w:t>
      </w:r>
      <w:r w:rsidRPr="00A3491F">
        <w:rPr>
          <w:color w:val="000000" w:themeColor="text1"/>
          <w:sz w:val="22"/>
          <w:lang w:val="bg-BG"/>
        </w:rPr>
        <w:t>; изпитвателните лаборатории и методите за изпитване; контролът върху производството и търговията с лозаро-винарски продукти, етилов алкохол от земеделски произход, дестилати и спиртни напитки и утвърждаването на съст</w:t>
      </w:r>
      <w:r w:rsidR="005709F6" w:rsidRPr="00A3491F">
        <w:rPr>
          <w:color w:val="000000" w:themeColor="text1"/>
          <w:sz w:val="22"/>
          <w:lang w:val="bg-BG"/>
        </w:rPr>
        <w:t>ава на дегустационните комисии.</w:t>
      </w:r>
    </w:p>
    <w:p w:rsidR="000B5086" w:rsidRPr="00A3491F" w:rsidRDefault="000B5086" w:rsidP="006B3BB7">
      <w:pPr>
        <w:spacing w:after="120"/>
        <w:rPr>
          <w:color w:val="000000" w:themeColor="text1"/>
          <w:sz w:val="22"/>
          <w:lang w:val="bg-BG"/>
        </w:rPr>
      </w:pPr>
      <w:r w:rsidRPr="00A3491F">
        <w:rPr>
          <w:color w:val="000000" w:themeColor="text1"/>
          <w:sz w:val="22"/>
          <w:lang w:val="bg-BG"/>
        </w:rPr>
        <w:t xml:space="preserve">Предвидените санкции в административнонаказателните разпоредби са съобразени изцяло с възможностите на производителите, за да се постигнат целите на налаганите наказания, по-висока </w:t>
      </w:r>
      <w:proofErr w:type="spellStart"/>
      <w:r w:rsidR="00756345" w:rsidRPr="00A3491F">
        <w:rPr>
          <w:color w:val="000000" w:themeColor="text1"/>
          <w:sz w:val="22"/>
          <w:lang w:val="bg-BG"/>
        </w:rPr>
        <w:t>събираемост</w:t>
      </w:r>
      <w:proofErr w:type="spellEnd"/>
      <w:r w:rsidRPr="00A3491F">
        <w:rPr>
          <w:color w:val="000000" w:themeColor="text1"/>
          <w:sz w:val="22"/>
          <w:lang w:val="bg-BG"/>
        </w:rPr>
        <w:t xml:space="preserve"> на налаганите санкции и по</w:t>
      </w:r>
      <w:r w:rsidR="005709F6" w:rsidRPr="00A3491F">
        <w:rPr>
          <w:color w:val="000000" w:themeColor="text1"/>
          <w:sz w:val="22"/>
          <w:lang w:val="bg-BG"/>
        </w:rPr>
        <w:t>-добра защита на потребителите.</w:t>
      </w:r>
    </w:p>
    <w:p w:rsidR="000B5086" w:rsidRPr="00A3491F" w:rsidRDefault="000B5086" w:rsidP="006B3BB7">
      <w:pPr>
        <w:spacing w:after="120"/>
        <w:rPr>
          <w:color w:val="000000" w:themeColor="text1"/>
          <w:sz w:val="22"/>
          <w:lang w:val="bg-BG"/>
        </w:rPr>
      </w:pPr>
      <w:r w:rsidRPr="00A3491F">
        <w:rPr>
          <w:color w:val="000000" w:themeColor="text1"/>
          <w:sz w:val="22"/>
          <w:lang w:val="bg-BG"/>
        </w:rPr>
        <w:t>В приложение към закона са изготвени образци на декларации, дневници, списъци и други документи.</w:t>
      </w:r>
    </w:p>
    <w:p w:rsidR="00B568F2" w:rsidRPr="00A3491F" w:rsidRDefault="009C25BF" w:rsidP="006B3BB7">
      <w:pPr>
        <w:pStyle w:val="Heading1"/>
        <w:spacing w:after="120"/>
        <w:rPr>
          <w:rFonts w:eastAsia="Times New Roman" w:cs="Times New Roman"/>
          <w:sz w:val="22"/>
          <w:szCs w:val="22"/>
          <w:lang w:val="bg-BG"/>
        </w:rPr>
      </w:pPr>
      <w:bookmarkStart w:id="25" w:name="_Toc496709955"/>
      <w:r w:rsidRPr="00A3491F">
        <w:rPr>
          <w:rFonts w:eastAsia="Times New Roman" w:cs="Times New Roman"/>
          <w:sz w:val="22"/>
          <w:szCs w:val="22"/>
          <w:lang w:val="bg-BG"/>
        </w:rPr>
        <w:t xml:space="preserve">VI. </w:t>
      </w:r>
      <w:r w:rsidR="007E512E" w:rsidRPr="00A3491F">
        <w:rPr>
          <w:rFonts w:eastAsia="Times New Roman" w:cs="Times New Roman"/>
          <w:sz w:val="22"/>
          <w:szCs w:val="22"/>
          <w:lang w:val="bg-BG"/>
        </w:rPr>
        <w:t xml:space="preserve">Количествено </w:t>
      </w:r>
      <w:r w:rsidRPr="00A3491F">
        <w:rPr>
          <w:rFonts w:eastAsia="Times New Roman" w:cs="Times New Roman"/>
          <w:sz w:val="22"/>
          <w:szCs w:val="22"/>
          <w:lang w:val="bg-BG"/>
        </w:rPr>
        <w:t>и качествено измерение на всички значителни икономически и/или социални, и/или екологични въздействия най-малко за следващите три години, водещи до ползи,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bookmarkEnd w:id="25"/>
    </w:p>
    <w:p w:rsidR="009C25BF" w:rsidRPr="00A3491F" w:rsidRDefault="009C25BF" w:rsidP="006B3BB7">
      <w:pPr>
        <w:pStyle w:val="Heading2"/>
        <w:spacing w:before="240" w:after="120"/>
        <w:rPr>
          <w:rFonts w:eastAsia="Times New Roman" w:cs="Times New Roman"/>
          <w:sz w:val="22"/>
          <w:szCs w:val="22"/>
          <w:lang w:val="bg-BG"/>
        </w:rPr>
      </w:pPr>
      <w:bookmarkStart w:id="26" w:name="_Toc496709956"/>
      <w:r w:rsidRPr="00A3491F">
        <w:rPr>
          <w:rFonts w:eastAsia="Times New Roman" w:cs="Times New Roman"/>
          <w:sz w:val="22"/>
          <w:szCs w:val="22"/>
          <w:lang w:val="bg-BG"/>
        </w:rPr>
        <w:t>VI.1.</w:t>
      </w:r>
      <w:r w:rsidR="00DD001A" w:rsidRPr="00A3491F">
        <w:rPr>
          <w:rFonts w:eastAsia="Times New Roman" w:cs="Times New Roman"/>
          <w:sz w:val="22"/>
          <w:szCs w:val="22"/>
          <w:lang w:val="bg-BG"/>
        </w:rPr>
        <w:t xml:space="preserve"> Вариант 1: Без действие</w:t>
      </w:r>
      <w:bookmarkEnd w:id="26"/>
    </w:p>
    <w:p w:rsidR="00DD001A" w:rsidRPr="00A3491F" w:rsidRDefault="00DD001A" w:rsidP="006B3BB7">
      <w:pPr>
        <w:spacing w:after="120"/>
        <w:rPr>
          <w:rFonts w:eastAsia="Times New Roman"/>
          <w:sz w:val="22"/>
          <w:lang w:val="bg-BG"/>
        </w:rPr>
      </w:pPr>
      <w:r w:rsidRPr="00A3491F">
        <w:rPr>
          <w:rFonts w:eastAsia="Times New Roman"/>
          <w:sz w:val="22"/>
          <w:lang w:val="bg-BG"/>
        </w:rPr>
        <w:t xml:space="preserve">При използване на този вариант не се приема нов Закон за виното и спиртните напитки, нито се изменя или допълва действащия закон. Освен това не се приемат и предвидените изменения в подзаконовите нормативни актове. </w:t>
      </w:r>
    </w:p>
    <w:p w:rsidR="00DD001A" w:rsidRPr="00A3491F" w:rsidRDefault="00DD001A" w:rsidP="006B3BB7">
      <w:pPr>
        <w:spacing w:after="120"/>
        <w:rPr>
          <w:rFonts w:eastAsia="Times New Roman"/>
          <w:sz w:val="22"/>
          <w:lang w:val="bg-BG"/>
        </w:rPr>
      </w:pPr>
      <w:r w:rsidRPr="00A3491F">
        <w:rPr>
          <w:rFonts w:eastAsia="Times New Roman"/>
          <w:sz w:val="22"/>
          <w:lang w:val="bg-BG"/>
        </w:rPr>
        <w:t xml:space="preserve">По този начин националното ни законодателство ще бъде в противоречие с поетите от българската държава ангажименти, произтичащи от актовете на правото на Европейския съюз. Като резултат се очаква сезиране на Съда на Европейския съюз от страна на Европейската </w:t>
      </w:r>
      <w:r w:rsidR="00F979AD" w:rsidRPr="00A3491F">
        <w:rPr>
          <w:rFonts w:eastAsia="Times New Roman"/>
          <w:sz w:val="22"/>
          <w:lang w:val="bg-BG"/>
        </w:rPr>
        <w:t>к</w:t>
      </w:r>
      <w:r w:rsidRPr="00A3491F">
        <w:rPr>
          <w:rFonts w:eastAsia="Times New Roman"/>
          <w:sz w:val="22"/>
          <w:lang w:val="bg-BG"/>
        </w:rPr>
        <w:t xml:space="preserve">омисия и започване на процедура срещу Република България за установяване на нарушение на правото на Европейския съюз. </w:t>
      </w:r>
    </w:p>
    <w:p w:rsidR="00DD001A" w:rsidRPr="00A3491F" w:rsidRDefault="00DD001A" w:rsidP="006B3BB7">
      <w:pPr>
        <w:spacing w:after="120"/>
        <w:rPr>
          <w:rFonts w:eastAsia="Times New Roman"/>
          <w:sz w:val="22"/>
          <w:lang w:val="bg-BG"/>
        </w:rPr>
      </w:pPr>
      <w:r w:rsidRPr="00A3491F">
        <w:rPr>
          <w:rFonts w:eastAsia="Times New Roman"/>
          <w:sz w:val="22"/>
          <w:lang w:val="bg-BG"/>
        </w:rPr>
        <w:t>На следващо място, липсата на промяна в съществуващото положение ще доведе и до неприлагане на правилата на ЗВСН (2012г.), които противоречат на общностното законодателство. Пред националните съдилища заинтересованите страни ще могат да се позоват директно на противоречията и вместо националните правила, сезираните юрисдикции ще бъдат длъжни да приложат европейските норми.</w:t>
      </w:r>
    </w:p>
    <w:p w:rsidR="00DD001A" w:rsidRPr="00A3491F" w:rsidRDefault="00DD001A" w:rsidP="006B3BB7">
      <w:pPr>
        <w:spacing w:after="120"/>
        <w:rPr>
          <w:rFonts w:eastAsia="Times New Roman"/>
          <w:sz w:val="22"/>
          <w:lang w:val="bg-BG"/>
        </w:rPr>
      </w:pPr>
      <w:r w:rsidRPr="00A3491F">
        <w:rPr>
          <w:rFonts w:eastAsia="Times New Roman"/>
          <w:sz w:val="22"/>
          <w:lang w:val="bg-BG"/>
        </w:rPr>
        <w:t>Без приемането на изменения</w:t>
      </w:r>
      <w:r w:rsidR="00AD02D6" w:rsidRPr="00A3491F">
        <w:rPr>
          <w:rFonts w:eastAsia="Times New Roman"/>
          <w:sz w:val="22"/>
          <w:lang w:val="bg-BG"/>
        </w:rPr>
        <w:t xml:space="preserve"> в ЗВСН, няма да бъде създадено нормативно основание за изменение и</w:t>
      </w:r>
      <w:r w:rsidRPr="00A3491F">
        <w:rPr>
          <w:rFonts w:eastAsia="Times New Roman"/>
          <w:sz w:val="22"/>
          <w:lang w:val="bg-BG"/>
        </w:rPr>
        <w:t xml:space="preserve"> в подзаконовите нормативни актове на </w:t>
      </w:r>
      <w:r w:rsidR="00AD02D6" w:rsidRPr="00A3491F">
        <w:rPr>
          <w:rFonts w:eastAsia="Times New Roman"/>
          <w:sz w:val="22"/>
          <w:lang w:val="bg-BG"/>
        </w:rPr>
        <w:t>Министерство на икономиката относно</w:t>
      </w:r>
      <w:r w:rsidRPr="00A3491F">
        <w:rPr>
          <w:rFonts w:eastAsia="Times New Roman"/>
          <w:sz w:val="22"/>
          <w:lang w:val="bg-BG"/>
        </w:rPr>
        <w:t xml:space="preserve"> условия</w:t>
      </w:r>
      <w:r w:rsidR="00E125E7" w:rsidRPr="00A3491F">
        <w:rPr>
          <w:rFonts w:eastAsia="Times New Roman"/>
          <w:sz w:val="22"/>
          <w:lang w:val="bg-BG"/>
        </w:rPr>
        <w:t>та</w:t>
      </w:r>
      <w:r w:rsidRPr="00A3491F">
        <w:rPr>
          <w:rFonts w:eastAsia="Times New Roman"/>
          <w:sz w:val="22"/>
          <w:lang w:val="bg-BG"/>
        </w:rPr>
        <w:t xml:space="preserve"> и ред</w:t>
      </w:r>
      <w:r w:rsidR="00E125E7" w:rsidRPr="00A3491F">
        <w:rPr>
          <w:rFonts w:eastAsia="Times New Roman"/>
          <w:sz w:val="22"/>
          <w:lang w:val="bg-BG"/>
        </w:rPr>
        <w:t>а</w:t>
      </w:r>
      <w:r w:rsidRPr="00A3491F">
        <w:rPr>
          <w:rFonts w:eastAsia="Times New Roman"/>
          <w:sz w:val="22"/>
          <w:lang w:val="bg-BG"/>
        </w:rPr>
        <w:t xml:space="preserve"> за </w:t>
      </w:r>
      <w:r w:rsidR="00AD02D6" w:rsidRPr="00A3491F">
        <w:rPr>
          <w:rFonts w:eastAsia="Times New Roman"/>
          <w:sz w:val="22"/>
          <w:lang w:val="bg-BG"/>
        </w:rPr>
        <w:t>водене и съхраняване на</w:t>
      </w:r>
      <w:r w:rsidR="00734653" w:rsidRPr="00A3491F">
        <w:rPr>
          <w:rFonts w:eastAsia="Times New Roman"/>
          <w:sz w:val="22"/>
          <w:lang w:val="bg-BG"/>
        </w:rPr>
        <w:t xml:space="preserve"> </w:t>
      </w:r>
      <w:r w:rsidR="00AD02D6" w:rsidRPr="00A3491F">
        <w:rPr>
          <w:rFonts w:eastAsia="Times New Roman"/>
          <w:sz w:val="22"/>
          <w:lang w:val="bg-BG"/>
        </w:rPr>
        <w:t xml:space="preserve">регистрите </w:t>
      </w:r>
      <w:r w:rsidRPr="00A3491F">
        <w:rPr>
          <w:rFonts w:eastAsia="Times New Roman"/>
          <w:sz w:val="22"/>
          <w:lang w:val="bg-BG"/>
        </w:rPr>
        <w:t xml:space="preserve">на лицата, които извършват дейности с дестилационни съоръжения за производство на етилов алкохол, дестилати и спиртни напитки. Това ще </w:t>
      </w:r>
      <w:r w:rsidR="00E125E7" w:rsidRPr="00A3491F">
        <w:rPr>
          <w:rFonts w:eastAsia="Times New Roman"/>
          <w:sz w:val="22"/>
          <w:lang w:val="bg-BG"/>
        </w:rPr>
        <w:t>възпрепятства осъществяване на ефективен контрол за съответствие със законовите изисквания върху</w:t>
      </w:r>
      <w:r w:rsidRPr="00A3491F">
        <w:rPr>
          <w:rFonts w:eastAsia="Times New Roman"/>
          <w:sz w:val="22"/>
          <w:lang w:val="bg-BG"/>
        </w:rPr>
        <w:t xml:space="preserve"> производство на напитки.</w:t>
      </w:r>
      <w:r w:rsidR="00AD02D6" w:rsidRPr="00A3491F">
        <w:rPr>
          <w:rFonts w:eastAsia="Times New Roman"/>
          <w:sz w:val="22"/>
          <w:lang w:val="bg-BG"/>
        </w:rPr>
        <w:t>Л</w:t>
      </w:r>
      <w:r w:rsidR="00C9380E" w:rsidRPr="00A3491F">
        <w:rPr>
          <w:rFonts w:eastAsia="Times New Roman"/>
          <w:sz w:val="22"/>
          <w:lang w:val="bg-BG"/>
        </w:rPr>
        <w:t xml:space="preserve">ипсата </w:t>
      </w:r>
      <w:r w:rsidRPr="00A3491F">
        <w:rPr>
          <w:rFonts w:eastAsia="Times New Roman"/>
          <w:sz w:val="22"/>
          <w:lang w:val="bg-BG"/>
        </w:rPr>
        <w:t xml:space="preserve">на такава уредба се очаква да възпрепятства контрола върху производството, да стимулира разрастването на сивия сектор и производството на фалшива продукция. </w:t>
      </w:r>
      <w:r w:rsidR="00B568F2" w:rsidRPr="00A3491F">
        <w:rPr>
          <w:rFonts w:eastAsia="Times New Roman"/>
          <w:sz w:val="22"/>
          <w:lang w:val="bg-BG"/>
        </w:rPr>
        <w:t xml:space="preserve">Ще продължи нерегламентираното производство на етилов алкохол, дестилати и спиртни напитки в обекти, които не отговарят на изискванията на ЗВСН и ЗАДС. Това ще доведе до по-ниска </w:t>
      </w:r>
      <w:proofErr w:type="spellStart"/>
      <w:r w:rsidR="00B568F2" w:rsidRPr="00A3491F">
        <w:rPr>
          <w:rFonts w:eastAsia="Times New Roman"/>
          <w:sz w:val="22"/>
          <w:lang w:val="bg-BG"/>
        </w:rPr>
        <w:t>събираемост</w:t>
      </w:r>
      <w:proofErr w:type="spellEnd"/>
      <w:r w:rsidR="00B568F2" w:rsidRPr="00A3491F">
        <w:rPr>
          <w:rFonts w:eastAsia="Times New Roman"/>
          <w:sz w:val="22"/>
          <w:lang w:val="bg-BG"/>
        </w:rPr>
        <w:t xml:space="preserve"> на акциз и ощетяване на държавния бюджет</w:t>
      </w:r>
      <w:r w:rsidR="00AD02D6" w:rsidRPr="00A3491F">
        <w:rPr>
          <w:rFonts w:eastAsia="Times New Roman"/>
          <w:sz w:val="22"/>
          <w:lang w:val="bg-BG"/>
        </w:rPr>
        <w:t>.</w:t>
      </w:r>
      <w:r w:rsidRPr="00A3491F">
        <w:rPr>
          <w:rFonts w:eastAsia="Times New Roman"/>
          <w:sz w:val="22"/>
          <w:lang w:val="bg-BG"/>
        </w:rPr>
        <w:t>Подобни резултати ще окажат негативно въздействие както върху конкурентната среда в сектора, така и могат сериозно да увр</w:t>
      </w:r>
      <w:r w:rsidR="00B96CCE" w:rsidRPr="00A3491F">
        <w:rPr>
          <w:rFonts w:eastAsia="Times New Roman"/>
          <w:sz w:val="22"/>
          <w:lang w:val="bg-BG"/>
        </w:rPr>
        <w:t>едят здравето на потребителите.</w:t>
      </w:r>
    </w:p>
    <w:p w:rsidR="00AD02D6" w:rsidRPr="00A3491F" w:rsidRDefault="00AD02D6" w:rsidP="006B3BB7">
      <w:pPr>
        <w:spacing w:after="120"/>
        <w:rPr>
          <w:rFonts w:eastAsia="Times New Roman"/>
          <w:sz w:val="22"/>
          <w:lang w:val="bg-BG"/>
        </w:rPr>
      </w:pPr>
      <w:r w:rsidRPr="00A3491F">
        <w:rPr>
          <w:rFonts w:eastAsia="Times New Roman"/>
          <w:sz w:val="22"/>
          <w:lang w:val="bg-BG"/>
        </w:rPr>
        <w:t>Освен това, няма да се създаде законова основа за събиране на такси за извършваните административни услуги от ИАЛВ. Поради противоречието на ЗВСН и Правилника за прилагането му с правилата за нотифициране на националните актове по прилагане на актовете на Европейския съюз, към момента ИАЛВ е в невъзможност да събира такси за услугите. Това нала</w:t>
      </w:r>
      <w:r w:rsidR="00E125E7" w:rsidRPr="00A3491F">
        <w:rPr>
          <w:rFonts w:eastAsia="Times New Roman"/>
          <w:sz w:val="22"/>
          <w:lang w:val="bg-BG"/>
        </w:rPr>
        <w:t>га допълнително бюджетно субсидиране на тези дейн</w:t>
      </w:r>
      <w:r w:rsidRPr="00A3491F">
        <w:rPr>
          <w:rFonts w:eastAsia="Times New Roman"/>
          <w:sz w:val="22"/>
          <w:lang w:val="bg-BG"/>
        </w:rPr>
        <w:t>о</w:t>
      </w:r>
      <w:r w:rsidR="00E125E7" w:rsidRPr="00A3491F">
        <w:rPr>
          <w:rFonts w:eastAsia="Times New Roman"/>
          <w:sz w:val="22"/>
          <w:lang w:val="bg-BG"/>
        </w:rPr>
        <w:t>с</w:t>
      </w:r>
      <w:r w:rsidRPr="00A3491F">
        <w:rPr>
          <w:rFonts w:eastAsia="Times New Roman"/>
          <w:sz w:val="22"/>
          <w:lang w:val="bg-BG"/>
        </w:rPr>
        <w:t xml:space="preserve">ти, което води до съществени разходи за държавния бюджет. Подробни данни и </w:t>
      </w:r>
      <w:r w:rsidRPr="00A3491F">
        <w:rPr>
          <w:rFonts w:eastAsia="Times New Roman"/>
          <w:sz w:val="22"/>
          <w:lang w:val="bg-BG"/>
        </w:rPr>
        <w:lastRenderedPageBreak/>
        <w:t xml:space="preserve">изчисления относно тези негативни тенденции са обобщени и детайлно посочени в Приложение № 4 Финансова обосновка на Проект на нов Закон за виното и спиртните напитки, която е неразделна част от настоящия доклад. </w:t>
      </w:r>
    </w:p>
    <w:p w:rsidR="009C25BF" w:rsidRPr="00A3491F" w:rsidRDefault="009C25BF" w:rsidP="006B3BB7">
      <w:pPr>
        <w:pStyle w:val="Heading2"/>
        <w:spacing w:before="240" w:after="120"/>
        <w:rPr>
          <w:rFonts w:eastAsia="Times New Roman" w:cs="Times New Roman"/>
          <w:sz w:val="22"/>
          <w:szCs w:val="22"/>
          <w:lang w:val="bg-BG"/>
        </w:rPr>
      </w:pPr>
      <w:bookmarkStart w:id="27" w:name="_Toc496709957"/>
      <w:r w:rsidRPr="00A3491F">
        <w:rPr>
          <w:rFonts w:eastAsia="Times New Roman" w:cs="Times New Roman"/>
          <w:sz w:val="22"/>
          <w:szCs w:val="22"/>
          <w:lang w:val="bg-BG"/>
        </w:rPr>
        <w:t>VI.2.</w:t>
      </w:r>
      <w:r w:rsidR="00DD001A" w:rsidRPr="00A3491F">
        <w:rPr>
          <w:rFonts w:eastAsia="Times New Roman" w:cs="Times New Roman"/>
          <w:sz w:val="22"/>
          <w:szCs w:val="22"/>
          <w:lang w:val="bg-BG"/>
        </w:rPr>
        <w:t xml:space="preserve"> Вариант 2: Изменение и допълнение на съществуващия Закон за виното и спиртните напитки</w:t>
      </w:r>
      <w:bookmarkEnd w:id="27"/>
    </w:p>
    <w:p w:rsidR="00DD001A" w:rsidRPr="00A3491F" w:rsidRDefault="00DD001A" w:rsidP="006B3BB7">
      <w:pPr>
        <w:spacing w:after="120"/>
        <w:rPr>
          <w:sz w:val="22"/>
          <w:lang w:val="bg-BG"/>
        </w:rPr>
      </w:pPr>
      <w:r w:rsidRPr="00A3491F">
        <w:rPr>
          <w:sz w:val="22"/>
          <w:lang w:val="bg-BG"/>
        </w:rPr>
        <w:t xml:space="preserve">При този вариант разпоредбите, противоречащи на правото на Европейския съюз, ще бъдат изменени по начин, който препраща към съответните регламенти, приложими в сектора, без да пресъздават техните правила. Това ще доведе до изпълнение на част от ангажиментите, поети към Европейската комисия по привеждане на законодателството ни в съответствие с общностните актове. В тази връзка ще бъде избегната опасността от неприлагане на националните правила, предвидени в ЗВСН, поради противоречието им с европейските. </w:t>
      </w:r>
    </w:p>
    <w:p w:rsidR="00DD001A" w:rsidRPr="00A3491F" w:rsidRDefault="00DD001A" w:rsidP="006B3BB7">
      <w:pPr>
        <w:spacing w:after="120"/>
        <w:rPr>
          <w:sz w:val="22"/>
          <w:lang w:val="bg-BG"/>
        </w:rPr>
      </w:pPr>
      <w:r w:rsidRPr="00A3491F">
        <w:rPr>
          <w:sz w:val="22"/>
          <w:lang w:val="bg-BG"/>
        </w:rPr>
        <w:t xml:space="preserve">Реализирането на изменения и допълнения на действащия Закон за виното и спиртните напитки се очаква да разреши значителна част от специфичните национални проблеми, възникващи при прилагането на закона в настоящия му вариант. Ще се създаде нормативна основа за издаването на подзаконови нормативни актове, които да допълнят и конкретизират материята. </w:t>
      </w:r>
    </w:p>
    <w:p w:rsidR="00DD001A" w:rsidRPr="00A3491F" w:rsidRDefault="00DD001A" w:rsidP="006B3BB7">
      <w:pPr>
        <w:spacing w:after="120"/>
        <w:rPr>
          <w:sz w:val="22"/>
          <w:lang w:val="bg-BG"/>
        </w:rPr>
      </w:pPr>
      <w:r w:rsidRPr="00A3491F">
        <w:rPr>
          <w:sz w:val="22"/>
          <w:lang w:val="bg-BG"/>
        </w:rPr>
        <w:t>Текстовете във връзка с контрола върху производството и търговията ще допринесат за качеството на лозаро-винарските продукти и спиртните напитки. Същевременно новите правила ще осигурят средствата за подобряване на  конкурентната среда в сектора и за създаване на условия за възвръщане и разширяване на пазарите на българската продукция.</w:t>
      </w:r>
    </w:p>
    <w:p w:rsidR="00DD001A" w:rsidRPr="00A3491F" w:rsidRDefault="00DD001A" w:rsidP="006B3BB7">
      <w:pPr>
        <w:spacing w:after="120"/>
        <w:rPr>
          <w:sz w:val="22"/>
          <w:lang w:val="bg-BG"/>
        </w:rPr>
      </w:pPr>
      <w:r w:rsidRPr="00A3491F">
        <w:rPr>
          <w:sz w:val="22"/>
          <w:lang w:val="bg-BG"/>
        </w:rPr>
        <w:t xml:space="preserve">Въпреки това, основният проблем не би могло да бъде разрешен чрез реализацията на този вариант. Нотификационната процедура пред Европейската комисия не може да бъде спазена чрез приемането на закон за изменение и допълнение на ЗВСН. Необходимо е съответните разпоредби, съдържащи технически регламенти по смисъла на </w:t>
      </w:r>
      <w:r w:rsidRPr="00A3491F">
        <w:rPr>
          <w:bCs/>
          <w:sz w:val="22"/>
          <w:lang w:val="bg-BG"/>
        </w:rPr>
        <w:t>Директива 2015/1535</w:t>
      </w:r>
      <w:r w:rsidRPr="00A3491F">
        <w:rPr>
          <w:sz w:val="22"/>
          <w:lang w:val="bg-BG"/>
        </w:rPr>
        <w:t>, да бъдат съобщени на Европейската комисия преди приемането на закона от Народното събрание.</w:t>
      </w:r>
    </w:p>
    <w:p w:rsidR="00DD001A" w:rsidRPr="00A3491F" w:rsidRDefault="00DD001A" w:rsidP="006B3BB7">
      <w:pPr>
        <w:spacing w:after="120"/>
        <w:rPr>
          <w:sz w:val="22"/>
          <w:lang w:val="bg-BG"/>
        </w:rPr>
      </w:pPr>
      <w:r w:rsidRPr="00A3491F">
        <w:rPr>
          <w:sz w:val="22"/>
          <w:lang w:val="bg-BG"/>
        </w:rPr>
        <w:t xml:space="preserve">Допълнително, за постигане на целите, поставени пред закона, ще се наложат значителен брой изменения и допълнения. Този вариант на действие не позволява приемане на съществени промени, особено в структурно отношение. При изменението и допълването на сегашните текстове ще се стигне до съществено изменение в номерацията на текстовете. Това би оказало негативно въздействие при тълкуването и прилагането на новите разпоредби и би могло да открие възможност за противоречия, неясноти и непълноти в националното законодателство в областта на виното и спиртните напитки. </w:t>
      </w:r>
    </w:p>
    <w:p w:rsidR="00DD001A" w:rsidRPr="00A3491F" w:rsidRDefault="00AD02D6" w:rsidP="006B3BB7">
      <w:pPr>
        <w:spacing w:after="120"/>
        <w:rPr>
          <w:rFonts w:eastAsia="Times New Roman"/>
          <w:iCs/>
          <w:sz w:val="22"/>
          <w:lang w:val="bg-BG"/>
        </w:rPr>
      </w:pPr>
      <w:r w:rsidRPr="00A3491F">
        <w:rPr>
          <w:rFonts w:eastAsia="Times New Roman"/>
          <w:iCs/>
          <w:sz w:val="22"/>
          <w:lang w:val="bg-BG"/>
        </w:rPr>
        <w:t xml:space="preserve">Приемането на проекта няма да доведе до пряко и/или косвено въздействие върху  разходната част на Държавния бюджет. Ще бъде увеличена приходната част на бюджета на Изпълнителна агенция по лозата и виното, респективно на Държавния бюджет. </w:t>
      </w:r>
      <w:r w:rsidR="00B568F2" w:rsidRPr="00A3491F">
        <w:rPr>
          <w:rFonts w:eastAsia="Times New Roman"/>
          <w:iCs/>
          <w:sz w:val="22"/>
          <w:lang w:val="bg-BG"/>
        </w:rPr>
        <w:t>При този вариант допълнителните приходи в бюджета на ИАЛВ се очаква да бъдат около 24 хил.</w:t>
      </w:r>
      <w:r w:rsidRPr="00A3491F">
        <w:rPr>
          <w:rFonts w:eastAsia="Times New Roman"/>
          <w:iCs/>
          <w:sz w:val="22"/>
          <w:lang w:val="bg-BG"/>
        </w:rPr>
        <w:t xml:space="preserve"> </w:t>
      </w:r>
      <w:r w:rsidR="00B568F2" w:rsidRPr="00A3491F">
        <w:rPr>
          <w:rFonts w:eastAsia="Times New Roman"/>
          <w:iCs/>
          <w:sz w:val="22"/>
          <w:lang w:val="bg-BG"/>
        </w:rPr>
        <w:t>лв.</w:t>
      </w:r>
      <w:r w:rsidR="00F02C60" w:rsidRPr="00A3491F">
        <w:rPr>
          <w:color w:val="000000" w:themeColor="text1"/>
          <w:sz w:val="22"/>
          <w:lang w:val="bg-BG"/>
        </w:rPr>
        <w:t xml:space="preserve"> Подробната информация за направените калкулации и основни изводи е представена в Приложение №4 – Финансова обосновка.</w:t>
      </w:r>
    </w:p>
    <w:p w:rsidR="009C25BF" w:rsidRPr="00A3491F" w:rsidRDefault="009C25BF" w:rsidP="006B3BB7">
      <w:pPr>
        <w:pStyle w:val="Heading2"/>
        <w:spacing w:before="240" w:after="120"/>
        <w:rPr>
          <w:rFonts w:eastAsia="Times New Roman" w:cs="Times New Roman"/>
          <w:sz w:val="22"/>
          <w:szCs w:val="22"/>
          <w:lang w:val="bg-BG"/>
        </w:rPr>
      </w:pPr>
      <w:bookmarkStart w:id="28" w:name="_Toc496709958"/>
      <w:r w:rsidRPr="00A3491F">
        <w:rPr>
          <w:rFonts w:eastAsia="Times New Roman" w:cs="Times New Roman"/>
          <w:sz w:val="22"/>
          <w:szCs w:val="22"/>
          <w:lang w:val="bg-BG"/>
        </w:rPr>
        <w:t>VI.3.</w:t>
      </w:r>
      <w:r w:rsidR="00DD001A" w:rsidRPr="00A3491F">
        <w:rPr>
          <w:rFonts w:eastAsia="Times New Roman" w:cs="Times New Roman"/>
          <w:sz w:val="22"/>
          <w:szCs w:val="22"/>
          <w:lang w:val="bg-BG"/>
        </w:rPr>
        <w:t xml:space="preserve"> Вариант 3: Приемане на нов Закон за виното и спиртните напитки</w:t>
      </w:r>
      <w:bookmarkEnd w:id="28"/>
    </w:p>
    <w:p w:rsidR="00DD001A" w:rsidRPr="00A3491F" w:rsidRDefault="00DD001A" w:rsidP="006B3BB7">
      <w:pPr>
        <w:spacing w:after="120"/>
        <w:rPr>
          <w:sz w:val="22"/>
          <w:lang w:val="bg-BG"/>
        </w:rPr>
      </w:pPr>
      <w:r w:rsidRPr="00A3491F">
        <w:rPr>
          <w:sz w:val="22"/>
          <w:lang w:val="bg-BG"/>
        </w:rPr>
        <w:t xml:space="preserve">При този вариант българската държава ще може да спази всички специфични изисквания на нотификационната процедура по </w:t>
      </w:r>
      <w:r w:rsidRPr="00A3491F">
        <w:rPr>
          <w:bCs/>
          <w:sz w:val="22"/>
          <w:lang w:val="bg-BG"/>
        </w:rPr>
        <w:t>Директива 2015/1535</w:t>
      </w:r>
      <w:r w:rsidRPr="00A3491F">
        <w:rPr>
          <w:sz w:val="22"/>
          <w:lang w:val="bg-BG"/>
        </w:rPr>
        <w:t xml:space="preserve">. Текстовете от закона, въвеждащи технически регламенти, ще бъдат предварително съгласувани със службите на Европейската комисия с цел определяне на обхвата на нотификацията. Така определените текстове ще бъдат съобщени на Европейската комисия преди приемането на закона от Народното събрание. На следващо място, разпоредбите, противоречащи на правото на Европейския съюз, ще бъдат заменени с нови, които препращат към съответните регламенти, приложими в сектора, без да пресъздават техните правила. </w:t>
      </w:r>
      <w:r w:rsidRPr="00A3491F">
        <w:rPr>
          <w:sz w:val="22"/>
          <w:lang w:val="bg-BG"/>
        </w:rPr>
        <w:lastRenderedPageBreak/>
        <w:t>Това ще доведе до пълно изпълнение на ангажиментите, поети към Европейската комисия по привеждане на законодателството ни в съответствие с приложимите регламенти и директиви и ще се избегне опасността от осъждане на българската държава за неспазване на европейското законодателство.</w:t>
      </w:r>
    </w:p>
    <w:p w:rsidR="00DD001A" w:rsidRPr="00A3491F" w:rsidRDefault="00DD001A" w:rsidP="006B3BB7">
      <w:pPr>
        <w:spacing w:after="120"/>
        <w:rPr>
          <w:sz w:val="22"/>
          <w:lang w:val="bg-BG"/>
        </w:rPr>
      </w:pPr>
      <w:r w:rsidRPr="00A3491F">
        <w:rPr>
          <w:sz w:val="22"/>
          <w:lang w:val="bg-BG"/>
        </w:rPr>
        <w:t>С приемането на нов закон ще се разрешат и специфичните национални проблеми, възникващи при прилагането на закона в действащата му редакция. Ще се създаде нормативна основа за издаването на подзаконови нормативни актове, които да допълнят и конкретизират материята. Текстовете във връзка с контрола върху производството и търговията ще допринесат за качеството на лозаро-винарските продукти и спиртните напитки. Същевременно новите правила ще осигурят средствата за подобряване на  конкурентната среда в сектора и за създаване на условия за възвръщане и разширяване на пазарите на българската продукция.</w:t>
      </w:r>
    </w:p>
    <w:p w:rsidR="00DD001A" w:rsidRPr="00A3491F" w:rsidRDefault="00DD001A" w:rsidP="006B3BB7">
      <w:pPr>
        <w:spacing w:after="120"/>
        <w:rPr>
          <w:color w:val="FF0000"/>
          <w:sz w:val="22"/>
          <w:lang w:val="bg-BG"/>
        </w:rPr>
      </w:pPr>
      <w:r w:rsidRPr="00A3491F">
        <w:rPr>
          <w:sz w:val="22"/>
          <w:lang w:val="bg-BG"/>
        </w:rPr>
        <w:t xml:space="preserve">Сред основните промени, които ще бъдат приети с новия Закон за виното и спиртните напитки е включването на производството на плодови вина и оцет в предметния обхват на закона. </w:t>
      </w:r>
      <w:r w:rsidR="00531737" w:rsidRPr="00A3491F">
        <w:rPr>
          <w:sz w:val="22"/>
          <w:lang w:val="bg-BG"/>
        </w:rPr>
        <w:t>Поради качеството на ферментиралия оцет на вторичен продукт от производството на вино, производителите на тази категория продукти вече са обхванати от действието на закона и не се очаква включването на оцета в обхвата на закона да доведе до допълнителни разходи и повишаване на административната тежест по отношение на производителите. Що се отнася до плодовите вина, по действието на сегашния закон, те имат еднакъв правен статут с този на гроздовите вина и са задължени да се регистрират като винопроизводители, за да могат да осъществяват на законово основание тази дейност. Ето защо това няма да доведе до създаването на нови режими и воденето на нови регистри, както и до промяна на административната тежест по отношение на производителите на плодови вина.</w:t>
      </w:r>
    </w:p>
    <w:p w:rsidR="00DD001A" w:rsidRPr="00A3491F" w:rsidRDefault="00DD001A" w:rsidP="006B3BB7">
      <w:pPr>
        <w:spacing w:after="120"/>
        <w:rPr>
          <w:rFonts w:eastAsia="Times New Roman"/>
          <w:iCs/>
          <w:sz w:val="22"/>
          <w:lang w:val="bg-BG"/>
        </w:rPr>
      </w:pPr>
      <w:r w:rsidRPr="00A3491F">
        <w:rPr>
          <w:rFonts w:eastAsia="Times New Roman"/>
          <w:sz w:val="22"/>
          <w:lang w:val="bg-BG"/>
        </w:rPr>
        <w:t xml:space="preserve">С приемането на нов закон ще </w:t>
      </w:r>
      <w:r w:rsidR="001D2E97" w:rsidRPr="00A3491F">
        <w:rPr>
          <w:rFonts w:eastAsia="Times New Roman"/>
          <w:sz w:val="22"/>
          <w:lang w:val="bg-BG"/>
        </w:rPr>
        <w:t>се създаде ново основание за водене на действащия</w:t>
      </w:r>
      <w:r w:rsidRPr="00A3491F">
        <w:rPr>
          <w:rFonts w:eastAsia="Times New Roman"/>
          <w:sz w:val="22"/>
          <w:lang w:val="bg-BG"/>
        </w:rPr>
        <w:t xml:space="preserve"> лозарски регистър, както и регистър</w:t>
      </w:r>
      <w:r w:rsidR="001D2E97" w:rsidRPr="00A3491F">
        <w:rPr>
          <w:rFonts w:eastAsia="Times New Roman"/>
          <w:sz w:val="22"/>
          <w:lang w:val="bg-BG"/>
        </w:rPr>
        <w:t>а</w:t>
      </w:r>
      <w:r w:rsidRPr="00A3491F">
        <w:rPr>
          <w:rFonts w:eastAsia="Times New Roman"/>
          <w:sz w:val="22"/>
          <w:lang w:val="bg-BG"/>
        </w:rPr>
        <w:t xml:space="preserve"> на лицата, които извършват дейности с дестилационни съоръжения за производство на етилов алкохол, дестилати и спиртни напитки. Предвидените в тази връзка правила практически запазват досега действащия режим на регистрация </w:t>
      </w:r>
      <w:r w:rsidR="00531737" w:rsidRPr="00A3491F">
        <w:rPr>
          <w:rFonts w:eastAsia="Times New Roman"/>
          <w:sz w:val="22"/>
          <w:lang w:val="bg-BG"/>
        </w:rPr>
        <w:t>на производителите</w:t>
      </w:r>
      <w:r w:rsidRPr="00A3491F">
        <w:rPr>
          <w:rFonts w:eastAsia="Times New Roman"/>
          <w:sz w:val="22"/>
          <w:lang w:val="bg-BG"/>
        </w:rPr>
        <w:t xml:space="preserve">. Имайки предвид, че 99% от вино и гроздопроизводителите, както и производителите на спиртни напитки са малки или средни предприятия, новите изисквания в Закона за виното и спиртните напитки, както и </w:t>
      </w:r>
      <w:r w:rsidR="00531737" w:rsidRPr="00A3491F">
        <w:rPr>
          <w:rFonts w:eastAsia="Times New Roman"/>
          <w:sz w:val="22"/>
          <w:lang w:val="bg-BG"/>
        </w:rPr>
        <w:t xml:space="preserve">предвижданото изменение в </w:t>
      </w:r>
      <w:r w:rsidRPr="00A3491F">
        <w:rPr>
          <w:rFonts w:eastAsia="Times New Roman"/>
          <w:sz w:val="22"/>
          <w:lang w:val="bg-BG"/>
        </w:rPr>
        <w:t xml:space="preserve">таксите за административно обслужване, са изцяло  съобразени с  нуждите и възможностите </w:t>
      </w:r>
      <w:r w:rsidR="00531737" w:rsidRPr="00A3491F">
        <w:rPr>
          <w:rFonts w:eastAsia="Times New Roman"/>
          <w:sz w:val="22"/>
          <w:lang w:val="bg-BG"/>
        </w:rPr>
        <w:t>им</w:t>
      </w:r>
      <w:r w:rsidRPr="00A3491F">
        <w:rPr>
          <w:rFonts w:eastAsia="Times New Roman"/>
          <w:sz w:val="22"/>
          <w:lang w:val="bg-BG"/>
        </w:rPr>
        <w:t>. Предвижданите такси за регистрация и промяна на обстоятелствата, вписани в съответните регистри, са еднократни и съобразени по размер с разходите за предоставяне на съответната услуга, както и възможностите на предприятията</w:t>
      </w:r>
      <w:r w:rsidR="00531737" w:rsidRPr="00A3491F">
        <w:rPr>
          <w:rFonts w:eastAsia="Times New Roman"/>
          <w:sz w:val="22"/>
          <w:lang w:val="bg-BG"/>
        </w:rPr>
        <w:t xml:space="preserve"> съгласно изискванията на Методиката за определяне на разходоориентиран размер на таксите и изискванията на Европейското законодателство</w:t>
      </w:r>
      <w:r w:rsidRPr="00A3491F">
        <w:rPr>
          <w:rFonts w:eastAsia="Times New Roman"/>
          <w:sz w:val="22"/>
          <w:lang w:val="bg-BG"/>
        </w:rPr>
        <w:t xml:space="preserve">. Съответно не се очаква въвеждането на тези </w:t>
      </w:r>
      <w:r w:rsidR="00531737" w:rsidRPr="00A3491F">
        <w:rPr>
          <w:rFonts w:eastAsia="Times New Roman"/>
          <w:sz w:val="22"/>
          <w:lang w:val="bg-BG"/>
        </w:rPr>
        <w:t>такси</w:t>
      </w:r>
      <w:r w:rsidRPr="00A3491F">
        <w:rPr>
          <w:rFonts w:eastAsia="Times New Roman"/>
          <w:sz w:val="22"/>
          <w:lang w:val="bg-BG"/>
        </w:rPr>
        <w:t xml:space="preserve"> да представлява финансова тежест за заинтересованите страни. Предвижда се и служители на Изпълнителна агенция по лозата и виното да проверяват на място производителите, с цел осигуряване на по-добър контрол по спазване на правилата на закона. По отношение регистрацията на лицата, които извършват дейности с дестилационни съоръжения за производство на етилов алкохол, дестилати и спиртни напитки, не се предвижда да се въвеждат такси за регистрация. Приемането на новите правила в Закона за виното и спиртните напитки ще доведе до ограничаване на производство на етилов алкохол, дестилати и спиртни напитки в обекти, които не изпълняват изискванията на ЗВСН и ЗАДС и създаване на възможност за по-добра </w:t>
      </w:r>
      <w:proofErr w:type="spellStart"/>
      <w:r w:rsidRPr="00A3491F">
        <w:rPr>
          <w:rFonts w:eastAsia="Times New Roman"/>
          <w:sz w:val="22"/>
          <w:lang w:val="bg-BG"/>
        </w:rPr>
        <w:t>проследяемост</w:t>
      </w:r>
      <w:proofErr w:type="spellEnd"/>
      <w:r w:rsidRPr="00A3491F">
        <w:rPr>
          <w:rFonts w:eastAsia="Times New Roman"/>
          <w:sz w:val="22"/>
          <w:lang w:val="bg-BG"/>
        </w:rPr>
        <w:t xml:space="preserve"> на тези обекти. За доказване на тази регистрация се предвижда издаване на</w:t>
      </w:r>
      <w:r w:rsidRPr="00A3491F">
        <w:rPr>
          <w:rFonts w:eastAsiaTheme="minorHAnsi"/>
          <w:color w:val="000000"/>
          <w:sz w:val="22"/>
          <w:lang w:val="bg-BG"/>
        </w:rPr>
        <w:t xml:space="preserve"> удостоверение за регистрация на лицата, извършващи дейности с дестилационни съоръжения за производство на етилов алкохол, дестилати и спиртни напитки.</w:t>
      </w:r>
    </w:p>
    <w:p w:rsidR="00C100E3" w:rsidRPr="00A3491F" w:rsidRDefault="00C100E3" w:rsidP="006B3BB7">
      <w:pPr>
        <w:spacing w:after="120"/>
        <w:rPr>
          <w:color w:val="000000" w:themeColor="text1"/>
          <w:sz w:val="22"/>
          <w:lang w:val="bg-BG"/>
        </w:rPr>
      </w:pPr>
      <w:r w:rsidRPr="00A3491F">
        <w:rPr>
          <w:color w:val="000000" w:themeColor="text1"/>
          <w:sz w:val="22"/>
          <w:lang w:val="bg-BG"/>
        </w:rPr>
        <w:t xml:space="preserve">Приемането на ЗВСН и необходимите промени в Тарифа за таксите, събирани от Изпълнителна агенция по лозата и виното ще увеличи постъпленията в бюджета за 2018 година с приблизително около 43 хил. лв. Таксите са изчислени на </w:t>
      </w:r>
      <w:proofErr w:type="spellStart"/>
      <w:r w:rsidRPr="00A3491F">
        <w:rPr>
          <w:color w:val="000000" w:themeColor="text1"/>
          <w:sz w:val="22"/>
          <w:lang w:val="bg-BG"/>
        </w:rPr>
        <w:t>калкулативен</w:t>
      </w:r>
      <w:proofErr w:type="spellEnd"/>
      <w:r w:rsidRPr="00A3491F">
        <w:rPr>
          <w:color w:val="000000" w:themeColor="text1"/>
          <w:sz w:val="22"/>
          <w:lang w:val="bg-BG"/>
        </w:rPr>
        <w:t xml:space="preserve"> принцип и са свързани с конкретно обосновани разходи (без </w:t>
      </w:r>
      <w:r w:rsidRPr="00A3491F">
        <w:rPr>
          <w:color w:val="000000" w:themeColor="text1"/>
          <w:sz w:val="22"/>
          <w:lang w:val="bg-BG"/>
        </w:rPr>
        <w:lastRenderedPageBreak/>
        <w:t>печалба и други разходи) за извършване на дейностите</w:t>
      </w:r>
      <w:r w:rsidR="00E55D2E" w:rsidRPr="00A3491F">
        <w:rPr>
          <w:color w:val="000000" w:themeColor="text1"/>
          <w:sz w:val="22"/>
          <w:lang w:val="bg-BG"/>
        </w:rPr>
        <w:t xml:space="preserve"> при спазване на Методиката за определяне на разходоориентиран размер на таксите.</w:t>
      </w:r>
    </w:p>
    <w:p w:rsidR="00B568F2" w:rsidRPr="00A3491F" w:rsidRDefault="00B568F2" w:rsidP="006B3BB7">
      <w:pPr>
        <w:spacing w:after="120"/>
        <w:rPr>
          <w:color w:val="000000" w:themeColor="text1"/>
          <w:sz w:val="22"/>
          <w:lang w:val="bg-BG"/>
        </w:rPr>
      </w:pPr>
      <w:r w:rsidRPr="00A3491F">
        <w:rPr>
          <w:color w:val="000000" w:themeColor="text1"/>
          <w:sz w:val="22"/>
          <w:lang w:val="bg-BG"/>
        </w:rPr>
        <w:t>С цел по-добр</w:t>
      </w:r>
      <w:r w:rsidR="00E55D2E" w:rsidRPr="00A3491F">
        <w:rPr>
          <w:color w:val="000000" w:themeColor="text1"/>
          <w:sz w:val="22"/>
          <w:lang w:val="bg-BG"/>
        </w:rPr>
        <w:t>а</w:t>
      </w:r>
      <w:r w:rsidRPr="00A3491F">
        <w:rPr>
          <w:color w:val="000000" w:themeColor="text1"/>
          <w:sz w:val="22"/>
          <w:lang w:val="bg-BG"/>
        </w:rPr>
        <w:t xml:space="preserve"> финансова обезпеченост и на база на отговорите от т.н</w:t>
      </w:r>
      <w:r w:rsidR="00E55D2E" w:rsidRPr="00A3491F">
        <w:rPr>
          <w:color w:val="000000" w:themeColor="text1"/>
          <w:sz w:val="22"/>
          <w:lang w:val="bg-BG"/>
        </w:rPr>
        <w:t>ар</w:t>
      </w:r>
      <w:r w:rsidRPr="00A3491F">
        <w:rPr>
          <w:color w:val="000000" w:themeColor="text1"/>
          <w:sz w:val="22"/>
          <w:lang w:val="bg-BG"/>
        </w:rPr>
        <w:t>. МСП-тест, може да се приеме, че допълнителните разходи</w:t>
      </w:r>
      <w:r w:rsidR="00E55D2E" w:rsidRPr="00A3491F">
        <w:rPr>
          <w:color w:val="000000" w:themeColor="text1"/>
          <w:sz w:val="22"/>
          <w:lang w:val="bg-BG"/>
        </w:rPr>
        <w:t>,</w:t>
      </w:r>
      <w:r w:rsidRPr="00A3491F">
        <w:rPr>
          <w:color w:val="000000" w:themeColor="text1"/>
          <w:sz w:val="22"/>
          <w:lang w:val="bg-BG"/>
        </w:rPr>
        <w:t xml:space="preserve"> с които се натоварват производителите</w:t>
      </w:r>
      <w:r w:rsidR="00E55D2E" w:rsidRPr="00A3491F">
        <w:rPr>
          <w:color w:val="000000" w:themeColor="text1"/>
          <w:sz w:val="22"/>
          <w:lang w:val="bg-BG"/>
        </w:rPr>
        <w:t>,</w:t>
      </w:r>
      <w:r w:rsidRPr="00A3491F">
        <w:rPr>
          <w:color w:val="000000" w:themeColor="text1"/>
          <w:sz w:val="22"/>
          <w:lang w:val="bg-BG"/>
        </w:rPr>
        <w:t xml:space="preserve"> са приемливи за повечето МСП. При този вариант допълнителните субсидии за финансиране на разходите </w:t>
      </w:r>
      <w:r w:rsidR="00E55D2E" w:rsidRPr="00A3491F">
        <w:rPr>
          <w:color w:val="000000" w:themeColor="text1"/>
          <w:sz w:val="22"/>
          <w:lang w:val="bg-BG"/>
        </w:rPr>
        <w:t>за предоставяните административни услуги</w:t>
      </w:r>
      <w:r w:rsidRPr="00A3491F">
        <w:rPr>
          <w:color w:val="000000" w:themeColor="text1"/>
          <w:sz w:val="22"/>
          <w:lang w:val="bg-BG"/>
        </w:rPr>
        <w:t xml:space="preserve"> по ЗВСН са най-ниски.</w:t>
      </w:r>
    </w:p>
    <w:p w:rsidR="00EB19F8" w:rsidRPr="00A3491F" w:rsidRDefault="00C100E3" w:rsidP="006B3BB7">
      <w:pPr>
        <w:spacing w:after="120"/>
        <w:rPr>
          <w:rFonts w:eastAsia="Times New Roman"/>
          <w:sz w:val="22"/>
          <w:lang w:val="bg-BG"/>
        </w:rPr>
      </w:pPr>
      <w:r w:rsidRPr="00A3491F">
        <w:rPr>
          <w:color w:val="000000" w:themeColor="text1"/>
          <w:sz w:val="22"/>
          <w:lang w:val="bg-BG"/>
        </w:rPr>
        <w:t>Подробната информация за направените калкулации и основни изводи свързани с различните варианти за действие е представена в Приложение №</w:t>
      </w:r>
      <w:r w:rsidR="004F5286" w:rsidRPr="00A3491F">
        <w:rPr>
          <w:color w:val="000000" w:themeColor="text1"/>
          <w:sz w:val="22"/>
          <w:lang w:val="bg-BG"/>
        </w:rPr>
        <w:t>4</w:t>
      </w:r>
      <w:r w:rsidRPr="00A3491F">
        <w:rPr>
          <w:color w:val="000000" w:themeColor="text1"/>
          <w:sz w:val="22"/>
          <w:lang w:val="bg-BG"/>
        </w:rPr>
        <w:t xml:space="preserve"> </w:t>
      </w:r>
      <w:r w:rsidR="002C2635" w:rsidRPr="00A3491F">
        <w:rPr>
          <w:color w:val="000000" w:themeColor="text1"/>
          <w:sz w:val="22"/>
          <w:lang w:val="bg-BG"/>
        </w:rPr>
        <w:t>– Финансова обосновка.</w:t>
      </w:r>
    </w:p>
    <w:p w:rsidR="009C25BF" w:rsidRPr="00A3491F" w:rsidRDefault="009C25BF" w:rsidP="006B3BB7">
      <w:pPr>
        <w:pStyle w:val="Heading1"/>
        <w:spacing w:after="120"/>
        <w:rPr>
          <w:rFonts w:eastAsia="Times New Roman" w:cs="Times New Roman"/>
          <w:sz w:val="22"/>
          <w:szCs w:val="22"/>
          <w:lang w:val="bg-BG"/>
        </w:rPr>
      </w:pPr>
      <w:bookmarkStart w:id="29" w:name="_Toc496709959"/>
      <w:r w:rsidRPr="00A3491F">
        <w:rPr>
          <w:rFonts w:eastAsia="Times New Roman" w:cs="Times New Roman"/>
          <w:sz w:val="22"/>
          <w:szCs w:val="22"/>
          <w:lang w:val="bg-BG"/>
        </w:rPr>
        <w:t>VII. Промяна на административната тежест по отношение на заинтересованите страни за всеки от вариантите, включително в случай на нови регулаторни режими и регистри</w:t>
      </w:r>
      <w:bookmarkEnd w:id="29"/>
    </w:p>
    <w:p w:rsidR="009C25BF" w:rsidRPr="00A3491F" w:rsidRDefault="009C25BF" w:rsidP="006B3BB7">
      <w:pPr>
        <w:pStyle w:val="Heading2"/>
        <w:spacing w:before="240" w:after="120"/>
        <w:rPr>
          <w:rFonts w:eastAsia="Times New Roman" w:cs="Times New Roman"/>
          <w:sz w:val="22"/>
          <w:szCs w:val="22"/>
          <w:lang w:val="bg-BG"/>
        </w:rPr>
      </w:pPr>
      <w:bookmarkStart w:id="30" w:name="_Toc496709960"/>
      <w:r w:rsidRPr="00A3491F">
        <w:rPr>
          <w:rFonts w:eastAsia="Times New Roman" w:cs="Times New Roman"/>
          <w:sz w:val="22"/>
          <w:szCs w:val="22"/>
          <w:lang w:val="bg-BG"/>
        </w:rPr>
        <w:t>VII.1.</w:t>
      </w:r>
      <w:r w:rsidR="00DD001A" w:rsidRPr="00A3491F">
        <w:rPr>
          <w:rFonts w:eastAsia="Times New Roman" w:cs="Times New Roman"/>
          <w:sz w:val="22"/>
          <w:szCs w:val="22"/>
          <w:lang w:val="bg-BG"/>
        </w:rPr>
        <w:t xml:space="preserve"> Вариант 1: Без действие</w:t>
      </w:r>
      <w:bookmarkEnd w:id="30"/>
    </w:p>
    <w:p w:rsidR="00DD001A" w:rsidRPr="00A3491F" w:rsidRDefault="00DD001A" w:rsidP="006B3BB7">
      <w:pPr>
        <w:spacing w:before="120" w:after="240"/>
        <w:rPr>
          <w:rFonts w:eastAsia="Times New Roman"/>
          <w:iCs/>
          <w:sz w:val="22"/>
          <w:lang w:val="bg-BG"/>
        </w:rPr>
      </w:pPr>
      <w:r w:rsidRPr="00A3491F">
        <w:rPr>
          <w:sz w:val="22"/>
          <w:lang w:val="bg-BG"/>
        </w:rPr>
        <w:t>Не се предвижда реализирането на вариант „Без действие“ да предизвика изменение на административната тежест спрямо регистрираните стопански субекти. При него ще се запази съществуването на действащите административни режими и регистри, както и действието на правилата за воденето и съхраняването им.</w:t>
      </w:r>
      <w:r w:rsidR="004F5286" w:rsidRPr="00A3491F">
        <w:rPr>
          <w:rFonts w:eastAsia="Times New Roman"/>
          <w:iCs/>
          <w:sz w:val="22"/>
          <w:lang w:val="bg-BG"/>
        </w:rPr>
        <w:t xml:space="preserve"> </w:t>
      </w:r>
    </w:p>
    <w:p w:rsidR="009C25BF" w:rsidRPr="00A3491F" w:rsidRDefault="009C25BF" w:rsidP="006B3BB7">
      <w:pPr>
        <w:pStyle w:val="Heading2"/>
        <w:spacing w:before="240" w:after="120"/>
        <w:rPr>
          <w:rFonts w:eastAsia="Times New Roman" w:cs="Times New Roman"/>
          <w:sz w:val="22"/>
          <w:szCs w:val="22"/>
          <w:lang w:val="bg-BG"/>
        </w:rPr>
      </w:pPr>
      <w:bookmarkStart w:id="31" w:name="_Toc496709961"/>
      <w:r w:rsidRPr="00A3491F">
        <w:rPr>
          <w:rFonts w:eastAsia="Times New Roman" w:cs="Times New Roman"/>
          <w:sz w:val="22"/>
          <w:szCs w:val="22"/>
          <w:lang w:val="bg-BG"/>
        </w:rPr>
        <w:t>VII.2.</w:t>
      </w:r>
      <w:r w:rsidR="00DD001A" w:rsidRPr="00A3491F">
        <w:rPr>
          <w:rFonts w:eastAsia="Times New Roman" w:cs="Times New Roman"/>
          <w:sz w:val="22"/>
          <w:szCs w:val="22"/>
          <w:lang w:val="bg-BG"/>
        </w:rPr>
        <w:t xml:space="preserve"> Вариант 2: Изменение и допълнение на съществуващия Закон за виното и спиртните напитки</w:t>
      </w:r>
      <w:bookmarkEnd w:id="31"/>
    </w:p>
    <w:p w:rsidR="00DD001A" w:rsidRPr="00A3491F" w:rsidRDefault="00DD001A" w:rsidP="006B3BB7">
      <w:pPr>
        <w:spacing w:after="240"/>
        <w:rPr>
          <w:rFonts w:eastAsia="Times New Roman"/>
          <w:b/>
          <w:iCs/>
          <w:sz w:val="22"/>
          <w:lang w:val="bg-BG"/>
        </w:rPr>
      </w:pPr>
      <w:r w:rsidRPr="00A3491F">
        <w:rPr>
          <w:sz w:val="22"/>
          <w:lang w:val="bg-BG"/>
        </w:rPr>
        <w:t>Промяната в административната тежест по отношение на заинтересованите страни при действието на вариант 2 и вариант 3 ще бъде една и съща, поради което докладът в тази си част е извършен общо за двата варианта.</w:t>
      </w:r>
    </w:p>
    <w:p w:rsidR="009C25BF" w:rsidRPr="00A3491F" w:rsidRDefault="009C25BF" w:rsidP="006B3BB7">
      <w:pPr>
        <w:pStyle w:val="Heading2"/>
        <w:spacing w:after="120"/>
        <w:rPr>
          <w:rFonts w:eastAsia="Times New Roman" w:cs="Times New Roman"/>
          <w:sz w:val="22"/>
          <w:szCs w:val="22"/>
          <w:lang w:val="bg-BG"/>
        </w:rPr>
      </w:pPr>
      <w:bookmarkStart w:id="32" w:name="_Toc496709962"/>
      <w:r w:rsidRPr="00A3491F">
        <w:rPr>
          <w:rFonts w:eastAsia="Times New Roman" w:cs="Times New Roman"/>
          <w:sz w:val="22"/>
          <w:szCs w:val="22"/>
          <w:lang w:val="bg-BG"/>
        </w:rPr>
        <w:t>VII.3.</w:t>
      </w:r>
      <w:r w:rsidR="00DD001A" w:rsidRPr="00A3491F">
        <w:rPr>
          <w:rFonts w:eastAsia="Times New Roman" w:cs="Times New Roman"/>
          <w:sz w:val="22"/>
          <w:szCs w:val="22"/>
          <w:lang w:val="bg-BG"/>
        </w:rPr>
        <w:t xml:space="preserve"> Вариант 3: Приемане на нов Закон за виното и спиртните напитки</w:t>
      </w:r>
      <w:bookmarkEnd w:id="32"/>
    </w:p>
    <w:p w:rsidR="00D245F7" w:rsidRPr="00A3491F" w:rsidRDefault="00DD001A" w:rsidP="006B3BB7">
      <w:pPr>
        <w:spacing w:after="120"/>
        <w:rPr>
          <w:color w:val="FF0000"/>
          <w:sz w:val="22"/>
          <w:lang w:val="bg-BG"/>
        </w:rPr>
      </w:pPr>
      <w:r w:rsidRPr="00A3491F">
        <w:rPr>
          <w:rFonts w:eastAsia="Times New Roman"/>
          <w:sz w:val="22"/>
          <w:lang w:val="bg-BG"/>
        </w:rPr>
        <w:t xml:space="preserve">Административната тежест ще е поносима за регистрираните гроздо- и винопроизводители. По-голяма част от МСП вече са се регистрирали в предходни години, а </w:t>
      </w:r>
      <w:r w:rsidR="00531737" w:rsidRPr="00A3491F">
        <w:rPr>
          <w:rFonts w:eastAsia="Times New Roman"/>
          <w:sz w:val="22"/>
          <w:lang w:val="bg-BG"/>
        </w:rPr>
        <w:t>при</w:t>
      </w:r>
      <w:r w:rsidRPr="00A3491F">
        <w:rPr>
          <w:rFonts w:eastAsia="Times New Roman"/>
          <w:sz w:val="22"/>
          <w:lang w:val="bg-BG"/>
        </w:rPr>
        <w:t xml:space="preserve"> необходимост от промяна на обстоятелствата в регистрираната вече информация в повечето случаи това ще еднократен акт и не би се отразило съществено на разходите за дейността им. Освен това се предвижда вписаните </w:t>
      </w:r>
      <w:r w:rsidR="00EF2954" w:rsidRPr="00A3491F">
        <w:rPr>
          <w:rFonts w:eastAsia="Times New Roman"/>
          <w:sz w:val="22"/>
          <w:lang w:val="bg-BG"/>
        </w:rPr>
        <w:t>към</w:t>
      </w:r>
      <w:r w:rsidRPr="00A3491F">
        <w:rPr>
          <w:rFonts w:eastAsia="Times New Roman"/>
          <w:sz w:val="22"/>
          <w:lang w:val="bg-BG"/>
        </w:rPr>
        <w:t xml:space="preserve"> момента </w:t>
      </w:r>
      <w:r w:rsidR="00EF2954" w:rsidRPr="00A3491F">
        <w:rPr>
          <w:rFonts w:eastAsia="Times New Roman"/>
          <w:sz w:val="22"/>
          <w:lang w:val="bg-BG"/>
        </w:rPr>
        <w:t xml:space="preserve">в </w:t>
      </w:r>
      <w:r w:rsidRPr="00A3491F">
        <w:rPr>
          <w:rFonts w:eastAsia="Times New Roman"/>
          <w:sz w:val="22"/>
          <w:lang w:val="bg-BG"/>
        </w:rPr>
        <w:t>лозарски</w:t>
      </w:r>
      <w:r w:rsidR="00EF2954" w:rsidRPr="00A3491F">
        <w:rPr>
          <w:rFonts w:eastAsia="Times New Roman"/>
          <w:sz w:val="22"/>
          <w:lang w:val="bg-BG"/>
        </w:rPr>
        <w:t>я</w:t>
      </w:r>
      <w:r w:rsidRPr="00A3491F">
        <w:rPr>
          <w:rFonts w:eastAsia="Times New Roman"/>
          <w:sz w:val="22"/>
          <w:lang w:val="bg-BG"/>
        </w:rPr>
        <w:t xml:space="preserve"> регистър лица, да бъдат служебно вписани в регистър</w:t>
      </w:r>
      <w:r w:rsidR="00EF2954" w:rsidRPr="00A3491F">
        <w:rPr>
          <w:rFonts w:eastAsia="Times New Roman"/>
          <w:sz w:val="22"/>
          <w:lang w:val="bg-BG"/>
        </w:rPr>
        <w:t>а по новоприетия закон</w:t>
      </w:r>
      <w:r w:rsidRPr="00A3491F">
        <w:rPr>
          <w:rFonts w:eastAsia="Times New Roman"/>
          <w:sz w:val="22"/>
          <w:lang w:val="bg-BG"/>
        </w:rPr>
        <w:t xml:space="preserve"> от Изпълнителна агенция по лозата и виното. Това предимство ще </w:t>
      </w:r>
      <w:r w:rsidR="00EF2954" w:rsidRPr="00A3491F">
        <w:rPr>
          <w:rFonts w:eastAsia="Times New Roman"/>
          <w:sz w:val="22"/>
          <w:lang w:val="bg-BG"/>
        </w:rPr>
        <w:t>позволи</w:t>
      </w:r>
      <w:r w:rsidRPr="00A3491F">
        <w:rPr>
          <w:rFonts w:eastAsia="Times New Roman"/>
          <w:sz w:val="22"/>
          <w:lang w:val="bg-BG"/>
        </w:rPr>
        <w:t xml:space="preserve"> административната тежест за заинтересованите страни</w:t>
      </w:r>
      <w:r w:rsidR="00EF2954" w:rsidRPr="00A3491F">
        <w:rPr>
          <w:rFonts w:eastAsia="Times New Roman"/>
          <w:sz w:val="22"/>
          <w:lang w:val="bg-BG"/>
        </w:rPr>
        <w:t xml:space="preserve"> да не бъде увеличавана</w:t>
      </w:r>
      <w:r w:rsidRPr="00A3491F">
        <w:rPr>
          <w:rFonts w:eastAsia="Times New Roman"/>
          <w:sz w:val="22"/>
          <w:lang w:val="bg-BG"/>
        </w:rPr>
        <w:t>.</w:t>
      </w:r>
      <w:r w:rsidR="00EF2954" w:rsidRPr="00A3491F">
        <w:rPr>
          <w:rFonts w:eastAsia="Times New Roman"/>
          <w:sz w:val="22"/>
          <w:lang w:val="bg-BG"/>
        </w:rPr>
        <w:t xml:space="preserve"> Проектът на ЗВСН не предвижда създаване на нов лозарски регистър, а само създава ново основание за воденето на вече съществуващия лозарски регистър, който ще продължи да бъде поддържан и съхраняван при </w:t>
      </w:r>
      <w:r w:rsidR="00DF76D1" w:rsidRPr="00A3491F">
        <w:rPr>
          <w:rFonts w:eastAsia="Times New Roman"/>
          <w:sz w:val="22"/>
          <w:lang w:val="bg-BG"/>
        </w:rPr>
        <w:t>използване</w:t>
      </w:r>
      <w:r w:rsidR="00EF2954" w:rsidRPr="00A3491F">
        <w:rPr>
          <w:rFonts w:eastAsia="Times New Roman"/>
          <w:sz w:val="22"/>
          <w:lang w:val="bg-BG"/>
        </w:rPr>
        <w:t xml:space="preserve"> на създадените бази данни и технически възможности. </w:t>
      </w:r>
      <w:r w:rsidR="00DF76D1" w:rsidRPr="00A3491F">
        <w:rPr>
          <w:rFonts w:eastAsia="Times New Roman"/>
          <w:sz w:val="22"/>
          <w:lang w:val="bg-BG"/>
        </w:rPr>
        <w:t>Ето защо няма да се нало</w:t>
      </w:r>
      <w:r w:rsidR="00EF2954" w:rsidRPr="00A3491F">
        <w:rPr>
          <w:rFonts w:eastAsia="Times New Roman"/>
          <w:sz w:val="22"/>
          <w:lang w:val="bg-BG"/>
        </w:rPr>
        <w:t>жат допълнителни разходи.</w:t>
      </w:r>
    </w:p>
    <w:p w:rsidR="00DD001A" w:rsidRPr="00A3491F" w:rsidRDefault="00B568F2" w:rsidP="006B3BB7">
      <w:pPr>
        <w:spacing w:after="120"/>
        <w:rPr>
          <w:rFonts w:eastAsia="Times New Roman"/>
          <w:sz w:val="22"/>
          <w:lang w:val="bg-BG"/>
        </w:rPr>
      </w:pPr>
      <w:r w:rsidRPr="00A3491F">
        <w:rPr>
          <w:rFonts w:eastAsia="Times New Roman"/>
          <w:sz w:val="22"/>
          <w:lang w:val="bg-BG"/>
        </w:rPr>
        <w:t xml:space="preserve">Приемането на ЗВСН и необходимите промени в Тарифа за таксите, събирани от Изпълнителна агенция по лозата и виното ще увеличи постъпленията в бюджета за 2018 година с приблизително около 43 хил. лв. Таксите са изчислени на </w:t>
      </w:r>
      <w:proofErr w:type="spellStart"/>
      <w:r w:rsidRPr="00A3491F">
        <w:rPr>
          <w:rFonts w:eastAsia="Times New Roman"/>
          <w:sz w:val="22"/>
          <w:lang w:val="bg-BG"/>
        </w:rPr>
        <w:t>калкулативен</w:t>
      </w:r>
      <w:proofErr w:type="spellEnd"/>
      <w:r w:rsidRPr="00A3491F">
        <w:rPr>
          <w:rFonts w:eastAsia="Times New Roman"/>
          <w:sz w:val="22"/>
          <w:lang w:val="bg-BG"/>
        </w:rPr>
        <w:t xml:space="preserve"> принцип и са свързани с конкретно обосновани разходи (без печалба и други разходи) за извършване на дейностите, </w:t>
      </w:r>
      <w:r w:rsidR="00C100E3" w:rsidRPr="00A3491F">
        <w:rPr>
          <w:rFonts w:eastAsia="Times New Roman"/>
          <w:sz w:val="22"/>
          <w:lang w:val="bg-BG"/>
        </w:rPr>
        <w:t>като подробната информация за тяхното изчисляване е предста</w:t>
      </w:r>
      <w:r w:rsidR="00F02C60" w:rsidRPr="00A3491F">
        <w:rPr>
          <w:rFonts w:eastAsia="Times New Roman"/>
          <w:sz w:val="22"/>
          <w:lang w:val="bg-BG"/>
        </w:rPr>
        <w:t>в</w:t>
      </w:r>
      <w:r w:rsidR="00C100E3" w:rsidRPr="00A3491F">
        <w:rPr>
          <w:rFonts w:eastAsia="Times New Roman"/>
          <w:sz w:val="22"/>
          <w:lang w:val="bg-BG"/>
        </w:rPr>
        <w:t xml:space="preserve">ена в Приложение № </w:t>
      </w:r>
      <w:r w:rsidR="00223FA0" w:rsidRPr="00A3491F">
        <w:rPr>
          <w:rFonts w:eastAsia="Times New Roman"/>
          <w:sz w:val="22"/>
          <w:lang w:val="bg-BG"/>
        </w:rPr>
        <w:t>4 Финансова обосновка.</w:t>
      </w:r>
    </w:p>
    <w:p w:rsidR="00DD001A" w:rsidRPr="00A3491F" w:rsidRDefault="00DD001A" w:rsidP="006B3BB7">
      <w:pPr>
        <w:spacing w:after="120"/>
        <w:rPr>
          <w:rFonts w:eastAsia="Times New Roman"/>
          <w:sz w:val="22"/>
          <w:lang w:val="bg-BG"/>
        </w:rPr>
      </w:pPr>
      <w:r w:rsidRPr="00A3491F">
        <w:rPr>
          <w:rFonts w:eastAsia="Times New Roman"/>
          <w:sz w:val="22"/>
          <w:lang w:val="bg-BG"/>
        </w:rPr>
        <w:t>С увеличените собствени приходи от такси ИАЛВ ще е в състояние да подсигури повече средства, необходими за осъществяване на дадените ѝ правомощия, а съответно увеличените постъпления от държавни такси ще засегнат по-малко държавния бюджет, защото ще са необходими по-малко бюджетни субсидии.</w:t>
      </w:r>
    </w:p>
    <w:p w:rsidR="009E17C5" w:rsidRPr="00A3491F" w:rsidRDefault="009E17C5" w:rsidP="006B3BB7">
      <w:pPr>
        <w:spacing w:after="120"/>
        <w:rPr>
          <w:rFonts w:eastAsia="Times New Roman"/>
          <w:sz w:val="22"/>
          <w:lang w:val="bg-BG"/>
        </w:rPr>
      </w:pPr>
      <w:r w:rsidRPr="00A3491F">
        <w:rPr>
          <w:rFonts w:eastAsia="Times New Roman"/>
          <w:sz w:val="22"/>
          <w:lang w:val="bg-BG"/>
        </w:rPr>
        <w:lastRenderedPageBreak/>
        <w:t>В новия закон ще бъде включена новата система за контрол на лозовите насаждения, насочена към ограничаване на нерегулираното нарастване на площите на новите лозови насаждения. Това става чрез въвеждане на разрешителен режим за нови насаждения в общ годишен размер до 1 на сто от засадените с лозя площи към 31 юли на предходната година. Тя е въведена на европейско ниво с Регламент (ЕС) №1308/2013 на Европейския парламент и на Съвета от 17 декември 2013 година за установяване на обща организация на пазарите на селскостопански продукти. Системата е задължителна за държавите-членки от Европейския съюз. Новият механизъм ще допринесе за подобряване на конкурентната среда в лозаро-винарския сектор чрез запазване на качеството и авторитета на вината. Периодът на действие на разрешителния режим за лозови насаждения в Европейския съюз е от 1 януари 2016 г. до 31 декември 2030 г., като правилата за прилагането му са изготвени така, че да осигурят прозрачна, справедлива и навременно функционираща система, адаптирана към нуждите на лозаро-винарския сектор и да предпазват производителите от неравнопоставеност и прекомерна административна тежест. В предложения проект на закон са включени текстове, свързани с прилагането на преходния режим за преобразуване на права за засаждане и презасаждане в разрешения за засаждане на нови насаждения. Определени са случаите, в които не се изисква издаване на разрешение за лозови насаждения. Освен това за територията на Република България е предвидено максималното според Регламента годишно нарастване на засадените площи. Предвид всичко посочено, въпреки ограничаването на възможностите за свободно засаждане, цялостното действие на тези промени се очаква да окаже положително въздействие върху сектора.</w:t>
      </w:r>
    </w:p>
    <w:p w:rsidR="009C25BF" w:rsidRPr="00A3491F" w:rsidRDefault="00DD001A" w:rsidP="006B3BB7">
      <w:pPr>
        <w:spacing w:after="120"/>
        <w:rPr>
          <w:rFonts w:eastAsia="Times New Roman"/>
          <w:sz w:val="22"/>
          <w:lang w:val="bg-BG"/>
        </w:rPr>
      </w:pPr>
      <w:r w:rsidRPr="00A3491F">
        <w:rPr>
          <w:rFonts w:eastAsia="Times New Roman"/>
          <w:sz w:val="22"/>
          <w:lang w:val="bg-BG"/>
        </w:rPr>
        <w:t xml:space="preserve">По отношение на административната тежест в сектора на производството на спиртни напитки също не се очаква изменение. </w:t>
      </w:r>
      <w:r w:rsidR="00EF2954" w:rsidRPr="00A3491F">
        <w:rPr>
          <w:sz w:val="22"/>
          <w:lang w:val="bg-BG"/>
        </w:rPr>
        <w:t>С проекта на новия ЗВСН не се въвеждат нови регистри, а само се създава ново основание за поддържане и водене на вече съществуващите. Ще се използват съществуващите технически възможности и бази данни и така няма да се наложат допълнителни разходи.</w:t>
      </w:r>
      <w:r w:rsidR="002C2635" w:rsidRPr="00A3491F">
        <w:rPr>
          <w:rFonts w:eastAsia="Times New Roman"/>
          <w:sz w:val="22"/>
          <w:lang w:val="bg-BG"/>
        </w:rPr>
        <w:t xml:space="preserve">. </w:t>
      </w:r>
      <w:r w:rsidR="00DF76D1" w:rsidRPr="00A3491F">
        <w:rPr>
          <w:sz w:val="22"/>
          <w:lang w:val="bg-BG"/>
        </w:rPr>
        <w:t>Към момента на изготвяне на настоящата оценка на въздействие, предвидения по действащия ЗВСН регистър</w:t>
      </w:r>
      <w:r w:rsidR="00EF2954" w:rsidRPr="00A3491F">
        <w:rPr>
          <w:sz w:val="22"/>
          <w:lang w:val="bg-BG"/>
        </w:rPr>
        <w:t xml:space="preserve"> на лицата, които извършват дейности с дестилационни съоръжения за производство на етилов алкохол, дестилати и спиртни напитки е пр</w:t>
      </w:r>
      <w:r w:rsidR="006E448F" w:rsidRPr="00A3491F">
        <w:rPr>
          <w:sz w:val="22"/>
          <w:lang w:val="bg-BG"/>
        </w:rPr>
        <w:t xml:space="preserve">едвиден в действащия закон, </w:t>
      </w:r>
      <w:r w:rsidR="00EF2954" w:rsidRPr="00A3491F">
        <w:rPr>
          <w:sz w:val="22"/>
          <w:lang w:val="bg-BG"/>
        </w:rPr>
        <w:t xml:space="preserve">наредба за воденето и съхраняването му е приета, но не е обнародвана. Този регистър е създаден по решение на Народното събрание. </w:t>
      </w:r>
      <w:r w:rsidR="006E448F" w:rsidRPr="00A3491F">
        <w:rPr>
          <w:rFonts w:eastAsia="Times New Roman"/>
          <w:sz w:val="22"/>
          <w:lang w:val="bg-BG"/>
        </w:rPr>
        <w:t>Следва да се подчертае</w:t>
      </w:r>
      <w:r w:rsidRPr="00A3491F">
        <w:rPr>
          <w:rFonts w:eastAsia="Times New Roman"/>
          <w:sz w:val="22"/>
          <w:lang w:val="bg-BG"/>
        </w:rPr>
        <w:t xml:space="preserve">, </w:t>
      </w:r>
      <w:r w:rsidR="006E448F" w:rsidRPr="00A3491F">
        <w:rPr>
          <w:rFonts w:eastAsia="Times New Roman"/>
          <w:sz w:val="22"/>
          <w:lang w:val="bg-BG"/>
        </w:rPr>
        <w:t xml:space="preserve">че </w:t>
      </w:r>
      <w:r w:rsidRPr="00A3491F">
        <w:rPr>
          <w:rFonts w:eastAsia="Times New Roman"/>
          <w:sz w:val="22"/>
          <w:lang w:val="bg-BG"/>
        </w:rPr>
        <w:t>цели</w:t>
      </w:r>
      <w:r w:rsidR="00EF2954" w:rsidRPr="00A3491F">
        <w:rPr>
          <w:rFonts w:eastAsia="Times New Roman"/>
          <w:sz w:val="22"/>
          <w:lang w:val="bg-BG"/>
        </w:rPr>
        <w:t>те на регистрите</w:t>
      </w:r>
      <w:r w:rsidRPr="00A3491F">
        <w:rPr>
          <w:rFonts w:eastAsia="Times New Roman"/>
          <w:sz w:val="22"/>
          <w:lang w:val="bg-BG"/>
        </w:rPr>
        <w:t xml:space="preserve"> са да се подпомогне контрола върху нерегламентираното производство, а не да се поставят допълнителни изисквания пред производителите. </w:t>
      </w:r>
      <w:r w:rsidR="002C2635" w:rsidRPr="00A3491F">
        <w:rPr>
          <w:rFonts w:eastAsia="Times New Roman"/>
          <w:sz w:val="22"/>
          <w:lang w:val="bg-BG"/>
        </w:rPr>
        <w:t>Н</w:t>
      </w:r>
      <w:r w:rsidRPr="00A3491F">
        <w:rPr>
          <w:rFonts w:eastAsia="Times New Roman"/>
          <w:sz w:val="22"/>
          <w:lang w:val="bg-BG"/>
        </w:rPr>
        <w:t>е се предвиждат допълнителни задължения</w:t>
      </w:r>
      <w:r w:rsidR="002C2635" w:rsidRPr="00A3491F">
        <w:rPr>
          <w:rFonts w:eastAsia="Times New Roman"/>
          <w:sz w:val="22"/>
          <w:lang w:val="bg-BG"/>
        </w:rPr>
        <w:t xml:space="preserve"> за производителите</w:t>
      </w:r>
      <w:r w:rsidRPr="00A3491F">
        <w:rPr>
          <w:rFonts w:eastAsia="Times New Roman"/>
          <w:sz w:val="22"/>
          <w:lang w:val="bg-BG"/>
        </w:rPr>
        <w:t>, извън регистрацията, както и заплащането на такси за извършване на тази услуга.</w:t>
      </w:r>
    </w:p>
    <w:p w:rsidR="009C25BF" w:rsidRPr="00A3491F" w:rsidRDefault="009C25BF" w:rsidP="006B3BB7">
      <w:pPr>
        <w:pStyle w:val="Heading1"/>
        <w:spacing w:after="120"/>
        <w:rPr>
          <w:rFonts w:eastAsia="Times New Roman" w:cs="Times New Roman"/>
          <w:sz w:val="22"/>
          <w:szCs w:val="22"/>
          <w:lang w:val="bg-BG"/>
        </w:rPr>
      </w:pPr>
      <w:bookmarkStart w:id="33" w:name="_Toc496709963"/>
      <w:r w:rsidRPr="00A3491F">
        <w:rPr>
          <w:rFonts w:eastAsia="Times New Roman" w:cs="Times New Roman"/>
          <w:sz w:val="22"/>
          <w:szCs w:val="22"/>
          <w:lang w:val="bg-BG"/>
        </w:rPr>
        <w:t xml:space="preserve">VIII. </w:t>
      </w:r>
      <w:r w:rsidR="00DD1FA8" w:rsidRPr="00A3491F">
        <w:rPr>
          <w:rFonts w:eastAsia="Times New Roman" w:cs="Times New Roman"/>
          <w:sz w:val="22"/>
          <w:szCs w:val="22"/>
          <w:lang w:val="bg-BG"/>
        </w:rPr>
        <w:t>Описание</w:t>
      </w:r>
      <w:r w:rsidRPr="00A3491F">
        <w:rPr>
          <w:rFonts w:eastAsia="Times New Roman" w:cs="Times New Roman"/>
          <w:sz w:val="22"/>
          <w:szCs w:val="22"/>
          <w:lang w:val="bg-BG"/>
        </w:rPr>
        <w:t xml:space="preserve"> на негативните (разходите) и положителните (ползите) въздействия за всяка от заинтересованите страни, за всеки от вариантите</w:t>
      </w:r>
      <w:bookmarkEnd w:id="33"/>
    </w:p>
    <w:p w:rsidR="009C25BF" w:rsidRPr="00A3491F" w:rsidRDefault="009C25BF" w:rsidP="006B3BB7">
      <w:pPr>
        <w:pStyle w:val="Heading2"/>
        <w:spacing w:before="240" w:after="120"/>
        <w:rPr>
          <w:rFonts w:eastAsia="Times New Roman" w:cs="Times New Roman"/>
          <w:sz w:val="22"/>
          <w:szCs w:val="22"/>
          <w:lang w:val="bg-BG"/>
        </w:rPr>
      </w:pPr>
      <w:bookmarkStart w:id="34" w:name="_Toc496709964"/>
      <w:r w:rsidRPr="00A3491F">
        <w:rPr>
          <w:rFonts w:eastAsia="Times New Roman" w:cs="Times New Roman"/>
          <w:sz w:val="22"/>
          <w:szCs w:val="22"/>
          <w:lang w:val="bg-BG"/>
        </w:rPr>
        <w:t>VIII.1.</w:t>
      </w:r>
      <w:r w:rsidR="00DD001A" w:rsidRPr="00A3491F">
        <w:rPr>
          <w:rFonts w:eastAsia="Times New Roman" w:cs="Times New Roman"/>
          <w:sz w:val="22"/>
          <w:szCs w:val="22"/>
          <w:lang w:val="bg-BG"/>
        </w:rPr>
        <w:t xml:space="preserve"> Вариант 1: Без действие</w:t>
      </w:r>
      <w:bookmarkEnd w:id="34"/>
    </w:p>
    <w:p w:rsidR="00DD001A" w:rsidRPr="00A3491F" w:rsidRDefault="00DD001A" w:rsidP="006B3BB7">
      <w:pPr>
        <w:spacing w:before="120" w:after="120"/>
        <w:rPr>
          <w:rFonts w:eastAsia="Times New Roman"/>
          <w:iCs/>
          <w:sz w:val="22"/>
          <w:lang w:val="bg-BG"/>
        </w:rPr>
      </w:pPr>
      <w:r w:rsidRPr="00A3491F">
        <w:rPr>
          <w:rFonts w:eastAsia="Times New Roman"/>
          <w:iCs/>
          <w:sz w:val="22"/>
          <w:lang w:val="bg-BG"/>
        </w:rPr>
        <w:t xml:space="preserve">При установяване на нарушение на правото на Европейския съюз националните органи трябва да предприемат действия, за да се съобразят с решението на Съда. Освен това Комисията може да поиска от Съда да наложи финансови санкции в рамките на производството. </w:t>
      </w:r>
    </w:p>
    <w:p w:rsidR="00DD001A" w:rsidRPr="00A3491F" w:rsidRDefault="00DD001A" w:rsidP="006B3BB7">
      <w:pPr>
        <w:spacing w:before="120" w:after="120"/>
        <w:rPr>
          <w:rFonts w:eastAsia="Times New Roman"/>
          <w:iCs/>
          <w:sz w:val="22"/>
          <w:lang w:val="bg-BG"/>
        </w:rPr>
      </w:pPr>
      <w:r w:rsidRPr="00A3491F">
        <w:rPr>
          <w:rFonts w:eastAsia="Times New Roman"/>
          <w:iCs/>
          <w:sz w:val="22"/>
          <w:lang w:val="bg-BG"/>
        </w:rPr>
        <w:t xml:space="preserve">На следващо място, за всички административни услуги, които се предоставят към момента от Изпълнителна агенция по лозата и виното и Министерство на икономиката, ще се събират такси по действащите тарифи. Не се очаква изменение на приходите в държавния бюджет. Така, както и до сега, за част от услугите няма да бъдат събирани дължимите такси. Това ще доведе до неоправдано негативно финансово въздействие върху администрацията, тъй като направените от нея разходи за предоставяне на услугите няма да бъдат възстановявани от дължимите такси. В тази връзка ще се </w:t>
      </w:r>
      <w:r w:rsidRPr="00A3491F">
        <w:rPr>
          <w:rFonts w:eastAsia="Times New Roman"/>
          <w:iCs/>
          <w:sz w:val="22"/>
          <w:lang w:val="bg-BG"/>
        </w:rPr>
        <w:lastRenderedPageBreak/>
        <w:t xml:space="preserve">задълбочи нуждата от осигуряване на допълнително бюджетно финансиране за предоставяне на съответните административни услуги от специализираната администрация. </w:t>
      </w:r>
    </w:p>
    <w:p w:rsidR="00DD001A" w:rsidRPr="00A3491F" w:rsidRDefault="00DD001A" w:rsidP="006B3BB7">
      <w:pPr>
        <w:rPr>
          <w:rFonts w:eastAsia="Times New Roman"/>
          <w:sz w:val="22"/>
          <w:lang w:val="bg-BG"/>
        </w:rPr>
      </w:pPr>
      <w:r w:rsidRPr="00A3491F">
        <w:rPr>
          <w:rFonts w:eastAsia="Times New Roman"/>
          <w:sz w:val="22"/>
          <w:lang w:val="bg-BG"/>
        </w:rPr>
        <w:t xml:space="preserve">Освен това, нерегламентираното производство на етилов алкохол, дестилати и спиртни напитки в обекти, които не отговарят на изискванията на ЗВСН и ЗАДС ще продължи. Това ще доведе до по-ниска </w:t>
      </w:r>
      <w:proofErr w:type="spellStart"/>
      <w:r w:rsidRPr="00A3491F">
        <w:rPr>
          <w:rFonts w:eastAsia="Times New Roman"/>
          <w:sz w:val="22"/>
          <w:lang w:val="bg-BG"/>
        </w:rPr>
        <w:t>събираемост</w:t>
      </w:r>
      <w:proofErr w:type="spellEnd"/>
      <w:r w:rsidRPr="00A3491F">
        <w:rPr>
          <w:rFonts w:eastAsia="Times New Roman"/>
          <w:sz w:val="22"/>
          <w:lang w:val="bg-BG"/>
        </w:rPr>
        <w:t xml:space="preserve"> на акциз и ощетяване на държавния бюджет.</w:t>
      </w:r>
    </w:p>
    <w:p w:rsidR="009C25BF" w:rsidRPr="00A3491F" w:rsidRDefault="009C25BF" w:rsidP="006B3BB7">
      <w:pPr>
        <w:pStyle w:val="Heading2"/>
        <w:spacing w:before="240" w:after="120"/>
        <w:rPr>
          <w:rFonts w:eastAsia="Times New Roman" w:cs="Times New Roman"/>
          <w:sz w:val="22"/>
          <w:szCs w:val="22"/>
          <w:lang w:val="bg-BG"/>
        </w:rPr>
      </w:pPr>
      <w:bookmarkStart w:id="35" w:name="_Toc496709965"/>
      <w:r w:rsidRPr="00A3491F">
        <w:rPr>
          <w:rFonts w:eastAsia="Times New Roman" w:cs="Times New Roman"/>
          <w:sz w:val="22"/>
          <w:szCs w:val="22"/>
          <w:lang w:val="bg-BG"/>
        </w:rPr>
        <w:t>VIII.2.</w:t>
      </w:r>
      <w:r w:rsidR="00DD001A" w:rsidRPr="00A3491F">
        <w:rPr>
          <w:rFonts w:eastAsia="Times New Roman" w:cs="Times New Roman"/>
          <w:sz w:val="22"/>
          <w:szCs w:val="22"/>
          <w:lang w:val="bg-BG"/>
        </w:rPr>
        <w:t xml:space="preserve"> Вариант 2: Изменение и допълнение на съществуващия Закон за виното и спиртните напитки</w:t>
      </w:r>
      <w:bookmarkEnd w:id="35"/>
    </w:p>
    <w:p w:rsidR="00DD001A" w:rsidRPr="00A3491F" w:rsidRDefault="0003661E" w:rsidP="006B3BB7">
      <w:pPr>
        <w:spacing w:after="120"/>
        <w:rPr>
          <w:sz w:val="22"/>
          <w:lang w:val="bg-BG"/>
        </w:rPr>
      </w:pPr>
      <w:r w:rsidRPr="00A3491F">
        <w:rPr>
          <w:sz w:val="22"/>
          <w:lang w:val="bg-BG"/>
        </w:rPr>
        <w:t xml:space="preserve">Във връзка с </w:t>
      </w:r>
      <w:r w:rsidR="00DD001A" w:rsidRPr="00A3491F">
        <w:rPr>
          <w:sz w:val="22"/>
          <w:lang w:val="bg-BG"/>
        </w:rPr>
        <w:t>установените потенциални въздействия на вариант 2 Изменение и допълнение на действащия закон за виното и спиртните напитки се очакват икономически въздействия, водещи както до приходи, така и до разходи за всички заинтересовани страни.</w:t>
      </w:r>
    </w:p>
    <w:p w:rsidR="007C7532" w:rsidRPr="00A3491F" w:rsidRDefault="007C7532" w:rsidP="006B3BB7">
      <w:pPr>
        <w:spacing w:after="120"/>
        <w:rPr>
          <w:sz w:val="22"/>
          <w:lang w:val="bg-BG"/>
        </w:rPr>
      </w:pPr>
      <w:r w:rsidRPr="00A3491F">
        <w:rPr>
          <w:rFonts w:eastAsia="Times New Roman"/>
          <w:sz w:val="22"/>
          <w:lang w:val="bg-BG"/>
        </w:rPr>
        <w:t>Детайлната информация за изчисляване на допълнителните такси е посочена в Приложение 4 Финансова обосновка.</w:t>
      </w:r>
      <w:r w:rsidRPr="00A3491F">
        <w:rPr>
          <w:rFonts w:eastAsia="Times New Roman"/>
          <w:iCs/>
          <w:sz w:val="22"/>
          <w:lang w:val="bg-BG"/>
        </w:rPr>
        <w:t xml:space="preserve"> </w:t>
      </w:r>
      <w:r w:rsidRPr="00A3491F">
        <w:rPr>
          <w:sz w:val="22"/>
          <w:lang w:val="bg-BG"/>
        </w:rPr>
        <w:t>При този вариант собствените приходи на ИАЛВ ще се увеличат с около 24 хил.лв. на годишна база и ще намалят горепосочения недостиг от 283 хил.лв., но ИАЛВ ще се лиши от около още 17 хил. лв.</w:t>
      </w:r>
      <w:r w:rsidR="004F5286" w:rsidRPr="00A3491F">
        <w:rPr>
          <w:sz w:val="22"/>
          <w:lang w:val="bg-BG"/>
        </w:rPr>
        <w:t xml:space="preserve"> </w:t>
      </w:r>
      <w:r w:rsidRPr="00A3491F">
        <w:rPr>
          <w:sz w:val="22"/>
          <w:lang w:val="bg-BG"/>
        </w:rPr>
        <w:t xml:space="preserve">При този вариант бюджетната субсидия за покриване на разходи на ИАЛВ ще с около 24 хил.лв. по-малко отколкото при Вариант </w:t>
      </w:r>
      <w:r w:rsidR="004F5286" w:rsidRPr="00A3491F">
        <w:rPr>
          <w:sz w:val="22"/>
          <w:lang w:val="bg-BG"/>
        </w:rPr>
        <w:t>1</w:t>
      </w:r>
      <w:r w:rsidR="00F02C60" w:rsidRPr="00A3491F">
        <w:rPr>
          <w:sz w:val="22"/>
          <w:lang w:val="bg-BG"/>
        </w:rPr>
        <w:t xml:space="preserve"> - без действие</w:t>
      </w:r>
      <w:r w:rsidRPr="00A3491F">
        <w:rPr>
          <w:sz w:val="22"/>
          <w:lang w:val="bg-BG"/>
        </w:rPr>
        <w:t>.</w:t>
      </w:r>
    </w:p>
    <w:p w:rsidR="004F5286" w:rsidRPr="00A3491F" w:rsidRDefault="004F5286" w:rsidP="006B3BB7">
      <w:pPr>
        <w:spacing w:after="120"/>
        <w:rPr>
          <w:rFonts w:eastAsia="Times New Roman"/>
          <w:sz w:val="22"/>
          <w:lang w:val="bg-BG"/>
        </w:rPr>
      </w:pPr>
      <w:r w:rsidRPr="00A3491F">
        <w:rPr>
          <w:rFonts w:eastAsia="Times New Roman"/>
          <w:sz w:val="22"/>
          <w:lang w:val="bg-BG"/>
        </w:rPr>
        <w:t>Предложените такси са изготвени и съобразени с Методиката за определяне на разходоориентиран размер на таксите по чл.7а от Закона за ограничаване на административното регулиране и административния контрол върху стопанската дейност и разходването им, приета с ПМС № 1 от 05.01.2012г, обн., ДВ, бр.4 от 13.01.2012г, в сила от 01.01.2013г</w:t>
      </w:r>
    </w:p>
    <w:p w:rsidR="007C7532" w:rsidRPr="00A3491F" w:rsidRDefault="004F5286" w:rsidP="006B3BB7">
      <w:pPr>
        <w:spacing w:after="120"/>
        <w:rPr>
          <w:rFonts w:eastAsia="Times New Roman"/>
          <w:sz w:val="22"/>
          <w:lang w:val="bg-BG"/>
        </w:rPr>
      </w:pPr>
      <w:r w:rsidRPr="00A3491F">
        <w:rPr>
          <w:rFonts w:eastAsia="Times New Roman"/>
          <w:sz w:val="22"/>
          <w:lang w:val="bg-BG"/>
        </w:rPr>
        <w:t>Детайлната информация за изчисляване на допълнителните такси е посочена в Приложение 4 Финансова обосновка.</w:t>
      </w:r>
    </w:p>
    <w:p w:rsidR="00DD001A" w:rsidRPr="00A3491F" w:rsidRDefault="00DD001A" w:rsidP="006B3BB7">
      <w:pPr>
        <w:spacing w:after="120"/>
        <w:rPr>
          <w:sz w:val="22"/>
          <w:lang w:val="bg-BG"/>
        </w:rPr>
      </w:pPr>
      <w:r w:rsidRPr="00A3491F">
        <w:rPr>
          <w:sz w:val="22"/>
          <w:lang w:val="bg-BG"/>
        </w:rPr>
        <w:t xml:space="preserve">На първо място невъзможността за нотифициране на промените пред Европейската комисия в съответствие с </w:t>
      </w:r>
      <w:r w:rsidRPr="00A3491F">
        <w:rPr>
          <w:bCs/>
          <w:sz w:val="22"/>
          <w:lang w:val="bg-BG"/>
        </w:rPr>
        <w:t>Директива 2015/1535</w:t>
      </w:r>
      <w:r w:rsidRPr="00A3491F">
        <w:rPr>
          <w:sz w:val="22"/>
          <w:lang w:val="bg-BG"/>
        </w:rPr>
        <w:t xml:space="preserve">, разкрива възможност за започване на процедура пред Съда на Европейския съюз за установяване на нарушение на правото на ЕС. В тази връзка Съдът може да наложи финансови санкции на България за установеното нарушение. Освен това, българските органи ще бъдат задължени да отстранят нарушението и да приведат законодателството ни в съответствие с европейските изисквания. </w:t>
      </w:r>
    </w:p>
    <w:p w:rsidR="00DD001A" w:rsidRPr="00A3491F" w:rsidRDefault="00961388" w:rsidP="006B3BB7">
      <w:pPr>
        <w:spacing w:after="120"/>
        <w:rPr>
          <w:sz w:val="22"/>
          <w:lang w:val="bg-BG"/>
        </w:rPr>
      </w:pPr>
      <w:r w:rsidRPr="00A3491F">
        <w:rPr>
          <w:sz w:val="22"/>
          <w:lang w:val="bg-BG"/>
        </w:rPr>
        <w:t xml:space="preserve">Създаването на основание за събиране на такси за извършване на административните услуги, които до момента са били заплащани от държавния бюджет ще доведе до разходи, които ще бъдат понесени от производителите. </w:t>
      </w:r>
      <w:r w:rsidR="00DD001A" w:rsidRPr="00A3491F">
        <w:rPr>
          <w:sz w:val="22"/>
          <w:lang w:val="bg-BG"/>
        </w:rPr>
        <w:t>Въпреки това, не се предвижда въвеждането на такси за предоставяне на голяма част от услугите, а там, където ще бъдат въведени нови такси, техният размер е изцяло съобразен с разходите, които администрацията прави за предоставянето им</w:t>
      </w:r>
      <w:r w:rsidR="00387DD2" w:rsidRPr="00A3491F">
        <w:rPr>
          <w:sz w:val="22"/>
          <w:lang w:val="bg-BG"/>
        </w:rPr>
        <w:t xml:space="preserve"> при съобразяване с Методиката за определяне на </w:t>
      </w:r>
      <w:proofErr w:type="spellStart"/>
      <w:r w:rsidR="00387DD2" w:rsidRPr="00A3491F">
        <w:rPr>
          <w:sz w:val="22"/>
          <w:lang w:val="bg-BG"/>
        </w:rPr>
        <w:t>разходооправдан</w:t>
      </w:r>
      <w:proofErr w:type="spellEnd"/>
      <w:r w:rsidR="00387DD2" w:rsidRPr="00A3491F">
        <w:rPr>
          <w:sz w:val="22"/>
          <w:lang w:val="bg-BG"/>
        </w:rPr>
        <w:t xml:space="preserve"> размер на таксите по чл. 7а от Закона за ограничаване на административното регулиране и административния контрол върху стопанската дейност</w:t>
      </w:r>
      <w:r w:rsidR="00DD001A" w:rsidRPr="00A3491F">
        <w:rPr>
          <w:sz w:val="22"/>
          <w:lang w:val="bg-BG"/>
        </w:rPr>
        <w:t xml:space="preserve">. По този начин се постига баланс между ползите и разходите на администрацията и частните субекти. Освен това, ще бъдат осигурени постъпления в държавния бюджет, които ще бъдат използвани за финансиране предоставянето на съответните услуги. Така частните субекти няма да получават услуга за сметка на бюджета, но същевременно няма да бъдат натоварени с прекомерни разходи. </w:t>
      </w:r>
    </w:p>
    <w:p w:rsidR="00DD001A" w:rsidRPr="00A3491F" w:rsidRDefault="00DD001A" w:rsidP="006B3BB7">
      <w:pPr>
        <w:spacing w:after="120"/>
        <w:rPr>
          <w:sz w:val="22"/>
          <w:lang w:val="bg-BG"/>
        </w:rPr>
      </w:pPr>
      <w:r w:rsidRPr="00A3491F">
        <w:rPr>
          <w:sz w:val="22"/>
          <w:lang w:val="bg-BG"/>
        </w:rPr>
        <w:t>По-подробно ползите и разходите от въвеждане на измененията са описани в съответната точка на вариант 3, тъй като при неговото осъществяване същите промени ще бъдат въведени с приемане на нов Закон за виното и спиртните напитки.</w:t>
      </w:r>
    </w:p>
    <w:p w:rsidR="009C25BF" w:rsidRPr="00A3491F" w:rsidRDefault="009C25BF" w:rsidP="006B3BB7">
      <w:pPr>
        <w:pStyle w:val="Heading2"/>
        <w:spacing w:before="240" w:after="120"/>
        <w:rPr>
          <w:rFonts w:eastAsia="Times New Roman" w:cs="Times New Roman"/>
          <w:sz w:val="22"/>
          <w:szCs w:val="22"/>
          <w:lang w:val="bg-BG"/>
        </w:rPr>
      </w:pPr>
      <w:bookmarkStart w:id="36" w:name="_Toc496709966"/>
      <w:r w:rsidRPr="00A3491F">
        <w:rPr>
          <w:rFonts w:eastAsia="Times New Roman" w:cs="Times New Roman"/>
          <w:sz w:val="22"/>
          <w:szCs w:val="22"/>
          <w:lang w:val="bg-BG"/>
        </w:rPr>
        <w:lastRenderedPageBreak/>
        <w:t>VIII.3.</w:t>
      </w:r>
      <w:r w:rsidR="00DD001A" w:rsidRPr="00A3491F">
        <w:rPr>
          <w:rFonts w:eastAsia="Times New Roman" w:cs="Times New Roman"/>
          <w:sz w:val="22"/>
          <w:szCs w:val="22"/>
          <w:lang w:val="bg-BG"/>
        </w:rPr>
        <w:t xml:space="preserve"> Вариант 3: Приемане на нов Закон за виното и спиртните напитки</w:t>
      </w:r>
      <w:bookmarkEnd w:id="36"/>
    </w:p>
    <w:p w:rsidR="00DD001A" w:rsidRPr="00A3491F" w:rsidRDefault="00DD001A" w:rsidP="006B3BB7">
      <w:pPr>
        <w:spacing w:after="120"/>
        <w:rPr>
          <w:rFonts w:eastAsia="Times New Roman"/>
          <w:sz w:val="22"/>
          <w:lang w:val="bg-BG"/>
        </w:rPr>
      </w:pPr>
      <w:r w:rsidRPr="00A3491F">
        <w:rPr>
          <w:rFonts w:eastAsia="Times New Roman"/>
          <w:sz w:val="22"/>
          <w:lang w:val="bg-BG"/>
        </w:rPr>
        <w:t xml:space="preserve">Сред най-съществените от приемането на този вариант на действие за постигане на идентифицираните цели е възможността чрез него да бъдат изпълнени изискванията на Директива </w:t>
      </w:r>
      <w:r w:rsidRPr="00A3491F">
        <w:rPr>
          <w:bCs/>
          <w:sz w:val="22"/>
          <w:lang w:val="bg-BG"/>
        </w:rPr>
        <w:t>2015/1535</w:t>
      </w:r>
      <w:r w:rsidRPr="00A3491F">
        <w:rPr>
          <w:rFonts w:eastAsia="Times New Roman"/>
          <w:sz w:val="22"/>
          <w:lang w:val="bg-BG"/>
        </w:rPr>
        <w:t xml:space="preserve"> и техническите регламенти, включени в закона да бъдат нотифицирани при спазване на съответната процедура. Именно такъв е и ангажиментът, поет от българската държава в хода на проведената комуникация с Европейската комисия. Така ще бъде избегнато започването на производство срещу република България за установяване на нарушение на правото на Европейския съюз и съпътстващите го финансови санкции.</w:t>
      </w:r>
    </w:p>
    <w:p w:rsidR="00DD001A" w:rsidRPr="00A3491F" w:rsidRDefault="00DD001A" w:rsidP="006B3BB7">
      <w:pPr>
        <w:spacing w:after="120"/>
        <w:rPr>
          <w:rFonts w:eastAsia="Times New Roman"/>
          <w:sz w:val="22"/>
          <w:lang w:val="bg-BG"/>
        </w:rPr>
      </w:pPr>
      <w:r w:rsidRPr="00A3491F">
        <w:rPr>
          <w:rFonts w:eastAsia="Times New Roman"/>
          <w:sz w:val="22"/>
          <w:lang w:val="bg-BG"/>
        </w:rPr>
        <w:t>В новия закон ще бъде включена новата система за контрол на лозовите насаждения, насочена към ограничаване на нерегулираното нарастване на площите на новите лозови насаждения. Това става чрез въвеждане на разрешителен режим за нови насаждения в общ годишен размер до 1 на сто от засадените с лозя площи към 31 юли на предходната година. Тя е въведена на европейско ниво с Регламент (ЕС) №1308/2013 на Европейския парламент и на Съвета от 17 декември 2013 година за установяване на обща организация на пазарите на селскостопански продукти. Новият механизъм ще допринесе за подобряване на конкурентната среда в лозаро-винарския сектор чрез запазване на качеството и авторитета на вината. Периодът на действие на разрешителния режим за лозови насаждения в Европейския съюз е от 1 януари 2016 г. до 31 декември 2030 г., като правилата за прилагането му са изготвени така, че да осигурят прозрачна, справедлива и навременно функционираща система, адаптирана към нуждите на лозаро-винарския сектор и да предпазват производителите от неравнопоставеност и прекомерна административна тежест. Предвид всичко посочено, въпреки ограничаването на възможностите за свободно засаждане, цялостното действие на тези промени се очаква да окаже положително въздействие върху сектора.</w:t>
      </w:r>
    </w:p>
    <w:p w:rsidR="00DD001A" w:rsidRPr="00A3491F" w:rsidRDefault="00DD001A" w:rsidP="006B3BB7">
      <w:pPr>
        <w:spacing w:after="120"/>
        <w:rPr>
          <w:rFonts w:eastAsia="Times New Roman"/>
          <w:sz w:val="22"/>
          <w:lang w:val="bg-BG"/>
        </w:rPr>
      </w:pPr>
      <w:r w:rsidRPr="00A3491F">
        <w:rPr>
          <w:rFonts w:eastAsia="Times New Roman"/>
          <w:sz w:val="22"/>
          <w:lang w:val="bg-BG"/>
        </w:rPr>
        <w:t>Приемането на новия закон ще окаже положително въздействие и върху другия сектор – този на производство на етилов алкохол, дестилати и спиртни напитки. Промените са насочени към създаване на възможност за по-добър контрол върху условията в обектите, в които се произвеждат тези продукти. Предвижда се приемането на подзаконов нормативен акт за прилагане на отделни разпоредби към ЗВСН, с който да се създадат и определят редът и условията за водене на регистър на лицата, които извършват внос, въвеждане на територията на страната, производство, продажба, предоставяне или предлагане на дестилационни съоръжения за производство на етилов алкохол, дестилати и спиртни напитки. Регистърът ще бъде публичен и ще се води от Министерството на икономиката.</w:t>
      </w:r>
    </w:p>
    <w:p w:rsidR="00DD001A" w:rsidRPr="00A3491F" w:rsidRDefault="00DD001A" w:rsidP="006B3BB7">
      <w:pPr>
        <w:spacing w:after="120"/>
        <w:rPr>
          <w:sz w:val="22"/>
          <w:lang w:val="bg-BG"/>
        </w:rPr>
      </w:pPr>
      <w:r w:rsidRPr="00A3491F">
        <w:rPr>
          <w:sz w:val="22"/>
          <w:lang w:val="bg-BG"/>
        </w:rPr>
        <w:t>Приемането на ЗВСН и необходимите промени в Тарифа за таксите, събирани от Изпълнителна агенция по лозата и виното ще увеличи постъпленията в бюджета за 2018 година. Предвижда се да бъдат въведени такси за следните услуги:</w:t>
      </w:r>
    </w:p>
    <w:p w:rsidR="00DD001A" w:rsidRPr="00A3491F" w:rsidRDefault="00DD001A" w:rsidP="006B3BB7">
      <w:pPr>
        <w:pStyle w:val="ListParagraph"/>
        <w:numPr>
          <w:ilvl w:val="0"/>
          <w:numId w:val="21"/>
        </w:numPr>
        <w:spacing w:after="120"/>
        <w:rPr>
          <w:rFonts w:eastAsia="Times New Roman"/>
          <w:sz w:val="22"/>
          <w:lang w:val="bg-BG"/>
        </w:rPr>
      </w:pPr>
      <w:r w:rsidRPr="00A3491F">
        <w:rPr>
          <w:rFonts w:eastAsia="Times New Roman"/>
          <w:sz w:val="22"/>
          <w:lang w:val="bg-BG"/>
        </w:rPr>
        <w:t>издаване на сертификат за безопасност на вино - ИАЛВ издава сертификат за безопасност на вино, предназначено за износ в трети страни, в случай че държавата вносител е въвела такова изискване. Таксата ще бъде диференцирана в зависимост от срока за предоставяне на услугата;</w:t>
      </w:r>
    </w:p>
    <w:p w:rsidR="00DD001A" w:rsidRPr="00A3491F" w:rsidRDefault="00DD001A" w:rsidP="006B3BB7">
      <w:pPr>
        <w:pStyle w:val="ListParagraph"/>
        <w:numPr>
          <w:ilvl w:val="0"/>
          <w:numId w:val="21"/>
        </w:numPr>
        <w:spacing w:after="120"/>
        <w:rPr>
          <w:rFonts w:eastAsia="Times New Roman"/>
          <w:sz w:val="22"/>
          <w:lang w:val="bg-BG"/>
        </w:rPr>
      </w:pPr>
      <w:r w:rsidRPr="00A3491F">
        <w:rPr>
          <w:rFonts w:eastAsia="Times New Roman"/>
          <w:sz w:val="22"/>
          <w:lang w:val="bg-BG"/>
        </w:rPr>
        <w:t xml:space="preserve">вписване в лозарския регистър на гроздопроизводител или вино/оцетопроизводител; </w:t>
      </w:r>
    </w:p>
    <w:p w:rsidR="00DD001A" w:rsidRPr="00A3491F" w:rsidRDefault="00DD001A" w:rsidP="006B3BB7">
      <w:pPr>
        <w:pStyle w:val="ListParagraph"/>
        <w:numPr>
          <w:ilvl w:val="0"/>
          <w:numId w:val="21"/>
        </w:numPr>
        <w:spacing w:after="120"/>
        <w:rPr>
          <w:rFonts w:eastAsia="Times New Roman"/>
          <w:sz w:val="22"/>
          <w:lang w:val="bg-BG"/>
        </w:rPr>
      </w:pPr>
      <w:r w:rsidRPr="00A3491F">
        <w:rPr>
          <w:rFonts w:eastAsia="Times New Roman"/>
          <w:sz w:val="22"/>
          <w:lang w:val="bg-BG"/>
        </w:rPr>
        <w:t>промяна в структурата на лозарското стопанство (подава се от гроздопроизводители) или промяна на вписани в лозарския регистър обстоятелства (подава се от регистрирани вино/оцетопроизводители);</w:t>
      </w:r>
    </w:p>
    <w:p w:rsidR="00DD001A" w:rsidRPr="00A3491F" w:rsidRDefault="00DD001A" w:rsidP="006B3BB7">
      <w:pPr>
        <w:pStyle w:val="ListParagraph"/>
        <w:numPr>
          <w:ilvl w:val="0"/>
          <w:numId w:val="21"/>
        </w:numPr>
        <w:spacing w:after="120"/>
        <w:rPr>
          <w:rFonts w:eastAsia="Times New Roman"/>
          <w:sz w:val="22"/>
          <w:lang w:val="bg-BG"/>
        </w:rPr>
      </w:pPr>
      <w:r w:rsidRPr="00A3491F">
        <w:rPr>
          <w:rFonts w:eastAsia="Times New Roman"/>
          <w:sz w:val="22"/>
          <w:lang w:val="bg-BG"/>
        </w:rPr>
        <w:t>изготвяне на становище за освобождаване на специална гаранция.</w:t>
      </w:r>
    </w:p>
    <w:p w:rsidR="00365FD5" w:rsidRPr="0099421C" w:rsidRDefault="00365FD5" w:rsidP="00365FD5">
      <w:pPr>
        <w:spacing w:after="120"/>
        <w:rPr>
          <w:rFonts w:eastAsia="Times New Roman"/>
          <w:sz w:val="22"/>
          <w:lang w:val="ru-RU"/>
        </w:rPr>
      </w:pPr>
      <w:r w:rsidRPr="00A3491F">
        <w:rPr>
          <w:rFonts w:eastAsia="Times New Roman"/>
          <w:sz w:val="22"/>
          <w:lang w:val="bg-BG"/>
        </w:rPr>
        <w:t>Предполагаемото нарастване на разходите за заинтересованите страни при сравнима аналогична база е посочена в табличен вид по-долу.</w:t>
      </w:r>
    </w:p>
    <w:p w:rsidR="00365FD5" w:rsidRPr="0099421C" w:rsidRDefault="00365FD5" w:rsidP="00365FD5">
      <w:pPr>
        <w:spacing w:after="120"/>
        <w:rPr>
          <w:rFonts w:eastAsia="Times New Roman"/>
          <w:sz w:val="22"/>
          <w:lang w:val="ru-RU"/>
        </w:rPr>
      </w:pPr>
    </w:p>
    <w:p w:rsidR="00365FD5" w:rsidRPr="0099421C" w:rsidRDefault="00365FD5" w:rsidP="006B3BB7">
      <w:pPr>
        <w:spacing w:after="120"/>
        <w:rPr>
          <w:rFonts w:eastAsia="Times New Roman"/>
          <w:sz w:val="22"/>
          <w:lang w:val="ru-RU"/>
        </w:rPr>
      </w:pPr>
      <w:r w:rsidRPr="00A3491F">
        <w:rPr>
          <w:rFonts w:eastAsia="Times New Roman"/>
          <w:bCs/>
          <w:i/>
          <w:iCs/>
          <w:sz w:val="22"/>
          <w:lang w:val="bg-BG"/>
        </w:rPr>
        <w:lastRenderedPageBreak/>
        <w:t xml:space="preserve">Таблица № 2  “Разчет на средствата, необходими за финансиране на </w:t>
      </w:r>
      <w:r w:rsidRPr="00A3491F">
        <w:rPr>
          <w:rFonts w:eastAsia="Times New Roman"/>
          <w:bCs/>
          <w:i/>
          <w:iCs/>
          <w:color w:val="000000"/>
          <w:sz w:val="22"/>
          <w:lang w:val="bg-BG"/>
        </w:rPr>
        <w:t xml:space="preserve">дейностите от избрания вариант” </w:t>
      </w:r>
    </w:p>
    <w:tbl>
      <w:tblPr>
        <w:tblW w:w="0" w:type="auto"/>
        <w:tblInd w:w="55" w:type="dxa"/>
        <w:tblCellMar>
          <w:left w:w="70" w:type="dxa"/>
          <w:right w:w="70" w:type="dxa"/>
        </w:tblCellMar>
        <w:tblLook w:val="04A0" w:firstRow="1" w:lastRow="0" w:firstColumn="1" w:lastColumn="0" w:noHBand="0" w:noVBand="1"/>
      </w:tblPr>
      <w:tblGrid>
        <w:gridCol w:w="3559"/>
        <w:gridCol w:w="1134"/>
        <w:gridCol w:w="1095"/>
        <w:gridCol w:w="1035"/>
        <w:gridCol w:w="1043"/>
        <w:gridCol w:w="1035"/>
        <w:gridCol w:w="1043"/>
      </w:tblGrid>
      <w:tr w:rsidR="00365FD5" w:rsidRPr="00A3491F" w:rsidTr="00484BCD">
        <w:trPr>
          <w:trHeight w:val="300"/>
        </w:trPr>
        <w:tc>
          <w:tcPr>
            <w:tcW w:w="3559" w:type="dxa"/>
            <w:tcBorders>
              <w:top w:val="single" w:sz="4" w:space="0" w:color="auto"/>
              <w:left w:val="single" w:sz="4" w:space="0" w:color="auto"/>
              <w:bottom w:val="nil"/>
              <w:right w:val="single" w:sz="4" w:space="0" w:color="auto"/>
            </w:tcBorders>
            <w:shd w:val="clear" w:color="auto" w:fill="auto"/>
            <w:vAlign w:val="center"/>
            <w:hideMark/>
          </w:tcPr>
          <w:p w:rsidR="00365FD5" w:rsidRPr="00A3491F" w:rsidRDefault="00365FD5" w:rsidP="00484BCD">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Дейности на</w:t>
            </w:r>
          </w:p>
        </w:tc>
        <w:tc>
          <w:tcPr>
            <w:tcW w:w="2229" w:type="dxa"/>
            <w:gridSpan w:val="2"/>
            <w:tcBorders>
              <w:top w:val="single" w:sz="4" w:space="0" w:color="auto"/>
              <w:left w:val="nil"/>
              <w:bottom w:val="nil"/>
              <w:right w:val="single" w:sz="4" w:space="0" w:color="000000"/>
            </w:tcBorders>
            <w:shd w:val="clear" w:color="auto" w:fill="auto"/>
            <w:vAlign w:val="center"/>
            <w:hideMark/>
          </w:tcPr>
          <w:p w:rsidR="00365FD5" w:rsidRPr="00A3491F" w:rsidRDefault="00365FD5" w:rsidP="00484BCD">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Разходи за </w:t>
            </w:r>
          </w:p>
        </w:tc>
        <w:tc>
          <w:tcPr>
            <w:tcW w:w="0" w:type="auto"/>
            <w:gridSpan w:val="2"/>
            <w:tcBorders>
              <w:top w:val="single" w:sz="4" w:space="0" w:color="auto"/>
              <w:left w:val="nil"/>
              <w:bottom w:val="nil"/>
              <w:right w:val="single" w:sz="4" w:space="0" w:color="000000"/>
            </w:tcBorders>
            <w:shd w:val="clear" w:color="auto" w:fill="auto"/>
            <w:vAlign w:val="center"/>
            <w:hideMark/>
          </w:tcPr>
          <w:p w:rsidR="00365FD5" w:rsidRPr="00A3491F" w:rsidRDefault="00365FD5" w:rsidP="00484BCD">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Разходи за </w:t>
            </w:r>
          </w:p>
        </w:tc>
        <w:tc>
          <w:tcPr>
            <w:tcW w:w="0" w:type="auto"/>
            <w:gridSpan w:val="2"/>
            <w:tcBorders>
              <w:top w:val="single" w:sz="4" w:space="0" w:color="auto"/>
              <w:left w:val="nil"/>
              <w:bottom w:val="nil"/>
              <w:right w:val="single" w:sz="4" w:space="0" w:color="auto"/>
            </w:tcBorders>
            <w:shd w:val="clear" w:color="auto" w:fill="auto"/>
            <w:vAlign w:val="center"/>
            <w:hideMark/>
          </w:tcPr>
          <w:p w:rsidR="00365FD5" w:rsidRPr="00A3491F" w:rsidRDefault="00365FD5" w:rsidP="00484BCD">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Разходи за </w:t>
            </w:r>
          </w:p>
        </w:tc>
      </w:tr>
      <w:tr w:rsidR="00365FD5" w:rsidRPr="00A3491F" w:rsidTr="00484BCD">
        <w:trPr>
          <w:trHeight w:val="3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65FD5" w:rsidRPr="00A3491F" w:rsidRDefault="00365FD5" w:rsidP="00484BCD">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избрания вариант</w:t>
            </w:r>
          </w:p>
        </w:tc>
        <w:tc>
          <w:tcPr>
            <w:tcW w:w="2229" w:type="dxa"/>
            <w:gridSpan w:val="2"/>
            <w:tcBorders>
              <w:top w:val="nil"/>
              <w:left w:val="nil"/>
              <w:bottom w:val="single" w:sz="4" w:space="0" w:color="auto"/>
              <w:right w:val="single" w:sz="4" w:space="0" w:color="000000"/>
            </w:tcBorders>
            <w:shd w:val="clear" w:color="auto" w:fill="auto"/>
            <w:vAlign w:val="center"/>
            <w:hideMark/>
          </w:tcPr>
          <w:p w:rsidR="00365FD5" w:rsidRPr="00A3491F" w:rsidRDefault="00365FD5" w:rsidP="00484BCD">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 2018  година</w:t>
            </w:r>
          </w:p>
        </w:tc>
        <w:tc>
          <w:tcPr>
            <w:tcW w:w="0" w:type="auto"/>
            <w:gridSpan w:val="2"/>
            <w:tcBorders>
              <w:top w:val="nil"/>
              <w:left w:val="nil"/>
              <w:bottom w:val="single" w:sz="4" w:space="0" w:color="auto"/>
              <w:right w:val="single" w:sz="4" w:space="0" w:color="000000"/>
            </w:tcBorders>
            <w:shd w:val="clear" w:color="auto" w:fill="auto"/>
            <w:vAlign w:val="center"/>
            <w:hideMark/>
          </w:tcPr>
          <w:p w:rsidR="00365FD5" w:rsidRPr="00A3491F" w:rsidRDefault="00365FD5" w:rsidP="00484BCD">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 2019 година</w:t>
            </w:r>
          </w:p>
        </w:tc>
        <w:tc>
          <w:tcPr>
            <w:tcW w:w="0" w:type="auto"/>
            <w:gridSpan w:val="2"/>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2020  година</w:t>
            </w:r>
          </w:p>
        </w:tc>
      </w:tr>
      <w:tr w:rsidR="00365FD5" w:rsidRPr="00A3491F" w:rsidTr="00484BCD">
        <w:trPr>
          <w:cantSplit/>
          <w:trHeight w:val="526"/>
        </w:trPr>
        <w:tc>
          <w:tcPr>
            <w:tcW w:w="3559" w:type="dxa"/>
            <w:tcBorders>
              <w:top w:val="nil"/>
              <w:left w:val="single" w:sz="4" w:space="0" w:color="auto"/>
              <w:bottom w:val="single" w:sz="4" w:space="0" w:color="auto"/>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В лева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65FD5" w:rsidRPr="00A3491F" w:rsidRDefault="00365FD5" w:rsidP="00484BCD">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Бюджетни средства</w:t>
            </w:r>
          </w:p>
        </w:tc>
        <w:tc>
          <w:tcPr>
            <w:tcW w:w="1095" w:type="dxa"/>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Средства от други източници</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Бюджетни средства</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Средства от други източници</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Бюджетни средства</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Средства от други източници</w:t>
            </w:r>
          </w:p>
        </w:tc>
      </w:tr>
      <w:tr w:rsidR="00365FD5" w:rsidRPr="00A3491F" w:rsidTr="00484BCD">
        <w:trPr>
          <w:cantSplit/>
          <w:trHeight w:val="300"/>
        </w:trPr>
        <w:tc>
          <w:tcPr>
            <w:tcW w:w="3559" w:type="dxa"/>
            <w:tcBorders>
              <w:top w:val="nil"/>
              <w:left w:val="single" w:sz="4" w:space="0" w:color="auto"/>
              <w:bottom w:val="nil"/>
              <w:right w:val="nil"/>
            </w:tcBorders>
            <w:shd w:val="clear" w:color="auto" w:fill="auto"/>
            <w:vAlign w:val="center"/>
            <w:hideMark/>
          </w:tcPr>
          <w:p w:rsidR="00365FD5" w:rsidRPr="00A3491F" w:rsidRDefault="00365FD5" w:rsidP="00484BCD">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І. ПРИХОДИ</w:t>
            </w:r>
          </w:p>
        </w:tc>
        <w:tc>
          <w:tcPr>
            <w:tcW w:w="1134" w:type="dxa"/>
            <w:tcBorders>
              <w:top w:val="nil"/>
              <w:left w:val="single" w:sz="4" w:space="0" w:color="auto"/>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095" w:type="dxa"/>
            <w:vMerge w:val="restart"/>
            <w:tcBorders>
              <w:top w:val="nil"/>
              <w:left w:val="single" w:sz="4" w:space="0" w:color="auto"/>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vMerge w:val="restart"/>
            <w:tcBorders>
              <w:top w:val="nil"/>
              <w:left w:val="single" w:sz="4" w:space="0" w:color="auto"/>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vMerge w:val="restart"/>
            <w:tcBorders>
              <w:top w:val="nil"/>
              <w:left w:val="single" w:sz="4" w:space="0" w:color="auto"/>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trHeight w:val="600"/>
        </w:trPr>
        <w:tc>
          <w:tcPr>
            <w:tcW w:w="3559" w:type="dxa"/>
            <w:tcBorders>
              <w:top w:val="nil"/>
              <w:left w:val="single" w:sz="4" w:space="0" w:color="auto"/>
              <w:bottom w:val="nil"/>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1. Приходи от извършване на физико-химичен и/или микробиологичен анализ по действаща тарифа</w:t>
            </w:r>
          </w:p>
        </w:tc>
        <w:tc>
          <w:tcPr>
            <w:tcW w:w="1134" w:type="dxa"/>
            <w:tcBorders>
              <w:top w:val="nil"/>
              <w:left w:val="single" w:sz="4" w:space="0" w:color="auto"/>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190690</w:t>
            </w:r>
          </w:p>
        </w:tc>
        <w:tc>
          <w:tcPr>
            <w:tcW w:w="1095" w:type="dxa"/>
            <w:vMerge/>
            <w:tcBorders>
              <w:top w:val="nil"/>
              <w:left w:val="single" w:sz="4" w:space="0" w:color="auto"/>
              <w:bottom w:val="nil"/>
              <w:right w:val="single" w:sz="4" w:space="0" w:color="auto"/>
            </w:tcBorders>
            <w:vAlign w:val="center"/>
            <w:hideMark/>
          </w:tcPr>
          <w:p w:rsidR="00365FD5" w:rsidRPr="00A3491F" w:rsidRDefault="00365FD5" w:rsidP="00484BCD">
            <w:pPr>
              <w:spacing w:after="0"/>
              <w:jc w:val="left"/>
              <w:rPr>
                <w:rFonts w:eastAsia="Times New Roman"/>
                <w:color w:val="000000"/>
                <w:sz w:val="20"/>
                <w:szCs w:val="20"/>
                <w:lang w:val="bg-BG" w:eastAsia="bg-BG"/>
              </w:rPr>
            </w:pP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190690</w:t>
            </w:r>
          </w:p>
        </w:tc>
        <w:tc>
          <w:tcPr>
            <w:tcW w:w="0" w:type="auto"/>
            <w:vMerge/>
            <w:tcBorders>
              <w:top w:val="nil"/>
              <w:left w:val="single" w:sz="4" w:space="0" w:color="auto"/>
              <w:bottom w:val="nil"/>
              <w:right w:val="single" w:sz="4" w:space="0" w:color="auto"/>
            </w:tcBorders>
            <w:vAlign w:val="center"/>
            <w:hideMark/>
          </w:tcPr>
          <w:p w:rsidR="00365FD5" w:rsidRPr="00A3491F" w:rsidRDefault="00365FD5" w:rsidP="00484BCD">
            <w:pPr>
              <w:spacing w:after="0"/>
              <w:jc w:val="left"/>
              <w:rPr>
                <w:rFonts w:eastAsia="Times New Roman"/>
                <w:color w:val="000000"/>
                <w:sz w:val="20"/>
                <w:szCs w:val="20"/>
                <w:lang w:val="bg-BG" w:eastAsia="bg-BG"/>
              </w:rPr>
            </w:pP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190690</w:t>
            </w:r>
          </w:p>
        </w:tc>
        <w:tc>
          <w:tcPr>
            <w:tcW w:w="0" w:type="auto"/>
            <w:vMerge/>
            <w:tcBorders>
              <w:top w:val="nil"/>
              <w:left w:val="single" w:sz="4" w:space="0" w:color="auto"/>
              <w:bottom w:val="nil"/>
              <w:right w:val="single" w:sz="4" w:space="0" w:color="auto"/>
            </w:tcBorders>
            <w:vAlign w:val="center"/>
            <w:hideMark/>
          </w:tcPr>
          <w:p w:rsidR="00365FD5" w:rsidRPr="00A3491F" w:rsidRDefault="00365FD5" w:rsidP="00484BCD">
            <w:pPr>
              <w:spacing w:after="0"/>
              <w:jc w:val="left"/>
              <w:rPr>
                <w:rFonts w:eastAsia="Times New Roman"/>
                <w:color w:val="000000"/>
                <w:sz w:val="20"/>
                <w:szCs w:val="20"/>
                <w:lang w:val="bg-BG" w:eastAsia="bg-BG"/>
              </w:rPr>
            </w:pPr>
          </w:p>
        </w:tc>
      </w:tr>
      <w:tr w:rsidR="00365FD5" w:rsidRPr="00A3491F" w:rsidTr="00484BCD">
        <w:trPr>
          <w:trHeight w:val="600"/>
        </w:trPr>
        <w:tc>
          <w:tcPr>
            <w:tcW w:w="3559" w:type="dxa"/>
            <w:tcBorders>
              <w:top w:val="nil"/>
              <w:left w:val="single" w:sz="4" w:space="0" w:color="auto"/>
              <w:bottom w:val="nil"/>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xml:space="preserve">Ефект от увеличение на такси </w:t>
            </w:r>
          </w:p>
        </w:tc>
        <w:tc>
          <w:tcPr>
            <w:tcW w:w="1134" w:type="dxa"/>
            <w:tcBorders>
              <w:top w:val="nil"/>
              <w:left w:val="single" w:sz="4" w:space="0" w:color="auto"/>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13928</w:t>
            </w:r>
          </w:p>
        </w:tc>
        <w:tc>
          <w:tcPr>
            <w:tcW w:w="1095" w:type="dxa"/>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13928</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13928</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trHeight w:val="66"/>
        </w:trPr>
        <w:tc>
          <w:tcPr>
            <w:tcW w:w="3559" w:type="dxa"/>
            <w:tcBorders>
              <w:top w:val="nil"/>
              <w:left w:val="single" w:sz="4" w:space="0" w:color="auto"/>
              <w:bottom w:val="single" w:sz="4" w:space="0" w:color="auto"/>
              <w:right w:val="nil"/>
            </w:tcBorders>
            <w:shd w:val="clear" w:color="auto" w:fill="auto"/>
            <w:vAlign w:val="center"/>
            <w:hideMark/>
          </w:tcPr>
          <w:p w:rsidR="00365FD5" w:rsidRPr="00A3491F" w:rsidRDefault="00365FD5" w:rsidP="00484BCD">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Общо: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204618</w:t>
            </w:r>
          </w:p>
        </w:tc>
        <w:tc>
          <w:tcPr>
            <w:tcW w:w="1095" w:type="dxa"/>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204618</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204618</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w:t>
            </w:r>
          </w:p>
        </w:tc>
      </w:tr>
      <w:tr w:rsidR="00365FD5" w:rsidRPr="00A3491F" w:rsidTr="00484BCD">
        <w:trPr>
          <w:trHeight w:val="300"/>
        </w:trPr>
        <w:tc>
          <w:tcPr>
            <w:tcW w:w="3559" w:type="dxa"/>
            <w:tcBorders>
              <w:top w:val="nil"/>
              <w:left w:val="single" w:sz="4" w:space="0" w:color="auto"/>
              <w:bottom w:val="nil"/>
              <w:right w:val="nil"/>
            </w:tcBorders>
            <w:shd w:val="clear" w:color="auto" w:fill="auto"/>
            <w:vAlign w:val="center"/>
            <w:hideMark/>
          </w:tcPr>
          <w:p w:rsidR="00365FD5" w:rsidRPr="00A3491F" w:rsidRDefault="00365FD5" w:rsidP="00484BCD">
            <w:pPr>
              <w:spacing w:after="0"/>
              <w:jc w:val="left"/>
              <w:rPr>
                <w:rFonts w:eastAsia="Times New Roman"/>
                <w:bCs/>
                <w:color w:val="000000"/>
                <w:sz w:val="20"/>
                <w:szCs w:val="20"/>
                <w:lang w:val="bg-BG" w:eastAsia="bg-BG"/>
              </w:rPr>
            </w:pPr>
            <w:r w:rsidRPr="00A3491F">
              <w:rPr>
                <w:rFonts w:eastAsia="Times New Roman"/>
                <w:bCs/>
                <w:color w:val="000000"/>
                <w:sz w:val="20"/>
                <w:szCs w:val="20"/>
                <w:lang w:val="bg-BG" w:eastAsia="bg-BG"/>
              </w:rPr>
              <w:t>2. Приходи от други такси по съществуваща тарифа - от чл.4 до чл.7</w:t>
            </w:r>
          </w:p>
        </w:tc>
        <w:tc>
          <w:tcPr>
            <w:tcW w:w="1134" w:type="dxa"/>
            <w:tcBorders>
              <w:top w:val="nil"/>
              <w:left w:val="single" w:sz="4" w:space="0" w:color="auto"/>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54069</w:t>
            </w:r>
          </w:p>
        </w:tc>
        <w:tc>
          <w:tcPr>
            <w:tcW w:w="1095" w:type="dxa"/>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54069</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54069</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bCs/>
                <w:color w:val="000000"/>
                <w:sz w:val="20"/>
                <w:szCs w:val="20"/>
                <w:lang w:val="bg-BG" w:eastAsia="bg-BG"/>
              </w:rPr>
            </w:pPr>
            <w:r w:rsidRPr="00A3491F">
              <w:rPr>
                <w:rFonts w:eastAsia="Times New Roman"/>
                <w:bCs/>
                <w:color w:val="000000"/>
                <w:sz w:val="20"/>
                <w:szCs w:val="20"/>
                <w:lang w:val="bg-BG" w:eastAsia="bg-BG"/>
              </w:rPr>
              <w:t> </w:t>
            </w:r>
          </w:p>
        </w:tc>
      </w:tr>
      <w:tr w:rsidR="00365FD5" w:rsidRPr="00A3491F" w:rsidTr="00484BCD">
        <w:trPr>
          <w:cantSplit/>
          <w:trHeight w:val="300"/>
        </w:trPr>
        <w:tc>
          <w:tcPr>
            <w:tcW w:w="3559" w:type="dxa"/>
            <w:tcBorders>
              <w:top w:val="single" w:sz="4" w:space="0" w:color="auto"/>
              <w:left w:val="single" w:sz="4" w:space="0" w:color="auto"/>
              <w:bottom w:val="single" w:sz="4" w:space="0" w:color="auto"/>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3. Приходи от  издаване на Сертификат за безопасност на вино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10385</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10385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10385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cantSplit/>
          <w:trHeight w:val="600"/>
        </w:trPr>
        <w:tc>
          <w:tcPr>
            <w:tcW w:w="3559" w:type="dxa"/>
            <w:tcBorders>
              <w:top w:val="nil"/>
              <w:left w:val="single" w:sz="4" w:space="0" w:color="auto"/>
              <w:bottom w:val="nil"/>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xml:space="preserve">4. Приходи от вписване в лозарския регистър на </w:t>
            </w:r>
            <w:proofErr w:type="spellStart"/>
            <w:r w:rsidRPr="00A3491F">
              <w:rPr>
                <w:rFonts w:eastAsia="Times New Roman"/>
                <w:color w:val="000000"/>
                <w:sz w:val="20"/>
                <w:szCs w:val="20"/>
                <w:lang w:val="bg-BG" w:eastAsia="bg-BG"/>
              </w:rPr>
              <w:t>гроздопроизводител</w:t>
            </w:r>
            <w:proofErr w:type="spellEnd"/>
            <w:r w:rsidRPr="00A3491F">
              <w:rPr>
                <w:rFonts w:eastAsia="Times New Roman"/>
                <w:color w:val="000000"/>
                <w:sz w:val="20"/>
                <w:szCs w:val="20"/>
                <w:lang w:val="bg-BG" w:eastAsia="bg-BG"/>
              </w:rPr>
              <w:t xml:space="preserve"> или вино/</w:t>
            </w:r>
            <w:proofErr w:type="spellStart"/>
            <w:r w:rsidRPr="00A3491F">
              <w:rPr>
                <w:rFonts w:eastAsia="Times New Roman"/>
                <w:color w:val="000000"/>
                <w:sz w:val="20"/>
                <w:szCs w:val="20"/>
                <w:lang w:val="bg-BG" w:eastAsia="bg-BG"/>
              </w:rPr>
              <w:t>оцетопроизводител</w:t>
            </w:r>
            <w:proofErr w:type="spellEnd"/>
          </w:p>
        </w:tc>
        <w:tc>
          <w:tcPr>
            <w:tcW w:w="1134" w:type="dxa"/>
            <w:tcBorders>
              <w:top w:val="nil"/>
              <w:left w:val="single" w:sz="4" w:space="0" w:color="auto"/>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8816</w:t>
            </w:r>
          </w:p>
        </w:tc>
        <w:tc>
          <w:tcPr>
            <w:tcW w:w="1095" w:type="dxa"/>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8816</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8816</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cantSplit/>
          <w:trHeight w:val="480"/>
        </w:trPr>
        <w:tc>
          <w:tcPr>
            <w:tcW w:w="3559" w:type="dxa"/>
            <w:tcBorders>
              <w:top w:val="single" w:sz="4" w:space="0" w:color="auto"/>
              <w:left w:val="single" w:sz="4" w:space="0" w:color="auto"/>
              <w:bottom w:val="single" w:sz="4" w:space="0" w:color="auto"/>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5. Приходи от заявления за промяна в структурата на лозарското стопанство и промяна на вписани в лозарския регистър обстоятелства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7500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7500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7500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cantSplit/>
          <w:trHeight w:val="600"/>
        </w:trPr>
        <w:tc>
          <w:tcPr>
            <w:tcW w:w="3559" w:type="dxa"/>
            <w:tcBorders>
              <w:top w:val="nil"/>
              <w:left w:val="single" w:sz="4" w:space="0" w:color="auto"/>
              <w:bottom w:val="single" w:sz="4" w:space="0" w:color="auto"/>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xml:space="preserve">6. Приходи от такси за изготвяне на становище за освобождаване на специална гаранция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2629</w:t>
            </w:r>
          </w:p>
        </w:tc>
        <w:tc>
          <w:tcPr>
            <w:tcW w:w="1095" w:type="dxa"/>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2629</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2629</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cantSplit/>
          <w:trHeight w:val="420"/>
        </w:trPr>
        <w:tc>
          <w:tcPr>
            <w:tcW w:w="3559" w:type="dxa"/>
            <w:tcBorders>
              <w:top w:val="nil"/>
              <w:left w:val="single" w:sz="4" w:space="0" w:color="auto"/>
              <w:bottom w:val="nil"/>
              <w:right w:val="nil"/>
            </w:tcBorders>
            <w:shd w:val="clear" w:color="auto" w:fill="auto"/>
            <w:vAlign w:val="center"/>
            <w:hideMark/>
          </w:tcPr>
          <w:p w:rsidR="00365FD5" w:rsidRPr="00A3491F" w:rsidRDefault="00365FD5" w:rsidP="00484BCD">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ІІ. РАЗХОДИ</w:t>
            </w:r>
          </w:p>
        </w:tc>
        <w:tc>
          <w:tcPr>
            <w:tcW w:w="1134" w:type="dxa"/>
            <w:tcBorders>
              <w:top w:val="nil"/>
              <w:left w:val="single" w:sz="4" w:space="0" w:color="auto"/>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095" w:type="dxa"/>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nil"/>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trHeight w:val="300"/>
        </w:trPr>
        <w:tc>
          <w:tcPr>
            <w:tcW w:w="3559" w:type="dxa"/>
            <w:tcBorders>
              <w:top w:val="single" w:sz="4" w:space="0" w:color="auto"/>
              <w:left w:val="single" w:sz="4" w:space="0" w:color="auto"/>
              <w:bottom w:val="single" w:sz="4" w:space="0" w:color="auto"/>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1. Разходи за извършване на физико-химичен и/или микробиологичен анализ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-204618</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-204618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-204618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trHeight w:val="300"/>
        </w:trPr>
        <w:tc>
          <w:tcPr>
            <w:tcW w:w="3559" w:type="dxa"/>
            <w:tcBorders>
              <w:top w:val="nil"/>
              <w:left w:val="single" w:sz="4" w:space="0" w:color="auto"/>
              <w:bottom w:val="single" w:sz="4" w:space="0" w:color="auto"/>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2. Разходи свързани с други такси по съществуваща тарифа - от чл.4 до чл.7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-54069</w:t>
            </w:r>
          </w:p>
        </w:tc>
        <w:tc>
          <w:tcPr>
            <w:tcW w:w="1095" w:type="dxa"/>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-54069</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-54069</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cantSplit/>
          <w:trHeight w:val="300"/>
        </w:trPr>
        <w:tc>
          <w:tcPr>
            <w:tcW w:w="3559" w:type="dxa"/>
            <w:tcBorders>
              <w:top w:val="nil"/>
              <w:left w:val="single" w:sz="4" w:space="0" w:color="auto"/>
              <w:bottom w:val="single" w:sz="4" w:space="0" w:color="auto"/>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3. Разходи за издаване на Сертификат за безопасност на вино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-10385</w:t>
            </w:r>
          </w:p>
        </w:tc>
        <w:tc>
          <w:tcPr>
            <w:tcW w:w="1095" w:type="dxa"/>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-10385</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-10385</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cantSplit/>
          <w:trHeight w:val="615"/>
        </w:trPr>
        <w:tc>
          <w:tcPr>
            <w:tcW w:w="3559" w:type="dxa"/>
            <w:tcBorders>
              <w:top w:val="nil"/>
              <w:left w:val="single" w:sz="4" w:space="0" w:color="auto"/>
              <w:bottom w:val="single" w:sz="8" w:space="0" w:color="auto"/>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xml:space="preserve">4. Разходи за вписване в лозарския регистър на </w:t>
            </w:r>
            <w:proofErr w:type="spellStart"/>
            <w:r w:rsidRPr="00A3491F">
              <w:rPr>
                <w:rFonts w:eastAsia="Times New Roman"/>
                <w:color w:val="000000"/>
                <w:sz w:val="20"/>
                <w:szCs w:val="20"/>
                <w:lang w:val="bg-BG" w:eastAsia="bg-BG"/>
              </w:rPr>
              <w:t>гроздопроизводител</w:t>
            </w:r>
            <w:proofErr w:type="spellEnd"/>
            <w:r w:rsidRPr="00A3491F">
              <w:rPr>
                <w:rFonts w:eastAsia="Times New Roman"/>
                <w:color w:val="000000"/>
                <w:sz w:val="20"/>
                <w:szCs w:val="20"/>
                <w:lang w:val="bg-BG" w:eastAsia="bg-BG"/>
              </w:rPr>
              <w:t xml:space="preserve"> или вино/</w:t>
            </w:r>
            <w:proofErr w:type="spellStart"/>
            <w:r w:rsidRPr="00A3491F">
              <w:rPr>
                <w:rFonts w:eastAsia="Times New Roman"/>
                <w:color w:val="000000"/>
                <w:sz w:val="20"/>
                <w:szCs w:val="20"/>
                <w:lang w:val="bg-BG" w:eastAsia="bg-BG"/>
              </w:rPr>
              <w:t>оцетопроизводител</w:t>
            </w:r>
            <w:proofErr w:type="spellEnd"/>
          </w:p>
        </w:tc>
        <w:tc>
          <w:tcPr>
            <w:tcW w:w="1134" w:type="dxa"/>
            <w:tcBorders>
              <w:top w:val="nil"/>
              <w:left w:val="single" w:sz="4" w:space="0" w:color="auto"/>
              <w:bottom w:val="single" w:sz="8"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-8816</w:t>
            </w:r>
          </w:p>
        </w:tc>
        <w:tc>
          <w:tcPr>
            <w:tcW w:w="1095" w:type="dxa"/>
            <w:tcBorders>
              <w:top w:val="nil"/>
              <w:left w:val="nil"/>
              <w:bottom w:val="single" w:sz="8"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single" w:sz="8"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-8816</w:t>
            </w:r>
          </w:p>
        </w:tc>
        <w:tc>
          <w:tcPr>
            <w:tcW w:w="0" w:type="auto"/>
            <w:tcBorders>
              <w:top w:val="nil"/>
              <w:left w:val="nil"/>
              <w:bottom w:val="single" w:sz="8"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single" w:sz="8"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-8816</w:t>
            </w:r>
          </w:p>
        </w:tc>
        <w:tc>
          <w:tcPr>
            <w:tcW w:w="0" w:type="auto"/>
            <w:tcBorders>
              <w:top w:val="nil"/>
              <w:left w:val="nil"/>
              <w:bottom w:val="single" w:sz="8"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cantSplit/>
          <w:trHeight w:val="900"/>
        </w:trPr>
        <w:tc>
          <w:tcPr>
            <w:tcW w:w="3559" w:type="dxa"/>
            <w:tcBorders>
              <w:top w:val="single" w:sz="4" w:space="0" w:color="auto"/>
              <w:left w:val="single" w:sz="4" w:space="0" w:color="auto"/>
              <w:bottom w:val="single" w:sz="4" w:space="0" w:color="auto"/>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5. Разходи за заявления за промяна в структурата на лозарското стопанство и промяна на вписани в лозарския регистър обстоятелства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-7500</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-7500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-7500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cantSplit/>
          <w:trHeight w:val="600"/>
        </w:trPr>
        <w:tc>
          <w:tcPr>
            <w:tcW w:w="3559" w:type="dxa"/>
            <w:tcBorders>
              <w:top w:val="nil"/>
              <w:left w:val="single" w:sz="4" w:space="0" w:color="auto"/>
              <w:bottom w:val="single" w:sz="4" w:space="0" w:color="auto"/>
              <w:right w:val="nil"/>
            </w:tcBorders>
            <w:shd w:val="clear" w:color="auto" w:fill="auto"/>
            <w:vAlign w:val="center"/>
            <w:hideMark/>
          </w:tcPr>
          <w:p w:rsidR="00365FD5" w:rsidRPr="00A3491F" w:rsidRDefault="00365FD5" w:rsidP="00484BCD">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xml:space="preserve">6. Разходи за изготвяне на становище за освобождаване на специална гаранция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-2629</w:t>
            </w:r>
          </w:p>
        </w:tc>
        <w:tc>
          <w:tcPr>
            <w:tcW w:w="1095" w:type="dxa"/>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-2629</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-2629</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365FD5" w:rsidRPr="00A3491F" w:rsidTr="00484BCD">
        <w:trPr>
          <w:cantSplit/>
          <w:trHeight w:val="300"/>
        </w:trPr>
        <w:tc>
          <w:tcPr>
            <w:tcW w:w="3559" w:type="dxa"/>
            <w:tcBorders>
              <w:top w:val="nil"/>
              <w:left w:val="single" w:sz="4" w:space="0" w:color="auto"/>
              <w:bottom w:val="single" w:sz="4" w:space="0" w:color="auto"/>
              <w:right w:val="nil"/>
            </w:tcBorders>
            <w:shd w:val="clear" w:color="auto" w:fill="auto"/>
            <w:vAlign w:val="center"/>
            <w:hideMark/>
          </w:tcPr>
          <w:p w:rsidR="00365FD5" w:rsidRPr="00A3491F" w:rsidRDefault="00365FD5" w:rsidP="00484BCD">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Общо: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0</w:t>
            </w:r>
          </w:p>
        </w:tc>
        <w:tc>
          <w:tcPr>
            <w:tcW w:w="1095" w:type="dxa"/>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0</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0</w:t>
            </w:r>
          </w:p>
        </w:tc>
        <w:tc>
          <w:tcPr>
            <w:tcW w:w="0" w:type="auto"/>
            <w:tcBorders>
              <w:top w:val="nil"/>
              <w:left w:val="nil"/>
              <w:bottom w:val="single" w:sz="4" w:space="0" w:color="auto"/>
              <w:right w:val="single" w:sz="4" w:space="0" w:color="auto"/>
            </w:tcBorders>
            <w:shd w:val="clear" w:color="auto" w:fill="auto"/>
            <w:vAlign w:val="center"/>
            <w:hideMark/>
          </w:tcPr>
          <w:p w:rsidR="00365FD5" w:rsidRPr="00A3491F" w:rsidRDefault="00365FD5" w:rsidP="00484BCD">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w:t>
            </w:r>
          </w:p>
        </w:tc>
      </w:tr>
    </w:tbl>
    <w:p w:rsidR="00365FD5" w:rsidRPr="00A3491F" w:rsidRDefault="00365FD5" w:rsidP="006B3BB7">
      <w:pPr>
        <w:spacing w:after="120"/>
        <w:rPr>
          <w:rFonts w:eastAsia="Times New Roman"/>
          <w:sz w:val="22"/>
        </w:rPr>
      </w:pPr>
    </w:p>
    <w:p w:rsidR="00223FA0" w:rsidRPr="00A3491F" w:rsidRDefault="00DD001A" w:rsidP="006B3BB7">
      <w:pPr>
        <w:spacing w:after="120"/>
        <w:rPr>
          <w:rFonts w:eastAsia="Times New Roman"/>
          <w:sz w:val="22"/>
          <w:lang w:val="bg-BG"/>
        </w:rPr>
      </w:pPr>
      <w:r w:rsidRPr="00A3491F">
        <w:rPr>
          <w:rFonts w:eastAsia="Times New Roman"/>
          <w:sz w:val="22"/>
          <w:lang w:val="bg-BG"/>
        </w:rPr>
        <w:lastRenderedPageBreak/>
        <w:t>Предвижда се и актуализиране на таксите, събирани от ИАЛВ за извършване на физико-химичен и/или микробиологичен анализ, като те ще бъдат увеличени средно с около 10% спрямо утвърдените стойности в действащата тарифа. Промяната е обусловена най-вече от увеличените разходи за консумативи и разходите</w:t>
      </w:r>
      <w:r w:rsidR="006E448F" w:rsidRPr="00A3491F">
        <w:rPr>
          <w:rFonts w:eastAsia="Times New Roman"/>
          <w:sz w:val="22"/>
          <w:lang w:val="bg-BG"/>
        </w:rPr>
        <w:t>,</w:t>
      </w:r>
      <w:r w:rsidRPr="00A3491F">
        <w:rPr>
          <w:rFonts w:eastAsia="Times New Roman"/>
          <w:sz w:val="22"/>
          <w:lang w:val="bg-BG"/>
        </w:rPr>
        <w:t xml:space="preserve"> свързани с издръжката на тази дейност. Стойностите в тарифата не са актуализирани и привеждани в съответствие с действащите пазарни </w:t>
      </w:r>
      <w:r w:rsidR="006E448F" w:rsidRPr="00A3491F">
        <w:rPr>
          <w:rFonts w:eastAsia="Times New Roman"/>
          <w:sz w:val="22"/>
          <w:lang w:val="bg-BG"/>
        </w:rPr>
        <w:t xml:space="preserve">стойности </w:t>
      </w:r>
      <w:r w:rsidRPr="00A3491F">
        <w:rPr>
          <w:rFonts w:eastAsia="Times New Roman"/>
          <w:sz w:val="22"/>
          <w:lang w:val="bg-BG"/>
        </w:rPr>
        <w:t xml:space="preserve">повече от 10г. </w:t>
      </w:r>
    </w:p>
    <w:p w:rsidR="004714BB" w:rsidRPr="00A3491F" w:rsidRDefault="00DD001A" w:rsidP="00365FD5">
      <w:pPr>
        <w:spacing w:after="120"/>
        <w:rPr>
          <w:rFonts w:eastAsia="Times New Roman"/>
          <w:sz w:val="22"/>
          <w:lang w:val="bg-BG"/>
        </w:rPr>
      </w:pPr>
      <w:r w:rsidRPr="00A3491F">
        <w:rPr>
          <w:rFonts w:eastAsia="Times New Roman"/>
          <w:sz w:val="22"/>
          <w:lang w:val="bg-BG"/>
        </w:rPr>
        <w:t>Общо разходите за вино- и гроздопроизводителите, за заплащане на такси за предвидените в ЗВСН услуги, се очаква да нараснат с около 43 хил. лева при сравнима аналогична база разходи в предходни периоди. Не се очаква това да доведе до съществена финансова тежест за производителите, тъй като разходът ще бъде разпределен според броя и вида на услугите, които са заявени през съответната година.</w:t>
      </w:r>
      <w:r w:rsidR="004714BB" w:rsidRPr="00A3491F">
        <w:rPr>
          <w:rFonts w:eastAsia="Times New Roman"/>
          <w:sz w:val="22"/>
          <w:lang w:val="bg-BG"/>
        </w:rPr>
        <w:t xml:space="preserve"> </w:t>
      </w:r>
    </w:p>
    <w:p w:rsidR="004714BB" w:rsidRPr="00A3491F" w:rsidRDefault="004714BB" w:rsidP="006B3BB7">
      <w:pPr>
        <w:tabs>
          <w:tab w:val="center" w:pos="4153"/>
          <w:tab w:val="right" w:pos="8306"/>
        </w:tabs>
        <w:spacing w:before="120" w:after="120"/>
        <w:rPr>
          <w:rFonts w:eastAsia="Times New Roman"/>
          <w:i/>
          <w:iCs/>
          <w:color w:val="000000"/>
          <w:sz w:val="22"/>
          <w:lang w:val="bg-BG"/>
        </w:rPr>
      </w:pPr>
      <w:r w:rsidRPr="00A3491F">
        <w:rPr>
          <w:rFonts w:eastAsia="Times New Roman"/>
          <w:i/>
          <w:iCs/>
          <w:sz w:val="22"/>
          <w:lang w:val="bg-BG"/>
        </w:rPr>
        <w:t>Таблица №</w:t>
      </w:r>
      <w:r w:rsidR="00EB19F8" w:rsidRPr="00A3491F">
        <w:rPr>
          <w:rFonts w:eastAsia="Times New Roman"/>
          <w:i/>
          <w:iCs/>
          <w:sz w:val="22"/>
          <w:lang w:val="bg-BG"/>
        </w:rPr>
        <w:t>3</w:t>
      </w:r>
      <w:r w:rsidRPr="00A3491F">
        <w:rPr>
          <w:rFonts w:eastAsia="Times New Roman"/>
          <w:i/>
          <w:iCs/>
          <w:sz w:val="22"/>
          <w:lang w:val="bg-BG"/>
        </w:rPr>
        <w:t xml:space="preserve">  за изменения в стойностни и натурални показатели по бюджета или </w:t>
      </w:r>
      <w:r w:rsidRPr="00A3491F">
        <w:rPr>
          <w:rFonts w:eastAsia="Times New Roman"/>
          <w:i/>
          <w:iCs/>
          <w:color w:val="000000"/>
          <w:sz w:val="22"/>
          <w:lang w:val="bg-BG"/>
        </w:rPr>
        <w:t>бюджетите, пр</w:t>
      </w:r>
      <w:r w:rsidR="00EB19F8" w:rsidRPr="00A3491F">
        <w:rPr>
          <w:rFonts w:eastAsia="Times New Roman"/>
          <w:i/>
          <w:iCs/>
          <w:color w:val="000000"/>
          <w:sz w:val="22"/>
          <w:lang w:val="bg-BG"/>
        </w:rPr>
        <w:t xml:space="preserve">оизтичащи от предлагания проект на </w:t>
      </w:r>
      <w:r w:rsidRPr="00A3491F">
        <w:rPr>
          <w:rFonts w:eastAsia="Times New Roman"/>
          <w:i/>
          <w:iCs/>
          <w:color w:val="000000"/>
          <w:sz w:val="22"/>
          <w:lang w:val="bg-BG"/>
        </w:rPr>
        <w:t>акт</w:t>
      </w:r>
      <w:r w:rsidR="00EB19F8" w:rsidRPr="00A3491F">
        <w:rPr>
          <w:rFonts w:eastAsia="Times New Roman"/>
          <w:i/>
          <w:iCs/>
          <w:color w:val="000000"/>
          <w:sz w:val="22"/>
          <w:lang w:val="bg-BG"/>
        </w:rPr>
        <w:t>:</w:t>
      </w:r>
    </w:p>
    <w:p w:rsidR="004714BB" w:rsidRPr="00A3491F" w:rsidRDefault="0003661E" w:rsidP="006B3BB7">
      <w:pPr>
        <w:tabs>
          <w:tab w:val="center" w:pos="4153"/>
          <w:tab w:val="right" w:pos="8306"/>
        </w:tabs>
        <w:spacing w:before="120" w:after="120"/>
        <w:ind w:right="-288"/>
        <w:rPr>
          <w:rFonts w:eastAsia="Times New Roman"/>
          <w:iCs/>
          <w:color w:val="000000"/>
          <w:sz w:val="22"/>
          <w:lang w:val="bg-BG"/>
        </w:rPr>
      </w:pPr>
      <w:r w:rsidRPr="00A3491F">
        <w:rPr>
          <w:rFonts w:eastAsia="Times New Roman"/>
          <w:iCs/>
          <w:color w:val="000000"/>
          <w:sz w:val="22"/>
          <w:lang w:val="bg-BG"/>
        </w:rPr>
        <w:tab/>
      </w:r>
      <w:r w:rsidRPr="00A3491F">
        <w:rPr>
          <w:rFonts w:eastAsia="Times New Roman"/>
          <w:iCs/>
          <w:color w:val="000000"/>
          <w:sz w:val="22"/>
          <w:lang w:val="bg-BG"/>
        </w:rPr>
        <w:tab/>
      </w:r>
      <w:r w:rsidRPr="00A3491F">
        <w:rPr>
          <w:rFonts w:eastAsia="Times New Roman"/>
          <w:iCs/>
          <w:color w:val="000000"/>
          <w:sz w:val="22"/>
          <w:lang w:val="bg-BG"/>
        </w:rPr>
        <w:tab/>
      </w:r>
      <w:r w:rsidR="00EB19F8" w:rsidRPr="00A3491F">
        <w:rPr>
          <w:rFonts w:eastAsia="Times New Roman"/>
          <w:iCs/>
          <w:color w:val="000000"/>
          <w:sz w:val="22"/>
          <w:lang w:val="bg-BG"/>
        </w:rPr>
        <w:t>(в лева</w:t>
      </w:r>
      <w:r w:rsidR="004714BB" w:rsidRPr="00A3491F">
        <w:rPr>
          <w:rFonts w:eastAsia="Times New Roman"/>
          <w:iCs/>
          <w:color w:val="000000"/>
          <w:sz w:val="22"/>
          <w:lang w:val="bg-BG"/>
        </w:rPr>
        <w:t>)</w:t>
      </w:r>
    </w:p>
    <w:tbl>
      <w:tblPr>
        <w:tblW w:w="5000" w:type="pct"/>
        <w:tblLayout w:type="fixed"/>
        <w:tblCellMar>
          <w:left w:w="70" w:type="dxa"/>
          <w:right w:w="70" w:type="dxa"/>
        </w:tblCellMar>
        <w:tblLook w:val="04A0" w:firstRow="1" w:lastRow="0" w:firstColumn="1" w:lastColumn="0" w:noHBand="0" w:noVBand="1"/>
      </w:tblPr>
      <w:tblGrid>
        <w:gridCol w:w="1323"/>
        <w:gridCol w:w="1392"/>
        <w:gridCol w:w="1130"/>
        <w:gridCol w:w="1594"/>
        <w:gridCol w:w="1436"/>
        <w:gridCol w:w="1566"/>
        <w:gridCol w:w="1558"/>
      </w:tblGrid>
      <w:tr w:rsidR="004714BB" w:rsidRPr="00A3491F" w:rsidTr="00EB19F8">
        <w:trPr>
          <w:trHeight w:val="114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Показа-тели</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За </w:t>
            </w:r>
            <w:proofErr w:type="spellStart"/>
            <w:r w:rsidRPr="00A3491F">
              <w:rPr>
                <w:rFonts w:eastAsia="Times New Roman"/>
                <w:b/>
                <w:bCs/>
                <w:color w:val="000000"/>
                <w:sz w:val="20"/>
                <w:szCs w:val="20"/>
                <w:lang w:val="bg-BG" w:eastAsia="bg-BG"/>
              </w:rPr>
              <w:t>предход-ната</w:t>
            </w:r>
            <w:proofErr w:type="spellEnd"/>
            <w:r w:rsidRPr="00A3491F">
              <w:rPr>
                <w:rFonts w:eastAsia="Times New Roman"/>
                <w:b/>
                <w:bCs/>
                <w:color w:val="000000"/>
                <w:sz w:val="20"/>
                <w:szCs w:val="20"/>
                <w:lang w:val="bg-BG" w:eastAsia="bg-BG"/>
              </w:rPr>
              <w:t xml:space="preserve"> отчетна 2016 г.</w:t>
            </w:r>
          </w:p>
        </w:tc>
        <w:tc>
          <w:tcPr>
            <w:tcW w:w="565" w:type="pct"/>
            <w:tcBorders>
              <w:top w:val="single" w:sz="4" w:space="0" w:color="auto"/>
              <w:left w:val="nil"/>
              <w:bottom w:val="single" w:sz="4" w:space="0" w:color="auto"/>
              <w:right w:val="single" w:sz="4" w:space="0" w:color="auto"/>
            </w:tcBorders>
            <w:shd w:val="clear" w:color="auto" w:fill="auto"/>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Уточнен план за 2017 г.</w:t>
            </w:r>
          </w:p>
        </w:tc>
        <w:tc>
          <w:tcPr>
            <w:tcW w:w="797" w:type="pct"/>
            <w:tcBorders>
              <w:top w:val="single" w:sz="4" w:space="0" w:color="auto"/>
              <w:left w:val="nil"/>
              <w:bottom w:val="single" w:sz="4" w:space="0" w:color="auto"/>
              <w:right w:val="single" w:sz="4" w:space="0" w:color="auto"/>
            </w:tcBorders>
            <w:shd w:val="clear" w:color="auto" w:fill="auto"/>
            <w:hideMark/>
          </w:tcPr>
          <w:p w:rsidR="004714BB" w:rsidRPr="00A3491F" w:rsidRDefault="004714BB" w:rsidP="006B3BB7">
            <w:pPr>
              <w:spacing w:after="0"/>
              <w:jc w:val="left"/>
              <w:rPr>
                <w:rFonts w:eastAsia="Times New Roman"/>
                <w:b/>
                <w:bCs/>
                <w:color w:val="000000"/>
                <w:sz w:val="20"/>
                <w:szCs w:val="20"/>
                <w:lang w:val="bg-BG" w:eastAsia="bg-BG"/>
              </w:rPr>
            </w:pPr>
            <w:proofErr w:type="spellStart"/>
            <w:r w:rsidRPr="00A3491F">
              <w:rPr>
                <w:rFonts w:eastAsia="Times New Roman"/>
                <w:b/>
                <w:bCs/>
                <w:color w:val="000000"/>
                <w:sz w:val="20"/>
                <w:szCs w:val="20"/>
                <w:lang w:val="bg-BG" w:eastAsia="bg-BG"/>
              </w:rPr>
              <w:t>Произти-чащи</w:t>
            </w:r>
            <w:proofErr w:type="spellEnd"/>
            <w:r w:rsidRPr="00A3491F">
              <w:rPr>
                <w:rFonts w:eastAsia="Times New Roman"/>
                <w:b/>
                <w:bCs/>
                <w:color w:val="000000"/>
                <w:sz w:val="20"/>
                <w:szCs w:val="20"/>
                <w:lang w:val="bg-BG" w:eastAsia="bg-BG"/>
              </w:rPr>
              <w:t xml:space="preserve"> ангажименти за 2017 г.</w:t>
            </w:r>
          </w:p>
        </w:tc>
        <w:tc>
          <w:tcPr>
            <w:tcW w:w="718" w:type="pct"/>
            <w:tcBorders>
              <w:top w:val="single" w:sz="4" w:space="0" w:color="auto"/>
              <w:left w:val="nil"/>
              <w:bottom w:val="single" w:sz="4" w:space="0" w:color="auto"/>
              <w:right w:val="single" w:sz="4" w:space="0" w:color="auto"/>
            </w:tcBorders>
            <w:shd w:val="clear" w:color="auto" w:fill="auto"/>
            <w:hideMark/>
          </w:tcPr>
          <w:p w:rsidR="004714BB" w:rsidRPr="00A3491F" w:rsidRDefault="004714BB" w:rsidP="006B3BB7">
            <w:pPr>
              <w:spacing w:after="0"/>
              <w:jc w:val="left"/>
              <w:rPr>
                <w:rFonts w:eastAsia="Times New Roman"/>
                <w:b/>
                <w:bCs/>
                <w:color w:val="000000"/>
                <w:sz w:val="20"/>
                <w:szCs w:val="20"/>
                <w:lang w:val="bg-BG" w:eastAsia="bg-BG"/>
              </w:rPr>
            </w:pPr>
            <w:proofErr w:type="spellStart"/>
            <w:r w:rsidRPr="00A3491F">
              <w:rPr>
                <w:rFonts w:eastAsia="Times New Roman"/>
                <w:b/>
                <w:bCs/>
                <w:color w:val="000000"/>
                <w:sz w:val="20"/>
                <w:szCs w:val="20"/>
                <w:lang w:val="bg-BG" w:eastAsia="bg-BG"/>
              </w:rPr>
              <w:t>Ангажи-менти</w:t>
            </w:r>
            <w:proofErr w:type="spellEnd"/>
            <w:r w:rsidRPr="00A3491F">
              <w:rPr>
                <w:rFonts w:eastAsia="Times New Roman"/>
                <w:b/>
                <w:bCs/>
                <w:color w:val="000000"/>
                <w:sz w:val="20"/>
                <w:szCs w:val="20"/>
                <w:lang w:val="bg-BG" w:eastAsia="bg-BG"/>
              </w:rPr>
              <w:t xml:space="preserve"> </w:t>
            </w:r>
          </w:p>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за 2018 г.</w:t>
            </w:r>
          </w:p>
        </w:tc>
        <w:tc>
          <w:tcPr>
            <w:tcW w:w="783" w:type="pct"/>
            <w:tcBorders>
              <w:top w:val="single" w:sz="4" w:space="0" w:color="auto"/>
              <w:left w:val="nil"/>
              <w:bottom w:val="single" w:sz="4" w:space="0" w:color="auto"/>
              <w:right w:val="single" w:sz="4" w:space="0" w:color="auto"/>
            </w:tcBorders>
            <w:shd w:val="clear" w:color="auto" w:fill="auto"/>
            <w:hideMark/>
          </w:tcPr>
          <w:p w:rsidR="004714BB" w:rsidRPr="00A3491F" w:rsidRDefault="004714BB" w:rsidP="006B3BB7">
            <w:pPr>
              <w:spacing w:after="0"/>
              <w:jc w:val="left"/>
              <w:rPr>
                <w:rFonts w:eastAsia="Times New Roman"/>
                <w:b/>
                <w:bCs/>
                <w:color w:val="000000"/>
                <w:sz w:val="20"/>
                <w:szCs w:val="20"/>
                <w:lang w:val="bg-BG" w:eastAsia="bg-BG"/>
              </w:rPr>
            </w:pPr>
            <w:proofErr w:type="spellStart"/>
            <w:r w:rsidRPr="00A3491F">
              <w:rPr>
                <w:rFonts w:eastAsia="Times New Roman"/>
                <w:b/>
                <w:bCs/>
                <w:color w:val="000000"/>
                <w:sz w:val="20"/>
                <w:szCs w:val="20"/>
                <w:lang w:val="bg-BG" w:eastAsia="bg-BG"/>
              </w:rPr>
              <w:t>Ангажи-менти</w:t>
            </w:r>
            <w:proofErr w:type="spellEnd"/>
            <w:r w:rsidRPr="00A3491F">
              <w:rPr>
                <w:rFonts w:eastAsia="Times New Roman"/>
                <w:b/>
                <w:bCs/>
                <w:color w:val="000000"/>
                <w:sz w:val="20"/>
                <w:szCs w:val="20"/>
                <w:lang w:val="bg-BG" w:eastAsia="bg-BG"/>
              </w:rPr>
              <w:t xml:space="preserve"> </w:t>
            </w:r>
          </w:p>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за 2019 г.</w:t>
            </w:r>
          </w:p>
        </w:tc>
        <w:tc>
          <w:tcPr>
            <w:tcW w:w="779" w:type="pct"/>
            <w:tcBorders>
              <w:top w:val="single" w:sz="4" w:space="0" w:color="auto"/>
              <w:left w:val="nil"/>
              <w:bottom w:val="single" w:sz="4" w:space="0" w:color="auto"/>
              <w:right w:val="single" w:sz="4" w:space="0" w:color="auto"/>
            </w:tcBorders>
            <w:shd w:val="clear" w:color="auto" w:fill="auto"/>
            <w:hideMark/>
          </w:tcPr>
          <w:p w:rsidR="004714BB" w:rsidRPr="00A3491F" w:rsidRDefault="004714BB" w:rsidP="006B3BB7">
            <w:pPr>
              <w:spacing w:after="0"/>
              <w:jc w:val="left"/>
              <w:rPr>
                <w:rFonts w:eastAsia="Times New Roman"/>
                <w:b/>
                <w:bCs/>
                <w:color w:val="000000"/>
                <w:sz w:val="20"/>
                <w:szCs w:val="20"/>
                <w:lang w:val="bg-BG" w:eastAsia="bg-BG"/>
              </w:rPr>
            </w:pPr>
            <w:proofErr w:type="spellStart"/>
            <w:r w:rsidRPr="00A3491F">
              <w:rPr>
                <w:rFonts w:eastAsia="Times New Roman"/>
                <w:b/>
                <w:bCs/>
                <w:color w:val="000000"/>
                <w:sz w:val="20"/>
                <w:szCs w:val="20"/>
                <w:lang w:val="bg-BG" w:eastAsia="bg-BG"/>
              </w:rPr>
              <w:t>Ангажи-менти</w:t>
            </w:r>
            <w:proofErr w:type="spellEnd"/>
            <w:r w:rsidRPr="00A3491F">
              <w:rPr>
                <w:rFonts w:eastAsia="Times New Roman"/>
                <w:b/>
                <w:bCs/>
                <w:color w:val="000000"/>
                <w:sz w:val="20"/>
                <w:szCs w:val="20"/>
                <w:lang w:val="bg-BG" w:eastAsia="bg-BG"/>
              </w:rPr>
              <w:t xml:space="preserve"> </w:t>
            </w:r>
          </w:p>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за 2020 г.</w:t>
            </w:r>
          </w:p>
        </w:tc>
      </w:tr>
      <w:tr w:rsidR="004714BB" w:rsidRPr="00A3491F" w:rsidTr="00EB19F8">
        <w:trPr>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1</w:t>
            </w:r>
          </w:p>
        </w:tc>
        <w:tc>
          <w:tcPr>
            <w:tcW w:w="696"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2</w:t>
            </w:r>
          </w:p>
        </w:tc>
        <w:tc>
          <w:tcPr>
            <w:tcW w:w="565"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3</w:t>
            </w:r>
          </w:p>
        </w:tc>
        <w:tc>
          <w:tcPr>
            <w:tcW w:w="79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4</w:t>
            </w:r>
          </w:p>
        </w:tc>
        <w:tc>
          <w:tcPr>
            <w:tcW w:w="718"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5</w:t>
            </w:r>
          </w:p>
        </w:tc>
        <w:tc>
          <w:tcPr>
            <w:tcW w:w="783"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6</w:t>
            </w:r>
          </w:p>
        </w:tc>
        <w:tc>
          <w:tcPr>
            <w:tcW w:w="779"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7</w:t>
            </w:r>
          </w:p>
        </w:tc>
      </w:tr>
      <w:tr w:rsidR="004714BB" w:rsidRPr="0099421C" w:rsidTr="00EB19F8">
        <w:trPr>
          <w:trHeight w:val="570"/>
        </w:trPr>
        <w:tc>
          <w:tcPr>
            <w:tcW w:w="5000" w:type="pct"/>
            <w:gridSpan w:val="7"/>
            <w:tcBorders>
              <w:top w:val="nil"/>
              <w:left w:val="single" w:sz="4" w:space="0" w:color="auto"/>
              <w:bottom w:val="nil"/>
              <w:right w:val="single" w:sz="4" w:space="0" w:color="000000"/>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u w:val="single"/>
                <w:lang w:val="bg-BG" w:eastAsia="bg-BG"/>
              </w:rPr>
            </w:pPr>
            <w:r w:rsidRPr="00A3491F">
              <w:rPr>
                <w:rFonts w:eastAsia="Times New Roman"/>
                <w:b/>
                <w:bCs/>
                <w:color w:val="000000"/>
                <w:sz w:val="20"/>
                <w:szCs w:val="20"/>
                <w:u w:val="single"/>
                <w:lang w:val="bg-BG" w:eastAsia="bg-BG"/>
              </w:rPr>
              <w:t>Общо за системата на Министерство на земеделието, храните и горите</w:t>
            </w:r>
          </w:p>
        </w:tc>
      </w:tr>
      <w:tr w:rsidR="004714BB" w:rsidRPr="0099421C" w:rsidTr="00EB19F8">
        <w:trPr>
          <w:trHeight w:val="80"/>
        </w:trPr>
        <w:tc>
          <w:tcPr>
            <w:tcW w:w="5000" w:type="pct"/>
            <w:gridSpan w:val="7"/>
            <w:tcBorders>
              <w:top w:val="nil"/>
              <w:left w:val="single" w:sz="4" w:space="0" w:color="auto"/>
              <w:bottom w:val="nil"/>
              <w:right w:val="single" w:sz="4" w:space="0" w:color="000000"/>
            </w:tcBorders>
            <w:shd w:val="clear" w:color="auto" w:fill="auto"/>
            <w:vAlign w:val="center"/>
            <w:hideMark/>
          </w:tcPr>
          <w:p w:rsidR="004714BB" w:rsidRPr="00A3491F" w:rsidRDefault="004714BB" w:rsidP="006B3BB7">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4714BB" w:rsidRPr="00A3491F" w:rsidTr="00EB19F8">
        <w:trPr>
          <w:trHeight w:val="30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rPr>
                <w:rFonts w:eastAsia="Times New Roman"/>
                <w:b/>
                <w:bCs/>
                <w:color w:val="000000"/>
                <w:sz w:val="20"/>
                <w:szCs w:val="20"/>
                <w:lang w:val="bg-BG" w:eastAsia="bg-BG"/>
              </w:rPr>
            </w:pPr>
            <w:r w:rsidRPr="00A3491F">
              <w:rPr>
                <w:rFonts w:eastAsia="Times New Roman"/>
                <w:b/>
                <w:bCs/>
                <w:color w:val="000000"/>
                <w:sz w:val="20"/>
                <w:szCs w:val="20"/>
                <w:lang w:val="bg-BG" w:eastAsia="bg-BG"/>
              </w:rPr>
              <w:t>Приходи</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+43 258</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+43 258</w:t>
            </w:r>
          </w:p>
        </w:tc>
        <w:tc>
          <w:tcPr>
            <w:tcW w:w="779" w:type="pct"/>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+43 258</w:t>
            </w:r>
          </w:p>
        </w:tc>
      </w:tr>
      <w:tr w:rsidR="004714BB" w:rsidRPr="00A3491F" w:rsidTr="00EB19F8">
        <w:trPr>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rPr>
                <w:rFonts w:eastAsia="Times New Roman"/>
                <w:color w:val="000000"/>
                <w:sz w:val="20"/>
                <w:szCs w:val="20"/>
                <w:lang w:val="bg-BG" w:eastAsia="bg-BG"/>
              </w:rPr>
            </w:pPr>
            <w:r w:rsidRPr="00A3491F">
              <w:rPr>
                <w:rFonts w:eastAsia="Times New Roman"/>
                <w:color w:val="000000"/>
                <w:sz w:val="20"/>
                <w:szCs w:val="20"/>
                <w:lang w:val="bg-BG" w:eastAsia="bg-BG"/>
              </w:rPr>
              <w:t>Данъчни</w:t>
            </w:r>
          </w:p>
        </w:tc>
        <w:tc>
          <w:tcPr>
            <w:tcW w:w="696"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565"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9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18"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83"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79"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4714BB" w:rsidRPr="00A3491F" w:rsidTr="00EB19F8">
        <w:trPr>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rPr>
                <w:rFonts w:eastAsia="Times New Roman"/>
                <w:color w:val="000000"/>
                <w:sz w:val="20"/>
                <w:szCs w:val="20"/>
                <w:lang w:val="bg-BG" w:eastAsia="bg-BG"/>
              </w:rPr>
            </w:pPr>
            <w:r w:rsidRPr="00A3491F">
              <w:rPr>
                <w:rFonts w:eastAsia="Times New Roman"/>
                <w:color w:val="000000"/>
                <w:sz w:val="20"/>
                <w:szCs w:val="20"/>
                <w:lang w:val="bg-BG" w:eastAsia="bg-BG"/>
              </w:rPr>
              <w:t>Неданъчни</w:t>
            </w:r>
          </w:p>
        </w:tc>
        <w:tc>
          <w:tcPr>
            <w:tcW w:w="696"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565"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9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18"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+43 258</w:t>
            </w:r>
          </w:p>
        </w:tc>
        <w:tc>
          <w:tcPr>
            <w:tcW w:w="783"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+43 258</w:t>
            </w:r>
          </w:p>
        </w:tc>
        <w:tc>
          <w:tcPr>
            <w:tcW w:w="779"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+43 258</w:t>
            </w:r>
          </w:p>
        </w:tc>
      </w:tr>
      <w:tr w:rsidR="004714BB" w:rsidRPr="00A3491F" w:rsidTr="00EB19F8">
        <w:trPr>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rPr>
                <w:rFonts w:eastAsia="Times New Roman"/>
                <w:color w:val="000000"/>
                <w:sz w:val="20"/>
                <w:szCs w:val="20"/>
                <w:lang w:val="bg-BG" w:eastAsia="bg-BG"/>
              </w:rPr>
            </w:pPr>
            <w:r w:rsidRPr="00A3491F">
              <w:rPr>
                <w:rFonts w:eastAsia="Times New Roman"/>
                <w:color w:val="000000"/>
                <w:sz w:val="20"/>
                <w:szCs w:val="20"/>
                <w:lang w:val="bg-BG" w:eastAsia="bg-BG"/>
              </w:rPr>
              <w:t>Помощи</w:t>
            </w:r>
          </w:p>
        </w:tc>
        <w:tc>
          <w:tcPr>
            <w:tcW w:w="696"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565"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9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18"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83"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79"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4714BB" w:rsidRPr="00A3491F" w:rsidTr="00EB19F8">
        <w:trPr>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rPr>
                <w:rFonts w:eastAsia="Times New Roman"/>
                <w:b/>
                <w:bCs/>
                <w:color w:val="000000"/>
                <w:sz w:val="20"/>
                <w:szCs w:val="20"/>
                <w:lang w:val="bg-BG" w:eastAsia="bg-BG"/>
              </w:rPr>
            </w:pPr>
            <w:r w:rsidRPr="00A3491F">
              <w:rPr>
                <w:rFonts w:eastAsia="Times New Roman"/>
                <w:b/>
                <w:bCs/>
                <w:color w:val="000000"/>
                <w:sz w:val="20"/>
                <w:szCs w:val="20"/>
                <w:lang w:val="bg-BG" w:eastAsia="bg-BG"/>
              </w:rPr>
              <w:t>Разходи</w:t>
            </w:r>
          </w:p>
        </w:tc>
        <w:tc>
          <w:tcPr>
            <w:tcW w:w="696"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565"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9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w:t>
            </w:r>
          </w:p>
        </w:tc>
        <w:tc>
          <w:tcPr>
            <w:tcW w:w="718"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+43 258</w:t>
            </w:r>
          </w:p>
        </w:tc>
        <w:tc>
          <w:tcPr>
            <w:tcW w:w="783"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+43 258</w:t>
            </w:r>
          </w:p>
        </w:tc>
        <w:tc>
          <w:tcPr>
            <w:tcW w:w="779"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+43 258</w:t>
            </w:r>
          </w:p>
        </w:tc>
      </w:tr>
      <w:tr w:rsidR="004714BB" w:rsidRPr="00A3491F" w:rsidTr="00EB19F8">
        <w:trPr>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Текущи разходи</w:t>
            </w:r>
          </w:p>
        </w:tc>
        <w:tc>
          <w:tcPr>
            <w:tcW w:w="696"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565"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9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18"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+43 258</w:t>
            </w:r>
          </w:p>
        </w:tc>
        <w:tc>
          <w:tcPr>
            <w:tcW w:w="783"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+43 258</w:t>
            </w:r>
          </w:p>
        </w:tc>
        <w:tc>
          <w:tcPr>
            <w:tcW w:w="779"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+43 258</w:t>
            </w:r>
          </w:p>
        </w:tc>
      </w:tr>
      <w:tr w:rsidR="004714BB" w:rsidRPr="00A3491F" w:rsidTr="00EB19F8">
        <w:trPr>
          <w:trHeight w:val="660"/>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от тях: за персонал (заплати и осигуровки)</w:t>
            </w:r>
          </w:p>
        </w:tc>
        <w:tc>
          <w:tcPr>
            <w:tcW w:w="696"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565"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9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18"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+30 730</w:t>
            </w:r>
          </w:p>
        </w:tc>
        <w:tc>
          <w:tcPr>
            <w:tcW w:w="783"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+30 730</w:t>
            </w:r>
          </w:p>
        </w:tc>
        <w:tc>
          <w:tcPr>
            <w:tcW w:w="779"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+30 730</w:t>
            </w:r>
          </w:p>
        </w:tc>
      </w:tr>
      <w:tr w:rsidR="004714BB" w:rsidRPr="00A3491F" w:rsidTr="00EB19F8">
        <w:trPr>
          <w:trHeight w:val="510"/>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Други преки разходи</w:t>
            </w:r>
          </w:p>
        </w:tc>
        <w:tc>
          <w:tcPr>
            <w:tcW w:w="696"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565"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9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18"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+12 528</w:t>
            </w:r>
          </w:p>
        </w:tc>
        <w:tc>
          <w:tcPr>
            <w:tcW w:w="783"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+12 528</w:t>
            </w:r>
          </w:p>
        </w:tc>
        <w:tc>
          <w:tcPr>
            <w:tcW w:w="779"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+12 528</w:t>
            </w:r>
          </w:p>
        </w:tc>
      </w:tr>
    </w:tbl>
    <w:p w:rsidR="00365FD5" w:rsidRPr="00A3491F" w:rsidRDefault="00365FD5">
      <w:r w:rsidRPr="00A3491F">
        <w:br w:type="page"/>
      </w:r>
    </w:p>
    <w:tbl>
      <w:tblPr>
        <w:tblW w:w="5000" w:type="pct"/>
        <w:tblLayout w:type="fixed"/>
        <w:tblCellMar>
          <w:left w:w="70" w:type="dxa"/>
          <w:right w:w="70" w:type="dxa"/>
        </w:tblCellMar>
        <w:tblLook w:val="04A0" w:firstRow="1" w:lastRow="0" w:firstColumn="1" w:lastColumn="0" w:noHBand="0" w:noVBand="1"/>
      </w:tblPr>
      <w:tblGrid>
        <w:gridCol w:w="1323"/>
        <w:gridCol w:w="490"/>
        <w:gridCol w:w="902"/>
        <w:gridCol w:w="256"/>
        <w:gridCol w:w="874"/>
        <w:gridCol w:w="432"/>
        <w:gridCol w:w="1162"/>
        <w:gridCol w:w="288"/>
        <w:gridCol w:w="1148"/>
        <w:gridCol w:w="154"/>
        <w:gridCol w:w="1412"/>
        <w:gridCol w:w="184"/>
        <w:gridCol w:w="1374"/>
      </w:tblGrid>
      <w:tr w:rsidR="004714BB" w:rsidRPr="00A3491F" w:rsidTr="00EB19F8">
        <w:trPr>
          <w:trHeight w:val="300"/>
        </w:trPr>
        <w:tc>
          <w:tcPr>
            <w:tcW w:w="662" w:type="pct"/>
            <w:tcBorders>
              <w:top w:val="nil"/>
              <w:left w:val="nil"/>
              <w:bottom w:val="nil"/>
              <w:right w:val="nil"/>
            </w:tcBorders>
            <w:shd w:val="clear" w:color="auto" w:fill="auto"/>
            <w:noWrap/>
            <w:vAlign w:val="bottom"/>
            <w:hideMark/>
          </w:tcPr>
          <w:p w:rsidR="004714BB" w:rsidRPr="00A3491F" w:rsidRDefault="004714BB" w:rsidP="006B3BB7">
            <w:pPr>
              <w:spacing w:after="0"/>
              <w:jc w:val="left"/>
              <w:rPr>
                <w:rFonts w:eastAsia="Times New Roman"/>
                <w:color w:val="000000"/>
                <w:sz w:val="20"/>
                <w:szCs w:val="20"/>
                <w:lang w:val="bg-BG" w:eastAsia="bg-BG"/>
              </w:rPr>
            </w:pPr>
          </w:p>
        </w:tc>
        <w:tc>
          <w:tcPr>
            <w:tcW w:w="696" w:type="pct"/>
            <w:gridSpan w:val="2"/>
            <w:tcBorders>
              <w:top w:val="nil"/>
              <w:left w:val="nil"/>
              <w:bottom w:val="nil"/>
              <w:right w:val="nil"/>
            </w:tcBorders>
            <w:shd w:val="clear" w:color="auto" w:fill="auto"/>
            <w:noWrap/>
            <w:vAlign w:val="bottom"/>
            <w:hideMark/>
          </w:tcPr>
          <w:p w:rsidR="004714BB" w:rsidRPr="00A3491F" w:rsidRDefault="004714BB" w:rsidP="006B3BB7">
            <w:pPr>
              <w:spacing w:after="0"/>
              <w:jc w:val="left"/>
              <w:rPr>
                <w:rFonts w:eastAsia="Times New Roman"/>
                <w:color w:val="000000"/>
                <w:sz w:val="20"/>
                <w:szCs w:val="20"/>
                <w:lang w:val="bg-BG" w:eastAsia="bg-BG"/>
              </w:rPr>
            </w:pPr>
          </w:p>
        </w:tc>
        <w:tc>
          <w:tcPr>
            <w:tcW w:w="565" w:type="pct"/>
            <w:gridSpan w:val="2"/>
            <w:tcBorders>
              <w:top w:val="nil"/>
              <w:left w:val="nil"/>
              <w:bottom w:val="nil"/>
              <w:right w:val="nil"/>
            </w:tcBorders>
            <w:shd w:val="clear" w:color="auto" w:fill="auto"/>
            <w:noWrap/>
            <w:vAlign w:val="bottom"/>
            <w:hideMark/>
          </w:tcPr>
          <w:p w:rsidR="004714BB" w:rsidRPr="00A3491F" w:rsidRDefault="004714BB" w:rsidP="006B3BB7">
            <w:pPr>
              <w:spacing w:after="0"/>
              <w:jc w:val="left"/>
              <w:rPr>
                <w:rFonts w:eastAsia="Times New Roman"/>
                <w:color w:val="000000"/>
                <w:sz w:val="20"/>
                <w:szCs w:val="20"/>
                <w:lang w:val="bg-BG" w:eastAsia="bg-BG"/>
              </w:rPr>
            </w:pPr>
          </w:p>
        </w:tc>
        <w:tc>
          <w:tcPr>
            <w:tcW w:w="797" w:type="pct"/>
            <w:gridSpan w:val="2"/>
            <w:tcBorders>
              <w:top w:val="nil"/>
              <w:left w:val="nil"/>
              <w:bottom w:val="nil"/>
              <w:right w:val="nil"/>
            </w:tcBorders>
            <w:shd w:val="clear" w:color="auto" w:fill="auto"/>
            <w:noWrap/>
            <w:vAlign w:val="bottom"/>
            <w:hideMark/>
          </w:tcPr>
          <w:p w:rsidR="004714BB" w:rsidRPr="00A3491F" w:rsidRDefault="004714BB" w:rsidP="006B3BB7">
            <w:pPr>
              <w:spacing w:after="0"/>
              <w:jc w:val="left"/>
              <w:rPr>
                <w:rFonts w:eastAsia="Times New Roman"/>
                <w:color w:val="000000"/>
                <w:sz w:val="20"/>
                <w:szCs w:val="20"/>
                <w:lang w:val="bg-BG" w:eastAsia="bg-BG"/>
              </w:rPr>
            </w:pPr>
          </w:p>
        </w:tc>
        <w:tc>
          <w:tcPr>
            <w:tcW w:w="718" w:type="pct"/>
            <w:gridSpan w:val="2"/>
            <w:tcBorders>
              <w:top w:val="nil"/>
              <w:left w:val="nil"/>
              <w:bottom w:val="nil"/>
              <w:right w:val="nil"/>
            </w:tcBorders>
            <w:shd w:val="clear" w:color="auto" w:fill="auto"/>
            <w:noWrap/>
            <w:vAlign w:val="bottom"/>
            <w:hideMark/>
          </w:tcPr>
          <w:p w:rsidR="004714BB" w:rsidRPr="00A3491F" w:rsidRDefault="004714BB" w:rsidP="006B3BB7">
            <w:pPr>
              <w:spacing w:after="0"/>
              <w:jc w:val="left"/>
              <w:rPr>
                <w:rFonts w:eastAsia="Times New Roman"/>
                <w:color w:val="000000"/>
                <w:sz w:val="20"/>
                <w:szCs w:val="20"/>
                <w:lang w:val="bg-BG" w:eastAsia="bg-BG"/>
              </w:rPr>
            </w:pPr>
          </w:p>
        </w:tc>
        <w:tc>
          <w:tcPr>
            <w:tcW w:w="783" w:type="pct"/>
            <w:gridSpan w:val="2"/>
            <w:tcBorders>
              <w:top w:val="nil"/>
              <w:left w:val="nil"/>
              <w:bottom w:val="nil"/>
              <w:right w:val="nil"/>
            </w:tcBorders>
            <w:shd w:val="clear" w:color="auto" w:fill="auto"/>
            <w:noWrap/>
            <w:vAlign w:val="bottom"/>
            <w:hideMark/>
          </w:tcPr>
          <w:p w:rsidR="004714BB" w:rsidRPr="00A3491F" w:rsidRDefault="004714BB" w:rsidP="006B3BB7">
            <w:pPr>
              <w:spacing w:after="0"/>
              <w:jc w:val="left"/>
              <w:rPr>
                <w:rFonts w:eastAsia="Times New Roman"/>
                <w:color w:val="000000"/>
                <w:sz w:val="20"/>
                <w:szCs w:val="20"/>
                <w:lang w:val="bg-BG" w:eastAsia="bg-BG"/>
              </w:rPr>
            </w:pPr>
          </w:p>
        </w:tc>
        <w:tc>
          <w:tcPr>
            <w:tcW w:w="779" w:type="pct"/>
            <w:gridSpan w:val="2"/>
            <w:tcBorders>
              <w:top w:val="nil"/>
              <w:left w:val="nil"/>
              <w:bottom w:val="nil"/>
              <w:right w:val="nil"/>
            </w:tcBorders>
            <w:shd w:val="clear" w:color="auto" w:fill="auto"/>
            <w:noWrap/>
            <w:vAlign w:val="bottom"/>
            <w:hideMark/>
          </w:tcPr>
          <w:p w:rsidR="004714BB" w:rsidRPr="00A3491F" w:rsidRDefault="004714BB" w:rsidP="006B3BB7">
            <w:pPr>
              <w:spacing w:after="0"/>
              <w:jc w:val="left"/>
              <w:rPr>
                <w:rFonts w:eastAsia="Times New Roman"/>
                <w:color w:val="000000"/>
                <w:sz w:val="20"/>
                <w:szCs w:val="20"/>
                <w:lang w:val="bg-BG" w:eastAsia="bg-BG"/>
              </w:rPr>
            </w:pPr>
          </w:p>
        </w:tc>
      </w:tr>
      <w:tr w:rsidR="004714BB" w:rsidRPr="00A3491F" w:rsidTr="00EB19F8">
        <w:trPr>
          <w:trHeight w:val="1140"/>
        </w:trPr>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Показа-тели</w:t>
            </w:r>
          </w:p>
        </w:tc>
        <w:tc>
          <w:tcPr>
            <w:tcW w:w="696" w:type="pct"/>
            <w:gridSpan w:val="2"/>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За </w:t>
            </w:r>
            <w:proofErr w:type="spellStart"/>
            <w:r w:rsidRPr="00A3491F">
              <w:rPr>
                <w:rFonts w:eastAsia="Times New Roman"/>
                <w:b/>
                <w:bCs/>
                <w:color w:val="000000"/>
                <w:sz w:val="20"/>
                <w:szCs w:val="20"/>
                <w:lang w:val="bg-BG" w:eastAsia="bg-BG"/>
              </w:rPr>
              <w:t>предход-ната</w:t>
            </w:r>
            <w:proofErr w:type="spellEnd"/>
            <w:r w:rsidRPr="00A3491F">
              <w:rPr>
                <w:rFonts w:eastAsia="Times New Roman"/>
                <w:b/>
                <w:bCs/>
                <w:color w:val="000000"/>
                <w:sz w:val="20"/>
                <w:szCs w:val="20"/>
                <w:lang w:val="bg-BG" w:eastAsia="bg-BG"/>
              </w:rPr>
              <w:t xml:space="preserve"> отчетна 2016 г.</w:t>
            </w:r>
          </w:p>
        </w:tc>
        <w:tc>
          <w:tcPr>
            <w:tcW w:w="565" w:type="pct"/>
            <w:gridSpan w:val="2"/>
            <w:tcBorders>
              <w:top w:val="single" w:sz="4" w:space="0" w:color="auto"/>
              <w:left w:val="nil"/>
              <w:bottom w:val="single" w:sz="4" w:space="0" w:color="auto"/>
              <w:right w:val="single" w:sz="4" w:space="0" w:color="auto"/>
            </w:tcBorders>
            <w:shd w:val="clear" w:color="auto" w:fill="auto"/>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Уточнен план за 2017 г.</w:t>
            </w:r>
          </w:p>
        </w:tc>
        <w:tc>
          <w:tcPr>
            <w:tcW w:w="797" w:type="pct"/>
            <w:gridSpan w:val="2"/>
            <w:tcBorders>
              <w:top w:val="single" w:sz="4" w:space="0" w:color="auto"/>
              <w:left w:val="nil"/>
              <w:bottom w:val="single" w:sz="4" w:space="0" w:color="auto"/>
              <w:right w:val="single" w:sz="4" w:space="0" w:color="auto"/>
            </w:tcBorders>
            <w:shd w:val="clear" w:color="auto" w:fill="auto"/>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Произтичащи ангажименти за 2017 г.</w:t>
            </w:r>
          </w:p>
        </w:tc>
        <w:tc>
          <w:tcPr>
            <w:tcW w:w="718" w:type="pct"/>
            <w:gridSpan w:val="2"/>
            <w:tcBorders>
              <w:top w:val="single" w:sz="4" w:space="0" w:color="auto"/>
              <w:left w:val="nil"/>
              <w:bottom w:val="single" w:sz="4" w:space="0" w:color="auto"/>
              <w:right w:val="single" w:sz="4" w:space="0" w:color="auto"/>
            </w:tcBorders>
            <w:shd w:val="clear" w:color="auto" w:fill="auto"/>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Ангажименти за 2018 г.</w:t>
            </w:r>
          </w:p>
        </w:tc>
        <w:tc>
          <w:tcPr>
            <w:tcW w:w="783" w:type="pct"/>
            <w:gridSpan w:val="2"/>
            <w:tcBorders>
              <w:top w:val="single" w:sz="4" w:space="0" w:color="auto"/>
              <w:left w:val="nil"/>
              <w:bottom w:val="single" w:sz="4" w:space="0" w:color="auto"/>
              <w:right w:val="single" w:sz="4" w:space="0" w:color="auto"/>
            </w:tcBorders>
            <w:shd w:val="clear" w:color="auto" w:fill="auto"/>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Ангажименти за 2019 г.</w:t>
            </w:r>
          </w:p>
        </w:tc>
        <w:tc>
          <w:tcPr>
            <w:tcW w:w="779" w:type="pct"/>
            <w:gridSpan w:val="2"/>
            <w:tcBorders>
              <w:top w:val="single" w:sz="4" w:space="0" w:color="auto"/>
              <w:left w:val="nil"/>
              <w:bottom w:val="single" w:sz="4" w:space="0" w:color="auto"/>
              <w:right w:val="single" w:sz="4" w:space="0" w:color="auto"/>
            </w:tcBorders>
            <w:shd w:val="clear" w:color="auto" w:fill="auto"/>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Ангажименти за 2020 г.</w:t>
            </w:r>
          </w:p>
        </w:tc>
      </w:tr>
      <w:tr w:rsidR="004714BB" w:rsidRPr="00A3491F" w:rsidTr="00EB19F8">
        <w:trPr>
          <w:trHeight w:val="300"/>
        </w:trPr>
        <w:tc>
          <w:tcPr>
            <w:tcW w:w="662" w:type="pct"/>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1</w:t>
            </w:r>
          </w:p>
        </w:tc>
        <w:tc>
          <w:tcPr>
            <w:tcW w:w="696"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2</w:t>
            </w:r>
          </w:p>
        </w:tc>
        <w:tc>
          <w:tcPr>
            <w:tcW w:w="565"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3</w:t>
            </w:r>
          </w:p>
        </w:tc>
        <w:tc>
          <w:tcPr>
            <w:tcW w:w="797"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4</w:t>
            </w:r>
          </w:p>
        </w:tc>
        <w:tc>
          <w:tcPr>
            <w:tcW w:w="718"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5</w:t>
            </w:r>
          </w:p>
        </w:tc>
        <w:tc>
          <w:tcPr>
            <w:tcW w:w="783"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6</w:t>
            </w:r>
          </w:p>
        </w:tc>
        <w:tc>
          <w:tcPr>
            <w:tcW w:w="779"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7</w:t>
            </w:r>
          </w:p>
        </w:tc>
      </w:tr>
      <w:tr w:rsidR="004714BB" w:rsidRPr="00A3491F" w:rsidTr="00EB19F8">
        <w:trPr>
          <w:trHeight w:val="300"/>
        </w:trPr>
        <w:tc>
          <w:tcPr>
            <w:tcW w:w="662" w:type="pct"/>
            <w:tcBorders>
              <w:top w:val="nil"/>
              <w:left w:val="single" w:sz="4" w:space="0" w:color="auto"/>
              <w:bottom w:val="nil"/>
              <w:right w:val="nil"/>
            </w:tcBorders>
            <w:shd w:val="clear" w:color="auto" w:fill="auto"/>
            <w:vAlign w:val="center"/>
            <w:hideMark/>
          </w:tcPr>
          <w:p w:rsidR="004714BB" w:rsidRPr="00A3491F" w:rsidRDefault="004714BB" w:rsidP="006B3BB7">
            <w:pPr>
              <w:spacing w:after="0"/>
              <w:jc w:val="center"/>
              <w:rPr>
                <w:rFonts w:eastAsia="Times New Roman"/>
                <w:bCs/>
                <w:color w:val="000000"/>
                <w:sz w:val="20"/>
                <w:szCs w:val="20"/>
                <w:lang w:val="bg-BG" w:eastAsia="bg-BG"/>
              </w:rPr>
            </w:pPr>
            <w:r w:rsidRPr="00A3491F">
              <w:rPr>
                <w:rFonts w:eastAsia="Times New Roman"/>
                <w:bCs/>
                <w:color w:val="000000"/>
                <w:sz w:val="20"/>
                <w:szCs w:val="20"/>
                <w:lang w:val="bg-BG" w:eastAsia="bg-BG"/>
              </w:rPr>
              <w:t> </w:t>
            </w:r>
          </w:p>
        </w:tc>
        <w:tc>
          <w:tcPr>
            <w:tcW w:w="696" w:type="pct"/>
            <w:gridSpan w:val="2"/>
            <w:tcBorders>
              <w:top w:val="nil"/>
              <w:left w:val="nil"/>
              <w:bottom w:val="nil"/>
              <w:right w:val="nil"/>
            </w:tcBorders>
            <w:shd w:val="clear" w:color="auto" w:fill="auto"/>
            <w:vAlign w:val="center"/>
            <w:hideMark/>
          </w:tcPr>
          <w:p w:rsidR="004714BB" w:rsidRPr="00A3491F" w:rsidRDefault="004714BB" w:rsidP="006B3BB7">
            <w:pPr>
              <w:spacing w:after="0"/>
              <w:jc w:val="center"/>
              <w:rPr>
                <w:rFonts w:eastAsia="Times New Roman"/>
                <w:bCs/>
                <w:color w:val="000000"/>
                <w:sz w:val="20"/>
                <w:szCs w:val="20"/>
                <w:lang w:val="bg-BG" w:eastAsia="bg-BG"/>
              </w:rPr>
            </w:pPr>
          </w:p>
        </w:tc>
        <w:tc>
          <w:tcPr>
            <w:tcW w:w="565" w:type="pct"/>
            <w:gridSpan w:val="2"/>
            <w:tcBorders>
              <w:top w:val="nil"/>
              <w:left w:val="nil"/>
              <w:bottom w:val="nil"/>
              <w:right w:val="nil"/>
            </w:tcBorders>
            <w:shd w:val="clear" w:color="auto" w:fill="auto"/>
            <w:vAlign w:val="center"/>
            <w:hideMark/>
          </w:tcPr>
          <w:p w:rsidR="004714BB" w:rsidRPr="00A3491F" w:rsidRDefault="004714BB" w:rsidP="006B3BB7">
            <w:pPr>
              <w:spacing w:after="0"/>
              <w:jc w:val="center"/>
              <w:rPr>
                <w:rFonts w:eastAsia="Times New Roman"/>
                <w:bCs/>
                <w:color w:val="000000"/>
                <w:sz w:val="20"/>
                <w:szCs w:val="20"/>
                <w:lang w:val="bg-BG" w:eastAsia="bg-BG"/>
              </w:rPr>
            </w:pPr>
          </w:p>
        </w:tc>
        <w:tc>
          <w:tcPr>
            <w:tcW w:w="797" w:type="pct"/>
            <w:gridSpan w:val="2"/>
            <w:tcBorders>
              <w:top w:val="nil"/>
              <w:left w:val="nil"/>
              <w:bottom w:val="nil"/>
              <w:right w:val="nil"/>
            </w:tcBorders>
            <w:shd w:val="clear" w:color="auto" w:fill="auto"/>
            <w:vAlign w:val="center"/>
            <w:hideMark/>
          </w:tcPr>
          <w:p w:rsidR="004714BB" w:rsidRPr="00A3491F" w:rsidRDefault="004714BB" w:rsidP="006B3BB7">
            <w:pPr>
              <w:spacing w:after="0"/>
              <w:jc w:val="center"/>
              <w:rPr>
                <w:rFonts w:eastAsia="Times New Roman"/>
                <w:bCs/>
                <w:color w:val="000000"/>
                <w:sz w:val="20"/>
                <w:szCs w:val="20"/>
                <w:lang w:val="bg-BG" w:eastAsia="bg-BG"/>
              </w:rPr>
            </w:pPr>
          </w:p>
        </w:tc>
        <w:tc>
          <w:tcPr>
            <w:tcW w:w="718" w:type="pct"/>
            <w:gridSpan w:val="2"/>
            <w:tcBorders>
              <w:top w:val="nil"/>
              <w:left w:val="nil"/>
              <w:bottom w:val="nil"/>
              <w:right w:val="nil"/>
            </w:tcBorders>
            <w:shd w:val="clear" w:color="auto" w:fill="auto"/>
            <w:vAlign w:val="center"/>
            <w:hideMark/>
          </w:tcPr>
          <w:p w:rsidR="004714BB" w:rsidRPr="00A3491F" w:rsidRDefault="004714BB" w:rsidP="006B3BB7">
            <w:pPr>
              <w:spacing w:after="0"/>
              <w:jc w:val="center"/>
              <w:rPr>
                <w:rFonts w:eastAsia="Times New Roman"/>
                <w:bCs/>
                <w:color w:val="000000"/>
                <w:sz w:val="20"/>
                <w:szCs w:val="20"/>
                <w:lang w:val="bg-BG" w:eastAsia="bg-BG"/>
              </w:rPr>
            </w:pPr>
          </w:p>
        </w:tc>
        <w:tc>
          <w:tcPr>
            <w:tcW w:w="783" w:type="pct"/>
            <w:gridSpan w:val="2"/>
            <w:tcBorders>
              <w:top w:val="nil"/>
              <w:left w:val="nil"/>
              <w:bottom w:val="nil"/>
              <w:right w:val="nil"/>
            </w:tcBorders>
            <w:shd w:val="clear" w:color="auto" w:fill="auto"/>
            <w:vAlign w:val="center"/>
            <w:hideMark/>
          </w:tcPr>
          <w:p w:rsidR="004714BB" w:rsidRPr="00A3491F" w:rsidRDefault="004714BB" w:rsidP="006B3BB7">
            <w:pPr>
              <w:spacing w:after="0"/>
              <w:jc w:val="center"/>
              <w:rPr>
                <w:rFonts w:eastAsia="Times New Roman"/>
                <w:bCs/>
                <w:color w:val="000000"/>
                <w:sz w:val="20"/>
                <w:szCs w:val="20"/>
                <w:lang w:val="bg-BG" w:eastAsia="bg-BG"/>
              </w:rPr>
            </w:pPr>
          </w:p>
        </w:tc>
        <w:tc>
          <w:tcPr>
            <w:tcW w:w="779" w:type="pct"/>
            <w:gridSpan w:val="2"/>
            <w:tcBorders>
              <w:top w:val="nil"/>
              <w:left w:val="nil"/>
              <w:bottom w:val="nil"/>
              <w:right w:val="single" w:sz="4" w:space="0" w:color="auto"/>
            </w:tcBorders>
            <w:shd w:val="clear" w:color="auto" w:fill="auto"/>
            <w:vAlign w:val="center"/>
            <w:hideMark/>
          </w:tcPr>
          <w:p w:rsidR="004714BB" w:rsidRPr="00A3491F" w:rsidRDefault="004714BB" w:rsidP="006B3BB7">
            <w:pPr>
              <w:spacing w:after="0"/>
              <w:jc w:val="center"/>
              <w:rPr>
                <w:rFonts w:eastAsia="Times New Roman"/>
                <w:bCs/>
                <w:color w:val="000000"/>
                <w:sz w:val="20"/>
                <w:szCs w:val="20"/>
                <w:lang w:val="bg-BG" w:eastAsia="bg-BG"/>
              </w:rPr>
            </w:pPr>
            <w:r w:rsidRPr="00A3491F">
              <w:rPr>
                <w:rFonts w:eastAsia="Times New Roman"/>
                <w:bCs/>
                <w:color w:val="000000"/>
                <w:sz w:val="20"/>
                <w:szCs w:val="20"/>
                <w:lang w:val="bg-BG" w:eastAsia="bg-BG"/>
              </w:rPr>
              <w:t> </w:t>
            </w:r>
          </w:p>
        </w:tc>
      </w:tr>
      <w:tr w:rsidR="004714BB" w:rsidRPr="0099421C" w:rsidTr="00EB19F8">
        <w:trPr>
          <w:trHeight w:val="300"/>
        </w:trPr>
        <w:tc>
          <w:tcPr>
            <w:tcW w:w="5000" w:type="pct"/>
            <w:gridSpan w:val="13"/>
            <w:tcBorders>
              <w:top w:val="nil"/>
              <w:left w:val="single" w:sz="4" w:space="0" w:color="auto"/>
              <w:bottom w:val="nil"/>
              <w:right w:val="single" w:sz="4" w:space="0" w:color="000000"/>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u w:val="single"/>
                <w:lang w:val="bg-BG" w:eastAsia="bg-BG"/>
              </w:rPr>
            </w:pPr>
            <w:r w:rsidRPr="00A3491F">
              <w:rPr>
                <w:rFonts w:eastAsia="Times New Roman"/>
                <w:b/>
                <w:bCs/>
                <w:color w:val="000000"/>
                <w:sz w:val="20"/>
                <w:szCs w:val="20"/>
                <w:u w:val="single"/>
                <w:lang w:val="bg-BG" w:eastAsia="bg-BG"/>
              </w:rPr>
              <w:t>Общо за системата на Изпълнителна агенция по лозата и виното</w:t>
            </w:r>
          </w:p>
        </w:tc>
      </w:tr>
      <w:tr w:rsidR="004714BB" w:rsidRPr="0099421C" w:rsidTr="00365FD5">
        <w:trPr>
          <w:trHeight w:val="300"/>
        </w:trPr>
        <w:tc>
          <w:tcPr>
            <w:tcW w:w="907" w:type="pct"/>
            <w:gridSpan w:val="2"/>
            <w:tcBorders>
              <w:top w:val="nil"/>
              <w:left w:val="single" w:sz="4" w:space="0" w:color="auto"/>
              <w:bottom w:val="nil"/>
              <w:right w:val="nil"/>
            </w:tcBorders>
            <w:shd w:val="clear" w:color="auto" w:fill="auto"/>
            <w:vAlign w:val="center"/>
            <w:hideMark/>
          </w:tcPr>
          <w:p w:rsidR="004714BB" w:rsidRPr="00A3491F" w:rsidRDefault="004714BB" w:rsidP="006B3BB7">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579" w:type="pct"/>
            <w:gridSpan w:val="2"/>
            <w:tcBorders>
              <w:top w:val="nil"/>
              <w:left w:val="nil"/>
              <w:bottom w:val="nil"/>
              <w:right w:val="nil"/>
            </w:tcBorders>
            <w:shd w:val="clear" w:color="auto" w:fill="auto"/>
            <w:vAlign w:val="center"/>
            <w:hideMark/>
          </w:tcPr>
          <w:p w:rsidR="004714BB" w:rsidRPr="00A3491F" w:rsidRDefault="004714BB" w:rsidP="006B3BB7">
            <w:pPr>
              <w:spacing w:after="0"/>
              <w:jc w:val="center"/>
              <w:rPr>
                <w:rFonts w:eastAsia="Times New Roman"/>
                <w:color w:val="000000"/>
                <w:sz w:val="20"/>
                <w:szCs w:val="20"/>
                <w:lang w:val="bg-BG" w:eastAsia="bg-BG"/>
              </w:rPr>
            </w:pPr>
          </w:p>
        </w:tc>
        <w:tc>
          <w:tcPr>
            <w:tcW w:w="653" w:type="pct"/>
            <w:gridSpan w:val="2"/>
            <w:tcBorders>
              <w:top w:val="nil"/>
              <w:left w:val="nil"/>
              <w:bottom w:val="nil"/>
              <w:right w:val="nil"/>
            </w:tcBorders>
            <w:shd w:val="clear" w:color="auto" w:fill="auto"/>
            <w:vAlign w:val="center"/>
            <w:hideMark/>
          </w:tcPr>
          <w:p w:rsidR="004714BB" w:rsidRPr="00A3491F" w:rsidRDefault="004714BB" w:rsidP="006B3BB7">
            <w:pPr>
              <w:spacing w:after="0"/>
              <w:jc w:val="center"/>
              <w:rPr>
                <w:rFonts w:eastAsia="Times New Roman"/>
                <w:color w:val="000000"/>
                <w:sz w:val="20"/>
                <w:szCs w:val="20"/>
                <w:lang w:val="bg-BG" w:eastAsia="bg-BG"/>
              </w:rPr>
            </w:pPr>
          </w:p>
        </w:tc>
        <w:tc>
          <w:tcPr>
            <w:tcW w:w="725" w:type="pct"/>
            <w:gridSpan w:val="2"/>
            <w:tcBorders>
              <w:top w:val="nil"/>
              <w:left w:val="nil"/>
              <w:bottom w:val="nil"/>
              <w:right w:val="nil"/>
            </w:tcBorders>
            <w:shd w:val="clear" w:color="auto" w:fill="auto"/>
            <w:vAlign w:val="center"/>
            <w:hideMark/>
          </w:tcPr>
          <w:p w:rsidR="004714BB" w:rsidRPr="00A3491F" w:rsidRDefault="004714BB" w:rsidP="006B3BB7">
            <w:pPr>
              <w:spacing w:after="0"/>
              <w:jc w:val="center"/>
              <w:rPr>
                <w:rFonts w:eastAsia="Times New Roman"/>
                <w:color w:val="000000"/>
                <w:sz w:val="20"/>
                <w:szCs w:val="20"/>
                <w:lang w:val="bg-BG" w:eastAsia="bg-BG"/>
              </w:rPr>
            </w:pPr>
          </w:p>
        </w:tc>
        <w:tc>
          <w:tcPr>
            <w:tcW w:w="651" w:type="pct"/>
            <w:gridSpan w:val="2"/>
            <w:tcBorders>
              <w:top w:val="nil"/>
              <w:left w:val="nil"/>
              <w:bottom w:val="nil"/>
              <w:right w:val="nil"/>
            </w:tcBorders>
            <w:shd w:val="clear" w:color="auto" w:fill="auto"/>
            <w:vAlign w:val="center"/>
            <w:hideMark/>
          </w:tcPr>
          <w:p w:rsidR="004714BB" w:rsidRPr="00A3491F" w:rsidRDefault="004714BB" w:rsidP="006B3BB7">
            <w:pPr>
              <w:spacing w:after="0"/>
              <w:jc w:val="center"/>
              <w:rPr>
                <w:rFonts w:eastAsia="Times New Roman"/>
                <w:color w:val="000000"/>
                <w:sz w:val="20"/>
                <w:szCs w:val="20"/>
                <w:lang w:val="bg-BG" w:eastAsia="bg-BG"/>
              </w:rPr>
            </w:pPr>
          </w:p>
        </w:tc>
        <w:tc>
          <w:tcPr>
            <w:tcW w:w="798" w:type="pct"/>
            <w:gridSpan w:val="2"/>
            <w:tcBorders>
              <w:top w:val="nil"/>
              <w:left w:val="nil"/>
              <w:bottom w:val="nil"/>
              <w:right w:val="nil"/>
            </w:tcBorders>
            <w:shd w:val="clear" w:color="auto" w:fill="auto"/>
            <w:vAlign w:val="center"/>
            <w:hideMark/>
          </w:tcPr>
          <w:p w:rsidR="004714BB" w:rsidRPr="00A3491F" w:rsidRDefault="004714BB" w:rsidP="006B3BB7">
            <w:pPr>
              <w:spacing w:after="0"/>
              <w:jc w:val="center"/>
              <w:rPr>
                <w:rFonts w:eastAsia="Times New Roman"/>
                <w:color w:val="000000"/>
                <w:sz w:val="20"/>
                <w:szCs w:val="20"/>
                <w:lang w:val="bg-BG" w:eastAsia="bg-BG"/>
              </w:rPr>
            </w:pPr>
          </w:p>
        </w:tc>
        <w:tc>
          <w:tcPr>
            <w:tcW w:w="687" w:type="pct"/>
            <w:tcBorders>
              <w:top w:val="nil"/>
              <w:left w:val="nil"/>
              <w:bottom w:val="nil"/>
              <w:right w:val="single" w:sz="4" w:space="0" w:color="auto"/>
            </w:tcBorders>
            <w:shd w:val="clear" w:color="auto" w:fill="auto"/>
            <w:vAlign w:val="center"/>
            <w:hideMark/>
          </w:tcPr>
          <w:p w:rsidR="004714BB" w:rsidRPr="00A3491F" w:rsidRDefault="004714BB" w:rsidP="006B3BB7">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4714BB" w:rsidRPr="00A3491F" w:rsidTr="00365FD5">
        <w:trPr>
          <w:trHeight w:val="300"/>
        </w:trPr>
        <w:tc>
          <w:tcPr>
            <w:tcW w:w="9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Приходи</w:t>
            </w:r>
          </w:p>
        </w:tc>
        <w:tc>
          <w:tcPr>
            <w:tcW w:w="579" w:type="pct"/>
            <w:gridSpan w:val="2"/>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217 777 </w:t>
            </w:r>
          </w:p>
        </w:tc>
        <w:tc>
          <w:tcPr>
            <w:tcW w:w="653" w:type="pct"/>
            <w:gridSpan w:val="2"/>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sz w:val="20"/>
                <w:szCs w:val="20"/>
                <w:lang w:val="bg-BG" w:eastAsia="bg-BG"/>
              </w:rPr>
            </w:pPr>
            <w:r w:rsidRPr="00A3491F">
              <w:rPr>
                <w:rFonts w:eastAsia="Times New Roman"/>
                <w:b/>
                <w:bCs/>
                <w:sz w:val="20"/>
                <w:szCs w:val="20"/>
                <w:lang w:val="bg-BG" w:eastAsia="bg-BG"/>
              </w:rPr>
              <w:t>261 779 </w:t>
            </w:r>
          </w:p>
        </w:tc>
        <w:tc>
          <w:tcPr>
            <w:tcW w:w="725" w:type="pct"/>
            <w:gridSpan w:val="2"/>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sz w:val="20"/>
                <w:szCs w:val="20"/>
                <w:lang w:val="bg-BG" w:eastAsia="bg-BG"/>
              </w:rPr>
            </w:pPr>
            <w:r w:rsidRPr="00A3491F">
              <w:rPr>
                <w:rFonts w:eastAsia="Times New Roman"/>
                <w:b/>
                <w:bCs/>
                <w:sz w:val="20"/>
                <w:szCs w:val="20"/>
                <w:lang w:val="bg-BG" w:eastAsia="bg-BG"/>
              </w:rPr>
              <w:t>261 779 </w:t>
            </w:r>
          </w:p>
        </w:tc>
        <w:tc>
          <w:tcPr>
            <w:tcW w:w="651" w:type="pct"/>
            <w:gridSpan w:val="2"/>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+43 258 </w:t>
            </w:r>
          </w:p>
        </w:tc>
        <w:tc>
          <w:tcPr>
            <w:tcW w:w="798" w:type="pct"/>
            <w:gridSpan w:val="2"/>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+43 258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+43 258 </w:t>
            </w:r>
          </w:p>
        </w:tc>
      </w:tr>
      <w:tr w:rsidR="004714BB" w:rsidRPr="00A3491F" w:rsidTr="00365FD5">
        <w:trPr>
          <w:trHeight w:val="300"/>
        </w:trPr>
        <w:tc>
          <w:tcPr>
            <w:tcW w:w="907" w:type="pct"/>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Данъчни</w:t>
            </w:r>
          </w:p>
        </w:tc>
        <w:tc>
          <w:tcPr>
            <w:tcW w:w="579"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653"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sz w:val="20"/>
                <w:szCs w:val="20"/>
                <w:lang w:val="bg-BG" w:eastAsia="bg-BG"/>
              </w:rPr>
            </w:pPr>
            <w:r w:rsidRPr="00A3491F">
              <w:rPr>
                <w:rFonts w:eastAsia="Times New Roman"/>
                <w:sz w:val="20"/>
                <w:szCs w:val="20"/>
                <w:lang w:val="bg-BG" w:eastAsia="bg-BG"/>
              </w:rPr>
              <w:t> </w:t>
            </w:r>
          </w:p>
        </w:tc>
        <w:tc>
          <w:tcPr>
            <w:tcW w:w="725"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sz w:val="20"/>
                <w:szCs w:val="20"/>
                <w:lang w:val="bg-BG" w:eastAsia="bg-BG"/>
              </w:rPr>
            </w:pPr>
            <w:r w:rsidRPr="00A3491F">
              <w:rPr>
                <w:rFonts w:eastAsia="Times New Roman"/>
                <w:sz w:val="20"/>
                <w:szCs w:val="20"/>
                <w:lang w:val="bg-BG" w:eastAsia="bg-BG"/>
              </w:rPr>
              <w:t> </w:t>
            </w:r>
          </w:p>
        </w:tc>
        <w:tc>
          <w:tcPr>
            <w:tcW w:w="651"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98"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68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4714BB" w:rsidRPr="00A3491F" w:rsidTr="00365FD5">
        <w:trPr>
          <w:trHeight w:val="300"/>
        </w:trPr>
        <w:tc>
          <w:tcPr>
            <w:tcW w:w="907" w:type="pct"/>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Неданъчни</w:t>
            </w:r>
          </w:p>
        </w:tc>
        <w:tc>
          <w:tcPr>
            <w:tcW w:w="579"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217 777 </w:t>
            </w:r>
          </w:p>
        </w:tc>
        <w:tc>
          <w:tcPr>
            <w:tcW w:w="653"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sz w:val="20"/>
                <w:szCs w:val="20"/>
                <w:lang w:val="bg-BG" w:eastAsia="bg-BG"/>
              </w:rPr>
            </w:pPr>
            <w:r w:rsidRPr="00A3491F">
              <w:rPr>
                <w:rFonts w:eastAsia="Times New Roman"/>
                <w:sz w:val="20"/>
                <w:szCs w:val="20"/>
                <w:lang w:val="bg-BG" w:eastAsia="bg-BG"/>
              </w:rPr>
              <w:t>261 779 </w:t>
            </w:r>
          </w:p>
        </w:tc>
        <w:tc>
          <w:tcPr>
            <w:tcW w:w="725"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sz w:val="20"/>
                <w:szCs w:val="20"/>
                <w:lang w:val="bg-BG" w:eastAsia="bg-BG"/>
              </w:rPr>
            </w:pPr>
            <w:r w:rsidRPr="00A3491F">
              <w:rPr>
                <w:rFonts w:eastAsia="Times New Roman"/>
                <w:sz w:val="20"/>
                <w:szCs w:val="20"/>
                <w:lang w:val="bg-BG" w:eastAsia="bg-BG"/>
              </w:rPr>
              <w:t>261 779 </w:t>
            </w:r>
          </w:p>
        </w:tc>
        <w:tc>
          <w:tcPr>
            <w:tcW w:w="651"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+43 258 </w:t>
            </w:r>
          </w:p>
        </w:tc>
        <w:tc>
          <w:tcPr>
            <w:tcW w:w="798"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+43 258 </w:t>
            </w:r>
          </w:p>
        </w:tc>
        <w:tc>
          <w:tcPr>
            <w:tcW w:w="68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+43 258 </w:t>
            </w:r>
          </w:p>
        </w:tc>
      </w:tr>
      <w:tr w:rsidR="004714BB" w:rsidRPr="00A3491F" w:rsidTr="00365FD5">
        <w:trPr>
          <w:trHeight w:val="300"/>
        </w:trPr>
        <w:tc>
          <w:tcPr>
            <w:tcW w:w="907" w:type="pct"/>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Помощи</w:t>
            </w:r>
          </w:p>
        </w:tc>
        <w:tc>
          <w:tcPr>
            <w:tcW w:w="579"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653"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sz w:val="20"/>
                <w:szCs w:val="20"/>
                <w:lang w:val="bg-BG" w:eastAsia="bg-BG"/>
              </w:rPr>
            </w:pPr>
            <w:r w:rsidRPr="00A3491F">
              <w:rPr>
                <w:rFonts w:eastAsia="Times New Roman"/>
                <w:sz w:val="20"/>
                <w:szCs w:val="20"/>
                <w:lang w:val="bg-BG" w:eastAsia="bg-BG"/>
              </w:rPr>
              <w:t> </w:t>
            </w:r>
          </w:p>
        </w:tc>
        <w:tc>
          <w:tcPr>
            <w:tcW w:w="725"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sz w:val="20"/>
                <w:szCs w:val="20"/>
                <w:lang w:val="bg-BG" w:eastAsia="bg-BG"/>
              </w:rPr>
            </w:pPr>
            <w:r w:rsidRPr="00A3491F">
              <w:rPr>
                <w:rFonts w:eastAsia="Times New Roman"/>
                <w:sz w:val="20"/>
                <w:szCs w:val="20"/>
                <w:lang w:val="bg-BG" w:eastAsia="bg-BG"/>
              </w:rPr>
              <w:t> </w:t>
            </w:r>
          </w:p>
        </w:tc>
        <w:tc>
          <w:tcPr>
            <w:tcW w:w="651"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98"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68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4714BB" w:rsidRPr="00A3491F" w:rsidTr="00365FD5">
        <w:trPr>
          <w:trHeight w:val="300"/>
        </w:trPr>
        <w:tc>
          <w:tcPr>
            <w:tcW w:w="907" w:type="pct"/>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Разходи</w:t>
            </w:r>
          </w:p>
        </w:tc>
        <w:tc>
          <w:tcPr>
            <w:tcW w:w="579"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1 901 599 </w:t>
            </w:r>
          </w:p>
        </w:tc>
        <w:tc>
          <w:tcPr>
            <w:tcW w:w="653"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sz w:val="20"/>
                <w:szCs w:val="20"/>
                <w:lang w:val="bg-BG" w:eastAsia="bg-BG"/>
              </w:rPr>
            </w:pPr>
            <w:r w:rsidRPr="00A3491F">
              <w:rPr>
                <w:rFonts w:eastAsia="Times New Roman"/>
                <w:b/>
                <w:bCs/>
                <w:sz w:val="20"/>
                <w:szCs w:val="20"/>
                <w:lang w:val="bg-BG" w:eastAsia="bg-BG"/>
              </w:rPr>
              <w:t>2 069 037 </w:t>
            </w:r>
          </w:p>
        </w:tc>
        <w:tc>
          <w:tcPr>
            <w:tcW w:w="725"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sz w:val="20"/>
                <w:szCs w:val="20"/>
                <w:lang w:val="bg-BG" w:eastAsia="bg-BG"/>
              </w:rPr>
            </w:pPr>
            <w:r w:rsidRPr="00A3491F">
              <w:rPr>
                <w:rFonts w:eastAsia="Times New Roman"/>
                <w:b/>
                <w:bCs/>
                <w:sz w:val="20"/>
                <w:szCs w:val="20"/>
                <w:lang w:val="bg-BG" w:eastAsia="bg-BG"/>
              </w:rPr>
              <w:t>2 069 037 </w:t>
            </w:r>
          </w:p>
        </w:tc>
        <w:tc>
          <w:tcPr>
            <w:tcW w:w="651"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+43 258 </w:t>
            </w:r>
          </w:p>
        </w:tc>
        <w:tc>
          <w:tcPr>
            <w:tcW w:w="798"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+43 258 </w:t>
            </w:r>
          </w:p>
        </w:tc>
        <w:tc>
          <w:tcPr>
            <w:tcW w:w="68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+43 258 </w:t>
            </w:r>
          </w:p>
        </w:tc>
      </w:tr>
      <w:tr w:rsidR="004714BB" w:rsidRPr="00A3491F" w:rsidTr="00365FD5">
        <w:trPr>
          <w:trHeight w:val="300"/>
        </w:trPr>
        <w:tc>
          <w:tcPr>
            <w:tcW w:w="907" w:type="pct"/>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Текущи разходи</w:t>
            </w:r>
          </w:p>
        </w:tc>
        <w:tc>
          <w:tcPr>
            <w:tcW w:w="579"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1 874 494 </w:t>
            </w:r>
          </w:p>
        </w:tc>
        <w:tc>
          <w:tcPr>
            <w:tcW w:w="653"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sz w:val="20"/>
                <w:szCs w:val="20"/>
                <w:lang w:val="bg-BG" w:eastAsia="bg-BG"/>
              </w:rPr>
            </w:pPr>
            <w:r w:rsidRPr="00A3491F">
              <w:rPr>
                <w:rFonts w:eastAsia="Times New Roman"/>
                <w:sz w:val="20"/>
                <w:szCs w:val="20"/>
                <w:lang w:val="bg-BG" w:eastAsia="bg-BG"/>
              </w:rPr>
              <w:t>2 069 037 </w:t>
            </w:r>
          </w:p>
        </w:tc>
        <w:tc>
          <w:tcPr>
            <w:tcW w:w="725"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sz w:val="20"/>
                <w:szCs w:val="20"/>
                <w:lang w:val="bg-BG" w:eastAsia="bg-BG"/>
              </w:rPr>
            </w:pPr>
            <w:r w:rsidRPr="00A3491F">
              <w:rPr>
                <w:rFonts w:eastAsia="Times New Roman"/>
                <w:sz w:val="20"/>
                <w:szCs w:val="20"/>
                <w:lang w:val="bg-BG" w:eastAsia="bg-BG"/>
              </w:rPr>
              <w:t>2 069 037 </w:t>
            </w:r>
          </w:p>
        </w:tc>
        <w:tc>
          <w:tcPr>
            <w:tcW w:w="651"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+43 258 </w:t>
            </w:r>
          </w:p>
        </w:tc>
        <w:tc>
          <w:tcPr>
            <w:tcW w:w="798"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+43 258 </w:t>
            </w:r>
          </w:p>
        </w:tc>
        <w:tc>
          <w:tcPr>
            <w:tcW w:w="68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+43 258 </w:t>
            </w:r>
          </w:p>
        </w:tc>
      </w:tr>
      <w:tr w:rsidR="004714BB" w:rsidRPr="00A3491F" w:rsidTr="00365FD5">
        <w:trPr>
          <w:trHeight w:val="600"/>
        </w:trPr>
        <w:tc>
          <w:tcPr>
            <w:tcW w:w="907" w:type="pct"/>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от тях: в т.ч.за персонал (заплати и осигуровки)</w:t>
            </w:r>
          </w:p>
        </w:tc>
        <w:tc>
          <w:tcPr>
            <w:tcW w:w="579"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1 087 486 </w:t>
            </w:r>
          </w:p>
        </w:tc>
        <w:tc>
          <w:tcPr>
            <w:tcW w:w="653"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sz w:val="20"/>
                <w:szCs w:val="20"/>
                <w:lang w:val="bg-BG" w:eastAsia="bg-BG"/>
              </w:rPr>
            </w:pPr>
            <w:r w:rsidRPr="00A3491F">
              <w:rPr>
                <w:rFonts w:eastAsia="Times New Roman"/>
                <w:sz w:val="20"/>
                <w:szCs w:val="20"/>
                <w:lang w:val="bg-BG" w:eastAsia="bg-BG"/>
              </w:rPr>
              <w:t>1 034 352 </w:t>
            </w:r>
          </w:p>
        </w:tc>
        <w:tc>
          <w:tcPr>
            <w:tcW w:w="725"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sz w:val="20"/>
                <w:szCs w:val="20"/>
                <w:lang w:val="bg-BG" w:eastAsia="bg-BG"/>
              </w:rPr>
            </w:pPr>
            <w:r w:rsidRPr="00A3491F">
              <w:rPr>
                <w:rFonts w:eastAsia="Times New Roman"/>
                <w:sz w:val="20"/>
                <w:szCs w:val="20"/>
                <w:lang w:val="bg-BG" w:eastAsia="bg-BG"/>
              </w:rPr>
              <w:t>1 034 352 </w:t>
            </w:r>
          </w:p>
        </w:tc>
        <w:tc>
          <w:tcPr>
            <w:tcW w:w="651"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+30 730 </w:t>
            </w:r>
          </w:p>
        </w:tc>
        <w:tc>
          <w:tcPr>
            <w:tcW w:w="798"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+30 730 </w:t>
            </w:r>
          </w:p>
        </w:tc>
        <w:tc>
          <w:tcPr>
            <w:tcW w:w="68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+30 730 </w:t>
            </w:r>
          </w:p>
        </w:tc>
      </w:tr>
      <w:tr w:rsidR="004714BB" w:rsidRPr="00A3491F" w:rsidTr="00365FD5">
        <w:trPr>
          <w:trHeight w:val="300"/>
        </w:trPr>
        <w:tc>
          <w:tcPr>
            <w:tcW w:w="907" w:type="pct"/>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Капиталови разходи</w:t>
            </w:r>
          </w:p>
        </w:tc>
        <w:tc>
          <w:tcPr>
            <w:tcW w:w="579"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27 105 </w:t>
            </w:r>
          </w:p>
        </w:tc>
        <w:tc>
          <w:tcPr>
            <w:tcW w:w="653"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sz w:val="20"/>
                <w:szCs w:val="20"/>
                <w:lang w:val="bg-BG" w:eastAsia="bg-BG"/>
              </w:rPr>
            </w:pPr>
            <w:r w:rsidRPr="00A3491F">
              <w:rPr>
                <w:rFonts w:eastAsia="Times New Roman"/>
                <w:sz w:val="20"/>
                <w:szCs w:val="20"/>
                <w:lang w:val="bg-BG" w:eastAsia="bg-BG"/>
              </w:rPr>
              <w:t> </w:t>
            </w:r>
          </w:p>
        </w:tc>
        <w:tc>
          <w:tcPr>
            <w:tcW w:w="725"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sz w:val="20"/>
                <w:szCs w:val="20"/>
                <w:lang w:val="bg-BG" w:eastAsia="bg-BG"/>
              </w:rPr>
            </w:pPr>
            <w:r w:rsidRPr="00A3491F">
              <w:rPr>
                <w:rFonts w:eastAsia="Times New Roman"/>
                <w:sz w:val="20"/>
                <w:szCs w:val="20"/>
                <w:lang w:val="bg-BG" w:eastAsia="bg-BG"/>
              </w:rPr>
              <w:t> </w:t>
            </w:r>
          </w:p>
        </w:tc>
        <w:tc>
          <w:tcPr>
            <w:tcW w:w="651"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798" w:type="pct"/>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687" w:type="pct"/>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bl>
    <w:p w:rsidR="004714BB" w:rsidRPr="00A3491F" w:rsidRDefault="004714BB" w:rsidP="006B3BB7">
      <w:pPr>
        <w:tabs>
          <w:tab w:val="center" w:pos="4153"/>
          <w:tab w:val="right" w:pos="8306"/>
        </w:tabs>
        <w:spacing w:before="120" w:after="120"/>
        <w:rPr>
          <w:rFonts w:eastAsia="Times New Roman"/>
          <w:iCs/>
          <w:sz w:val="20"/>
          <w:szCs w:val="20"/>
          <w:lang w:val="bg-BG"/>
        </w:rPr>
      </w:pPr>
    </w:p>
    <w:tbl>
      <w:tblPr>
        <w:tblW w:w="0" w:type="auto"/>
        <w:tblLayout w:type="fixed"/>
        <w:tblCellMar>
          <w:left w:w="70" w:type="dxa"/>
          <w:right w:w="70" w:type="dxa"/>
        </w:tblCellMar>
        <w:tblLook w:val="04A0" w:firstRow="1" w:lastRow="0" w:firstColumn="1" w:lastColumn="0" w:noHBand="0" w:noVBand="1"/>
      </w:tblPr>
      <w:tblGrid>
        <w:gridCol w:w="1439"/>
        <w:gridCol w:w="332"/>
        <w:gridCol w:w="736"/>
        <w:gridCol w:w="398"/>
        <w:gridCol w:w="602"/>
        <w:gridCol w:w="674"/>
        <w:gridCol w:w="867"/>
        <w:gridCol w:w="551"/>
        <w:gridCol w:w="1026"/>
        <w:gridCol w:w="249"/>
        <w:gridCol w:w="1328"/>
        <w:gridCol w:w="232"/>
        <w:gridCol w:w="1345"/>
      </w:tblGrid>
      <w:tr w:rsidR="004714BB" w:rsidRPr="00A3491F" w:rsidTr="00EB19F8">
        <w:trPr>
          <w:trHeight w:val="300"/>
        </w:trPr>
        <w:tc>
          <w:tcPr>
            <w:tcW w:w="1439" w:type="dxa"/>
            <w:tcBorders>
              <w:top w:val="single" w:sz="4" w:space="0" w:color="auto"/>
              <w:left w:val="single" w:sz="4" w:space="0" w:color="auto"/>
              <w:bottom w:val="nil"/>
              <w:right w:val="nil"/>
            </w:tcBorders>
            <w:shd w:val="clear" w:color="auto" w:fill="auto"/>
            <w:vAlign w:val="center"/>
            <w:hideMark/>
          </w:tcPr>
          <w:p w:rsidR="004714BB" w:rsidRPr="00A3491F" w:rsidRDefault="004714BB" w:rsidP="006B3BB7">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068" w:type="dxa"/>
            <w:gridSpan w:val="2"/>
            <w:tcBorders>
              <w:top w:val="single" w:sz="4" w:space="0" w:color="auto"/>
              <w:left w:val="nil"/>
              <w:bottom w:val="nil"/>
              <w:right w:val="nil"/>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000" w:type="dxa"/>
            <w:gridSpan w:val="2"/>
            <w:tcBorders>
              <w:top w:val="single" w:sz="4" w:space="0" w:color="auto"/>
              <w:left w:val="nil"/>
              <w:bottom w:val="nil"/>
              <w:right w:val="nil"/>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541" w:type="dxa"/>
            <w:gridSpan w:val="2"/>
            <w:tcBorders>
              <w:top w:val="single" w:sz="4" w:space="0" w:color="auto"/>
              <w:left w:val="nil"/>
              <w:bottom w:val="nil"/>
              <w:right w:val="nil"/>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577" w:type="dxa"/>
            <w:gridSpan w:val="2"/>
            <w:tcBorders>
              <w:top w:val="single" w:sz="4" w:space="0" w:color="auto"/>
              <w:left w:val="nil"/>
              <w:bottom w:val="nil"/>
              <w:right w:val="nil"/>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577" w:type="dxa"/>
            <w:gridSpan w:val="2"/>
            <w:tcBorders>
              <w:top w:val="single" w:sz="4" w:space="0" w:color="auto"/>
              <w:left w:val="nil"/>
              <w:bottom w:val="nil"/>
              <w:right w:val="nil"/>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577" w:type="dxa"/>
            <w:gridSpan w:val="2"/>
            <w:tcBorders>
              <w:top w:val="single" w:sz="4" w:space="0" w:color="auto"/>
              <w:left w:val="nil"/>
              <w:bottom w:val="nil"/>
              <w:right w:val="single" w:sz="4" w:space="0" w:color="auto"/>
            </w:tcBorders>
            <w:shd w:val="clear" w:color="auto" w:fill="auto"/>
            <w:vAlign w:val="center"/>
            <w:hideMark/>
          </w:tcPr>
          <w:p w:rsidR="004714BB" w:rsidRPr="00A3491F" w:rsidRDefault="004714BB" w:rsidP="006B3BB7">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4714BB" w:rsidRPr="0099421C" w:rsidTr="00EB19F8">
        <w:trPr>
          <w:trHeight w:val="300"/>
        </w:trPr>
        <w:tc>
          <w:tcPr>
            <w:tcW w:w="9779" w:type="dxa"/>
            <w:gridSpan w:val="13"/>
            <w:tcBorders>
              <w:top w:val="nil"/>
              <w:left w:val="single" w:sz="4" w:space="0" w:color="auto"/>
              <w:bottom w:val="nil"/>
              <w:right w:val="single" w:sz="4" w:space="0" w:color="000000"/>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u w:val="single"/>
                <w:lang w:val="bg-BG" w:eastAsia="bg-BG"/>
              </w:rPr>
            </w:pPr>
            <w:r w:rsidRPr="00A3491F">
              <w:rPr>
                <w:rFonts w:eastAsia="Times New Roman"/>
                <w:b/>
                <w:bCs/>
                <w:color w:val="000000"/>
                <w:sz w:val="20"/>
                <w:szCs w:val="20"/>
                <w:u w:val="single"/>
                <w:lang w:val="bg-BG" w:eastAsia="bg-BG"/>
              </w:rPr>
              <w:t>Общо за системата на Министерство на икономиката</w:t>
            </w:r>
          </w:p>
        </w:tc>
      </w:tr>
      <w:tr w:rsidR="004714BB" w:rsidRPr="0099421C" w:rsidTr="00EB19F8">
        <w:trPr>
          <w:trHeight w:val="300"/>
        </w:trPr>
        <w:tc>
          <w:tcPr>
            <w:tcW w:w="1771" w:type="dxa"/>
            <w:gridSpan w:val="2"/>
            <w:tcBorders>
              <w:top w:val="nil"/>
              <w:left w:val="single" w:sz="4" w:space="0" w:color="auto"/>
              <w:bottom w:val="nil"/>
              <w:right w:val="nil"/>
            </w:tcBorders>
            <w:shd w:val="clear" w:color="auto" w:fill="auto"/>
            <w:vAlign w:val="center"/>
            <w:hideMark/>
          </w:tcPr>
          <w:p w:rsidR="004714BB" w:rsidRPr="00A3491F" w:rsidRDefault="004714BB" w:rsidP="006B3BB7">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134" w:type="dxa"/>
            <w:gridSpan w:val="2"/>
            <w:tcBorders>
              <w:top w:val="nil"/>
              <w:left w:val="nil"/>
              <w:bottom w:val="nil"/>
              <w:right w:val="nil"/>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p>
        </w:tc>
        <w:tc>
          <w:tcPr>
            <w:tcW w:w="1276" w:type="dxa"/>
            <w:gridSpan w:val="2"/>
            <w:tcBorders>
              <w:top w:val="nil"/>
              <w:left w:val="nil"/>
              <w:bottom w:val="nil"/>
              <w:right w:val="nil"/>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p>
        </w:tc>
        <w:tc>
          <w:tcPr>
            <w:tcW w:w="1418" w:type="dxa"/>
            <w:gridSpan w:val="2"/>
            <w:tcBorders>
              <w:top w:val="nil"/>
              <w:left w:val="nil"/>
              <w:bottom w:val="nil"/>
              <w:right w:val="nil"/>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p>
        </w:tc>
        <w:tc>
          <w:tcPr>
            <w:tcW w:w="1275" w:type="dxa"/>
            <w:gridSpan w:val="2"/>
            <w:tcBorders>
              <w:top w:val="nil"/>
              <w:left w:val="nil"/>
              <w:bottom w:val="nil"/>
              <w:right w:val="nil"/>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p>
        </w:tc>
        <w:tc>
          <w:tcPr>
            <w:tcW w:w="1560" w:type="dxa"/>
            <w:gridSpan w:val="2"/>
            <w:tcBorders>
              <w:top w:val="nil"/>
              <w:left w:val="nil"/>
              <w:bottom w:val="nil"/>
              <w:right w:val="nil"/>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p>
        </w:tc>
        <w:tc>
          <w:tcPr>
            <w:tcW w:w="1345" w:type="dxa"/>
            <w:tcBorders>
              <w:top w:val="nil"/>
              <w:left w:val="nil"/>
              <w:bottom w:val="nil"/>
              <w:right w:val="single" w:sz="4" w:space="0" w:color="auto"/>
            </w:tcBorders>
            <w:shd w:val="clear" w:color="auto" w:fill="auto"/>
            <w:vAlign w:val="center"/>
            <w:hideMark/>
          </w:tcPr>
          <w:p w:rsidR="004714BB" w:rsidRPr="00A3491F" w:rsidRDefault="004714BB" w:rsidP="006B3BB7">
            <w:pPr>
              <w:spacing w:after="0"/>
              <w:jc w:val="center"/>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4714BB" w:rsidRPr="00A3491F" w:rsidTr="00EB19F8">
        <w:trPr>
          <w:trHeight w:val="990"/>
        </w:trPr>
        <w:tc>
          <w:tcPr>
            <w:tcW w:w="17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 Показа-тели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 За </w:t>
            </w:r>
            <w:proofErr w:type="spellStart"/>
            <w:r w:rsidRPr="00A3491F">
              <w:rPr>
                <w:rFonts w:eastAsia="Times New Roman"/>
                <w:b/>
                <w:bCs/>
                <w:color w:val="000000"/>
                <w:sz w:val="20"/>
                <w:szCs w:val="20"/>
                <w:lang w:val="bg-BG" w:eastAsia="bg-BG"/>
              </w:rPr>
              <w:t>предход-ната</w:t>
            </w:r>
            <w:proofErr w:type="spellEnd"/>
            <w:r w:rsidRPr="00A3491F">
              <w:rPr>
                <w:rFonts w:eastAsia="Times New Roman"/>
                <w:b/>
                <w:bCs/>
                <w:color w:val="000000"/>
                <w:sz w:val="20"/>
                <w:szCs w:val="20"/>
                <w:lang w:val="bg-BG" w:eastAsia="bg-BG"/>
              </w:rPr>
              <w:t xml:space="preserve"> отчетна 2016 г.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 Уточнен план за 2017 г.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 Произтичащи ангажименти за 2017 г.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 Ангажименти за 2018 г.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 Ангажименти за 2019 г. </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 Ангажименти за 2020 г. </w:t>
            </w:r>
          </w:p>
        </w:tc>
      </w:tr>
      <w:tr w:rsidR="004714BB" w:rsidRPr="00A3491F" w:rsidTr="00EB19F8">
        <w:trPr>
          <w:trHeight w:val="300"/>
        </w:trPr>
        <w:tc>
          <w:tcPr>
            <w:tcW w:w="1771" w:type="dxa"/>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3</w:t>
            </w:r>
          </w:p>
        </w:tc>
        <w:tc>
          <w:tcPr>
            <w:tcW w:w="1418"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4 </w:t>
            </w:r>
          </w:p>
        </w:tc>
        <w:tc>
          <w:tcPr>
            <w:tcW w:w="1275"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5 </w:t>
            </w:r>
          </w:p>
        </w:tc>
        <w:tc>
          <w:tcPr>
            <w:tcW w:w="1560"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6</w:t>
            </w:r>
          </w:p>
        </w:tc>
        <w:tc>
          <w:tcPr>
            <w:tcW w:w="1345" w:type="dxa"/>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center"/>
              <w:rPr>
                <w:rFonts w:eastAsia="Times New Roman"/>
                <w:b/>
                <w:bCs/>
                <w:color w:val="000000"/>
                <w:sz w:val="20"/>
                <w:szCs w:val="20"/>
                <w:lang w:val="bg-BG" w:eastAsia="bg-BG"/>
              </w:rPr>
            </w:pPr>
            <w:r w:rsidRPr="00A3491F">
              <w:rPr>
                <w:rFonts w:eastAsia="Times New Roman"/>
                <w:b/>
                <w:bCs/>
                <w:color w:val="000000"/>
                <w:sz w:val="20"/>
                <w:szCs w:val="20"/>
                <w:lang w:val="bg-BG" w:eastAsia="bg-BG"/>
              </w:rPr>
              <w:t>7</w:t>
            </w:r>
          </w:p>
        </w:tc>
      </w:tr>
      <w:tr w:rsidR="004714BB" w:rsidRPr="00A3491F" w:rsidTr="00EB19F8">
        <w:trPr>
          <w:trHeight w:val="300"/>
        </w:trPr>
        <w:tc>
          <w:tcPr>
            <w:tcW w:w="1771" w:type="dxa"/>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Приходи</w:t>
            </w:r>
          </w:p>
        </w:tc>
        <w:tc>
          <w:tcPr>
            <w:tcW w:w="1134"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25 805 921</w:t>
            </w:r>
          </w:p>
        </w:tc>
        <w:tc>
          <w:tcPr>
            <w:tcW w:w="1276"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25 088 173</w:t>
            </w:r>
          </w:p>
        </w:tc>
        <w:tc>
          <w:tcPr>
            <w:tcW w:w="1418"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25 088 173</w:t>
            </w:r>
          </w:p>
        </w:tc>
        <w:tc>
          <w:tcPr>
            <w:tcW w:w="1275" w:type="dxa"/>
            <w:gridSpan w:val="2"/>
            <w:tcBorders>
              <w:top w:val="nil"/>
              <w:left w:val="nil"/>
              <w:bottom w:val="single" w:sz="4" w:space="0" w:color="auto"/>
              <w:right w:val="single" w:sz="4" w:space="0" w:color="auto"/>
            </w:tcBorders>
            <w:shd w:val="clear" w:color="auto" w:fill="auto"/>
            <w:vAlign w:val="center"/>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+0</w:t>
            </w:r>
          </w:p>
        </w:tc>
        <w:tc>
          <w:tcPr>
            <w:tcW w:w="1560" w:type="dxa"/>
            <w:gridSpan w:val="2"/>
            <w:tcBorders>
              <w:top w:val="nil"/>
              <w:left w:val="nil"/>
              <w:bottom w:val="single" w:sz="4" w:space="0" w:color="auto"/>
              <w:right w:val="single" w:sz="4" w:space="0" w:color="auto"/>
            </w:tcBorders>
            <w:shd w:val="clear" w:color="auto" w:fill="auto"/>
            <w:vAlign w:val="center"/>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+0</w:t>
            </w:r>
          </w:p>
        </w:tc>
        <w:tc>
          <w:tcPr>
            <w:tcW w:w="1345" w:type="dxa"/>
            <w:tcBorders>
              <w:top w:val="nil"/>
              <w:left w:val="nil"/>
              <w:bottom w:val="single" w:sz="4" w:space="0" w:color="auto"/>
              <w:right w:val="single" w:sz="4" w:space="0" w:color="auto"/>
            </w:tcBorders>
            <w:shd w:val="clear" w:color="auto" w:fill="auto"/>
            <w:vAlign w:val="center"/>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+0</w:t>
            </w:r>
          </w:p>
        </w:tc>
      </w:tr>
      <w:tr w:rsidR="004714BB" w:rsidRPr="00A3491F" w:rsidTr="00EB19F8">
        <w:trPr>
          <w:trHeight w:val="300"/>
        </w:trPr>
        <w:tc>
          <w:tcPr>
            <w:tcW w:w="1771" w:type="dxa"/>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xml:space="preserve"> Данъчни </w:t>
            </w:r>
          </w:p>
        </w:tc>
        <w:tc>
          <w:tcPr>
            <w:tcW w:w="1134"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c>
          <w:tcPr>
            <w:tcW w:w="1345" w:type="dxa"/>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w:t>
            </w:r>
          </w:p>
        </w:tc>
      </w:tr>
      <w:tr w:rsidR="004714BB" w:rsidRPr="00A3491F" w:rsidTr="00EB19F8">
        <w:trPr>
          <w:trHeight w:val="300"/>
        </w:trPr>
        <w:tc>
          <w:tcPr>
            <w:tcW w:w="1771" w:type="dxa"/>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xml:space="preserve"> Неданъчни </w:t>
            </w:r>
          </w:p>
        </w:tc>
        <w:tc>
          <w:tcPr>
            <w:tcW w:w="1134"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25 753 793     </w:t>
            </w:r>
          </w:p>
        </w:tc>
        <w:tc>
          <w:tcPr>
            <w:tcW w:w="1276"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25 078 233     </w:t>
            </w:r>
          </w:p>
        </w:tc>
        <w:tc>
          <w:tcPr>
            <w:tcW w:w="1418"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25 078 233     </w:t>
            </w:r>
          </w:p>
        </w:tc>
        <w:tc>
          <w:tcPr>
            <w:tcW w:w="1275" w:type="dxa"/>
            <w:gridSpan w:val="2"/>
            <w:tcBorders>
              <w:top w:val="nil"/>
              <w:left w:val="nil"/>
              <w:bottom w:val="single" w:sz="4" w:space="0" w:color="auto"/>
              <w:right w:val="single" w:sz="4" w:space="0" w:color="auto"/>
            </w:tcBorders>
            <w:shd w:val="clear" w:color="auto" w:fill="auto"/>
          </w:tcPr>
          <w:p w:rsidR="004714BB" w:rsidRPr="00A3491F" w:rsidRDefault="004714BB" w:rsidP="006B3BB7">
            <w:pPr>
              <w:spacing w:after="0"/>
              <w:jc w:val="right"/>
              <w:rPr>
                <w:rFonts w:eastAsia="Times New Roman"/>
                <w:color w:val="000000"/>
                <w:sz w:val="20"/>
                <w:szCs w:val="20"/>
                <w:lang w:val="bg-BG" w:eastAsia="bg-BG"/>
              </w:rPr>
            </w:pPr>
            <w:r w:rsidRPr="00A3491F">
              <w:rPr>
                <w:rFonts w:eastAsiaTheme="minorHAnsi"/>
                <w:sz w:val="20"/>
                <w:szCs w:val="20"/>
                <w:lang w:val="bg-BG"/>
              </w:rPr>
              <w:t>+0</w:t>
            </w:r>
          </w:p>
        </w:tc>
        <w:tc>
          <w:tcPr>
            <w:tcW w:w="1560" w:type="dxa"/>
            <w:gridSpan w:val="2"/>
            <w:tcBorders>
              <w:top w:val="nil"/>
              <w:left w:val="nil"/>
              <w:bottom w:val="single" w:sz="4" w:space="0" w:color="auto"/>
              <w:right w:val="single" w:sz="4" w:space="0" w:color="auto"/>
            </w:tcBorders>
            <w:shd w:val="clear" w:color="auto" w:fill="auto"/>
          </w:tcPr>
          <w:p w:rsidR="004714BB" w:rsidRPr="00A3491F" w:rsidRDefault="004714BB" w:rsidP="006B3BB7">
            <w:pPr>
              <w:spacing w:after="0"/>
              <w:jc w:val="right"/>
              <w:rPr>
                <w:rFonts w:eastAsia="Times New Roman"/>
                <w:color w:val="000000"/>
                <w:sz w:val="20"/>
                <w:szCs w:val="20"/>
                <w:lang w:val="bg-BG" w:eastAsia="bg-BG"/>
              </w:rPr>
            </w:pPr>
            <w:r w:rsidRPr="00A3491F">
              <w:rPr>
                <w:rFonts w:eastAsiaTheme="minorHAnsi"/>
                <w:sz w:val="20"/>
                <w:szCs w:val="20"/>
                <w:lang w:val="bg-BG"/>
              </w:rPr>
              <w:t>+0</w:t>
            </w:r>
          </w:p>
        </w:tc>
        <w:tc>
          <w:tcPr>
            <w:tcW w:w="1345" w:type="dxa"/>
            <w:tcBorders>
              <w:top w:val="nil"/>
              <w:left w:val="nil"/>
              <w:bottom w:val="single" w:sz="4" w:space="0" w:color="auto"/>
              <w:right w:val="single" w:sz="4" w:space="0" w:color="auto"/>
            </w:tcBorders>
            <w:shd w:val="clear" w:color="auto" w:fill="auto"/>
          </w:tcPr>
          <w:p w:rsidR="004714BB" w:rsidRPr="00A3491F" w:rsidRDefault="004714BB" w:rsidP="006B3BB7">
            <w:pPr>
              <w:spacing w:after="0"/>
              <w:jc w:val="right"/>
              <w:rPr>
                <w:rFonts w:eastAsia="Times New Roman"/>
                <w:color w:val="000000"/>
                <w:sz w:val="20"/>
                <w:szCs w:val="20"/>
                <w:lang w:val="bg-BG" w:eastAsia="bg-BG"/>
              </w:rPr>
            </w:pPr>
            <w:r w:rsidRPr="00A3491F">
              <w:rPr>
                <w:rFonts w:eastAsiaTheme="minorHAnsi"/>
                <w:sz w:val="20"/>
                <w:szCs w:val="20"/>
                <w:lang w:val="bg-BG"/>
              </w:rPr>
              <w:t>+0</w:t>
            </w:r>
          </w:p>
        </w:tc>
      </w:tr>
      <w:tr w:rsidR="004714BB" w:rsidRPr="00A3491F" w:rsidTr="00EB19F8">
        <w:trPr>
          <w:trHeight w:val="300"/>
        </w:trPr>
        <w:tc>
          <w:tcPr>
            <w:tcW w:w="1771" w:type="dxa"/>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xml:space="preserve"> Помощи </w:t>
            </w:r>
          </w:p>
        </w:tc>
        <w:tc>
          <w:tcPr>
            <w:tcW w:w="1134"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52 128     </w:t>
            </w:r>
          </w:p>
        </w:tc>
        <w:tc>
          <w:tcPr>
            <w:tcW w:w="1276"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9 940     </w:t>
            </w:r>
          </w:p>
        </w:tc>
        <w:tc>
          <w:tcPr>
            <w:tcW w:w="1418"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9 940</w:t>
            </w:r>
          </w:p>
        </w:tc>
        <w:tc>
          <w:tcPr>
            <w:tcW w:w="1275" w:type="dxa"/>
            <w:gridSpan w:val="2"/>
            <w:tcBorders>
              <w:top w:val="nil"/>
              <w:left w:val="nil"/>
              <w:bottom w:val="single" w:sz="4" w:space="0" w:color="auto"/>
              <w:right w:val="single" w:sz="4" w:space="0" w:color="auto"/>
            </w:tcBorders>
            <w:shd w:val="clear" w:color="auto" w:fill="auto"/>
          </w:tcPr>
          <w:p w:rsidR="004714BB" w:rsidRPr="00A3491F" w:rsidRDefault="004714BB" w:rsidP="006B3BB7">
            <w:pPr>
              <w:spacing w:after="0"/>
              <w:jc w:val="right"/>
              <w:rPr>
                <w:rFonts w:eastAsia="Times New Roman"/>
                <w:color w:val="000000"/>
                <w:sz w:val="20"/>
                <w:szCs w:val="20"/>
                <w:lang w:val="bg-BG" w:eastAsia="bg-BG"/>
              </w:rPr>
            </w:pPr>
            <w:r w:rsidRPr="00A3491F">
              <w:rPr>
                <w:rFonts w:eastAsiaTheme="minorHAnsi"/>
                <w:sz w:val="20"/>
                <w:szCs w:val="20"/>
                <w:lang w:val="bg-BG"/>
              </w:rPr>
              <w:t>+0</w:t>
            </w:r>
          </w:p>
        </w:tc>
        <w:tc>
          <w:tcPr>
            <w:tcW w:w="1560" w:type="dxa"/>
            <w:gridSpan w:val="2"/>
            <w:tcBorders>
              <w:top w:val="nil"/>
              <w:left w:val="nil"/>
              <w:bottom w:val="single" w:sz="4" w:space="0" w:color="auto"/>
              <w:right w:val="single" w:sz="4" w:space="0" w:color="auto"/>
            </w:tcBorders>
            <w:shd w:val="clear" w:color="auto" w:fill="auto"/>
          </w:tcPr>
          <w:p w:rsidR="004714BB" w:rsidRPr="00A3491F" w:rsidRDefault="004714BB" w:rsidP="006B3BB7">
            <w:pPr>
              <w:spacing w:after="0"/>
              <w:jc w:val="right"/>
              <w:rPr>
                <w:rFonts w:eastAsia="Times New Roman"/>
                <w:color w:val="000000"/>
                <w:sz w:val="20"/>
                <w:szCs w:val="20"/>
                <w:lang w:val="bg-BG" w:eastAsia="bg-BG"/>
              </w:rPr>
            </w:pPr>
            <w:r w:rsidRPr="00A3491F">
              <w:rPr>
                <w:rFonts w:eastAsiaTheme="minorHAnsi"/>
                <w:sz w:val="20"/>
                <w:szCs w:val="20"/>
                <w:lang w:val="bg-BG"/>
              </w:rPr>
              <w:t>+0</w:t>
            </w:r>
          </w:p>
        </w:tc>
        <w:tc>
          <w:tcPr>
            <w:tcW w:w="1345" w:type="dxa"/>
            <w:tcBorders>
              <w:top w:val="nil"/>
              <w:left w:val="nil"/>
              <w:bottom w:val="single" w:sz="4" w:space="0" w:color="auto"/>
              <w:right w:val="single" w:sz="4" w:space="0" w:color="auto"/>
            </w:tcBorders>
            <w:shd w:val="clear" w:color="auto" w:fill="auto"/>
          </w:tcPr>
          <w:p w:rsidR="004714BB" w:rsidRPr="00A3491F" w:rsidRDefault="004714BB" w:rsidP="006B3BB7">
            <w:pPr>
              <w:spacing w:after="0"/>
              <w:jc w:val="right"/>
              <w:rPr>
                <w:rFonts w:eastAsia="Times New Roman"/>
                <w:color w:val="000000"/>
                <w:sz w:val="20"/>
                <w:szCs w:val="20"/>
                <w:lang w:val="bg-BG" w:eastAsia="bg-BG"/>
              </w:rPr>
            </w:pPr>
            <w:r w:rsidRPr="00A3491F">
              <w:rPr>
                <w:rFonts w:eastAsiaTheme="minorHAnsi"/>
                <w:sz w:val="20"/>
                <w:szCs w:val="20"/>
                <w:lang w:val="bg-BG"/>
              </w:rPr>
              <w:t>+0</w:t>
            </w:r>
          </w:p>
        </w:tc>
      </w:tr>
      <w:tr w:rsidR="004714BB" w:rsidRPr="00A3491F" w:rsidTr="00EB19F8">
        <w:trPr>
          <w:trHeight w:val="300"/>
        </w:trPr>
        <w:tc>
          <w:tcPr>
            <w:tcW w:w="1771" w:type="dxa"/>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b/>
                <w:bCs/>
                <w:color w:val="000000"/>
                <w:sz w:val="20"/>
                <w:szCs w:val="20"/>
                <w:lang w:val="bg-BG" w:eastAsia="bg-BG"/>
              </w:rPr>
            </w:pPr>
            <w:r w:rsidRPr="00A3491F">
              <w:rPr>
                <w:rFonts w:eastAsia="Times New Roman"/>
                <w:b/>
                <w:bCs/>
                <w:color w:val="000000"/>
                <w:sz w:val="20"/>
                <w:szCs w:val="20"/>
                <w:lang w:val="bg-BG" w:eastAsia="bg-BG"/>
              </w:rPr>
              <w:t xml:space="preserve"> Разходи </w:t>
            </w:r>
          </w:p>
        </w:tc>
        <w:tc>
          <w:tcPr>
            <w:tcW w:w="1134"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74 705 395</w:t>
            </w:r>
          </w:p>
        </w:tc>
        <w:tc>
          <w:tcPr>
            <w:tcW w:w="1276"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79 048 602</w:t>
            </w:r>
          </w:p>
        </w:tc>
        <w:tc>
          <w:tcPr>
            <w:tcW w:w="1418"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imes New Roman"/>
                <w:b/>
                <w:bCs/>
                <w:color w:val="000000"/>
                <w:sz w:val="20"/>
                <w:szCs w:val="20"/>
                <w:lang w:val="bg-BG" w:eastAsia="bg-BG"/>
              </w:rPr>
              <w:t>79 048 602</w:t>
            </w:r>
          </w:p>
        </w:tc>
        <w:tc>
          <w:tcPr>
            <w:tcW w:w="1275" w:type="dxa"/>
            <w:gridSpan w:val="2"/>
            <w:tcBorders>
              <w:top w:val="nil"/>
              <w:left w:val="nil"/>
              <w:bottom w:val="single" w:sz="4" w:space="0" w:color="auto"/>
              <w:right w:val="single" w:sz="4" w:space="0" w:color="auto"/>
            </w:tcBorders>
            <w:shd w:val="clear" w:color="auto" w:fill="auto"/>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heme="minorHAnsi"/>
                <w:sz w:val="20"/>
                <w:szCs w:val="20"/>
                <w:lang w:val="bg-BG"/>
              </w:rPr>
              <w:t>+0</w:t>
            </w:r>
          </w:p>
        </w:tc>
        <w:tc>
          <w:tcPr>
            <w:tcW w:w="1560" w:type="dxa"/>
            <w:gridSpan w:val="2"/>
            <w:tcBorders>
              <w:top w:val="nil"/>
              <w:left w:val="nil"/>
              <w:bottom w:val="single" w:sz="4" w:space="0" w:color="auto"/>
              <w:right w:val="single" w:sz="4" w:space="0" w:color="auto"/>
            </w:tcBorders>
            <w:shd w:val="clear" w:color="auto" w:fill="auto"/>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heme="minorHAnsi"/>
                <w:sz w:val="20"/>
                <w:szCs w:val="20"/>
                <w:lang w:val="bg-BG"/>
              </w:rPr>
              <w:t>+0</w:t>
            </w:r>
          </w:p>
        </w:tc>
        <w:tc>
          <w:tcPr>
            <w:tcW w:w="1345" w:type="dxa"/>
            <w:tcBorders>
              <w:top w:val="nil"/>
              <w:left w:val="nil"/>
              <w:bottom w:val="single" w:sz="4" w:space="0" w:color="auto"/>
              <w:right w:val="single" w:sz="4" w:space="0" w:color="auto"/>
            </w:tcBorders>
            <w:shd w:val="clear" w:color="auto" w:fill="auto"/>
          </w:tcPr>
          <w:p w:rsidR="004714BB" w:rsidRPr="00A3491F" w:rsidRDefault="004714BB" w:rsidP="006B3BB7">
            <w:pPr>
              <w:spacing w:after="0"/>
              <w:jc w:val="right"/>
              <w:rPr>
                <w:rFonts w:eastAsia="Times New Roman"/>
                <w:b/>
                <w:bCs/>
                <w:color w:val="000000"/>
                <w:sz w:val="20"/>
                <w:szCs w:val="20"/>
                <w:lang w:val="bg-BG" w:eastAsia="bg-BG"/>
              </w:rPr>
            </w:pPr>
            <w:r w:rsidRPr="00A3491F">
              <w:rPr>
                <w:rFonts w:eastAsiaTheme="minorHAnsi"/>
                <w:sz w:val="20"/>
                <w:szCs w:val="20"/>
                <w:lang w:val="bg-BG"/>
              </w:rPr>
              <w:t>+0</w:t>
            </w:r>
          </w:p>
        </w:tc>
      </w:tr>
      <w:tr w:rsidR="004714BB" w:rsidRPr="00A3491F" w:rsidTr="00EB19F8">
        <w:trPr>
          <w:trHeight w:val="300"/>
        </w:trPr>
        <w:tc>
          <w:tcPr>
            <w:tcW w:w="1771" w:type="dxa"/>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xml:space="preserve"> Текущи разходи </w:t>
            </w:r>
          </w:p>
        </w:tc>
        <w:tc>
          <w:tcPr>
            <w:tcW w:w="1134"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43 237 661</w:t>
            </w:r>
          </w:p>
        </w:tc>
        <w:tc>
          <w:tcPr>
            <w:tcW w:w="1276"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48 493 486</w:t>
            </w:r>
          </w:p>
        </w:tc>
        <w:tc>
          <w:tcPr>
            <w:tcW w:w="1418"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48 493 486</w:t>
            </w:r>
          </w:p>
        </w:tc>
        <w:tc>
          <w:tcPr>
            <w:tcW w:w="1275" w:type="dxa"/>
            <w:gridSpan w:val="2"/>
            <w:tcBorders>
              <w:top w:val="nil"/>
              <w:left w:val="nil"/>
              <w:bottom w:val="single" w:sz="4" w:space="0" w:color="auto"/>
              <w:right w:val="single" w:sz="4" w:space="0" w:color="auto"/>
            </w:tcBorders>
            <w:shd w:val="clear" w:color="auto" w:fill="auto"/>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+0</w:t>
            </w:r>
          </w:p>
        </w:tc>
        <w:tc>
          <w:tcPr>
            <w:tcW w:w="1560" w:type="dxa"/>
            <w:gridSpan w:val="2"/>
            <w:tcBorders>
              <w:top w:val="nil"/>
              <w:left w:val="nil"/>
              <w:bottom w:val="single" w:sz="4" w:space="0" w:color="auto"/>
              <w:right w:val="single" w:sz="4" w:space="0" w:color="auto"/>
            </w:tcBorders>
            <w:shd w:val="clear" w:color="auto" w:fill="auto"/>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+0</w:t>
            </w:r>
          </w:p>
        </w:tc>
        <w:tc>
          <w:tcPr>
            <w:tcW w:w="1345" w:type="dxa"/>
            <w:tcBorders>
              <w:top w:val="nil"/>
              <w:left w:val="nil"/>
              <w:bottom w:val="single" w:sz="4" w:space="0" w:color="auto"/>
              <w:right w:val="single" w:sz="4" w:space="0" w:color="auto"/>
            </w:tcBorders>
            <w:shd w:val="clear" w:color="auto" w:fill="auto"/>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+0</w:t>
            </w:r>
          </w:p>
        </w:tc>
      </w:tr>
      <w:tr w:rsidR="004714BB" w:rsidRPr="00A3491F" w:rsidTr="00EB19F8">
        <w:trPr>
          <w:trHeight w:val="900"/>
        </w:trPr>
        <w:tc>
          <w:tcPr>
            <w:tcW w:w="1771" w:type="dxa"/>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xml:space="preserve"> Разходи за персонал (заплати и осигуровки) </w:t>
            </w:r>
          </w:p>
        </w:tc>
        <w:tc>
          <w:tcPr>
            <w:tcW w:w="1134"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28 361 419</w:t>
            </w:r>
          </w:p>
        </w:tc>
        <w:tc>
          <w:tcPr>
            <w:tcW w:w="1276"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29 572 621</w:t>
            </w:r>
          </w:p>
        </w:tc>
        <w:tc>
          <w:tcPr>
            <w:tcW w:w="1418"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29 572 621</w:t>
            </w:r>
          </w:p>
        </w:tc>
        <w:tc>
          <w:tcPr>
            <w:tcW w:w="1275" w:type="dxa"/>
            <w:gridSpan w:val="2"/>
            <w:tcBorders>
              <w:top w:val="nil"/>
              <w:left w:val="nil"/>
              <w:bottom w:val="single" w:sz="4" w:space="0" w:color="auto"/>
              <w:right w:val="single" w:sz="4" w:space="0" w:color="auto"/>
            </w:tcBorders>
            <w:shd w:val="clear" w:color="auto" w:fill="auto"/>
            <w:hideMark/>
          </w:tcPr>
          <w:p w:rsidR="004714BB" w:rsidRPr="00A3491F" w:rsidRDefault="004714BB" w:rsidP="006B3BB7">
            <w:pPr>
              <w:spacing w:after="0"/>
              <w:jc w:val="right"/>
              <w:rPr>
                <w:rFonts w:eastAsiaTheme="minorHAnsi"/>
                <w:sz w:val="20"/>
                <w:szCs w:val="20"/>
                <w:lang w:val="bg-BG"/>
              </w:rPr>
            </w:pPr>
          </w:p>
          <w:p w:rsidR="004714BB" w:rsidRPr="00A3491F" w:rsidRDefault="004714BB" w:rsidP="006B3BB7">
            <w:pPr>
              <w:spacing w:after="0"/>
              <w:jc w:val="right"/>
              <w:rPr>
                <w:rFonts w:eastAsiaTheme="minorHAnsi"/>
                <w:sz w:val="20"/>
                <w:szCs w:val="20"/>
                <w:lang w:val="bg-BG"/>
              </w:rPr>
            </w:pPr>
          </w:p>
          <w:p w:rsidR="004714BB" w:rsidRPr="00A3491F" w:rsidRDefault="004714BB" w:rsidP="006B3BB7">
            <w:pPr>
              <w:spacing w:after="0"/>
              <w:jc w:val="right"/>
              <w:rPr>
                <w:rFonts w:eastAsia="Times New Roman"/>
                <w:color w:val="000000"/>
                <w:sz w:val="20"/>
                <w:szCs w:val="20"/>
                <w:lang w:val="bg-BG" w:eastAsia="bg-BG"/>
              </w:rPr>
            </w:pPr>
            <w:r w:rsidRPr="00A3491F">
              <w:rPr>
                <w:rFonts w:eastAsiaTheme="minorHAnsi"/>
                <w:sz w:val="20"/>
                <w:szCs w:val="20"/>
                <w:lang w:val="bg-BG"/>
              </w:rPr>
              <w:t>+0</w:t>
            </w:r>
          </w:p>
        </w:tc>
        <w:tc>
          <w:tcPr>
            <w:tcW w:w="1560" w:type="dxa"/>
            <w:gridSpan w:val="2"/>
            <w:tcBorders>
              <w:top w:val="nil"/>
              <w:left w:val="nil"/>
              <w:bottom w:val="single" w:sz="4" w:space="0" w:color="auto"/>
              <w:right w:val="single" w:sz="4" w:space="0" w:color="auto"/>
            </w:tcBorders>
            <w:shd w:val="clear" w:color="auto" w:fill="auto"/>
            <w:hideMark/>
          </w:tcPr>
          <w:p w:rsidR="004714BB" w:rsidRPr="00A3491F" w:rsidRDefault="004714BB" w:rsidP="006B3BB7">
            <w:pPr>
              <w:spacing w:after="0"/>
              <w:jc w:val="right"/>
              <w:rPr>
                <w:rFonts w:eastAsiaTheme="minorHAnsi"/>
                <w:sz w:val="20"/>
                <w:szCs w:val="20"/>
                <w:lang w:val="bg-BG"/>
              </w:rPr>
            </w:pPr>
          </w:p>
          <w:p w:rsidR="004714BB" w:rsidRPr="00A3491F" w:rsidRDefault="004714BB" w:rsidP="006B3BB7">
            <w:pPr>
              <w:spacing w:after="0"/>
              <w:jc w:val="right"/>
              <w:rPr>
                <w:rFonts w:eastAsiaTheme="minorHAnsi"/>
                <w:sz w:val="20"/>
                <w:szCs w:val="20"/>
                <w:lang w:val="bg-BG"/>
              </w:rPr>
            </w:pPr>
          </w:p>
          <w:p w:rsidR="004714BB" w:rsidRPr="00A3491F" w:rsidRDefault="004714BB" w:rsidP="006B3BB7">
            <w:pPr>
              <w:spacing w:after="0"/>
              <w:jc w:val="right"/>
              <w:rPr>
                <w:rFonts w:eastAsia="Times New Roman"/>
                <w:color w:val="000000"/>
                <w:sz w:val="20"/>
                <w:szCs w:val="20"/>
                <w:lang w:val="bg-BG" w:eastAsia="bg-BG"/>
              </w:rPr>
            </w:pPr>
            <w:r w:rsidRPr="00A3491F">
              <w:rPr>
                <w:rFonts w:eastAsiaTheme="minorHAnsi"/>
                <w:sz w:val="20"/>
                <w:szCs w:val="20"/>
                <w:lang w:val="bg-BG"/>
              </w:rPr>
              <w:t>+0</w:t>
            </w:r>
          </w:p>
        </w:tc>
        <w:tc>
          <w:tcPr>
            <w:tcW w:w="1345" w:type="dxa"/>
            <w:tcBorders>
              <w:top w:val="nil"/>
              <w:left w:val="nil"/>
              <w:bottom w:val="single" w:sz="4" w:space="0" w:color="auto"/>
              <w:right w:val="single" w:sz="4" w:space="0" w:color="auto"/>
            </w:tcBorders>
            <w:shd w:val="clear" w:color="auto" w:fill="auto"/>
            <w:hideMark/>
          </w:tcPr>
          <w:p w:rsidR="004714BB" w:rsidRPr="00A3491F" w:rsidRDefault="004714BB" w:rsidP="006B3BB7">
            <w:pPr>
              <w:spacing w:after="0"/>
              <w:jc w:val="right"/>
              <w:rPr>
                <w:rFonts w:eastAsiaTheme="minorHAnsi"/>
                <w:sz w:val="20"/>
                <w:szCs w:val="20"/>
                <w:lang w:val="bg-BG"/>
              </w:rPr>
            </w:pPr>
          </w:p>
          <w:p w:rsidR="004714BB" w:rsidRPr="00A3491F" w:rsidRDefault="004714BB" w:rsidP="006B3BB7">
            <w:pPr>
              <w:spacing w:after="0"/>
              <w:jc w:val="right"/>
              <w:rPr>
                <w:rFonts w:eastAsiaTheme="minorHAnsi"/>
                <w:sz w:val="20"/>
                <w:szCs w:val="20"/>
                <w:lang w:val="bg-BG"/>
              </w:rPr>
            </w:pPr>
          </w:p>
          <w:p w:rsidR="004714BB" w:rsidRPr="00A3491F" w:rsidRDefault="004714BB" w:rsidP="006B3BB7">
            <w:pPr>
              <w:spacing w:after="0"/>
              <w:jc w:val="right"/>
              <w:rPr>
                <w:rFonts w:eastAsia="Times New Roman"/>
                <w:color w:val="000000"/>
                <w:sz w:val="20"/>
                <w:szCs w:val="20"/>
                <w:lang w:val="bg-BG" w:eastAsia="bg-BG"/>
              </w:rPr>
            </w:pPr>
            <w:r w:rsidRPr="00A3491F">
              <w:rPr>
                <w:rFonts w:eastAsiaTheme="minorHAnsi"/>
                <w:sz w:val="20"/>
                <w:szCs w:val="20"/>
                <w:lang w:val="bg-BG"/>
              </w:rPr>
              <w:t>+0</w:t>
            </w:r>
          </w:p>
        </w:tc>
      </w:tr>
      <w:tr w:rsidR="004714BB" w:rsidRPr="00A3491F" w:rsidTr="00EB19F8">
        <w:trPr>
          <w:trHeight w:val="600"/>
        </w:trPr>
        <w:tc>
          <w:tcPr>
            <w:tcW w:w="1771" w:type="dxa"/>
            <w:gridSpan w:val="2"/>
            <w:tcBorders>
              <w:top w:val="nil"/>
              <w:left w:val="single" w:sz="4" w:space="0" w:color="auto"/>
              <w:bottom w:val="single" w:sz="4" w:space="0" w:color="auto"/>
              <w:right w:val="single" w:sz="4" w:space="0" w:color="auto"/>
            </w:tcBorders>
            <w:shd w:val="clear" w:color="auto" w:fill="auto"/>
            <w:vAlign w:val="center"/>
            <w:hideMark/>
          </w:tcPr>
          <w:p w:rsidR="004714BB" w:rsidRPr="00A3491F" w:rsidRDefault="004714BB" w:rsidP="006B3BB7">
            <w:pPr>
              <w:spacing w:after="0"/>
              <w:jc w:val="left"/>
              <w:rPr>
                <w:rFonts w:eastAsia="Times New Roman"/>
                <w:color w:val="000000"/>
                <w:sz w:val="20"/>
                <w:szCs w:val="20"/>
                <w:lang w:val="bg-BG" w:eastAsia="bg-BG"/>
              </w:rPr>
            </w:pPr>
            <w:r w:rsidRPr="00A3491F">
              <w:rPr>
                <w:rFonts w:eastAsia="Times New Roman"/>
                <w:color w:val="000000"/>
                <w:sz w:val="20"/>
                <w:szCs w:val="20"/>
                <w:lang w:val="bg-BG" w:eastAsia="bg-BG"/>
              </w:rPr>
              <w:t xml:space="preserve"> Капиталови разходи </w:t>
            </w:r>
          </w:p>
        </w:tc>
        <w:tc>
          <w:tcPr>
            <w:tcW w:w="1134"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3 106 315     </w:t>
            </w:r>
          </w:p>
        </w:tc>
        <w:tc>
          <w:tcPr>
            <w:tcW w:w="1276"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 982 495     </w:t>
            </w:r>
          </w:p>
        </w:tc>
        <w:tc>
          <w:tcPr>
            <w:tcW w:w="1418" w:type="dxa"/>
            <w:gridSpan w:val="2"/>
            <w:tcBorders>
              <w:top w:val="nil"/>
              <w:left w:val="nil"/>
              <w:bottom w:val="single" w:sz="4" w:space="0" w:color="auto"/>
              <w:right w:val="single" w:sz="4" w:space="0" w:color="auto"/>
            </w:tcBorders>
            <w:shd w:val="clear" w:color="auto" w:fill="auto"/>
            <w:vAlign w:val="center"/>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imes New Roman"/>
                <w:color w:val="000000"/>
                <w:sz w:val="20"/>
                <w:szCs w:val="20"/>
                <w:lang w:val="bg-BG" w:eastAsia="bg-BG"/>
              </w:rPr>
              <w:t xml:space="preserve">982 495     </w:t>
            </w:r>
          </w:p>
        </w:tc>
        <w:tc>
          <w:tcPr>
            <w:tcW w:w="1275" w:type="dxa"/>
            <w:gridSpan w:val="2"/>
            <w:tcBorders>
              <w:top w:val="nil"/>
              <w:left w:val="nil"/>
              <w:bottom w:val="single" w:sz="4" w:space="0" w:color="auto"/>
              <w:right w:val="single" w:sz="4" w:space="0" w:color="auto"/>
            </w:tcBorders>
            <w:shd w:val="clear" w:color="auto" w:fill="auto"/>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heme="minorHAnsi"/>
                <w:sz w:val="20"/>
                <w:szCs w:val="20"/>
                <w:lang w:val="bg-BG"/>
              </w:rPr>
              <w:t>+0</w:t>
            </w:r>
          </w:p>
        </w:tc>
        <w:tc>
          <w:tcPr>
            <w:tcW w:w="1560" w:type="dxa"/>
            <w:gridSpan w:val="2"/>
            <w:tcBorders>
              <w:top w:val="nil"/>
              <w:left w:val="nil"/>
              <w:bottom w:val="single" w:sz="4" w:space="0" w:color="auto"/>
              <w:right w:val="single" w:sz="4" w:space="0" w:color="auto"/>
            </w:tcBorders>
            <w:shd w:val="clear" w:color="auto" w:fill="auto"/>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heme="minorHAnsi"/>
                <w:sz w:val="20"/>
                <w:szCs w:val="20"/>
                <w:lang w:val="bg-BG"/>
              </w:rPr>
              <w:t>+0</w:t>
            </w:r>
          </w:p>
        </w:tc>
        <w:tc>
          <w:tcPr>
            <w:tcW w:w="1345" w:type="dxa"/>
            <w:tcBorders>
              <w:top w:val="nil"/>
              <w:left w:val="nil"/>
              <w:bottom w:val="single" w:sz="4" w:space="0" w:color="auto"/>
              <w:right w:val="single" w:sz="4" w:space="0" w:color="auto"/>
            </w:tcBorders>
            <w:shd w:val="clear" w:color="auto" w:fill="auto"/>
            <w:hideMark/>
          </w:tcPr>
          <w:p w:rsidR="004714BB" w:rsidRPr="00A3491F" w:rsidRDefault="004714BB" w:rsidP="006B3BB7">
            <w:pPr>
              <w:spacing w:after="0"/>
              <w:jc w:val="right"/>
              <w:rPr>
                <w:rFonts w:eastAsia="Times New Roman"/>
                <w:color w:val="000000"/>
                <w:sz w:val="20"/>
                <w:szCs w:val="20"/>
                <w:lang w:val="bg-BG" w:eastAsia="bg-BG"/>
              </w:rPr>
            </w:pPr>
            <w:r w:rsidRPr="00A3491F">
              <w:rPr>
                <w:rFonts w:eastAsiaTheme="minorHAnsi"/>
                <w:sz w:val="20"/>
                <w:szCs w:val="20"/>
                <w:lang w:val="bg-BG"/>
              </w:rPr>
              <w:t>+0</w:t>
            </w:r>
          </w:p>
        </w:tc>
      </w:tr>
    </w:tbl>
    <w:p w:rsidR="00756345" w:rsidRPr="00A3491F" w:rsidRDefault="00756345" w:rsidP="006B3BB7">
      <w:pPr>
        <w:spacing w:after="120"/>
        <w:rPr>
          <w:rFonts w:eastAsia="Times New Roman"/>
          <w:b/>
          <w:i/>
          <w:sz w:val="22"/>
          <w:lang w:val="bg-BG"/>
        </w:rPr>
      </w:pPr>
    </w:p>
    <w:p w:rsidR="004714BB" w:rsidRPr="00A3491F" w:rsidRDefault="004714BB" w:rsidP="006B3BB7">
      <w:pPr>
        <w:spacing w:after="120"/>
        <w:rPr>
          <w:rFonts w:eastAsia="Times New Roman"/>
          <w:i/>
          <w:sz w:val="22"/>
          <w:lang w:val="bg-BG"/>
        </w:rPr>
      </w:pPr>
      <w:r w:rsidRPr="00A3491F">
        <w:rPr>
          <w:rFonts w:eastAsia="Times New Roman"/>
          <w:b/>
          <w:i/>
          <w:sz w:val="22"/>
          <w:lang w:val="bg-BG"/>
        </w:rPr>
        <w:t>Забележка:</w:t>
      </w:r>
      <w:r w:rsidRPr="00A3491F">
        <w:rPr>
          <w:rFonts w:eastAsia="Times New Roman"/>
          <w:b/>
          <w:sz w:val="22"/>
          <w:lang w:val="bg-BG"/>
        </w:rPr>
        <w:t xml:space="preserve"> </w:t>
      </w:r>
      <w:r w:rsidRPr="00A3491F">
        <w:rPr>
          <w:rFonts w:eastAsia="Times New Roman"/>
          <w:i/>
          <w:sz w:val="22"/>
          <w:lang w:val="bg-BG"/>
        </w:rPr>
        <w:t xml:space="preserve">Тъй като не се предвижда  изменение на тарифата за таксите събирани от Министерство на икономиката, във  връзка с поддръжка на регистрите за производители на спиртни напитки и за дестилационни съоръжения, не се очаква промяна в бюджета на МИ, съответно не се </w:t>
      </w:r>
      <w:r w:rsidRPr="00A3491F">
        <w:rPr>
          <w:rFonts w:eastAsia="Times New Roman"/>
          <w:i/>
          <w:sz w:val="22"/>
          <w:lang w:val="bg-BG"/>
        </w:rPr>
        <w:lastRenderedPageBreak/>
        <w:t>предвижда изменение на приходите и ра</w:t>
      </w:r>
      <w:r w:rsidR="00EB19F8" w:rsidRPr="00A3491F">
        <w:rPr>
          <w:rFonts w:eastAsia="Times New Roman"/>
          <w:i/>
          <w:sz w:val="22"/>
          <w:lang w:val="bg-BG"/>
        </w:rPr>
        <w:t xml:space="preserve">зходите и произтичащите от тях </w:t>
      </w:r>
      <w:r w:rsidRPr="00A3491F">
        <w:rPr>
          <w:rFonts w:eastAsia="Times New Roman"/>
          <w:i/>
          <w:sz w:val="22"/>
          <w:lang w:val="bg-BG"/>
        </w:rPr>
        <w:t>ангажименти за 2018</w:t>
      </w:r>
      <w:r w:rsidR="000B367C" w:rsidRPr="00A3491F">
        <w:rPr>
          <w:rFonts w:eastAsia="Times New Roman"/>
          <w:i/>
          <w:sz w:val="22"/>
          <w:lang w:val="bg-BG"/>
        </w:rPr>
        <w:t xml:space="preserve"> </w:t>
      </w:r>
      <w:r w:rsidRPr="00A3491F">
        <w:rPr>
          <w:rFonts w:eastAsia="Times New Roman"/>
          <w:i/>
          <w:sz w:val="22"/>
          <w:lang w:val="bg-BG"/>
        </w:rPr>
        <w:t>г</w:t>
      </w:r>
      <w:r w:rsidR="000B367C" w:rsidRPr="00A3491F">
        <w:rPr>
          <w:rFonts w:eastAsia="Times New Roman"/>
          <w:i/>
          <w:sz w:val="22"/>
          <w:lang w:val="bg-BG"/>
        </w:rPr>
        <w:t>.</w:t>
      </w:r>
      <w:r w:rsidRPr="00A3491F">
        <w:rPr>
          <w:rFonts w:eastAsia="Times New Roman"/>
          <w:i/>
          <w:sz w:val="22"/>
          <w:lang w:val="bg-BG"/>
        </w:rPr>
        <w:t>, 2019</w:t>
      </w:r>
      <w:r w:rsidR="000B367C" w:rsidRPr="00A3491F">
        <w:rPr>
          <w:rFonts w:eastAsia="Times New Roman"/>
          <w:i/>
          <w:sz w:val="22"/>
          <w:lang w:val="bg-BG"/>
        </w:rPr>
        <w:t xml:space="preserve"> </w:t>
      </w:r>
      <w:r w:rsidRPr="00A3491F">
        <w:rPr>
          <w:rFonts w:eastAsia="Times New Roman"/>
          <w:i/>
          <w:sz w:val="22"/>
          <w:lang w:val="bg-BG"/>
        </w:rPr>
        <w:t>г</w:t>
      </w:r>
      <w:r w:rsidR="000B367C" w:rsidRPr="00A3491F">
        <w:rPr>
          <w:rFonts w:eastAsia="Times New Roman"/>
          <w:i/>
          <w:sz w:val="22"/>
          <w:lang w:val="bg-BG"/>
        </w:rPr>
        <w:t>.,</w:t>
      </w:r>
      <w:r w:rsidRPr="00A3491F">
        <w:rPr>
          <w:rFonts w:eastAsia="Times New Roman"/>
          <w:i/>
          <w:sz w:val="22"/>
          <w:lang w:val="bg-BG"/>
        </w:rPr>
        <w:t xml:space="preserve"> и 2020г.</w:t>
      </w:r>
    </w:p>
    <w:p w:rsidR="00D32DA9" w:rsidRPr="00A3491F" w:rsidRDefault="00D32DA9" w:rsidP="006B3BB7">
      <w:pPr>
        <w:spacing w:after="120"/>
        <w:rPr>
          <w:rFonts w:eastAsia="Times New Roman"/>
          <w:sz w:val="22"/>
          <w:lang w:val="bg-BG"/>
        </w:rPr>
      </w:pPr>
      <w:r w:rsidRPr="00A3491F">
        <w:rPr>
          <w:rFonts w:eastAsia="Times New Roman"/>
          <w:sz w:val="22"/>
          <w:lang w:val="bg-BG"/>
        </w:rPr>
        <w:t>При този вариант административната тежест – предвиждана с таксите ще е поносима за регистрираните гроздо и винопроизводители. По-голяма част от МСП вече са се регистрирали в предходни години, а дори и да има необходимост от промяна на обстоятелствата в регистрираната вече информация в повечето случаи това ще еднократен акт и не би се отразило толкова съществено на разходите за дейността им. Предложените такси са изготвени и съобразени с Методиката за определяне на разходоориентиран размер на таксите по чл.7а от Закона за ограничаване на административното регулиране и административния контрол върху стопанската дейност и разходването им, приета с ПМС № 1 от 05.01.2012г</w:t>
      </w:r>
      <w:r w:rsidR="002962C6" w:rsidRPr="00A3491F">
        <w:rPr>
          <w:rFonts w:eastAsia="Times New Roman"/>
          <w:sz w:val="22"/>
          <w:lang w:val="bg-BG"/>
        </w:rPr>
        <w:t>.</w:t>
      </w:r>
      <w:r w:rsidRPr="00A3491F">
        <w:rPr>
          <w:rFonts w:eastAsia="Times New Roman"/>
          <w:sz w:val="22"/>
          <w:lang w:val="bg-BG"/>
        </w:rPr>
        <w:t>, обн., ДВ, бр.4 от 13.01.2012г, в сила от 01.01.2013г</w:t>
      </w:r>
      <w:r w:rsidR="0003661E" w:rsidRPr="00A3491F">
        <w:rPr>
          <w:rFonts w:eastAsia="Times New Roman"/>
          <w:sz w:val="22"/>
          <w:lang w:val="bg-BG"/>
        </w:rPr>
        <w:t>.</w:t>
      </w:r>
    </w:p>
    <w:p w:rsidR="00D32DA9" w:rsidRPr="00A3491F" w:rsidRDefault="00D32DA9" w:rsidP="006B3BB7">
      <w:pPr>
        <w:spacing w:after="120"/>
        <w:rPr>
          <w:rFonts w:eastAsia="Times New Roman"/>
          <w:sz w:val="22"/>
          <w:lang w:val="bg-BG"/>
        </w:rPr>
      </w:pPr>
      <w:r w:rsidRPr="00A3491F">
        <w:rPr>
          <w:rFonts w:eastAsia="Times New Roman"/>
          <w:sz w:val="22"/>
          <w:lang w:val="bg-BG"/>
        </w:rPr>
        <w:t>Детайлната информация за изчисляване на допълнителните такси е посочена в Приложение 4 Финансова обосновка.</w:t>
      </w:r>
    </w:p>
    <w:p w:rsidR="00EB19F8" w:rsidRPr="00A3491F" w:rsidRDefault="00DD001A" w:rsidP="006B3BB7">
      <w:pPr>
        <w:spacing w:after="120"/>
        <w:rPr>
          <w:rFonts w:eastAsia="Times New Roman"/>
          <w:sz w:val="22"/>
          <w:lang w:val="bg-BG"/>
        </w:rPr>
      </w:pPr>
      <w:r w:rsidRPr="00A3491F">
        <w:rPr>
          <w:rFonts w:eastAsia="Times New Roman"/>
          <w:sz w:val="22"/>
          <w:lang w:val="bg-BG"/>
        </w:rPr>
        <w:t xml:space="preserve">Очакваните приходи ще покриват изцяло разходите, извършвани за осъществяването на тези дейности и съответно няма да се наложи съществено изменение на приходно - разходната част на бюджета на Изпълнителна агенция по лозата и виното за 2018, 2019 и 2020 бюджетна година. </w:t>
      </w:r>
    </w:p>
    <w:p w:rsidR="00B131D3" w:rsidRPr="00A3491F" w:rsidRDefault="009C25BF" w:rsidP="006B3BB7">
      <w:pPr>
        <w:pStyle w:val="Heading1"/>
        <w:spacing w:after="120"/>
        <w:rPr>
          <w:rFonts w:cs="Times New Roman"/>
          <w:sz w:val="22"/>
          <w:szCs w:val="22"/>
          <w:lang w:val="bg-BG"/>
        </w:rPr>
      </w:pPr>
      <w:bookmarkStart w:id="37" w:name="_Toc496709967"/>
      <w:r w:rsidRPr="00A3491F">
        <w:rPr>
          <w:rFonts w:cs="Times New Roman"/>
          <w:sz w:val="22"/>
          <w:szCs w:val="22"/>
          <w:lang w:val="bg-BG"/>
        </w:rPr>
        <w:t>IX</w:t>
      </w:r>
      <w:r w:rsidR="00061BD0" w:rsidRPr="00A3491F">
        <w:rPr>
          <w:rFonts w:cs="Times New Roman"/>
          <w:sz w:val="22"/>
          <w:szCs w:val="22"/>
          <w:lang w:val="bg-BG"/>
        </w:rPr>
        <w:t xml:space="preserve">. </w:t>
      </w:r>
      <w:r w:rsidR="0043197D" w:rsidRPr="00A3491F">
        <w:rPr>
          <w:rFonts w:cs="Times New Roman"/>
          <w:sz w:val="22"/>
          <w:szCs w:val="22"/>
          <w:lang w:val="bg-BG"/>
        </w:rPr>
        <w:t>Сравнение на вариантите</w:t>
      </w:r>
      <w:r w:rsidR="00E95FCD" w:rsidRPr="00A3491F">
        <w:rPr>
          <w:rFonts w:cs="Times New Roman"/>
          <w:sz w:val="22"/>
          <w:szCs w:val="22"/>
          <w:lang w:val="bg-BG"/>
        </w:rPr>
        <w:t xml:space="preserve"> въз основа на посочените изчисления и данни</w:t>
      </w:r>
      <w:bookmarkEnd w:id="37"/>
      <w:r w:rsidR="00973124" w:rsidRPr="00A3491F">
        <w:rPr>
          <w:rFonts w:cs="Times New Roman"/>
          <w:sz w:val="22"/>
          <w:szCs w:val="22"/>
          <w:lang w:val="bg-BG"/>
        </w:rPr>
        <w:t xml:space="preserve"> </w:t>
      </w:r>
    </w:p>
    <w:p w:rsidR="00973124" w:rsidRPr="00A3491F" w:rsidRDefault="008027A3" w:rsidP="006B3BB7">
      <w:pPr>
        <w:spacing w:after="120"/>
        <w:rPr>
          <w:sz w:val="22"/>
          <w:lang w:val="bg-BG"/>
        </w:rPr>
      </w:pPr>
      <w:r w:rsidRPr="00A3491F">
        <w:rPr>
          <w:sz w:val="22"/>
          <w:lang w:val="bg-BG"/>
        </w:rPr>
        <w:t xml:space="preserve">Предвид невъзможността всички идентифицирани проблеми да бъдат разрешени чрез някои от възможните варианти на действие, както и необходимостта от приемане на значителен брой промени в структурно отношение, се налага приемането на нов Закон за виното и спиртните напитки. Именно такъв е и ангажиментът, поет от България пред </w:t>
      </w:r>
      <w:r w:rsidR="008A7E08" w:rsidRPr="00A3491F">
        <w:rPr>
          <w:sz w:val="22"/>
          <w:lang w:val="bg-BG"/>
        </w:rPr>
        <w:t>Европейската</w:t>
      </w:r>
      <w:r w:rsidRPr="00A3491F">
        <w:rPr>
          <w:sz w:val="22"/>
          <w:lang w:val="bg-BG"/>
        </w:rPr>
        <w:t xml:space="preserve"> </w:t>
      </w:r>
      <w:r w:rsidR="008A7E08" w:rsidRPr="00A3491F">
        <w:rPr>
          <w:sz w:val="22"/>
          <w:lang w:val="bg-BG"/>
        </w:rPr>
        <w:t>комисия</w:t>
      </w:r>
      <w:r w:rsidRPr="00A3491F">
        <w:rPr>
          <w:sz w:val="22"/>
          <w:lang w:val="bg-BG"/>
        </w:rPr>
        <w:t xml:space="preserve">. </w:t>
      </w:r>
    </w:p>
    <w:p w:rsidR="008A7E08" w:rsidRPr="00A3491F" w:rsidRDefault="008A7E08" w:rsidP="006B3BB7">
      <w:pPr>
        <w:spacing w:after="120"/>
        <w:rPr>
          <w:sz w:val="22"/>
          <w:lang w:val="bg-BG"/>
        </w:rPr>
      </w:pPr>
      <w:r w:rsidRPr="00A3491F">
        <w:rPr>
          <w:sz w:val="22"/>
          <w:lang w:val="bg-BG"/>
        </w:rPr>
        <w:t xml:space="preserve">При вариант 1 „Без действие“, в случая когато националното законодателство не е приведено в съответствие с европейските регламенти, както и не е проведена процедура по нотифициране в съответствие с </w:t>
      </w:r>
      <w:r w:rsidR="005A7BE2" w:rsidRPr="00A3491F">
        <w:rPr>
          <w:bCs/>
          <w:sz w:val="22"/>
          <w:lang w:val="bg-BG"/>
        </w:rPr>
        <w:t>Директива 2015/1535</w:t>
      </w:r>
      <w:r w:rsidRPr="00A3491F">
        <w:rPr>
          <w:sz w:val="22"/>
          <w:lang w:val="bg-BG"/>
        </w:rPr>
        <w:t>, Европейската комисия ще започне процедура за нарушения, което да доведе до сезиране на Съда на Европейския съюз. От друга страна това би довело до негативни последствия върху заинтересованите страни и до забавяне на цялостното интегриране на Република България в европейския лозаро-винарски сектор.</w:t>
      </w:r>
      <w:r w:rsidR="00045583" w:rsidRPr="00A3491F">
        <w:rPr>
          <w:sz w:val="22"/>
          <w:lang w:val="bg-BG"/>
        </w:rPr>
        <w:t xml:space="preserve"> Освен това, вариант 1 „Без действие“ не предоставя възможност за приемане на нови национални правила, разрешаващи специфичните национални проблеми при извършване на административни услуги, осъществяване на контрол по спазване на законодателството в областта на спиртните напитки и лозаро-винарството, както и санкционирането на установените нарушения. </w:t>
      </w:r>
    </w:p>
    <w:p w:rsidR="008A7E08" w:rsidRPr="00A3491F" w:rsidRDefault="008A7E08" w:rsidP="006B3BB7">
      <w:pPr>
        <w:spacing w:after="120"/>
        <w:rPr>
          <w:sz w:val="22"/>
          <w:lang w:val="bg-BG"/>
        </w:rPr>
      </w:pPr>
      <w:r w:rsidRPr="00A3491F">
        <w:rPr>
          <w:sz w:val="22"/>
          <w:lang w:val="bg-BG"/>
        </w:rPr>
        <w:t>При вариант 2 „Изменение и допълнение на действащия закон“ също се изключва възможността за постигане на основната цел – спазване на процедурата по нотифициране и привеждане на националното законодателство в съответствие с европейските правила.</w:t>
      </w:r>
      <w:r w:rsidR="00045583" w:rsidRPr="00A3491F">
        <w:rPr>
          <w:sz w:val="22"/>
          <w:lang w:val="bg-BG"/>
        </w:rPr>
        <w:t xml:space="preserve"> Въпреки това, този вариант позволява да се разрешат на специфичните национални проблеми, които не изискват конкретно приемане на нов закон. Чрез него ще могат да бъдат изменени и допълнени сега действащите правила на ЗВСН като се предвидят съответните текстове относно лозарския регистър и регистъра на лицата, които извършват дейности с дестилационни съоръжения за производство на етилов алкохол, дестилати и спиртни напитки и промените в административнонаказателните разпоредби. На следващо място ще се предвидят и съответните необходими подзаконови нормативни актове, които да конкретизират и допълнят материята</w:t>
      </w:r>
      <w:r w:rsidR="00CA0560" w:rsidRPr="00A3491F">
        <w:rPr>
          <w:sz w:val="22"/>
          <w:lang w:val="bg-BG"/>
        </w:rPr>
        <w:t>, включително и ще се измени тарифата за събираните такси от Изпълнителна агенция по лозата и виното</w:t>
      </w:r>
      <w:r w:rsidR="00045583" w:rsidRPr="00A3491F">
        <w:rPr>
          <w:sz w:val="22"/>
          <w:lang w:val="bg-BG"/>
        </w:rPr>
        <w:t xml:space="preserve">. </w:t>
      </w:r>
    </w:p>
    <w:p w:rsidR="00045583" w:rsidRPr="00A3491F" w:rsidRDefault="00045583" w:rsidP="006B3BB7">
      <w:pPr>
        <w:spacing w:after="120"/>
        <w:rPr>
          <w:sz w:val="22"/>
          <w:lang w:val="bg-BG"/>
        </w:rPr>
      </w:pPr>
      <w:r w:rsidRPr="00A3491F">
        <w:rPr>
          <w:sz w:val="22"/>
          <w:lang w:val="bg-BG"/>
        </w:rPr>
        <w:t xml:space="preserve">Вариант 3 </w:t>
      </w:r>
      <w:r w:rsidR="009B4424" w:rsidRPr="00A3491F">
        <w:rPr>
          <w:sz w:val="22"/>
          <w:lang w:val="bg-BG"/>
        </w:rPr>
        <w:t>„</w:t>
      </w:r>
      <w:r w:rsidRPr="00A3491F">
        <w:rPr>
          <w:sz w:val="22"/>
          <w:lang w:val="bg-BG"/>
        </w:rPr>
        <w:t>Приемане на нов Закон за виното и спиртните напитки</w:t>
      </w:r>
      <w:r w:rsidR="009B4424" w:rsidRPr="00A3491F">
        <w:rPr>
          <w:sz w:val="22"/>
          <w:lang w:val="bg-BG"/>
        </w:rPr>
        <w:t>“</w:t>
      </w:r>
      <w:r w:rsidR="00CA0560" w:rsidRPr="00A3491F">
        <w:rPr>
          <w:sz w:val="22"/>
          <w:lang w:val="bg-BG"/>
        </w:rPr>
        <w:t xml:space="preserve"> предоставя на законодателя възможност за разрешаване на всеки един от идентифицираните от настоящата оценка на въздействието </w:t>
      </w:r>
      <w:r w:rsidR="00CA0560" w:rsidRPr="00A3491F">
        <w:rPr>
          <w:sz w:val="22"/>
          <w:lang w:val="bg-BG"/>
        </w:rPr>
        <w:lastRenderedPageBreak/>
        <w:t xml:space="preserve">проблеми, както и постигане на целите. Това е единственият вариант, предоставящ възможност за </w:t>
      </w:r>
      <w:r w:rsidR="009B4424" w:rsidRPr="00A3491F">
        <w:rPr>
          <w:sz w:val="22"/>
          <w:lang w:val="bg-BG"/>
        </w:rPr>
        <w:t>осъществяване</w:t>
      </w:r>
      <w:r w:rsidR="00C654AC" w:rsidRPr="00A3491F">
        <w:rPr>
          <w:sz w:val="22"/>
          <w:lang w:val="bg-BG"/>
        </w:rPr>
        <w:t xml:space="preserve"> на основаната цел, а именно – изпълнение</w:t>
      </w:r>
      <w:r w:rsidR="00CA0560" w:rsidRPr="00A3491F">
        <w:rPr>
          <w:sz w:val="22"/>
          <w:lang w:val="bg-BG"/>
        </w:rPr>
        <w:t xml:space="preserve"> на всички ангажименти, поети от Република България по спазване на европейското законодателство и най-вече по отношение на задълженията за уведомяване на Европейската комисия за техническите регламенти, съдържащи се в закона. Допълнително, вариант 3 позволява постигането на всеки един от резултатите, предвиждани от вариант 2, като предоставя по-широки възможности за действие. Чрез него може да се постигне цялостно разрешаване на законодателните пречки пред заинтересованите страни в секторите на виното и спиртните напитки.</w:t>
      </w:r>
    </w:p>
    <w:p w:rsidR="0043197D" w:rsidRPr="00A3491F" w:rsidRDefault="00DD001A" w:rsidP="006B3BB7">
      <w:pPr>
        <w:pStyle w:val="Heading1"/>
        <w:spacing w:after="120"/>
        <w:rPr>
          <w:rFonts w:cs="Times New Roman"/>
          <w:sz w:val="22"/>
          <w:szCs w:val="22"/>
          <w:lang w:val="bg-BG"/>
        </w:rPr>
      </w:pPr>
      <w:bookmarkStart w:id="38" w:name="_Toc496709968"/>
      <w:r w:rsidRPr="00A3491F">
        <w:rPr>
          <w:rFonts w:cs="Times New Roman"/>
          <w:sz w:val="22"/>
          <w:szCs w:val="22"/>
          <w:lang w:val="bg-BG"/>
        </w:rPr>
        <w:t>X</w:t>
      </w:r>
      <w:r w:rsidR="00061BD0" w:rsidRPr="00A3491F">
        <w:rPr>
          <w:rFonts w:cs="Times New Roman"/>
          <w:sz w:val="22"/>
          <w:szCs w:val="22"/>
          <w:lang w:val="bg-BG"/>
        </w:rPr>
        <w:t xml:space="preserve">. </w:t>
      </w:r>
      <w:r w:rsidR="00B131D3" w:rsidRPr="00A3491F">
        <w:rPr>
          <w:rFonts w:cs="Times New Roman"/>
          <w:sz w:val="22"/>
          <w:szCs w:val="22"/>
          <w:lang w:val="bg-BG"/>
        </w:rPr>
        <w:t xml:space="preserve">Обобщение на резултатите от проведените </w:t>
      </w:r>
      <w:r w:rsidR="0043197D" w:rsidRPr="00A3491F">
        <w:rPr>
          <w:rFonts w:cs="Times New Roman"/>
          <w:sz w:val="22"/>
          <w:szCs w:val="22"/>
          <w:lang w:val="bg-BG"/>
        </w:rPr>
        <w:t xml:space="preserve">предварителни </w:t>
      </w:r>
      <w:r w:rsidR="00B131D3" w:rsidRPr="00A3491F">
        <w:rPr>
          <w:rFonts w:cs="Times New Roman"/>
          <w:sz w:val="22"/>
          <w:szCs w:val="22"/>
          <w:lang w:val="bg-BG"/>
        </w:rPr>
        <w:t>консултации</w:t>
      </w:r>
      <w:bookmarkEnd w:id="38"/>
      <w:r w:rsidR="00B131D3" w:rsidRPr="00A3491F">
        <w:rPr>
          <w:rFonts w:cs="Times New Roman"/>
          <w:sz w:val="22"/>
          <w:szCs w:val="22"/>
          <w:lang w:val="bg-BG"/>
        </w:rPr>
        <w:t xml:space="preserve"> </w:t>
      </w:r>
    </w:p>
    <w:p w:rsidR="00EB5D90" w:rsidRPr="00A3491F" w:rsidRDefault="00526667" w:rsidP="006B3BB7">
      <w:pPr>
        <w:spacing w:after="120"/>
        <w:rPr>
          <w:sz w:val="22"/>
          <w:lang w:val="bg-BG"/>
        </w:rPr>
      </w:pPr>
      <w:r w:rsidRPr="00A3491F">
        <w:rPr>
          <w:sz w:val="22"/>
          <w:lang w:val="bg-BG"/>
        </w:rPr>
        <w:t>През периода август-с</w:t>
      </w:r>
      <w:r w:rsidR="00EB5D90" w:rsidRPr="00A3491F">
        <w:rPr>
          <w:sz w:val="22"/>
          <w:lang w:val="bg-BG"/>
        </w:rPr>
        <w:t>еп</w:t>
      </w:r>
      <w:r w:rsidRPr="00A3491F">
        <w:rPr>
          <w:sz w:val="22"/>
          <w:lang w:val="bg-BG"/>
        </w:rPr>
        <w:t xml:space="preserve">тември 2017 г. бяха проведени </w:t>
      </w:r>
      <w:r w:rsidR="008841D5" w:rsidRPr="00A3491F">
        <w:rPr>
          <w:sz w:val="22"/>
          <w:lang w:val="bg-BG"/>
        </w:rPr>
        <w:t xml:space="preserve">предварителни неформални </w:t>
      </w:r>
      <w:r w:rsidRPr="00A3491F">
        <w:rPr>
          <w:sz w:val="22"/>
          <w:lang w:val="bg-BG"/>
        </w:rPr>
        <w:t xml:space="preserve">консултации със заинтересованите страни. </w:t>
      </w:r>
      <w:r w:rsidR="008841D5" w:rsidRPr="00A3491F">
        <w:rPr>
          <w:sz w:val="22"/>
          <w:lang w:val="bg-BG"/>
        </w:rPr>
        <w:t xml:space="preserve">Тяхната цел беше да запознаят заинтересуваните страни с проблемите в сектора и предложенията за разрешаването им, да им бъде предоставена възможност да изразят мнението си по предвижданите промени и очакваните въздействия в лозаро-винарския сектор и производството на спиртни напитки, както и да съгласуват проекта на Закон за виното и спиртните напитки с тях. </w:t>
      </w:r>
    </w:p>
    <w:p w:rsidR="00EB5D90" w:rsidRPr="00A3491F" w:rsidRDefault="00EB5D90" w:rsidP="006B3BB7">
      <w:pPr>
        <w:spacing w:after="120"/>
        <w:rPr>
          <w:sz w:val="22"/>
          <w:lang w:val="bg-BG"/>
        </w:rPr>
      </w:pPr>
      <w:r w:rsidRPr="00A3491F">
        <w:rPr>
          <w:sz w:val="22"/>
          <w:lang w:val="bg-BG"/>
        </w:rPr>
        <w:t xml:space="preserve">Страните, с които да бъдат проведени предварителните неформални консултации бяха определени още в началния етап от извършване на оценката на въздействието на проекта за нов Закон за виното и спиртните напитки. В консултационния процес бяха включени представителни организации на производителите на лозаро-винарски продукти и производителите на </w:t>
      </w:r>
      <w:r w:rsidR="00702E23" w:rsidRPr="00A3491F">
        <w:rPr>
          <w:rFonts w:eastAsia="Times New Roman"/>
          <w:sz w:val="22"/>
          <w:lang w:val="bg-BG" w:eastAsia="bg-BG"/>
        </w:rPr>
        <w:t>етилов алкохол от земеделски произход, дестилати от земеделски произход и на спиртни напитки</w:t>
      </w:r>
      <w:r w:rsidR="00702E23" w:rsidRPr="00A3491F">
        <w:rPr>
          <w:sz w:val="22"/>
          <w:lang w:val="bg-BG"/>
        </w:rPr>
        <w:t>.</w:t>
      </w:r>
    </w:p>
    <w:p w:rsidR="00C6485B" w:rsidRPr="00A3491F" w:rsidRDefault="00EB5D90" w:rsidP="006B3BB7">
      <w:pPr>
        <w:spacing w:after="120"/>
        <w:rPr>
          <w:sz w:val="22"/>
          <w:lang w:val="bg-BG"/>
        </w:rPr>
      </w:pPr>
      <w:r w:rsidRPr="00A3491F">
        <w:rPr>
          <w:sz w:val="22"/>
          <w:lang w:val="bg-BG"/>
        </w:rPr>
        <w:t>След определяне на заинтересованите страни б</w:t>
      </w:r>
      <w:r w:rsidR="00526667" w:rsidRPr="00A3491F">
        <w:rPr>
          <w:sz w:val="22"/>
          <w:lang w:val="bg-BG"/>
        </w:rPr>
        <w:t>еше изготвен Консултационен документ</w:t>
      </w:r>
      <w:r w:rsidR="008841D5" w:rsidRPr="00A3491F">
        <w:rPr>
          <w:sz w:val="22"/>
          <w:lang w:val="bg-BG"/>
        </w:rPr>
        <w:t xml:space="preserve"> по образеца </w:t>
      </w:r>
      <w:r w:rsidRPr="00A3491F">
        <w:rPr>
          <w:sz w:val="22"/>
          <w:lang w:val="bg-BG"/>
        </w:rPr>
        <w:t>на</w:t>
      </w:r>
      <w:r w:rsidR="008841D5" w:rsidRPr="00A3491F">
        <w:rPr>
          <w:sz w:val="22"/>
          <w:lang w:val="bg-BG"/>
        </w:rPr>
        <w:t xml:space="preserve"> Приложение № 3 към </w:t>
      </w:r>
      <w:r w:rsidRPr="00A3491F">
        <w:rPr>
          <w:color w:val="000000" w:themeColor="text1"/>
          <w:sz w:val="22"/>
          <w:lang w:val="bg-BG"/>
        </w:rPr>
        <w:t>Наредбата за обхвата и методологията за извършване на оценка на въздействието.</w:t>
      </w:r>
      <w:r w:rsidR="008841D5" w:rsidRPr="00A3491F">
        <w:rPr>
          <w:sz w:val="22"/>
          <w:lang w:val="bg-BG"/>
        </w:rPr>
        <w:t xml:space="preserve"> В</w:t>
      </w:r>
      <w:r w:rsidR="00526667" w:rsidRPr="00A3491F">
        <w:rPr>
          <w:sz w:val="22"/>
          <w:lang w:val="bg-BG"/>
        </w:rPr>
        <w:t xml:space="preserve"> </w:t>
      </w:r>
      <w:r w:rsidR="008841D5" w:rsidRPr="00A3491F">
        <w:rPr>
          <w:sz w:val="22"/>
          <w:lang w:val="bg-BG"/>
        </w:rPr>
        <w:t>консултационния документ беше включена подробна информация относно причините, налагащи приемането на нов Закон за виното и спиртните напитки</w:t>
      </w:r>
      <w:r w:rsidRPr="00A3491F">
        <w:rPr>
          <w:sz w:val="22"/>
          <w:lang w:val="bg-BG"/>
        </w:rPr>
        <w:t xml:space="preserve"> и</w:t>
      </w:r>
      <w:r w:rsidR="00526667" w:rsidRPr="00A3491F">
        <w:rPr>
          <w:sz w:val="22"/>
          <w:lang w:val="bg-BG"/>
        </w:rPr>
        <w:t xml:space="preserve"> </w:t>
      </w:r>
      <w:r w:rsidRPr="00A3491F">
        <w:rPr>
          <w:sz w:val="22"/>
          <w:lang w:val="bg-BG"/>
        </w:rPr>
        <w:t>ц</w:t>
      </w:r>
      <w:r w:rsidR="008841D5" w:rsidRPr="00A3491F">
        <w:rPr>
          <w:sz w:val="22"/>
          <w:lang w:val="bg-BG"/>
        </w:rPr>
        <w:t>елите на предварителните неформални консултации със заинтересованите страни.</w:t>
      </w:r>
      <w:r w:rsidR="00526667" w:rsidRPr="00A3491F">
        <w:rPr>
          <w:sz w:val="22"/>
          <w:lang w:val="bg-BG"/>
        </w:rPr>
        <w:t xml:space="preserve"> </w:t>
      </w:r>
      <w:r w:rsidRPr="00A3491F">
        <w:rPr>
          <w:sz w:val="22"/>
          <w:lang w:val="bg-BG"/>
        </w:rPr>
        <w:t>В документа беше изложена подробна информация относно</w:t>
      </w:r>
      <w:r w:rsidR="008841D5" w:rsidRPr="00A3491F">
        <w:rPr>
          <w:sz w:val="22"/>
          <w:lang w:val="bg-BG"/>
        </w:rPr>
        <w:t xml:space="preserve"> </w:t>
      </w:r>
      <w:r w:rsidRPr="00A3491F">
        <w:rPr>
          <w:sz w:val="22"/>
          <w:lang w:val="bg-BG"/>
        </w:rPr>
        <w:t xml:space="preserve">реда и начина на </w:t>
      </w:r>
      <w:r w:rsidR="008841D5" w:rsidRPr="00A3491F">
        <w:rPr>
          <w:sz w:val="22"/>
          <w:lang w:val="bg-BG"/>
        </w:rPr>
        <w:t>провеждане на консултационния процес. В консултационния документ беше включено описание на предложението</w:t>
      </w:r>
      <w:r w:rsidRPr="00A3491F">
        <w:rPr>
          <w:sz w:val="22"/>
          <w:lang w:val="bg-BG"/>
        </w:rPr>
        <w:t xml:space="preserve"> на нов закон</w:t>
      </w:r>
      <w:r w:rsidR="008841D5" w:rsidRPr="00A3491F">
        <w:rPr>
          <w:sz w:val="22"/>
          <w:lang w:val="bg-BG"/>
        </w:rPr>
        <w:t xml:space="preserve">, включващо </w:t>
      </w:r>
      <w:r w:rsidRPr="00A3491F">
        <w:rPr>
          <w:sz w:val="22"/>
          <w:lang w:val="bg-BG"/>
        </w:rPr>
        <w:t>детайлно</w:t>
      </w:r>
      <w:r w:rsidR="008841D5" w:rsidRPr="00A3491F">
        <w:rPr>
          <w:sz w:val="22"/>
          <w:lang w:val="bg-BG"/>
        </w:rPr>
        <w:t xml:space="preserve"> изложение на проблемите, целите </w:t>
      </w:r>
      <w:r w:rsidRPr="00A3491F">
        <w:rPr>
          <w:sz w:val="22"/>
          <w:lang w:val="bg-BG"/>
        </w:rPr>
        <w:t xml:space="preserve">поставени </w:t>
      </w:r>
      <w:r w:rsidR="008841D5" w:rsidRPr="00A3491F">
        <w:rPr>
          <w:sz w:val="22"/>
          <w:lang w:val="bg-BG"/>
        </w:rPr>
        <w:t>пред закона и очакванит</w:t>
      </w:r>
      <w:r w:rsidR="00C6485B" w:rsidRPr="00A3491F">
        <w:rPr>
          <w:sz w:val="22"/>
          <w:lang w:val="bg-BG"/>
        </w:rPr>
        <w:t>е резултати от реализирането им</w:t>
      </w:r>
      <w:r w:rsidRPr="00A3491F">
        <w:rPr>
          <w:sz w:val="22"/>
          <w:lang w:val="bg-BG"/>
        </w:rPr>
        <w:t>.</w:t>
      </w:r>
      <w:r w:rsidR="00C6485B" w:rsidRPr="00A3491F">
        <w:rPr>
          <w:sz w:val="22"/>
          <w:lang w:val="bg-BG"/>
        </w:rPr>
        <w:t xml:space="preserve"> </w:t>
      </w:r>
      <w:r w:rsidRPr="00A3491F">
        <w:rPr>
          <w:sz w:val="22"/>
          <w:lang w:val="bg-BG"/>
        </w:rPr>
        <w:t xml:space="preserve">Бяха идентифицирани също и </w:t>
      </w:r>
      <w:r w:rsidR="00526667" w:rsidRPr="00A3491F">
        <w:rPr>
          <w:sz w:val="22"/>
          <w:lang w:val="bg-BG"/>
        </w:rPr>
        <w:t>възможни варианти за действие</w:t>
      </w:r>
      <w:r w:rsidRPr="00A3491F">
        <w:rPr>
          <w:sz w:val="22"/>
          <w:lang w:val="bg-BG"/>
        </w:rPr>
        <w:t xml:space="preserve"> с посочване на потенциалните въздействия, разкрити на този етап от оценката на въздействието</w:t>
      </w:r>
      <w:r w:rsidR="00526667" w:rsidRPr="00A3491F">
        <w:rPr>
          <w:sz w:val="22"/>
          <w:lang w:val="bg-BG"/>
        </w:rPr>
        <w:t xml:space="preserve">. </w:t>
      </w:r>
    </w:p>
    <w:p w:rsidR="00C6485B" w:rsidRPr="00A3491F" w:rsidRDefault="00C6485B" w:rsidP="006B3BB7">
      <w:pPr>
        <w:spacing w:after="120"/>
        <w:rPr>
          <w:sz w:val="22"/>
          <w:lang w:val="bg-BG"/>
        </w:rPr>
      </w:pPr>
      <w:r w:rsidRPr="00A3491F">
        <w:rPr>
          <w:sz w:val="22"/>
          <w:lang w:val="bg-BG"/>
        </w:rPr>
        <w:t>Консултационния документ беше изпратен по електронна поща на идентифицираните заинтересовани страни чрез териториалните поделения на Изпълнителна агенция по лозата и виното и чрез Министер</w:t>
      </w:r>
      <w:r w:rsidR="00702E23" w:rsidRPr="00A3491F">
        <w:rPr>
          <w:sz w:val="22"/>
          <w:lang w:val="bg-BG"/>
        </w:rPr>
        <w:t>ство на икономиката. С цел осигуряване на по-голяма публичност и включване в консултациите на всички потенциално заинтересовани страни, д</w:t>
      </w:r>
      <w:r w:rsidRPr="00A3491F">
        <w:rPr>
          <w:sz w:val="22"/>
          <w:lang w:val="bg-BG"/>
        </w:rPr>
        <w:t xml:space="preserve">окументът беше качен на сайта на </w:t>
      </w:r>
      <w:r w:rsidR="00702E23" w:rsidRPr="00A3491F">
        <w:rPr>
          <w:sz w:val="22"/>
          <w:lang w:val="bg-BG"/>
        </w:rPr>
        <w:t>И</w:t>
      </w:r>
      <w:r w:rsidRPr="00A3491F">
        <w:rPr>
          <w:sz w:val="22"/>
          <w:lang w:val="bg-BG"/>
        </w:rPr>
        <w:t>зпълнителна агенция по лозата и виното (</w:t>
      </w:r>
      <w:hyperlink r:id="rId12" w:history="1">
        <w:r w:rsidRPr="00A3491F">
          <w:rPr>
            <w:rStyle w:val="Hyperlink"/>
            <w:sz w:val="22"/>
            <w:lang w:val="bg-BG"/>
          </w:rPr>
          <w:t>http://www.eavw.com</w:t>
        </w:r>
      </w:hyperlink>
      <w:r w:rsidRPr="00A3491F">
        <w:rPr>
          <w:sz w:val="22"/>
          <w:lang w:val="bg-BG"/>
        </w:rPr>
        <w:t xml:space="preserve">). </w:t>
      </w:r>
      <w:r w:rsidR="00702E23" w:rsidRPr="00A3491F">
        <w:rPr>
          <w:sz w:val="22"/>
          <w:lang w:val="bg-BG"/>
        </w:rPr>
        <w:t xml:space="preserve">По този начин беше предоставена възможност на максимално широк кръг от лица да изразят своето становище по предлаганите промени. </w:t>
      </w:r>
      <w:r w:rsidRPr="00A3491F">
        <w:rPr>
          <w:sz w:val="22"/>
          <w:lang w:val="bg-BG"/>
        </w:rPr>
        <w:t xml:space="preserve">В приложение към Консултационния документ беше изпратен и </w:t>
      </w:r>
      <w:r w:rsidR="00702E23" w:rsidRPr="00A3491F">
        <w:rPr>
          <w:sz w:val="22"/>
          <w:lang w:val="bg-BG"/>
        </w:rPr>
        <w:t>публикуван</w:t>
      </w:r>
      <w:r w:rsidRPr="00A3491F">
        <w:rPr>
          <w:sz w:val="22"/>
          <w:lang w:val="bg-BG"/>
        </w:rPr>
        <w:t xml:space="preserve"> и проектът на нов Закон за виното и спиртните напитки. До малките </w:t>
      </w:r>
      <w:r w:rsidR="00702E23" w:rsidRPr="00A3491F">
        <w:rPr>
          <w:sz w:val="22"/>
          <w:lang w:val="bg-BG"/>
        </w:rPr>
        <w:t xml:space="preserve">и </w:t>
      </w:r>
      <w:r w:rsidRPr="00A3491F">
        <w:rPr>
          <w:sz w:val="22"/>
          <w:lang w:val="bg-BG"/>
        </w:rPr>
        <w:t>средните предприятия беше изпратен и въпросник за извършване на „МСП-тест“</w:t>
      </w:r>
      <w:r w:rsidR="00702E23" w:rsidRPr="00A3491F">
        <w:rPr>
          <w:sz w:val="22"/>
          <w:lang w:val="bg-BG"/>
        </w:rPr>
        <w:t>.</w:t>
      </w:r>
      <w:r w:rsidRPr="00A3491F">
        <w:rPr>
          <w:sz w:val="22"/>
          <w:lang w:val="bg-BG"/>
        </w:rPr>
        <w:t xml:space="preserve"> На заинтересованите лица беше предоставен 20-дневен срок за отговор</w:t>
      </w:r>
      <w:r w:rsidR="00702E23" w:rsidRPr="00A3491F">
        <w:rPr>
          <w:sz w:val="22"/>
          <w:lang w:val="bg-BG"/>
        </w:rPr>
        <w:t xml:space="preserve"> по поставените за обсъждане въпроси</w:t>
      </w:r>
      <w:r w:rsidRPr="00A3491F">
        <w:rPr>
          <w:sz w:val="22"/>
          <w:lang w:val="bg-BG"/>
        </w:rPr>
        <w:t xml:space="preserve">. </w:t>
      </w:r>
    </w:p>
    <w:p w:rsidR="00702E23" w:rsidRPr="00A3491F" w:rsidRDefault="00DD001A" w:rsidP="006B3BB7">
      <w:pPr>
        <w:pStyle w:val="Heading2"/>
        <w:spacing w:before="240" w:after="120"/>
        <w:rPr>
          <w:rFonts w:cs="Times New Roman"/>
          <w:sz w:val="22"/>
          <w:szCs w:val="22"/>
          <w:lang w:val="bg-BG"/>
        </w:rPr>
      </w:pPr>
      <w:bookmarkStart w:id="39" w:name="_Toc496709969"/>
      <w:r w:rsidRPr="00A3491F">
        <w:rPr>
          <w:rFonts w:cs="Times New Roman"/>
          <w:sz w:val="22"/>
          <w:szCs w:val="22"/>
          <w:lang w:val="bg-BG"/>
        </w:rPr>
        <w:t>X</w:t>
      </w:r>
      <w:r w:rsidR="00702E23" w:rsidRPr="00A3491F">
        <w:rPr>
          <w:rFonts w:cs="Times New Roman"/>
          <w:sz w:val="22"/>
          <w:szCs w:val="22"/>
          <w:lang w:val="bg-BG"/>
        </w:rPr>
        <w:t>.1. Основни въпроси</w:t>
      </w:r>
      <w:bookmarkEnd w:id="39"/>
      <w:r w:rsidR="00702E23" w:rsidRPr="00A3491F">
        <w:rPr>
          <w:rFonts w:cs="Times New Roman"/>
          <w:sz w:val="22"/>
          <w:szCs w:val="22"/>
          <w:lang w:val="bg-BG"/>
        </w:rPr>
        <w:t xml:space="preserve"> </w:t>
      </w:r>
    </w:p>
    <w:p w:rsidR="00C6485B" w:rsidRPr="00A3491F" w:rsidRDefault="00702E23" w:rsidP="006B3BB7">
      <w:pPr>
        <w:spacing w:after="120"/>
        <w:rPr>
          <w:sz w:val="22"/>
          <w:lang w:val="bg-BG"/>
        </w:rPr>
      </w:pPr>
      <w:r w:rsidRPr="00A3491F">
        <w:rPr>
          <w:sz w:val="22"/>
          <w:lang w:val="bg-BG"/>
        </w:rPr>
        <w:t xml:space="preserve">Целта на предварителните консултации беше да привлече максимален обем от мнения и становища по проекта на Закон за виното и спиртните напитки. Ето защо, в Консултационния документ бяха посочени </w:t>
      </w:r>
      <w:r w:rsidRPr="00A3491F">
        <w:rPr>
          <w:sz w:val="22"/>
          <w:lang w:val="bg-BG"/>
        </w:rPr>
        <w:lastRenderedPageBreak/>
        <w:t xml:space="preserve">основните теми на консултационния процес, без да ограничава страните до конкретни въпроси. </w:t>
      </w:r>
      <w:r w:rsidR="00C6485B" w:rsidRPr="00A3491F">
        <w:rPr>
          <w:sz w:val="22"/>
          <w:lang w:val="bg-BG"/>
        </w:rPr>
        <w:t xml:space="preserve"> </w:t>
      </w:r>
      <w:r w:rsidRPr="00A3491F">
        <w:rPr>
          <w:sz w:val="22"/>
          <w:lang w:val="bg-BG"/>
        </w:rPr>
        <w:t xml:space="preserve">Примерно и неизчерпателно в Консултационния документ бяха изброени следните теми: </w:t>
      </w:r>
    </w:p>
    <w:p w:rsidR="00C6485B" w:rsidRPr="00A3491F" w:rsidRDefault="00C6485B" w:rsidP="006B3BB7">
      <w:pPr>
        <w:pStyle w:val="ListParagraph"/>
        <w:numPr>
          <w:ilvl w:val="0"/>
          <w:numId w:val="25"/>
        </w:numPr>
        <w:tabs>
          <w:tab w:val="left" w:pos="709"/>
        </w:tabs>
        <w:spacing w:after="0"/>
        <w:ind w:left="709" w:hanging="425"/>
        <w:rPr>
          <w:sz w:val="22"/>
          <w:lang w:val="bg-BG"/>
        </w:rPr>
      </w:pPr>
      <w:r w:rsidRPr="00A3491F">
        <w:rPr>
          <w:sz w:val="22"/>
          <w:lang w:val="bg-BG"/>
        </w:rPr>
        <w:t>Постигане на заложените цели и резултати чрез предвидените механизми;</w:t>
      </w:r>
    </w:p>
    <w:p w:rsidR="00C6485B" w:rsidRPr="00A3491F" w:rsidRDefault="00C6485B" w:rsidP="006B3BB7">
      <w:pPr>
        <w:pStyle w:val="ListParagraph"/>
        <w:numPr>
          <w:ilvl w:val="0"/>
          <w:numId w:val="25"/>
        </w:numPr>
        <w:tabs>
          <w:tab w:val="left" w:pos="709"/>
        </w:tabs>
        <w:spacing w:after="0"/>
        <w:ind w:left="709" w:hanging="425"/>
        <w:rPr>
          <w:sz w:val="22"/>
          <w:lang w:val="bg-BG"/>
        </w:rPr>
      </w:pPr>
      <w:r w:rsidRPr="00A3491F">
        <w:rPr>
          <w:sz w:val="22"/>
          <w:lang w:val="bg-BG"/>
        </w:rPr>
        <w:t>Неточности и несъответствия на промените с приложимите европейски актове;</w:t>
      </w:r>
    </w:p>
    <w:p w:rsidR="00C6485B" w:rsidRPr="00A3491F" w:rsidRDefault="00C6485B" w:rsidP="006B3BB7">
      <w:pPr>
        <w:pStyle w:val="ListParagraph"/>
        <w:numPr>
          <w:ilvl w:val="0"/>
          <w:numId w:val="25"/>
        </w:numPr>
        <w:tabs>
          <w:tab w:val="left" w:pos="709"/>
        </w:tabs>
        <w:spacing w:after="0"/>
        <w:ind w:left="709" w:hanging="425"/>
        <w:rPr>
          <w:sz w:val="22"/>
          <w:lang w:val="bg-BG"/>
        </w:rPr>
      </w:pPr>
      <w:r w:rsidRPr="00A3491F">
        <w:rPr>
          <w:sz w:val="22"/>
          <w:lang w:val="bg-BG"/>
        </w:rPr>
        <w:t>Възможни трудности и проблеми при прилагане на предложените правила;</w:t>
      </w:r>
    </w:p>
    <w:p w:rsidR="00C6485B" w:rsidRPr="00A3491F" w:rsidRDefault="00C6485B" w:rsidP="006B3BB7">
      <w:pPr>
        <w:pStyle w:val="ListParagraph"/>
        <w:numPr>
          <w:ilvl w:val="0"/>
          <w:numId w:val="25"/>
        </w:numPr>
        <w:tabs>
          <w:tab w:val="left" w:pos="709"/>
        </w:tabs>
        <w:spacing w:after="0"/>
        <w:ind w:left="709" w:hanging="425"/>
        <w:rPr>
          <w:sz w:val="22"/>
          <w:lang w:val="bg-BG"/>
        </w:rPr>
      </w:pPr>
      <w:r w:rsidRPr="00A3491F">
        <w:rPr>
          <w:sz w:val="22"/>
          <w:lang w:val="bg-BG"/>
        </w:rPr>
        <w:t>Потенциални разходи и рискове за производителите и търговците;</w:t>
      </w:r>
    </w:p>
    <w:p w:rsidR="00C6485B" w:rsidRPr="00A3491F" w:rsidRDefault="00C6485B" w:rsidP="006B3BB7">
      <w:pPr>
        <w:pStyle w:val="ListParagraph"/>
        <w:numPr>
          <w:ilvl w:val="0"/>
          <w:numId w:val="25"/>
        </w:numPr>
        <w:tabs>
          <w:tab w:val="left" w:pos="709"/>
        </w:tabs>
        <w:spacing w:after="0"/>
        <w:ind w:left="709" w:hanging="425"/>
        <w:rPr>
          <w:sz w:val="22"/>
          <w:lang w:val="bg-BG"/>
        </w:rPr>
      </w:pPr>
      <w:r w:rsidRPr="00A3491F">
        <w:rPr>
          <w:sz w:val="22"/>
          <w:lang w:val="bg-BG"/>
        </w:rPr>
        <w:t>Потенциални ползи и възможности за производителите и търговците;</w:t>
      </w:r>
    </w:p>
    <w:p w:rsidR="00C6485B" w:rsidRPr="00A3491F" w:rsidRDefault="00C6485B" w:rsidP="006B3BB7">
      <w:pPr>
        <w:pStyle w:val="ListParagraph"/>
        <w:numPr>
          <w:ilvl w:val="0"/>
          <w:numId w:val="25"/>
        </w:numPr>
        <w:tabs>
          <w:tab w:val="left" w:pos="709"/>
        </w:tabs>
        <w:spacing w:after="0"/>
        <w:ind w:left="709" w:hanging="425"/>
        <w:rPr>
          <w:sz w:val="22"/>
          <w:lang w:val="bg-BG"/>
        </w:rPr>
      </w:pPr>
      <w:r w:rsidRPr="00A3491F">
        <w:rPr>
          <w:sz w:val="22"/>
          <w:lang w:val="bg-BG"/>
        </w:rPr>
        <w:t>Констатирани несъответствия на проекта с други нормативни актове в сектора;</w:t>
      </w:r>
    </w:p>
    <w:p w:rsidR="00C6485B" w:rsidRPr="00A3491F" w:rsidRDefault="00C6485B" w:rsidP="006B3BB7">
      <w:pPr>
        <w:pStyle w:val="ListParagraph"/>
        <w:numPr>
          <w:ilvl w:val="0"/>
          <w:numId w:val="25"/>
        </w:numPr>
        <w:tabs>
          <w:tab w:val="left" w:pos="709"/>
        </w:tabs>
        <w:spacing w:after="0"/>
        <w:ind w:left="709" w:hanging="425"/>
        <w:rPr>
          <w:sz w:val="22"/>
          <w:lang w:val="bg-BG"/>
        </w:rPr>
      </w:pPr>
      <w:r w:rsidRPr="00A3491F">
        <w:rPr>
          <w:sz w:val="22"/>
          <w:lang w:val="bg-BG"/>
        </w:rPr>
        <w:t>Предложения за отстраняване на непълноти, неточности и проблеми чрез конкретни промени или допълнения в закона;</w:t>
      </w:r>
    </w:p>
    <w:p w:rsidR="00C6485B" w:rsidRPr="00A3491F" w:rsidRDefault="00C6485B" w:rsidP="006B3BB7">
      <w:pPr>
        <w:pStyle w:val="ListParagraph"/>
        <w:numPr>
          <w:ilvl w:val="0"/>
          <w:numId w:val="25"/>
        </w:numPr>
        <w:tabs>
          <w:tab w:val="left" w:pos="709"/>
        </w:tabs>
        <w:spacing w:after="0"/>
        <w:ind w:left="709" w:hanging="425"/>
        <w:rPr>
          <w:sz w:val="22"/>
          <w:lang w:val="bg-BG"/>
        </w:rPr>
      </w:pPr>
      <w:r w:rsidRPr="00A3491F">
        <w:rPr>
          <w:sz w:val="22"/>
          <w:lang w:val="bg-BG"/>
        </w:rPr>
        <w:t xml:space="preserve">Предложения за поправяне на технически грешки; </w:t>
      </w:r>
    </w:p>
    <w:p w:rsidR="00C6485B" w:rsidRPr="00A3491F" w:rsidRDefault="00C6485B" w:rsidP="006B3BB7">
      <w:pPr>
        <w:pStyle w:val="ListParagraph"/>
        <w:numPr>
          <w:ilvl w:val="0"/>
          <w:numId w:val="25"/>
        </w:numPr>
        <w:tabs>
          <w:tab w:val="left" w:pos="709"/>
        </w:tabs>
        <w:spacing w:after="0"/>
        <w:ind w:left="709" w:hanging="425"/>
        <w:rPr>
          <w:sz w:val="22"/>
          <w:lang w:val="bg-BG"/>
        </w:rPr>
      </w:pPr>
      <w:r w:rsidRPr="00A3491F">
        <w:rPr>
          <w:sz w:val="22"/>
          <w:lang w:val="bg-BG"/>
        </w:rPr>
        <w:t xml:space="preserve">Предложения към основаните на проектозакона подзаконови нормативни актове; </w:t>
      </w:r>
    </w:p>
    <w:p w:rsidR="00C6485B" w:rsidRPr="00A3491F" w:rsidRDefault="00C6485B" w:rsidP="006B3BB7">
      <w:pPr>
        <w:pStyle w:val="ListParagraph"/>
        <w:numPr>
          <w:ilvl w:val="0"/>
          <w:numId w:val="25"/>
        </w:numPr>
        <w:tabs>
          <w:tab w:val="left" w:pos="709"/>
        </w:tabs>
        <w:spacing w:after="120"/>
        <w:ind w:left="709" w:hanging="425"/>
        <w:rPr>
          <w:sz w:val="22"/>
          <w:lang w:val="bg-BG"/>
        </w:rPr>
      </w:pPr>
      <w:r w:rsidRPr="00A3491F">
        <w:rPr>
          <w:sz w:val="22"/>
          <w:lang w:val="bg-BG"/>
        </w:rPr>
        <w:t>Всякакви други коментари, предложения и забележки, които заинтересованите страни считат за необходимо да бъдат направени.</w:t>
      </w:r>
    </w:p>
    <w:p w:rsidR="00DB6DC9" w:rsidRPr="00A3491F" w:rsidRDefault="00DD001A" w:rsidP="006B3BB7">
      <w:pPr>
        <w:pStyle w:val="Heading2"/>
        <w:spacing w:before="240" w:after="120"/>
        <w:rPr>
          <w:rFonts w:cs="Times New Roman"/>
          <w:sz w:val="22"/>
          <w:szCs w:val="22"/>
          <w:lang w:val="bg-BG"/>
        </w:rPr>
      </w:pPr>
      <w:bookmarkStart w:id="40" w:name="_Toc496709970"/>
      <w:r w:rsidRPr="00A3491F">
        <w:rPr>
          <w:rFonts w:cs="Times New Roman"/>
          <w:sz w:val="22"/>
          <w:szCs w:val="22"/>
          <w:lang w:val="bg-BG"/>
        </w:rPr>
        <w:t>X</w:t>
      </w:r>
      <w:r w:rsidR="00DB6DC9" w:rsidRPr="00A3491F">
        <w:rPr>
          <w:rFonts w:cs="Times New Roman"/>
          <w:sz w:val="22"/>
          <w:szCs w:val="22"/>
          <w:lang w:val="bg-BG"/>
        </w:rPr>
        <w:t>.2. Приети предложения и обосновка за неприетите становища и предложения на заинтересованите страни</w:t>
      </w:r>
      <w:bookmarkEnd w:id="40"/>
    </w:p>
    <w:p w:rsidR="00C6485B" w:rsidRPr="00A3491F" w:rsidRDefault="00C6485B" w:rsidP="006B3BB7">
      <w:pPr>
        <w:spacing w:after="120"/>
        <w:rPr>
          <w:sz w:val="22"/>
          <w:lang w:val="bg-BG"/>
        </w:rPr>
      </w:pPr>
      <w:r w:rsidRPr="00A3491F">
        <w:rPr>
          <w:sz w:val="22"/>
          <w:lang w:val="bg-BG"/>
        </w:rPr>
        <w:t>В предоставения срок за отговор не постъпиха предложения, коментари и становища от заинтересовани страни. Това обстоятелство би могл</w:t>
      </w:r>
      <w:r w:rsidR="00DB6DC9" w:rsidRPr="00A3491F">
        <w:rPr>
          <w:sz w:val="22"/>
          <w:lang w:val="bg-BG"/>
        </w:rPr>
        <w:t>о да бъде обяснено с факта, че обединения, представляващи заинтересованите страни</w:t>
      </w:r>
      <w:r w:rsidRPr="00A3491F">
        <w:rPr>
          <w:sz w:val="22"/>
          <w:lang w:val="bg-BG"/>
        </w:rPr>
        <w:t xml:space="preserve"> са </w:t>
      </w:r>
      <w:r w:rsidR="00DB6DC9" w:rsidRPr="00A3491F">
        <w:rPr>
          <w:sz w:val="22"/>
          <w:lang w:val="bg-BG"/>
        </w:rPr>
        <w:t>били включени в</w:t>
      </w:r>
      <w:r w:rsidRPr="00A3491F">
        <w:rPr>
          <w:sz w:val="22"/>
          <w:lang w:val="bg-BG"/>
        </w:rPr>
        <w:t xml:space="preserve"> работн</w:t>
      </w:r>
      <w:r w:rsidR="00DB6DC9" w:rsidRPr="00A3491F">
        <w:rPr>
          <w:sz w:val="22"/>
          <w:lang w:val="bg-BG"/>
        </w:rPr>
        <w:t xml:space="preserve">ата </w:t>
      </w:r>
      <w:r w:rsidRPr="00A3491F">
        <w:rPr>
          <w:sz w:val="22"/>
          <w:lang w:val="bg-BG"/>
        </w:rPr>
        <w:t>груп</w:t>
      </w:r>
      <w:r w:rsidR="00DB6DC9" w:rsidRPr="00A3491F">
        <w:rPr>
          <w:sz w:val="22"/>
          <w:lang w:val="bg-BG"/>
        </w:rPr>
        <w:t>а</w:t>
      </w:r>
      <w:r w:rsidRPr="00A3491F">
        <w:rPr>
          <w:sz w:val="22"/>
          <w:lang w:val="bg-BG"/>
        </w:rPr>
        <w:t xml:space="preserve"> по изготвяне на законопроекта</w:t>
      </w:r>
      <w:r w:rsidR="00DB6DC9" w:rsidRPr="00A3491F">
        <w:rPr>
          <w:sz w:val="22"/>
          <w:lang w:val="bg-BG"/>
        </w:rPr>
        <w:t>. Освен това становища и предложения по проекта вече са предоставени</w:t>
      </w:r>
      <w:r w:rsidRPr="00A3491F">
        <w:rPr>
          <w:sz w:val="22"/>
          <w:lang w:val="bg-BG"/>
        </w:rPr>
        <w:t xml:space="preserve"> </w:t>
      </w:r>
      <w:r w:rsidR="00DB6DC9" w:rsidRPr="00A3491F">
        <w:rPr>
          <w:sz w:val="22"/>
          <w:lang w:val="bg-BG"/>
        </w:rPr>
        <w:t>от отделни производители пред работната група. Въз основа на този резултат от предварителните консултации може да се приеме, че мненията и предложенията им са съобразени от работната група и интересите им са</w:t>
      </w:r>
      <w:r w:rsidR="00286107" w:rsidRPr="00A3491F">
        <w:rPr>
          <w:sz w:val="22"/>
          <w:lang w:val="bg-BG"/>
        </w:rPr>
        <w:t xml:space="preserve"> защитени от така предложените текстове на проекта.</w:t>
      </w:r>
      <w:r w:rsidR="00DB6DC9" w:rsidRPr="00A3491F">
        <w:rPr>
          <w:sz w:val="22"/>
          <w:lang w:val="bg-BG"/>
        </w:rPr>
        <w:t xml:space="preserve"> </w:t>
      </w:r>
    </w:p>
    <w:p w:rsidR="00E95FCD" w:rsidRPr="00A3491F" w:rsidRDefault="00DD001A" w:rsidP="006B3BB7">
      <w:pPr>
        <w:pStyle w:val="Heading1"/>
        <w:spacing w:after="120"/>
        <w:rPr>
          <w:rFonts w:cs="Times New Roman"/>
          <w:sz w:val="22"/>
          <w:szCs w:val="22"/>
          <w:lang w:val="bg-BG"/>
        </w:rPr>
      </w:pPr>
      <w:bookmarkStart w:id="41" w:name="_Toc496709971"/>
      <w:r w:rsidRPr="00A3491F">
        <w:rPr>
          <w:rFonts w:cs="Times New Roman"/>
          <w:sz w:val="22"/>
          <w:szCs w:val="22"/>
          <w:lang w:val="bg-BG"/>
        </w:rPr>
        <w:t>XI</w:t>
      </w:r>
      <w:r w:rsidR="00061BD0" w:rsidRPr="00A3491F">
        <w:rPr>
          <w:rFonts w:cs="Times New Roman"/>
          <w:sz w:val="22"/>
          <w:szCs w:val="22"/>
          <w:lang w:val="bg-BG"/>
        </w:rPr>
        <w:t xml:space="preserve">. </w:t>
      </w:r>
      <w:r w:rsidR="004E649E" w:rsidRPr="00A3491F">
        <w:rPr>
          <w:rFonts w:cs="Times New Roman"/>
          <w:sz w:val="22"/>
          <w:szCs w:val="22"/>
          <w:lang w:val="bg-BG"/>
        </w:rPr>
        <w:t xml:space="preserve">Препоръчителен </w:t>
      </w:r>
      <w:r w:rsidR="0043197D" w:rsidRPr="00A3491F">
        <w:rPr>
          <w:rFonts w:cs="Times New Roman"/>
          <w:sz w:val="22"/>
          <w:szCs w:val="22"/>
          <w:lang w:val="bg-BG"/>
        </w:rPr>
        <w:t>вариант</w:t>
      </w:r>
      <w:r w:rsidRPr="00A3491F">
        <w:rPr>
          <w:rFonts w:cs="Times New Roman"/>
          <w:sz w:val="22"/>
          <w:szCs w:val="22"/>
          <w:lang w:val="bg-BG"/>
        </w:rPr>
        <w:t xml:space="preserve"> и обосновка към него</w:t>
      </w:r>
      <w:bookmarkEnd w:id="41"/>
    </w:p>
    <w:p w:rsidR="0044249E" w:rsidRPr="00A3491F" w:rsidRDefault="00286107" w:rsidP="006B3BB7">
      <w:pPr>
        <w:spacing w:after="120"/>
        <w:rPr>
          <w:rFonts w:eastAsia="Times New Roman"/>
          <w:iCs/>
          <w:sz w:val="22"/>
          <w:lang w:val="bg-BG"/>
        </w:rPr>
      </w:pPr>
      <w:r w:rsidRPr="00A3491F">
        <w:rPr>
          <w:rFonts w:eastAsia="Times New Roman"/>
          <w:iCs/>
          <w:sz w:val="22"/>
          <w:lang w:val="bg-BG"/>
        </w:rPr>
        <w:t>Въз основа на</w:t>
      </w:r>
      <w:r w:rsidR="0044249E" w:rsidRPr="00A3491F">
        <w:rPr>
          <w:rFonts w:eastAsia="Times New Roman"/>
          <w:iCs/>
          <w:sz w:val="22"/>
          <w:lang w:val="bg-BG"/>
        </w:rPr>
        <w:t xml:space="preserve"> анализ</w:t>
      </w:r>
      <w:r w:rsidRPr="00A3491F">
        <w:rPr>
          <w:rFonts w:eastAsia="Times New Roman"/>
          <w:iCs/>
          <w:sz w:val="22"/>
          <w:lang w:val="bg-BG"/>
        </w:rPr>
        <w:t>а</w:t>
      </w:r>
      <w:r w:rsidR="0044249E" w:rsidRPr="00A3491F">
        <w:rPr>
          <w:rFonts w:eastAsia="Times New Roman"/>
          <w:iCs/>
          <w:sz w:val="22"/>
          <w:lang w:val="bg-BG"/>
        </w:rPr>
        <w:t xml:space="preserve"> </w:t>
      </w:r>
      <w:r w:rsidRPr="00A3491F">
        <w:rPr>
          <w:rFonts w:eastAsia="Times New Roman"/>
          <w:iCs/>
          <w:sz w:val="22"/>
          <w:lang w:val="bg-BG"/>
        </w:rPr>
        <w:t xml:space="preserve">на </w:t>
      </w:r>
      <w:r w:rsidR="008A7E08" w:rsidRPr="00A3491F">
        <w:rPr>
          <w:rFonts w:eastAsia="Times New Roman"/>
          <w:iCs/>
          <w:sz w:val="22"/>
          <w:lang w:val="bg-BG"/>
        </w:rPr>
        <w:t>възможните</w:t>
      </w:r>
      <w:r w:rsidR="0044249E" w:rsidRPr="00A3491F">
        <w:rPr>
          <w:rFonts w:eastAsia="Times New Roman"/>
          <w:iCs/>
          <w:sz w:val="22"/>
          <w:lang w:val="bg-BG"/>
        </w:rPr>
        <w:t xml:space="preserve"> варианти</w:t>
      </w:r>
      <w:r w:rsidR="008A7E08" w:rsidRPr="00A3491F">
        <w:rPr>
          <w:rFonts w:eastAsia="Times New Roman"/>
          <w:iCs/>
          <w:sz w:val="22"/>
          <w:lang w:val="bg-BG"/>
        </w:rPr>
        <w:t xml:space="preserve"> </w:t>
      </w:r>
      <w:r w:rsidRPr="00A3491F">
        <w:rPr>
          <w:rFonts w:eastAsia="Times New Roman"/>
          <w:iCs/>
          <w:sz w:val="22"/>
          <w:lang w:val="bg-BG"/>
        </w:rPr>
        <w:t xml:space="preserve">за действие за постигане на заложените цели </w:t>
      </w:r>
      <w:r w:rsidR="008A7E08" w:rsidRPr="00A3491F">
        <w:rPr>
          <w:rFonts w:eastAsia="Times New Roman"/>
          <w:iCs/>
          <w:sz w:val="22"/>
          <w:lang w:val="bg-BG"/>
        </w:rPr>
        <w:t>и сравнение</w:t>
      </w:r>
      <w:r w:rsidRPr="00A3491F">
        <w:rPr>
          <w:rFonts w:eastAsia="Times New Roman"/>
          <w:iCs/>
          <w:sz w:val="22"/>
          <w:lang w:val="bg-BG"/>
        </w:rPr>
        <w:t>то на техните потенциални въздействия</w:t>
      </w:r>
      <w:r w:rsidR="0044249E" w:rsidRPr="00A3491F">
        <w:rPr>
          <w:rFonts w:eastAsia="Times New Roman"/>
          <w:iCs/>
          <w:sz w:val="22"/>
          <w:lang w:val="bg-BG"/>
        </w:rPr>
        <w:t xml:space="preserve"> </w:t>
      </w:r>
      <w:r w:rsidR="00526667" w:rsidRPr="00A3491F">
        <w:rPr>
          <w:rFonts w:eastAsia="Times New Roman"/>
          <w:iCs/>
          <w:sz w:val="22"/>
          <w:lang w:val="bg-BG"/>
        </w:rPr>
        <w:t>като</w:t>
      </w:r>
      <w:r w:rsidR="0044249E" w:rsidRPr="00A3491F">
        <w:rPr>
          <w:rFonts w:eastAsia="Times New Roman"/>
          <w:iCs/>
          <w:sz w:val="22"/>
          <w:lang w:val="bg-BG"/>
        </w:rPr>
        <w:t xml:space="preserve"> </w:t>
      </w:r>
      <w:r w:rsidR="00526667" w:rsidRPr="00A3491F">
        <w:rPr>
          <w:rFonts w:eastAsia="Times New Roman"/>
          <w:iCs/>
          <w:sz w:val="22"/>
          <w:lang w:val="bg-BG"/>
        </w:rPr>
        <w:t>най</w:t>
      </w:r>
      <w:r w:rsidR="0044249E" w:rsidRPr="00A3491F">
        <w:rPr>
          <w:rFonts w:eastAsia="Times New Roman"/>
          <w:iCs/>
          <w:sz w:val="22"/>
          <w:lang w:val="bg-BG"/>
        </w:rPr>
        <w:t xml:space="preserve">-ефективен </w:t>
      </w:r>
      <w:r w:rsidR="008A7E08" w:rsidRPr="00A3491F">
        <w:rPr>
          <w:rFonts w:eastAsia="Times New Roman"/>
          <w:iCs/>
          <w:sz w:val="22"/>
          <w:lang w:val="bg-BG"/>
        </w:rPr>
        <w:t xml:space="preserve">в постигането на заложените цели </w:t>
      </w:r>
      <w:r w:rsidR="0044249E" w:rsidRPr="00A3491F">
        <w:rPr>
          <w:rFonts w:eastAsia="Times New Roman"/>
          <w:iCs/>
          <w:sz w:val="22"/>
          <w:lang w:val="bg-BG"/>
        </w:rPr>
        <w:t xml:space="preserve">е </w:t>
      </w:r>
      <w:r w:rsidR="008A7E08" w:rsidRPr="00A3491F">
        <w:rPr>
          <w:rFonts w:eastAsia="Times New Roman"/>
          <w:iCs/>
          <w:sz w:val="22"/>
          <w:lang w:val="bg-BG"/>
        </w:rPr>
        <w:t>определен</w:t>
      </w:r>
      <w:r w:rsidR="0044249E" w:rsidRPr="00A3491F">
        <w:rPr>
          <w:rFonts w:eastAsia="Times New Roman"/>
          <w:iCs/>
          <w:sz w:val="22"/>
          <w:lang w:val="bg-BG"/>
        </w:rPr>
        <w:t xml:space="preserve"> Вариант </w:t>
      </w:r>
      <w:r w:rsidR="000C4368" w:rsidRPr="00A3491F">
        <w:rPr>
          <w:rFonts w:eastAsia="Times New Roman"/>
          <w:iCs/>
          <w:sz w:val="22"/>
          <w:lang w:val="bg-BG"/>
        </w:rPr>
        <w:t>3</w:t>
      </w:r>
      <w:r w:rsidR="008A7E08" w:rsidRPr="00A3491F">
        <w:rPr>
          <w:rFonts w:eastAsia="Times New Roman"/>
          <w:iCs/>
          <w:sz w:val="22"/>
          <w:lang w:val="bg-BG"/>
        </w:rPr>
        <w:t xml:space="preserve"> „Приемане на нов </w:t>
      </w:r>
      <w:r w:rsidR="00526667" w:rsidRPr="00A3491F">
        <w:rPr>
          <w:rFonts w:eastAsia="Times New Roman"/>
          <w:iCs/>
          <w:sz w:val="22"/>
          <w:lang w:val="bg-BG"/>
        </w:rPr>
        <w:t>З</w:t>
      </w:r>
      <w:r w:rsidR="008A7E08" w:rsidRPr="00A3491F">
        <w:rPr>
          <w:rFonts w:eastAsia="Times New Roman"/>
          <w:iCs/>
          <w:sz w:val="22"/>
          <w:lang w:val="bg-BG"/>
        </w:rPr>
        <w:t>акон за виното и спиртните напитки“</w:t>
      </w:r>
      <w:r w:rsidR="0044249E" w:rsidRPr="00A3491F">
        <w:rPr>
          <w:rFonts w:eastAsia="Times New Roman"/>
          <w:iCs/>
          <w:sz w:val="22"/>
          <w:lang w:val="bg-BG"/>
        </w:rPr>
        <w:t xml:space="preserve">. </w:t>
      </w:r>
      <w:r w:rsidR="00526667" w:rsidRPr="00A3491F">
        <w:rPr>
          <w:rFonts w:eastAsia="Times New Roman"/>
          <w:iCs/>
          <w:sz w:val="22"/>
          <w:lang w:val="bg-BG"/>
        </w:rPr>
        <w:t xml:space="preserve">Този вариант е единственият, който в еднаква степен ще допринесе за решаването на </w:t>
      </w:r>
      <w:r w:rsidRPr="00A3491F">
        <w:rPr>
          <w:rFonts w:eastAsia="Times New Roman"/>
          <w:iCs/>
          <w:sz w:val="22"/>
          <w:lang w:val="bg-BG"/>
        </w:rPr>
        <w:t xml:space="preserve">всеки от </w:t>
      </w:r>
      <w:r w:rsidR="00526667" w:rsidRPr="00A3491F">
        <w:rPr>
          <w:rFonts w:eastAsia="Times New Roman"/>
          <w:iCs/>
          <w:sz w:val="22"/>
          <w:lang w:val="bg-BG"/>
        </w:rPr>
        <w:t>идентифицираните проблеми</w:t>
      </w:r>
      <w:r w:rsidRPr="00A3491F">
        <w:rPr>
          <w:rFonts w:eastAsia="Times New Roman"/>
          <w:iCs/>
          <w:sz w:val="22"/>
          <w:lang w:val="bg-BG"/>
        </w:rPr>
        <w:t xml:space="preserve"> и в най-висока степен ще постигне всяка от поставените цели</w:t>
      </w:r>
      <w:r w:rsidR="00526667" w:rsidRPr="00A3491F">
        <w:rPr>
          <w:rFonts w:eastAsia="Times New Roman"/>
          <w:iCs/>
          <w:sz w:val="22"/>
          <w:lang w:val="bg-BG"/>
        </w:rPr>
        <w:t xml:space="preserve">. </w:t>
      </w:r>
      <w:r w:rsidR="00045583" w:rsidRPr="00A3491F">
        <w:rPr>
          <w:rFonts w:eastAsia="Times New Roman"/>
          <w:iCs/>
          <w:sz w:val="22"/>
          <w:lang w:val="bg-BG"/>
        </w:rPr>
        <w:t xml:space="preserve">Единствено реализирането на Вариант 3 може да доведе до изпълнение на всички поети пред Европейската комисия ангажименти и спазване на процедурата по нотификация по </w:t>
      </w:r>
      <w:r w:rsidR="00045583" w:rsidRPr="00A3491F">
        <w:rPr>
          <w:bCs/>
          <w:sz w:val="22"/>
          <w:lang w:val="bg-BG"/>
        </w:rPr>
        <w:t xml:space="preserve">Директива 2015/1535. </w:t>
      </w:r>
      <w:r w:rsidR="0044249E" w:rsidRPr="00A3491F">
        <w:rPr>
          <w:rFonts w:eastAsia="Times New Roman"/>
          <w:iCs/>
          <w:sz w:val="22"/>
          <w:lang w:val="bg-BG"/>
        </w:rPr>
        <w:t xml:space="preserve">С </w:t>
      </w:r>
      <w:r w:rsidR="00045583" w:rsidRPr="00A3491F">
        <w:rPr>
          <w:rFonts w:eastAsia="Times New Roman"/>
          <w:iCs/>
          <w:sz w:val="22"/>
          <w:lang w:val="bg-BG"/>
        </w:rPr>
        <w:t>оглед</w:t>
      </w:r>
      <w:r w:rsidR="0044249E" w:rsidRPr="00A3491F">
        <w:rPr>
          <w:rFonts w:eastAsia="Times New Roman"/>
          <w:iCs/>
          <w:sz w:val="22"/>
          <w:lang w:val="bg-BG"/>
        </w:rPr>
        <w:t xml:space="preserve"> по-добр</w:t>
      </w:r>
      <w:r w:rsidR="000C4368" w:rsidRPr="00A3491F">
        <w:rPr>
          <w:rFonts w:eastAsia="Times New Roman"/>
          <w:iCs/>
          <w:sz w:val="22"/>
          <w:lang w:val="bg-BG"/>
        </w:rPr>
        <w:t>а</w:t>
      </w:r>
      <w:r w:rsidR="0044249E" w:rsidRPr="00A3491F">
        <w:rPr>
          <w:rFonts w:eastAsia="Times New Roman"/>
          <w:iCs/>
          <w:sz w:val="22"/>
          <w:lang w:val="bg-BG"/>
        </w:rPr>
        <w:t xml:space="preserve"> финансова обезпеченост и на база на отговорите от т.</w:t>
      </w:r>
      <w:r w:rsidRPr="00A3491F">
        <w:rPr>
          <w:rFonts w:eastAsia="Times New Roman"/>
          <w:iCs/>
          <w:sz w:val="22"/>
          <w:lang w:val="bg-BG"/>
        </w:rPr>
        <w:t xml:space="preserve"> </w:t>
      </w:r>
      <w:r w:rsidR="0044249E" w:rsidRPr="00A3491F">
        <w:rPr>
          <w:rFonts w:eastAsia="Times New Roman"/>
          <w:iCs/>
          <w:sz w:val="22"/>
          <w:lang w:val="bg-BG"/>
        </w:rPr>
        <w:t>н</w:t>
      </w:r>
      <w:r w:rsidRPr="00A3491F">
        <w:rPr>
          <w:rFonts w:eastAsia="Times New Roman"/>
          <w:iCs/>
          <w:sz w:val="22"/>
          <w:lang w:val="bg-BG"/>
        </w:rPr>
        <w:t>ар</w:t>
      </w:r>
      <w:r w:rsidR="0044249E" w:rsidRPr="00A3491F">
        <w:rPr>
          <w:rFonts w:eastAsia="Times New Roman"/>
          <w:iCs/>
          <w:sz w:val="22"/>
          <w:lang w:val="bg-BG"/>
        </w:rPr>
        <w:t>. МСП-тест, може да се приеме, че допълнителните разходи</w:t>
      </w:r>
      <w:r w:rsidRPr="00A3491F">
        <w:rPr>
          <w:rFonts w:eastAsia="Times New Roman"/>
          <w:iCs/>
          <w:sz w:val="22"/>
          <w:lang w:val="bg-BG"/>
        </w:rPr>
        <w:t>,</w:t>
      </w:r>
      <w:r w:rsidR="0044249E" w:rsidRPr="00A3491F">
        <w:rPr>
          <w:rFonts w:eastAsia="Times New Roman"/>
          <w:iCs/>
          <w:sz w:val="22"/>
          <w:lang w:val="bg-BG"/>
        </w:rPr>
        <w:t xml:space="preserve"> с които се натоварват производителите </w:t>
      </w:r>
      <w:r w:rsidR="00526667" w:rsidRPr="00A3491F">
        <w:rPr>
          <w:rFonts w:eastAsia="Times New Roman"/>
          <w:iCs/>
          <w:sz w:val="22"/>
          <w:lang w:val="bg-BG"/>
        </w:rPr>
        <w:t>при осъществяване на Вариант 3</w:t>
      </w:r>
      <w:r w:rsidRPr="00A3491F">
        <w:rPr>
          <w:rFonts w:eastAsia="Times New Roman"/>
          <w:iCs/>
          <w:sz w:val="22"/>
          <w:lang w:val="bg-BG"/>
        </w:rPr>
        <w:t>,</w:t>
      </w:r>
      <w:r w:rsidR="00526667" w:rsidRPr="00A3491F">
        <w:rPr>
          <w:rFonts w:eastAsia="Times New Roman"/>
          <w:iCs/>
          <w:sz w:val="22"/>
          <w:lang w:val="bg-BG"/>
        </w:rPr>
        <w:t xml:space="preserve"> </w:t>
      </w:r>
      <w:r w:rsidR="0044249E" w:rsidRPr="00A3491F">
        <w:rPr>
          <w:rFonts w:eastAsia="Times New Roman"/>
          <w:iCs/>
          <w:sz w:val="22"/>
          <w:lang w:val="bg-BG"/>
        </w:rPr>
        <w:t xml:space="preserve">са приемливи за повечето МСП. При този вариант допълнителните субсидии за финансиране на разходите свързани с промените </w:t>
      </w:r>
      <w:r w:rsidR="00045583" w:rsidRPr="00A3491F">
        <w:rPr>
          <w:rFonts w:eastAsia="Times New Roman"/>
          <w:iCs/>
          <w:sz w:val="22"/>
          <w:lang w:val="bg-BG"/>
        </w:rPr>
        <w:t xml:space="preserve">в </w:t>
      </w:r>
      <w:r w:rsidR="0044249E" w:rsidRPr="00A3491F">
        <w:rPr>
          <w:rFonts w:eastAsia="Times New Roman"/>
          <w:iCs/>
          <w:sz w:val="22"/>
          <w:lang w:val="bg-BG"/>
        </w:rPr>
        <w:t>админ</w:t>
      </w:r>
      <w:r w:rsidR="00045583" w:rsidRPr="00A3491F">
        <w:rPr>
          <w:rFonts w:eastAsia="Times New Roman"/>
          <w:iCs/>
          <w:sz w:val="22"/>
          <w:lang w:val="bg-BG"/>
        </w:rPr>
        <w:t>и</w:t>
      </w:r>
      <w:r w:rsidR="0044249E" w:rsidRPr="00A3491F">
        <w:rPr>
          <w:rFonts w:eastAsia="Times New Roman"/>
          <w:iCs/>
          <w:sz w:val="22"/>
          <w:lang w:val="bg-BG"/>
        </w:rPr>
        <w:t>стративни</w:t>
      </w:r>
      <w:r w:rsidR="00045583" w:rsidRPr="00A3491F">
        <w:rPr>
          <w:rFonts w:eastAsia="Times New Roman"/>
          <w:iCs/>
          <w:sz w:val="22"/>
          <w:lang w:val="bg-BG"/>
        </w:rPr>
        <w:t>те</w:t>
      </w:r>
      <w:r w:rsidR="0044249E" w:rsidRPr="00A3491F">
        <w:rPr>
          <w:rFonts w:eastAsia="Times New Roman"/>
          <w:iCs/>
          <w:sz w:val="22"/>
          <w:lang w:val="bg-BG"/>
        </w:rPr>
        <w:t xml:space="preserve"> </w:t>
      </w:r>
      <w:r w:rsidR="000515FA" w:rsidRPr="00A3491F">
        <w:rPr>
          <w:rFonts w:eastAsia="Times New Roman"/>
          <w:iCs/>
          <w:sz w:val="22"/>
          <w:lang w:val="bg-BG"/>
        </w:rPr>
        <w:t xml:space="preserve">услуги </w:t>
      </w:r>
      <w:r w:rsidR="0044249E" w:rsidRPr="00A3491F">
        <w:rPr>
          <w:rFonts w:eastAsia="Times New Roman"/>
          <w:iCs/>
          <w:sz w:val="22"/>
          <w:lang w:val="bg-BG"/>
        </w:rPr>
        <w:t>по ЗВСН са най-ниски.</w:t>
      </w:r>
    </w:p>
    <w:p w:rsidR="00D33AE7" w:rsidRPr="00A3491F" w:rsidRDefault="00DD001A" w:rsidP="006B3BB7">
      <w:pPr>
        <w:pStyle w:val="Heading1"/>
        <w:spacing w:after="120"/>
        <w:rPr>
          <w:rFonts w:cs="Times New Roman"/>
          <w:sz w:val="22"/>
          <w:szCs w:val="22"/>
          <w:lang w:val="bg-BG"/>
        </w:rPr>
      </w:pPr>
      <w:bookmarkStart w:id="42" w:name="_Toc496709972"/>
      <w:r w:rsidRPr="00A3491F">
        <w:rPr>
          <w:rFonts w:cs="Times New Roman"/>
          <w:sz w:val="22"/>
          <w:szCs w:val="22"/>
          <w:lang w:val="bg-BG"/>
        </w:rPr>
        <w:t>XII</w:t>
      </w:r>
      <w:r w:rsidR="00D33AE7" w:rsidRPr="00A3491F">
        <w:rPr>
          <w:rFonts w:cs="Times New Roman"/>
          <w:sz w:val="22"/>
          <w:szCs w:val="22"/>
          <w:lang w:val="bg-BG"/>
        </w:rPr>
        <w:t>. Варианти за потенциални въздействия върху МСП</w:t>
      </w:r>
      <w:bookmarkEnd w:id="42"/>
    </w:p>
    <w:p w:rsidR="00BA4888" w:rsidRPr="00A3491F" w:rsidRDefault="00BA4888" w:rsidP="006B3BB7">
      <w:pPr>
        <w:spacing w:after="120"/>
        <w:rPr>
          <w:rFonts w:eastAsia="Times New Roman"/>
          <w:sz w:val="22"/>
          <w:lang w:val="bg-BG"/>
        </w:rPr>
      </w:pPr>
      <w:r w:rsidRPr="00A3491F">
        <w:rPr>
          <w:rFonts w:eastAsia="Times New Roman"/>
          <w:sz w:val="22"/>
          <w:lang w:val="bg-BG"/>
        </w:rPr>
        <w:t xml:space="preserve">Промените в </w:t>
      </w:r>
      <w:r w:rsidR="000515FA" w:rsidRPr="00A3491F">
        <w:rPr>
          <w:rFonts w:eastAsia="Times New Roman"/>
          <w:sz w:val="22"/>
          <w:lang w:val="bg-BG"/>
        </w:rPr>
        <w:t xml:space="preserve">таксите за предоставяне на </w:t>
      </w:r>
      <w:r w:rsidRPr="00A3491F">
        <w:rPr>
          <w:rFonts w:eastAsia="Times New Roman"/>
          <w:sz w:val="22"/>
          <w:lang w:val="bg-BG"/>
        </w:rPr>
        <w:t xml:space="preserve">административните </w:t>
      </w:r>
      <w:r w:rsidR="000515FA" w:rsidRPr="00A3491F">
        <w:rPr>
          <w:rFonts w:eastAsia="Times New Roman"/>
          <w:sz w:val="22"/>
          <w:lang w:val="bg-BG"/>
        </w:rPr>
        <w:t xml:space="preserve">услуги </w:t>
      </w:r>
      <w:r w:rsidRPr="00A3491F">
        <w:rPr>
          <w:rFonts w:eastAsia="Times New Roman"/>
          <w:sz w:val="22"/>
          <w:lang w:val="bg-BG"/>
        </w:rPr>
        <w:t>биха оказали влияние върху малките и средните предприятия</w:t>
      </w:r>
      <w:r w:rsidR="00A4750F" w:rsidRPr="00A3491F">
        <w:rPr>
          <w:rFonts w:eastAsia="Times New Roman"/>
          <w:sz w:val="22"/>
          <w:lang w:val="bg-BG"/>
        </w:rPr>
        <w:t xml:space="preserve"> (МСП)</w:t>
      </w:r>
      <w:r w:rsidRPr="00A3491F">
        <w:rPr>
          <w:rFonts w:eastAsia="Times New Roman"/>
          <w:sz w:val="22"/>
          <w:lang w:val="bg-BG"/>
        </w:rPr>
        <w:t>, каквито са преобладаващият брой стопански субекти в сектора.</w:t>
      </w:r>
      <w:r w:rsidR="00A4750F" w:rsidRPr="00A3491F">
        <w:rPr>
          <w:rFonts w:eastAsia="Times New Roman"/>
          <w:sz w:val="22"/>
          <w:lang w:val="bg-BG"/>
        </w:rPr>
        <w:t xml:space="preserve"> </w:t>
      </w:r>
      <w:r w:rsidRPr="00A3491F">
        <w:rPr>
          <w:rFonts w:eastAsia="Times New Roman"/>
          <w:sz w:val="22"/>
          <w:lang w:val="bg-BG"/>
        </w:rPr>
        <w:t>При оценката на въздействието на предвижданите промени върху тях бе извършен т.нар. „МСП-тест“</w:t>
      </w:r>
      <w:r w:rsidRPr="00A3491F">
        <w:rPr>
          <w:sz w:val="22"/>
          <w:lang w:val="bg-BG"/>
        </w:rPr>
        <w:t xml:space="preserve">. </w:t>
      </w:r>
      <w:r w:rsidRPr="00A3491F">
        <w:rPr>
          <w:rFonts w:eastAsia="Times New Roman"/>
          <w:sz w:val="22"/>
          <w:lang w:val="bg-BG"/>
        </w:rPr>
        <w:t xml:space="preserve">Целите на този тест са да се оценени размера на пазара, засегнат от регулацията, </w:t>
      </w:r>
      <w:r w:rsidRPr="00A3491F">
        <w:rPr>
          <w:rFonts w:eastAsia="Times New Roman"/>
          <w:sz w:val="22"/>
          <w:lang w:val="bg-BG"/>
        </w:rPr>
        <w:lastRenderedPageBreak/>
        <w:t xml:space="preserve">конкретните засегнати страни, като в рамките на наличната информация бяха прогнозирани и разходите, които ще понесат отделни групи засегнати страни във връзка с планираните  изменения. </w:t>
      </w:r>
    </w:p>
    <w:p w:rsidR="00A4750F" w:rsidRPr="00A3491F" w:rsidRDefault="00BA4888" w:rsidP="006B3BB7">
      <w:pPr>
        <w:spacing w:after="120"/>
        <w:rPr>
          <w:sz w:val="22"/>
          <w:lang w:val="bg-BG"/>
        </w:rPr>
      </w:pPr>
      <w:r w:rsidRPr="00A3491F">
        <w:rPr>
          <w:sz w:val="22"/>
          <w:lang w:val="bg-BG"/>
        </w:rPr>
        <w:t>За да се прецени размера и финансово-административната тежест и въздействието върху стопанската активност на засегнатите п</w:t>
      </w:r>
      <w:r w:rsidR="00A4750F" w:rsidRPr="00A3491F">
        <w:rPr>
          <w:sz w:val="22"/>
          <w:lang w:val="bg-BG"/>
        </w:rPr>
        <w:t>роизводители</w:t>
      </w:r>
      <w:r w:rsidRPr="00A3491F">
        <w:rPr>
          <w:sz w:val="22"/>
          <w:lang w:val="bg-BG"/>
        </w:rPr>
        <w:t xml:space="preserve"> бе извършен и по-детайлен анализ,  включително с количествени оценки и прогнози</w:t>
      </w:r>
      <w:r w:rsidR="00A4750F" w:rsidRPr="00A3491F">
        <w:rPr>
          <w:sz w:val="22"/>
          <w:lang w:val="bg-BG"/>
        </w:rPr>
        <w:t xml:space="preserve">. Освен това, с цел получаване на данни за мнението на самите МСП относно предвижданите </w:t>
      </w:r>
      <w:r w:rsidR="00387DD2" w:rsidRPr="00A3491F">
        <w:rPr>
          <w:sz w:val="22"/>
          <w:lang w:val="bg-BG"/>
        </w:rPr>
        <w:t>изменения в предоставянето на административни услуги</w:t>
      </w:r>
      <w:r w:rsidR="00A4750F" w:rsidRPr="00A3491F">
        <w:rPr>
          <w:sz w:val="22"/>
          <w:lang w:val="bg-BG"/>
        </w:rPr>
        <w:t xml:space="preserve">, беше използван </w:t>
      </w:r>
      <w:r w:rsidRPr="00A3491F">
        <w:rPr>
          <w:sz w:val="22"/>
          <w:lang w:val="bg-BG"/>
        </w:rPr>
        <w:t>въпросник</w:t>
      </w:r>
      <w:r w:rsidR="00A4750F" w:rsidRPr="00A3491F">
        <w:rPr>
          <w:sz w:val="22"/>
          <w:lang w:val="bg-BG"/>
        </w:rPr>
        <w:t>,</w:t>
      </w:r>
      <w:r w:rsidRPr="00A3491F">
        <w:rPr>
          <w:sz w:val="22"/>
          <w:lang w:val="bg-BG"/>
        </w:rPr>
        <w:t xml:space="preserve"> изпратен на представителна извадка на активните производители. </w:t>
      </w:r>
    </w:p>
    <w:p w:rsidR="00BA4888" w:rsidRPr="00A3491F" w:rsidRDefault="00A4750F" w:rsidP="006B3BB7">
      <w:pPr>
        <w:spacing w:after="120"/>
        <w:rPr>
          <w:rFonts w:eastAsia="Times New Roman"/>
          <w:sz w:val="22"/>
          <w:lang w:val="bg-BG"/>
        </w:rPr>
      </w:pPr>
      <w:r w:rsidRPr="00A3491F">
        <w:rPr>
          <w:rFonts w:eastAsia="Times New Roman"/>
          <w:sz w:val="22"/>
          <w:lang w:val="bg-BG"/>
        </w:rPr>
        <w:t>При</w:t>
      </w:r>
      <w:r w:rsidR="00BA4888" w:rsidRPr="00A3491F">
        <w:rPr>
          <w:rFonts w:eastAsia="Times New Roman"/>
          <w:sz w:val="22"/>
          <w:lang w:val="bg-BG"/>
        </w:rPr>
        <w:t xml:space="preserve"> определяне на извадката от </w:t>
      </w:r>
      <w:proofErr w:type="spellStart"/>
      <w:r w:rsidR="00BA4888" w:rsidRPr="00A3491F">
        <w:rPr>
          <w:rFonts w:eastAsia="Times New Roman"/>
          <w:sz w:val="22"/>
          <w:lang w:val="bg-BG"/>
        </w:rPr>
        <w:t>респонденти</w:t>
      </w:r>
      <w:proofErr w:type="spellEnd"/>
      <w:r w:rsidR="00BA4888" w:rsidRPr="00A3491F">
        <w:rPr>
          <w:rFonts w:eastAsia="Times New Roman"/>
          <w:sz w:val="22"/>
          <w:lang w:val="bg-BG"/>
        </w:rPr>
        <w:t>, на които да бъде изпратен ан</w:t>
      </w:r>
      <w:r w:rsidRPr="00A3491F">
        <w:rPr>
          <w:rFonts w:eastAsia="Times New Roman"/>
          <w:sz w:val="22"/>
          <w:lang w:val="bg-BG"/>
        </w:rPr>
        <w:t xml:space="preserve">кетния въпросникът беше използван </w:t>
      </w:r>
      <w:r w:rsidR="00FA05B7" w:rsidRPr="00A3491F">
        <w:rPr>
          <w:rFonts w:eastAsia="Times New Roman"/>
          <w:sz w:val="22"/>
          <w:lang w:val="bg-BG"/>
        </w:rPr>
        <w:t>следният</w:t>
      </w:r>
      <w:r w:rsidRPr="00A3491F">
        <w:rPr>
          <w:rFonts w:eastAsia="Times New Roman"/>
          <w:sz w:val="22"/>
          <w:lang w:val="bg-BG"/>
        </w:rPr>
        <w:t xml:space="preserve"> подход:</w:t>
      </w:r>
    </w:p>
    <w:p w:rsidR="00A4750F" w:rsidRPr="00A3491F" w:rsidRDefault="00BA4888" w:rsidP="006B3BB7">
      <w:pPr>
        <w:pStyle w:val="ListParagraph"/>
        <w:numPr>
          <w:ilvl w:val="0"/>
          <w:numId w:val="22"/>
        </w:numPr>
        <w:spacing w:after="0"/>
        <w:rPr>
          <w:rFonts w:eastAsia="Times New Roman"/>
          <w:bCs/>
          <w:iCs/>
          <w:sz w:val="22"/>
          <w:lang w:val="bg-BG"/>
        </w:rPr>
      </w:pPr>
      <w:r w:rsidRPr="00A3491F">
        <w:rPr>
          <w:rFonts w:eastAsia="Times New Roman"/>
          <w:bCs/>
          <w:iCs/>
          <w:sz w:val="22"/>
          <w:lang w:val="bg-BG"/>
        </w:rPr>
        <w:t>Използвахме данните по териториални поделения на И</w:t>
      </w:r>
      <w:r w:rsidR="00A4750F" w:rsidRPr="00A3491F">
        <w:rPr>
          <w:rFonts w:eastAsia="Times New Roman"/>
          <w:bCs/>
          <w:iCs/>
          <w:sz w:val="22"/>
          <w:lang w:val="bg-BG"/>
        </w:rPr>
        <w:t>зпълнителна агенция по лозата и виното и общия регистър</w:t>
      </w:r>
      <w:r w:rsidRPr="00A3491F">
        <w:rPr>
          <w:rFonts w:eastAsia="Times New Roman"/>
          <w:bCs/>
          <w:iCs/>
          <w:sz w:val="22"/>
          <w:lang w:val="bg-BG"/>
        </w:rPr>
        <w:t xml:space="preserve"> „Справка за изкупени количества винено грозде по винарски предприятия - Реколта`2016“</w:t>
      </w:r>
      <w:r w:rsidR="00A4750F" w:rsidRPr="00A3491F">
        <w:rPr>
          <w:rFonts w:eastAsia="Times New Roman"/>
          <w:bCs/>
          <w:iCs/>
          <w:sz w:val="22"/>
          <w:lang w:val="bg-BG"/>
        </w:rPr>
        <w:t>.</w:t>
      </w:r>
      <w:r w:rsidRPr="00A3491F">
        <w:rPr>
          <w:rFonts w:eastAsia="Times New Roman"/>
          <w:bCs/>
          <w:iCs/>
          <w:sz w:val="22"/>
          <w:lang w:val="bg-BG"/>
        </w:rPr>
        <w:t xml:space="preserve"> </w:t>
      </w:r>
    </w:p>
    <w:p w:rsidR="00A4750F" w:rsidRPr="00A3491F" w:rsidRDefault="00BA4888" w:rsidP="006B3BB7">
      <w:pPr>
        <w:pStyle w:val="ListParagraph"/>
        <w:numPr>
          <w:ilvl w:val="0"/>
          <w:numId w:val="22"/>
        </w:numPr>
        <w:spacing w:after="0"/>
        <w:rPr>
          <w:rFonts w:eastAsia="Times New Roman"/>
          <w:bCs/>
          <w:iCs/>
          <w:sz w:val="22"/>
          <w:lang w:val="bg-BG"/>
        </w:rPr>
      </w:pPr>
      <w:r w:rsidRPr="00A3491F">
        <w:rPr>
          <w:rFonts w:eastAsia="Times New Roman"/>
          <w:bCs/>
          <w:iCs/>
          <w:sz w:val="22"/>
          <w:lang w:val="bg-BG"/>
        </w:rPr>
        <w:t xml:space="preserve">Използвахме и данните от регистъра на </w:t>
      </w:r>
      <w:r w:rsidR="00FA05B7" w:rsidRPr="00A3491F">
        <w:rPr>
          <w:rFonts w:eastAsia="Times New Roman"/>
          <w:bCs/>
          <w:iCs/>
          <w:sz w:val="22"/>
          <w:lang w:val="bg-BG"/>
        </w:rPr>
        <w:t>производителите</w:t>
      </w:r>
      <w:r w:rsidRPr="00A3491F">
        <w:rPr>
          <w:rFonts w:eastAsia="Times New Roman"/>
          <w:bCs/>
          <w:iCs/>
          <w:sz w:val="22"/>
          <w:lang w:val="bg-BG"/>
        </w:rPr>
        <w:t xml:space="preserve"> на спиртни напитки, поддържан в М</w:t>
      </w:r>
      <w:r w:rsidR="00A4750F" w:rsidRPr="00A3491F">
        <w:rPr>
          <w:rFonts w:eastAsia="Times New Roman"/>
          <w:bCs/>
          <w:iCs/>
          <w:sz w:val="22"/>
          <w:lang w:val="bg-BG"/>
        </w:rPr>
        <w:t>инистерство на икономиката</w:t>
      </w:r>
      <w:r w:rsidRPr="00A3491F">
        <w:rPr>
          <w:rFonts w:eastAsia="Times New Roman"/>
          <w:bCs/>
          <w:iCs/>
          <w:sz w:val="22"/>
          <w:lang w:val="bg-BG"/>
        </w:rPr>
        <w:t xml:space="preserve">. </w:t>
      </w:r>
    </w:p>
    <w:p w:rsidR="00A4750F" w:rsidRPr="00A3491F" w:rsidRDefault="00BA4888" w:rsidP="006B3BB7">
      <w:pPr>
        <w:pStyle w:val="ListParagraph"/>
        <w:numPr>
          <w:ilvl w:val="0"/>
          <w:numId w:val="22"/>
        </w:numPr>
        <w:spacing w:after="0"/>
        <w:rPr>
          <w:rFonts w:eastAsia="Times New Roman"/>
          <w:bCs/>
          <w:iCs/>
          <w:sz w:val="22"/>
          <w:lang w:val="bg-BG"/>
        </w:rPr>
      </w:pPr>
      <w:r w:rsidRPr="00A3491F">
        <w:rPr>
          <w:rFonts w:eastAsia="Times New Roman"/>
          <w:bCs/>
          <w:iCs/>
          <w:sz w:val="22"/>
          <w:lang w:val="bg-BG"/>
        </w:rPr>
        <w:t>От регистрите на ИАЛВ бяха селектирани 203 предприятия при общо 263бр</w:t>
      </w:r>
      <w:r w:rsidR="00A4750F" w:rsidRPr="00A3491F">
        <w:rPr>
          <w:rFonts w:eastAsia="Times New Roman"/>
          <w:bCs/>
          <w:iCs/>
          <w:sz w:val="22"/>
          <w:lang w:val="bg-BG"/>
        </w:rPr>
        <w:t>.</w:t>
      </w:r>
      <w:r w:rsidRPr="00A3491F">
        <w:rPr>
          <w:rFonts w:eastAsia="Times New Roman"/>
          <w:bCs/>
          <w:iCs/>
          <w:sz w:val="22"/>
          <w:lang w:val="bg-BG"/>
        </w:rPr>
        <w:t xml:space="preserve"> регистрирани и водени на отчет в ИАЛВ, а от регистрите на  МИ – още 34 бр</w:t>
      </w:r>
      <w:r w:rsidR="00A4750F" w:rsidRPr="00A3491F">
        <w:rPr>
          <w:rFonts w:eastAsia="Times New Roman"/>
          <w:bCs/>
          <w:iCs/>
          <w:sz w:val="22"/>
          <w:lang w:val="bg-BG"/>
        </w:rPr>
        <w:t>.</w:t>
      </w:r>
      <w:r w:rsidRPr="00A3491F">
        <w:rPr>
          <w:rFonts w:eastAsia="Times New Roman"/>
          <w:bCs/>
          <w:iCs/>
          <w:sz w:val="22"/>
          <w:lang w:val="bg-BG"/>
        </w:rPr>
        <w:t xml:space="preserve"> производители на </w:t>
      </w:r>
      <w:r w:rsidR="00526667" w:rsidRPr="00A3491F">
        <w:rPr>
          <w:rFonts w:eastAsia="Times New Roman"/>
          <w:sz w:val="22"/>
          <w:lang w:val="bg-BG" w:eastAsia="bg-BG"/>
        </w:rPr>
        <w:t>етилов алкохол от земеделски произход, дестилати от земеделски произход и на спиртните напитки, различни</w:t>
      </w:r>
      <w:r w:rsidRPr="00A3491F">
        <w:rPr>
          <w:rFonts w:eastAsia="Times New Roman"/>
          <w:bCs/>
          <w:iCs/>
          <w:sz w:val="22"/>
          <w:lang w:val="bg-BG"/>
        </w:rPr>
        <w:t xml:space="preserve"> от </w:t>
      </w:r>
      <w:r w:rsidR="00526667" w:rsidRPr="00A3491F">
        <w:rPr>
          <w:rFonts w:eastAsia="Times New Roman"/>
          <w:bCs/>
          <w:iCs/>
          <w:sz w:val="22"/>
          <w:lang w:val="bg-BG"/>
        </w:rPr>
        <w:t>сел</w:t>
      </w:r>
      <w:r w:rsidR="00FA05B7" w:rsidRPr="00A3491F">
        <w:rPr>
          <w:rFonts w:eastAsia="Times New Roman"/>
          <w:bCs/>
          <w:iCs/>
          <w:sz w:val="22"/>
          <w:lang w:val="bg-BG"/>
        </w:rPr>
        <w:t>е</w:t>
      </w:r>
      <w:r w:rsidR="00526667" w:rsidRPr="00A3491F">
        <w:rPr>
          <w:rFonts w:eastAsia="Times New Roman"/>
          <w:bCs/>
          <w:iCs/>
          <w:sz w:val="22"/>
          <w:lang w:val="bg-BG"/>
        </w:rPr>
        <w:t xml:space="preserve">ктираните от </w:t>
      </w:r>
      <w:r w:rsidRPr="00A3491F">
        <w:rPr>
          <w:rFonts w:eastAsia="Times New Roman"/>
          <w:bCs/>
          <w:iCs/>
          <w:sz w:val="22"/>
          <w:lang w:val="bg-BG"/>
        </w:rPr>
        <w:t xml:space="preserve">регистрите на ИАЛВ. </w:t>
      </w:r>
    </w:p>
    <w:p w:rsidR="00BA4888" w:rsidRPr="00A3491F" w:rsidRDefault="00BA4888" w:rsidP="006B3BB7">
      <w:pPr>
        <w:pStyle w:val="ListParagraph"/>
        <w:numPr>
          <w:ilvl w:val="0"/>
          <w:numId w:val="22"/>
        </w:numPr>
        <w:spacing w:after="0"/>
        <w:rPr>
          <w:rFonts w:eastAsia="Times New Roman"/>
          <w:bCs/>
          <w:iCs/>
          <w:sz w:val="22"/>
          <w:lang w:val="bg-BG"/>
        </w:rPr>
      </w:pPr>
      <w:r w:rsidRPr="00A3491F">
        <w:rPr>
          <w:rFonts w:eastAsia="Times New Roman"/>
          <w:bCs/>
          <w:iCs/>
          <w:sz w:val="22"/>
          <w:lang w:val="bg-BG"/>
        </w:rPr>
        <w:t xml:space="preserve">Въпросникът </w:t>
      </w:r>
      <w:r w:rsidR="00A4750F" w:rsidRPr="00A3491F">
        <w:rPr>
          <w:rFonts w:eastAsia="Times New Roman"/>
          <w:bCs/>
          <w:iCs/>
          <w:sz w:val="22"/>
          <w:lang w:val="bg-BG"/>
        </w:rPr>
        <w:t xml:space="preserve">бе </w:t>
      </w:r>
      <w:r w:rsidRPr="00A3491F">
        <w:rPr>
          <w:rFonts w:eastAsia="Times New Roman"/>
          <w:bCs/>
          <w:iCs/>
          <w:sz w:val="22"/>
          <w:lang w:val="bg-BG"/>
        </w:rPr>
        <w:t xml:space="preserve">изпратен на </w:t>
      </w:r>
      <w:r w:rsidR="00A4750F" w:rsidRPr="00A3491F">
        <w:rPr>
          <w:rFonts w:eastAsia="Times New Roman"/>
          <w:bCs/>
          <w:iCs/>
          <w:sz w:val="22"/>
          <w:lang w:val="bg-BG"/>
        </w:rPr>
        <w:t>селектираните 237 предприятия</w:t>
      </w:r>
      <w:r w:rsidRPr="00A3491F">
        <w:rPr>
          <w:rFonts w:eastAsia="Times New Roman"/>
          <w:bCs/>
          <w:iCs/>
          <w:sz w:val="22"/>
          <w:lang w:val="bg-BG"/>
        </w:rPr>
        <w:t>, като  бяха дадени указания за попълването му</w:t>
      </w:r>
      <w:r w:rsidR="00A4750F" w:rsidRPr="00A3491F">
        <w:rPr>
          <w:rFonts w:eastAsia="Times New Roman"/>
          <w:bCs/>
          <w:iCs/>
          <w:sz w:val="22"/>
          <w:lang w:val="bg-BG"/>
        </w:rPr>
        <w:t>.</w:t>
      </w:r>
    </w:p>
    <w:p w:rsidR="00BA4888" w:rsidRPr="00A3491F" w:rsidRDefault="00BA4888" w:rsidP="006B3BB7">
      <w:pPr>
        <w:pStyle w:val="ListParagraph"/>
        <w:numPr>
          <w:ilvl w:val="0"/>
          <w:numId w:val="22"/>
        </w:numPr>
        <w:spacing w:after="120"/>
        <w:rPr>
          <w:rFonts w:eastAsia="Times New Roman"/>
          <w:bCs/>
          <w:iCs/>
          <w:sz w:val="22"/>
          <w:lang w:val="bg-BG"/>
        </w:rPr>
      </w:pPr>
      <w:r w:rsidRPr="00A3491F">
        <w:rPr>
          <w:rFonts w:eastAsia="Times New Roman"/>
          <w:bCs/>
          <w:iCs/>
          <w:sz w:val="22"/>
          <w:lang w:val="bg-BG"/>
        </w:rPr>
        <w:t xml:space="preserve">Въпросникът бе изпратен </w:t>
      </w:r>
      <w:r w:rsidR="00A4750F" w:rsidRPr="00A3491F">
        <w:rPr>
          <w:rFonts w:eastAsia="Times New Roman"/>
          <w:bCs/>
          <w:iCs/>
          <w:sz w:val="22"/>
          <w:lang w:val="bg-BG"/>
        </w:rPr>
        <w:t xml:space="preserve">и </w:t>
      </w:r>
      <w:r w:rsidRPr="00A3491F">
        <w:rPr>
          <w:rFonts w:eastAsia="Times New Roman"/>
          <w:bCs/>
          <w:iCs/>
          <w:sz w:val="22"/>
          <w:lang w:val="bg-BG"/>
        </w:rPr>
        <w:t>до Националната винаро-лозарска камара, до регионалните лозаро-винарски камари и сдружения на гроздопроизводители за по-голяма представителност и по-бърза обработка на резултатите от анкетата.</w:t>
      </w:r>
    </w:p>
    <w:p w:rsidR="00842375" w:rsidRPr="00A3491F" w:rsidRDefault="00A4750F" w:rsidP="006B3BB7">
      <w:pPr>
        <w:pStyle w:val="Default"/>
        <w:spacing w:after="120" w:line="276" w:lineRule="auto"/>
        <w:jc w:val="both"/>
        <w:rPr>
          <w:rFonts w:ascii="Times New Roman" w:hAnsi="Times New Roman" w:cs="Times New Roman"/>
          <w:sz w:val="22"/>
          <w:szCs w:val="22"/>
          <w:lang w:val="bg-BG"/>
        </w:rPr>
      </w:pPr>
      <w:r w:rsidRPr="00A3491F">
        <w:rPr>
          <w:rFonts w:ascii="Times New Roman" w:hAnsi="Times New Roman" w:cs="Times New Roman"/>
          <w:sz w:val="22"/>
          <w:szCs w:val="22"/>
          <w:lang w:val="bg-BG"/>
        </w:rPr>
        <w:t>В</w:t>
      </w:r>
      <w:r w:rsidR="00903F04" w:rsidRPr="00A3491F">
        <w:rPr>
          <w:rFonts w:ascii="Times New Roman" w:hAnsi="Times New Roman" w:cs="Times New Roman"/>
          <w:sz w:val="22"/>
          <w:szCs w:val="22"/>
          <w:lang w:val="bg-BG"/>
        </w:rPr>
        <w:t xml:space="preserve">идно от таблицата по-долу в </w:t>
      </w:r>
      <w:r w:rsidRPr="00A3491F">
        <w:rPr>
          <w:rFonts w:ascii="Times New Roman" w:hAnsi="Times New Roman" w:cs="Times New Roman"/>
          <w:sz w:val="22"/>
          <w:szCs w:val="22"/>
          <w:lang w:val="bg-BG"/>
        </w:rPr>
        <w:t xml:space="preserve"> </w:t>
      </w:r>
      <w:r w:rsidR="00903F04" w:rsidRPr="00A3491F">
        <w:rPr>
          <w:rFonts w:ascii="Times New Roman" w:hAnsi="Times New Roman" w:cs="Times New Roman"/>
          <w:sz w:val="22"/>
          <w:szCs w:val="22"/>
          <w:lang w:val="bg-BG"/>
        </w:rPr>
        <w:t xml:space="preserve">предоставения </w:t>
      </w:r>
      <w:r w:rsidRPr="00A3491F">
        <w:rPr>
          <w:rFonts w:ascii="Times New Roman" w:hAnsi="Times New Roman" w:cs="Times New Roman"/>
          <w:sz w:val="22"/>
          <w:szCs w:val="22"/>
          <w:lang w:val="bg-BG"/>
        </w:rPr>
        <w:t xml:space="preserve"> срок постъпиха отговори от</w:t>
      </w:r>
      <w:r w:rsidR="00BA4888" w:rsidRPr="00A3491F">
        <w:rPr>
          <w:rFonts w:ascii="Times New Roman" w:hAnsi="Times New Roman" w:cs="Times New Roman"/>
          <w:sz w:val="22"/>
          <w:szCs w:val="22"/>
          <w:lang w:val="bg-BG"/>
        </w:rPr>
        <w:t xml:space="preserve"> 101 производителя (43%) от общо 23</w:t>
      </w:r>
      <w:r w:rsidRPr="00A3491F">
        <w:rPr>
          <w:rFonts w:ascii="Times New Roman" w:hAnsi="Times New Roman" w:cs="Times New Roman"/>
          <w:sz w:val="22"/>
          <w:szCs w:val="22"/>
          <w:lang w:val="bg-BG"/>
        </w:rPr>
        <w:t>7</w:t>
      </w:r>
      <w:r w:rsidR="00BA4888" w:rsidRPr="00A3491F">
        <w:rPr>
          <w:rFonts w:ascii="Times New Roman" w:hAnsi="Times New Roman" w:cs="Times New Roman"/>
          <w:sz w:val="22"/>
          <w:szCs w:val="22"/>
          <w:lang w:val="bg-BG"/>
        </w:rPr>
        <w:t>, до които бе изпратен въпросника</w:t>
      </w:r>
      <w:r w:rsidRPr="00A3491F">
        <w:rPr>
          <w:rFonts w:ascii="Times New Roman" w:hAnsi="Times New Roman" w:cs="Times New Roman"/>
          <w:sz w:val="22"/>
          <w:szCs w:val="22"/>
          <w:lang w:val="bg-BG"/>
        </w:rPr>
        <w:t>.</w:t>
      </w:r>
      <w:r w:rsidR="007D5D65" w:rsidRPr="00A3491F">
        <w:rPr>
          <w:rFonts w:ascii="Times New Roman" w:hAnsi="Times New Roman" w:cs="Times New Roman"/>
          <w:sz w:val="22"/>
          <w:szCs w:val="22"/>
          <w:lang w:val="bg-BG"/>
        </w:rPr>
        <w:t xml:space="preserve"> Обобщените резултати показват, че по-голямата част (средно за всички изброени във въпросника услуги - 51%) от малките и средните предприятия намират приемливи условията за предоставяне на </w:t>
      </w:r>
      <w:r w:rsidR="006B3BB7" w:rsidRPr="00A3491F">
        <w:rPr>
          <w:rFonts w:ascii="Times New Roman" w:hAnsi="Times New Roman" w:cs="Times New Roman"/>
          <w:sz w:val="22"/>
          <w:szCs w:val="22"/>
          <w:lang w:val="bg-BG"/>
        </w:rPr>
        <w:t>предвидените</w:t>
      </w:r>
      <w:r w:rsidR="007D5D65" w:rsidRPr="00A3491F">
        <w:rPr>
          <w:rFonts w:ascii="Times New Roman" w:hAnsi="Times New Roman" w:cs="Times New Roman"/>
          <w:sz w:val="22"/>
          <w:szCs w:val="22"/>
          <w:lang w:val="bg-BG"/>
        </w:rPr>
        <w:t xml:space="preserve"> административни услуги и измененията в таксите за предоставянето им. По отношение на услугата по изготвяне на становище за освобождаване на специална гаранция се наблюдава висок брой отговори „не мога да преценя“ – 49%. Най-висок процент негативни отговори има по отношение на измененията в услугата за издаване на сертификат за безопасност на вино – 38% от отговорилите лица смятат промените за неприемливи.</w:t>
      </w:r>
    </w:p>
    <w:p w:rsidR="00903F04" w:rsidRPr="00A3491F" w:rsidRDefault="00903F04" w:rsidP="006B3BB7">
      <w:pPr>
        <w:spacing w:after="120"/>
        <w:rPr>
          <w:rFonts w:eastAsia="Times New Roman"/>
          <w:bCs/>
          <w:iCs/>
          <w:sz w:val="22"/>
          <w:lang w:val="bg-BG"/>
        </w:rPr>
      </w:pPr>
      <w:r w:rsidRPr="00A3491F">
        <w:rPr>
          <w:rFonts w:eastAsia="Times New Roman"/>
          <w:bCs/>
          <w:iCs/>
          <w:sz w:val="22"/>
          <w:lang w:val="bg-BG"/>
        </w:rPr>
        <w:t>По отношение измерване на въздействието на разходите за бизнеса</w:t>
      </w:r>
      <w:r w:rsidR="001625F5" w:rsidRPr="00A3491F">
        <w:rPr>
          <w:rFonts w:eastAsia="Times New Roman"/>
          <w:bCs/>
          <w:iCs/>
          <w:sz w:val="22"/>
          <w:lang w:val="bg-BG"/>
        </w:rPr>
        <w:t>, административната тежест, начин на подаване на заявленията и документите</w:t>
      </w:r>
      <w:r w:rsidRPr="00A3491F">
        <w:rPr>
          <w:rFonts w:eastAsia="Times New Roman"/>
          <w:bCs/>
          <w:iCs/>
          <w:sz w:val="22"/>
          <w:lang w:val="bg-BG"/>
        </w:rPr>
        <w:t>,</w:t>
      </w:r>
      <w:r w:rsidR="001625F5" w:rsidRPr="00A3491F">
        <w:rPr>
          <w:rFonts w:eastAsia="Times New Roman"/>
          <w:bCs/>
          <w:iCs/>
          <w:sz w:val="22"/>
          <w:lang w:val="bg-BG"/>
        </w:rPr>
        <w:t xml:space="preserve"> мястото на подаване и размера и начина на заплащане на таксите и др.административни процедури - </w:t>
      </w:r>
      <w:r w:rsidRPr="00A3491F">
        <w:rPr>
          <w:rFonts w:eastAsia="Times New Roman"/>
          <w:bCs/>
          <w:iCs/>
          <w:sz w:val="22"/>
          <w:lang w:val="bg-BG"/>
        </w:rPr>
        <w:t xml:space="preserve"> детайлна информация е представена в т 5.1 на Приложение 4 Финансова обосновка</w:t>
      </w:r>
      <w:r w:rsidR="0003661E" w:rsidRPr="00A3491F">
        <w:rPr>
          <w:rFonts w:eastAsia="Times New Roman"/>
          <w:bCs/>
          <w:iCs/>
          <w:sz w:val="22"/>
          <w:lang w:val="bg-BG"/>
        </w:rPr>
        <w:t>.</w:t>
      </w:r>
    </w:p>
    <w:p w:rsidR="00903F04" w:rsidRPr="00A3491F" w:rsidRDefault="00903F04" w:rsidP="006B3BB7">
      <w:pPr>
        <w:pStyle w:val="ListParagraph"/>
        <w:numPr>
          <w:ilvl w:val="0"/>
          <w:numId w:val="36"/>
        </w:numPr>
        <w:spacing w:before="120" w:after="120"/>
        <w:jc w:val="left"/>
        <w:rPr>
          <w:rFonts w:eastAsia="Times New Roman"/>
          <w:b/>
          <w:bCs/>
          <w:iCs/>
          <w:sz w:val="22"/>
          <w:lang w:val="bg-BG"/>
        </w:rPr>
      </w:pPr>
      <w:r w:rsidRPr="00A3491F">
        <w:rPr>
          <w:rFonts w:eastAsia="Times New Roman"/>
          <w:b/>
          <w:bCs/>
          <w:iCs/>
          <w:sz w:val="22"/>
          <w:lang w:val="bg-BG"/>
        </w:rPr>
        <w:t>Оценка на възможностите за облекчаване на административния товар.</w:t>
      </w:r>
    </w:p>
    <w:p w:rsidR="00903F04" w:rsidRPr="0099421C" w:rsidRDefault="00903F04" w:rsidP="006B3BB7">
      <w:pPr>
        <w:autoSpaceDE w:val="0"/>
        <w:autoSpaceDN w:val="0"/>
        <w:adjustRightInd w:val="0"/>
        <w:spacing w:after="0"/>
        <w:rPr>
          <w:rFonts w:eastAsia="Times New Roman"/>
          <w:bCs/>
          <w:iCs/>
          <w:sz w:val="22"/>
          <w:lang w:val="ru-RU"/>
        </w:rPr>
      </w:pPr>
      <w:r w:rsidRPr="00A3491F">
        <w:rPr>
          <w:rFonts w:eastAsia="Times New Roman"/>
          <w:bCs/>
          <w:iCs/>
          <w:sz w:val="22"/>
          <w:lang w:val="bg-BG"/>
        </w:rPr>
        <w:t>Практически се запазва досега действащия</w:t>
      </w:r>
      <w:r w:rsidR="006B3BB7" w:rsidRPr="00A3491F">
        <w:rPr>
          <w:rFonts w:eastAsia="Times New Roman"/>
          <w:bCs/>
          <w:iCs/>
          <w:sz w:val="22"/>
          <w:lang w:val="bg-BG"/>
        </w:rPr>
        <w:t>т</w:t>
      </w:r>
      <w:r w:rsidRPr="00A3491F">
        <w:rPr>
          <w:rFonts w:eastAsia="Times New Roman"/>
          <w:bCs/>
          <w:iCs/>
          <w:sz w:val="22"/>
          <w:lang w:val="bg-BG"/>
        </w:rPr>
        <w:t xml:space="preserve"> режим на регистрация. Имайки предвид, че 99% от вино и гроздопроизводители, както и производителите на спиртни напитки са МСП, новите изисквания в ЗВСН, както и таксите за административно обслужване са изцяло  съобразен</w:t>
      </w:r>
      <w:r w:rsidR="006B3BB7" w:rsidRPr="00A3491F">
        <w:rPr>
          <w:rFonts w:eastAsia="Times New Roman"/>
          <w:bCs/>
          <w:iCs/>
          <w:sz w:val="22"/>
          <w:lang w:val="bg-BG"/>
        </w:rPr>
        <w:t>и с</w:t>
      </w:r>
      <w:r w:rsidRPr="00A3491F">
        <w:rPr>
          <w:rFonts w:eastAsia="Times New Roman"/>
          <w:bCs/>
          <w:iCs/>
          <w:sz w:val="22"/>
          <w:lang w:val="bg-BG"/>
        </w:rPr>
        <w:t xml:space="preserve"> МСП. Таксите за регистрация и промяна на обстоятелствата са еднократни и съобразени по размер. Съответно не би следвало да окажат съществено финансово натоварване. Предвижда се служители на ИАЛВ да проверяват на място производител</w:t>
      </w:r>
      <w:r w:rsidR="00AA681D" w:rsidRPr="00A3491F">
        <w:rPr>
          <w:rFonts w:eastAsia="Times New Roman"/>
          <w:bCs/>
          <w:iCs/>
          <w:sz w:val="22"/>
          <w:lang w:val="bg-BG"/>
        </w:rPr>
        <w:t>и, с цел по-добър контрол.</w:t>
      </w:r>
    </w:p>
    <w:p w:rsidR="00A3491F" w:rsidRPr="0099421C" w:rsidRDefault="00A3491F" w:rsidP="006B3BB7">
      <w:pPr>
        <w:autoSpaceDE w:val="0"/>
        <w:autoSpaceDN w:val="0"/>
        <w:adjustRightInd w:val="0"/>
        <w:spacing w:after="0"/>
        <w:rPr>
          <w:rFonts w:eastAsia="Times New Roman"/>
          <w:bCs/>
          <w:iCs/>
          <w:sz w:val="22"/>
          <w:lang w:val="ru-RU"/>
        </w:rPr>
      </w:pPr>
    </w:p>
    <w:p w:rsidR="00A3491F" w:rsidRPr="0099421C" w:rsidRDefault="00A3491F" w:rsidP="006B3BB7">
      <w:pPr>
        <w:autoSpaceDE w:val="0"/>
        <w:autoSpaceDN w:val="0"/>
        <w:adjustRightInd w:val="0"/>
        <w:spacing w:after="0"/>
        <w:rPr>
          <w:rFonts w:eastAsia="Times New Roman"/>
          <w:bCs/>
          <w:iCs/>
          <w:sz w:val="22"/>
          <w:lang w:val="ru-RU"/>
        </w:rPr>
      </w:pPr>
    </w:p>
    <w:p w:rsidR="00903F04" w:rsidRPr="00A3491F" w:rsidRDefault="00903F04" w:rsidP="006B3BB7">
      <w:pPr>
        <w:pStyle w:val="ListParagraph"/>
        <w:numPr>
          <w:ilvl w:val="0"/>
          <w:numId w:val="36"/>
        </w:numPr>
        <w:spacing w:before="120" w:after="120"/>
        <w:jc w:val="left"/>
        <w:rPr>
          <w:rFonts w:eastAsia="Times New Roman"/>
          <w:b/>
          <w:bCs/>
          <w:iCs/>
          <w:sz w:val="22"/>
          <w:lang w:val="bg-BG"/>
        </w:rPr>
      </w:pPr>
      <w:r w:rsidRPr="00A3491F">
        <w:rPr>
          <w:rFonts w:eastAsia="Times New Roman"/>
          <w:b/>
          <w:bCs/>
          <w:iCs/>
          <w:sz w:val="22"/>
          <w:lang w:val="bg-BG"/>
        </w:rPr>
        <w:lastRenderedPageBreak/>
        <w:t>Икономически негативни въздействия:</w:t>
      </w:r>
    </w:p>
    <w:p w:rsidR="00A3491F" w:rsidRPr="00A3491F" w:rsidRDefault="00A3491F" w:rsidP="00A3491F">
      <w:pPr>
        <w:spacing w:before="120" w:after="120"/>
        <w:jc w:val="left"/>
        <w:rPr>
          <w:rFonts w:eastAsia="Times New Roman"/>
          <w:b/>
          <w:bCs/>
          <w:iCs/>
          <w:sz w:val="22"/>
          <w:lang w:val="bg-BG"/>
        </w:rPr>
      </w:pPr>
    </w:p>
    <w:p w:rsidR="00903F04" w:rsidRPr="0099421C" w:rsidRDefault="00903F04" w:rsidP="006B3BB7">
      <w:pPr>
        <w:autoSpaceDE w:val="0"/>
        <w:autoSpaceDN w:val="0"/>
        <w:adjustRightInd w:val="0"/>
        <w:spacing w:after="0"/>
        <w:rPr>
          <w:rFonts w:eastAsia="Times New Roman"/>
          <w:bCs/>
          <w:iCs/>
          <w:sz w:val="22"/>
          <w:lang w:val="ru-RU"/>
        </w:rPr>
      </w:pPr>
      <w:r w:rsidRPr="00A3491F">
        <w:rPr>
          <w:rFonts w:eastAsia="Times New Roman"/>
          <w:bCs/>
          <w:iCs/>
          <w:sz w:val="22"/>
          <w:lang w:val="bg-BG"/>
        </w:rPr>
        <w:t xml:space="preserve">Без приемането на разпоредбите, предвиждани с подзаконови нормативни актове на МИ ще липсват нормативно заложени ред и начин за регистриране на лицата, които извършват дейности с дестилационни съоръжения за производство на етилов алкохол, дестилати и спиртни напитки. Ще продължи нерегламентираното производство на етилов алкохол, дестилати и спиртни напитки в обекти, които не отговарят на изискванията на ЗВСН и ЗАДС. Това ще доведе до по-ниска </w:t>
      </w:r>
      <w:proofErr w:type="spellStart"/>
      <w:r w:rsidRPr="00A3491F">
        <w:rPr>
          <w:rFonts w:eastAsia="Times New Roman"/>
          <w:bCs/>
          <w:iCs/>
          <w:sz w:val="22"/>
          <w:lang w:val="bg-BG"/>
        </w:rPr>
        <w:t>събираемост</w:t>
      </w:r>
      <w:proofErr w:type="spellEnd"/>
      <w:r w:rsidRPr="00A3491F">
        <w:rPr>
          <w:rFonts w:eastAsia="Times New Roman"/>
          <w:bCs/>
          <w:iCs/>
          <w:sz w:val="22"/>
          <w:lang w:val="bg-BG"/>
        </w:rPr>
        <w:t xml:space="preserve"> на акциз и</w:t>
      </w:r>
      <w:r w:rsidR="00AA681D" w:rsidRPr="00A3491F">
        <w:rPr>
          <w:rFonts w:eastAsia="Times New Roman"/>
          <w:bCs/>
          <w:iCs/>
          <w:sz w:val="22"/>
          <w:lang w:val="bg-BG"/>
        </w:rPr>
        <w:t xml:space="preserve"> ощетяване на държавния бюджет.</w:t>
      </w:r>
    </w:p>
    <w:p w:rsidR="00A3491F" w:rsidRPr="0099421C" w:rsidRDefault="00A3491F" w:rsidP="006B3BB7">
      <w:pPr>
        <w:autoSpaceDE w:val="0"/>
        <w:autoSpaceDN w:val="0"/>
        <w:adjustRightInd w:val="0"/>
        <w:spacing w:after="0"/>
        <w:rPr>
          <w:rFonts w:eastAsia="Times New Roman"/>
          <w:bCs/>
          <w:iCs/>
          <w:sz w:val="22"/>
          <w:lang w:val="ru-RU"/>
        </w:rPr>
      </w:pPr>
    </w:p>
    <w:p w:rsidR="00903F04" w:rsidRPr="00A3491F" w:rsidRDefault="00903F04" w:rsidP="006B3BB7">
      <w:pPr>
        <w:pStyle w:val="ListParagraph"/>
        <w:numPr>
          <w:ilvl w:val="0"/>
          <w:numId w:val="36"/>
        </w:numPr>
        <w:spacing w:before="120" w:after="120"/>
        <w:jc w:val="left"/>
        <w:rPr>
          <w:rFonts w:eastAsia="Times New Roman"/>
          <w:b/>
          <w:bCs/>
          <w:iCs/>
          <w:sz w:val="22"/>
          <w:lang w:val="bg-BG"/>
        </w:rPr>
      </w:pPr>
      <w:r w:rsidRPr="00A3491F">
        <w:rPr>
          <w:rFonts w:eastAsia="Times New Roman"/>
          <w:b/>
          <w:bCs/>
          <w:iCs/>
          <w:sz w:val="22"/>
          <w:lang w:val="bg-BG"/>
        </w:rPr>
        <w:t>Социални негативни въздействия:</w:t>
      </w:r>
    </w:p>
    <w:p w:rsidR="00903F04" w:rsidRPr="0099421C" w:rsidRDefault="00903F04" w:rsidP="006B3BB7">
      <w:pPr>
        <w:autoSpaceDE w:val="0"/>
        <w:autoSpaceDN w:val="0"/>
        <w:adjustRightInd w:val="0"/>
        <w:spacing w:after="0"/>
        <w:rPr>
          <w:rFonts w:eastAsia="Times New Roman"/>
          <w:bCs/>
          <w:iCs/>
          <w:sz w:val="22"/>
          <w:lang w:val="ru-RU"/>
        </w:rPr>
      </w:pPr>
      <w:r w:rsidRPr="00A3491F">
        <w:rPr>
          <w:rFonts w:eastAsia="Times New Roman"/>
          <w:bCs/>
          <w:iCs/>
          <w:sz w:val="22"/>
          <w:lang w:val="bg-BG"/>
        </w:rPr>
        <w:t xml:space="preserve">Без приемането на разпоредбите, въведени с раздел IV на ЗВСН и </w:t>
      </w:r>
      <w:r w:rsidR="006B3BB7" w:rsidRPr="00A3491F">
        <w:rPr>
          <w:rFonts w:eastAsia="Times New Roman"/>
          <w:bCs/>
          <w:iCs/>
          <w:sz w:val="22"/>
          <w:lang w:val="bg-BG"/>
        </w:rPr>
        <w:t>Наредбата за регистъра на лицата, които извършват дейности с дестилационни съоръжения</w:t>
      </w:r>
      <w:r w:rsidRPr="00A3491F">
        <w:rPr>
          <w:rFonts w:eastAsia="Times New Roman"/>
          <w:bCs/>
          <w:iCs/>
          <w:sz w:val="22"/>
          <w:lang w:val="bg-BG"/>
        </w:rPr>
        <w:t>, ще продължи нерегламентираното производство на етилов алкохол, дестилати и спиртни напитки в обекти, които не отговарят на изискванията на ЗВСН и ЗАДС. Това ще доведе до производство на напитки, които не отговарят на изискванията на европейското и националното законодателство, което съответно може да доведе до производство на фалшиви продукти, които могат сериозно да увредят здравето и живота на консуматорите.</w:t>
      </w:r>
    </w:p>
    <w:p w:rsidR="00A3491F" w:rsidRPr="0099421C" w:rsidRDefault="00A3491F" w:rsidP="006B3BB7">
      <w:pPr>
        <w:autoSpaceDE w:val="0"/>
        <w:autoSpaceDN w:val="0"/>
        <w:adjustRightInd w:val="0"/>
        <w:spacing w:after="0"/>
        <w:rPr>
          <w:rFonts w:eastAsia="Times New Roman"/>
          <w:bCs/>
          <w:iCs/>
          <w:sz w:val="22"/>
          <w:lang w:val="ru-RU"/>
        </w:rPr>
      </w:pPr>
    </w:p>
    <w:p w:rsidR="00903F04" w:rsidRPr="00A3491F" w:rsidRDefault="00903F04" w:rsidP="006B3BB7">
      <w:pPr>
        <w:pStyle w:val="ListParagraph"/>
        <w:numPr>
          <w:ilvl w:val="0"/>
          <w:numId w:val="36"/>
        </w:numPr>
        <w:spacing w:before="120" w:after="120"/>
        <w:jc w:val="left"/>
        <w:rPr>
          <w:rFonts w:eastAsia="Times New Roman"/>
          <w:b/>
          <w:bCs/>
          <w:iCs/>
          <w:sz w:val="22"/>
          <w:lang w:val="bg-BG"/>
        </w:rPr>
      </w:pPr>
      <w:r w:rsidRPr="00A3491F">
        <w:rPr>
          <w:rFonts w:eastAsia="Times New Roman"/>
          <w:b/>
          <w:bCs/>
          <w:iCs/>
          <w:sz w:val="22"/>
          <w:lang w:val="bg-BG"/>
        </w:rPr>
        <w:t xml:space="preserve">Екологични въздействия: </w:t>
      </w:r>
    </w:p>
    <w:p w:rsidR="00903F04" w:rsidRPr="00A3491F" w:rsidRDefault="00903F04" w:rsidP="006B3BB7">
      <w:pPr>
        <w:autoSpaceDE w:val="0"/>
        <w:autoSpaceDN w:val="0"/>
        <w:adjustRightInd w:val="0"/>
        <w:spacing w:after="120"/>
        <w:rPr>
          <w:rFonts w:eastAsia="Times New Roman"/>
          <w:bCs/>
          <w:iCs/>
          <w:sz w:val="22"/>
          <w:lang w:val="bg-BG"/>
        </w:rPr>
      </w:pPr>
      <w:r w:rsidRPr="00A3491F">
        <w:rPr>
          <w:rFonts w:eastAsia="Times New Roman"/>
          <w:bCs/>
          <w:iCs/>
          <w:sz w:val="22"/>
          <w:lang w:val="bg-BG"/>
        </w:rPr>
        <w:t>Не са идентифицирани такива</w:t>
      </w:r>
      <w:r w:rsidR="00EB19F8" w:rsidRPr="00A3491F">
        <w:rPr>
          <w:rFonts w:eastAsia="Times New Roman"/>
          <w:bCs/>
          <w:iCs/>
          <w:sz w:val="22"/>
          <w:lang w:val="bg-BG"/>
        </w:rPr>
        <w:t>.</w:t>
      </w:r>
    </w:p>
    <w:p w:rsidR="00842375" w:rsidRPr="00A3491F" w:rsidRDefault="006B3BB7" w:rsidP="006B3BB7">
      <w:pPr>
        <w:spacing w:after="120"/>
        <w:rPr>
          <w:bCs/>
          <w:iCs/>
          <w:sz w:val="22"/>
          <w:lang w:val="bg-BG"/>
        </w:rPr>
      </w:pPr>
      <w:r w:rsidRPr="00A3491F">
        <w:rPr>
          <w:sz w:val="22"/>
          <w:lang w:val="bg-BG"/>
        </w:rPr>
        <w:t>В заключение с</w:t>
      </w:r>
      <w:r w:rsidR="00842375" w:rsidRPr="00A3491F">
        <w:rPr>
          <w:sz w:val="22"/>
          <w:lang w:val="bg-BG"/>
        </w:rPr>
        <w:t xml:space="preserve">ледва да се отбележи, че практически се запазват досега действащите </w:t>
      </w:r>
      <w:r w:rsidRPr="00A3491F">
        <w:rPr>
          <w:sz w:val="22"/>
          <w:lang w:val="bg-BG"/>
        </w:rPr>
        <w:t xml:space="preserve">административни </w:t>
      </w:r>
      <w:r w:rsidR="00842375" w:rsidRPr="00A3491F">
        <w:rPr>
          <w:sz w:val="22"/>
          <w:lang w:val="bg-BG"/>
        </w:rPr>
        <w:t xml:space="preserve">режими. </w:t>
      </w:r>
      <w:r w:rsidR="00842375" w:rsidRPr="00A3491F">
        <w:rPr>
          <w:bCs/>
          <w:iCs/>
          <w:sz w:val="22"/>
          <w:lang w:val="bg-BG"/>
        </w:rPr>
        <w:t xml:space="preserve">Имайки предвид, че 99% от вино и гроздопроизводители, както и производителите на </w:t>
      </w:r>
      <w:r w:rsidR="00526667" w:rsidRPr="00A3491F">
        <w:rPr>
          <w:sz w:val="22"/>
          <w:lang w:val="bg-BG" w:eastAsia="bg-BG"/>
        </w:rPr>
        <w:t>етилов алкохол от земеделски произход, дестилати от земеделски произход и на спиртни напитки</w:t>
      </w:r>
      <w:r w:rsidR="00842375" w:rsidRPr="00A3491F">
        <w:rPr>
          <w:bCs/>
          <w:iCs/>
          <w:sz w:val="22"/>
          <w:lang w:val="bg-BG"/>
        </w:rPr>
        <w:t xml:space="preserve"> са МСП, новите изисквания в ЗВСН, както и таксите за административно обслужване са изцяло  съобразени с тях. Таксите за регистрация и промяна на обстоятелствата са еднократни и диференцирани по размер.</w:t>
      </w:r>
    </w:p>
    <w:p w:rsidR="00F37FF1" w:rsidRPr="00A3491F" w:rsidRDefault="00F37FF1" w:rsidP="006B3BB7">
      <w:pPr>
        <w:spacing w:after="120"/>
        <w:rPr>
          <w:sz w:val="22"/>
          <w:lang w:val="bg-BG"/>
        </w:rPr>
      </w:pPr>
      <w:r w:rsidRPr="00A3491F">
        <w:rPr>
          <w:bCs/>
          <w:iCs/>
          <w:sz w:val="22"/>
          <w:lang w:val="bg-BG"/>
        </w:rPr>
        <w:t>Подробна информация за извършените процедури и обобщаване на резултатите от т.н. “МСП тест“ е представена в т.5 на Приложение 4 Финансова обосновка.</w:t>
      </w:r>
    </w:p>
    <w:p w:rsidR="009B4424" w:rsidRPr="00A3491F" w:rsidRDefault="00061BD0" w:rsidP="006B3BB7">
      <w:pPr>
        <w:pStyle w:val="Heading1"/>
        <w:spacing w:after="120"/>
        <w:rPr>
          <w:rFonts w:cs="Times New Roman"/>
          <w:sz w:val="22"/>
          <w:szCs w:val="22"/>
          <w:lang w:val="bg-BG"/>
        </w:rPr>
      </w:pPr>
      <w:bookmarkStart w:id="43" w:name="_Toc496709973"/>
      <w:r w:rsidRPr="00A3491F">
        <w:rPr>
          <w:rFonts w:cs="Times New Roman"/>
          <w:sz w:val="22"/>
          <w:szCs w:val="22"/>
          <w:lang w:val="bg-BG"/>
        </w:rPr>
        <w:t>X</w:t>
      </w:r>
      <w:r w:rsidR="00DD001A" w:rsidRPr="00A3491F">
        <w:rPr>
          <w:rFonts w:cs="Times New Roman"/>
          <w:sz w:val="22"/>
          <w:szCs w:val="22"/>
          <w:lang w:val="bg-BG"/>
        </w:rPr>
        <w:t>III</w:t>
      </w:r>
      <w:r w:rsidRPr="00A3491F">
        <w:rPr>
          <w:rFonts w:cs="Times New Roman"/>
          <w:sz w:val="22"/>
          <w:szCs w:val="22"/>
          <w:lang w:val="bg-BG"/>
        </w:rPr>
        <w:t xml:space="preserve">. </w:t>
      </w:r>
      <w:r w:rsidR="004E649E" w:rsidRPr="00A3491F">
        <w:rPr>
          <w:rFonts w:cs="Times New Roman"/>
          <w:sz w:val="22"/>
          <w:szCs w:val="22"/>
          <w:lang w:val="bg-BG"/>
        </w:rPr>
        <w:t>Препоръчителен срок за извършване на последващата оценка на въздействието</w:t>
      </w:r>
      <w:bookmarkEnd w:id="43"/>
    </w:p>
    <w:p w:rsidR="003A6573" w:rsidRPr="00A3491F" w:rsidRDefault="00E95FCD" w:rsidP="006B3BB7">
      <w:pPr>
        <w:spacing w:after="120"/>
        <w:rPr>
          <w:sz w:val="22"/>
          <w:lang w:val="bg-BG"/>
        </w:rPr>
      </w:pPr>
      <w:r w:rsidRPr="00A3491F">
        <w:rPr>
          <w:sz w:val="22"/>
          <w:lang w:val="bg-BG"/>
        </w:rPr>
        <w:t>П</w:t>
      </w:r>
      <w:r w:rsidR="009C3461" w:rsidRPr="00A3491F">
        <w:rPr>
          <w:sz w:val="22"/>
          <w:lang w:val="bg-BG"/>
        </w:rPr>
        <w:t>репоръчва се п</w:t>
      </w:r>
      <w:r w:rsidRPr="00A3491F">
        <w:rPr>
          <w:sz w:val="22"/>
          <w:lang w:val="bg-BG"/>
        </w:rPr>
        <w:t>оследваща</w:t>
      </w:r>
      <w:r w:rsidR="009C3461" w:rsidRPr="00A3491F">
        <w:rPr>
          <w:sz w:val="22"/>
          <w:lang w:val="bg-BG"/>
        </w:rPr>
        <w:t>та</w:t>
      </w:r>
      <w:r w:rsidRPr="00A3491F">
        <w:rPr>
          <w:sz w:val="22"/>
          <w:lang w:val="bg-BG"/>
        </w:rPr>
        <w:t xml:space="preserve"> оценка на въздействието на новия Закон за </w:t>
      </w:r>
      <w:r w:rsidR="00D33AE7" w:rsidRPr="00A3491F">
        <w:rPr>
          <w:sz w:val="22"/>
          <w:lang w:val="bg-BG"/>
        </w:rPr>
        <w:t>виното и спиртните напитки</w:t>
      </w:r>
      <w:r w:rsidRPr="00A3491F">
        <w:rPr>
          <w:sz w:val="22"/>
          <w:lang w:val="bg-BG"/>
        </w:rPr>
        <w:t xml:space="preserve">, която </w:t>
      </w:r>
      <w:r w:rsidR="009C3461" w:rsidRPr="00A3491F">
        <w:rPr>
          <w:sz w:val="22"/>
          <w:lang w:val="bg-BG"/>
        </w:rPr>
        <w:t>провери</w:t>
      </w:r>
      <w:r w:rsidRPr="00A3491F">
        <w:rPr>
          <w:sz w:val="22"/>
          <w:lang w:val="bg-BG"/>
        </w:rPr>
        <w:t xml:space="preserve"> съотношението между поставените цели и постигнатите резултати </w:t>
      </w:r>
      <w:r w:rsidR="009C3461" w:rsidRPr="00A3491F">
        <w:rPr>
          <w:sz w:val="22"/>
          <w:lang w:val="bg-BG"/>
        </w:rPr>
        <w:t>от прилагането на нормативния акт</w:t>
      </w:r>
      <w:r w:rsidRPr="00A3491F">
        <w:rPr>
          <w:sz w:val="22"/>
          <w:lang w:val="bg-BG"/>
        </w:rPr>
        <w:t xml:space="preserve"> </w:t>
      </w:r>
      <w:r w:rsidR="009C3461" w:rsidRPr="00A3491F">
        <w:rPr>
          <w:sz w:val="22"/>
          <w:lang w:val="bg-BG"/>
        </w:rPr>
        <w:t>да</w:t>
      </w:r>
      <w:r w:rsidRPr="00A3491F">
        <w:rPr>
          <w:sz w:val="22"/>
          <w:lang w:val="bg-BG"/>
        </w:rPr>
        <w:t xml:space="preserve"> бъде извършена в срок до 5 години от влизането му в сила. </w:t>
      </w:r>
    </w:p>
    <w:p w:rsidR="009C3461" w:rsidRPr="00A3491F" w:rsidRDefault="009C3461" w:rsidP="006B3BB7">
      <w:pPr>
        <w:spacing w:after="120"/>
        <w:rPr>
          <w:sz w:val="22"/>
          <w:lang w:val="bg-BG"/>
        </w:rPr>
      </w:pPr>
      <w:r w:rsidRPr="00A3491F">
        <w:rPr>
          <w:sz w:val="22"/>
          <w:lang w:val="bg-BG"/>
        </w:rPr>
        <w:t>Последващата оценка на въздействието следва да бъде извършена съвместно от органите, натоварени с компетентностите по изпълнение на закона или от органът, който традиционно предлага промени в него.</w:t>
      </w:r>
    </w:p>
    <w:p w:rsidR="00F37FF1" w:rsidRPr="00A3491F" w:rsidRDefault="009C3461" w:rsidP="006B3BB7">
      <w:pPr>
        <w:spacing w:after="480"/>
        <w:rPr>
          <w:sz w:val="22"/>
          <w:lang w:val="bg-BG"/>
        </w:rPr>
      </w:pPr>
      <w:r w:rsidRPr="00A3491F">
        <w:rPr>
          <w:sz w:val="22"/>
          <w:lang w:val="bg-BG"/>
        </w:rPr>
        <w:t>Органът, отговорен за извършването на последваща оценка на въздействието, следва да осигури нейната публичност по подходящ начин, като задължително я публикува на интернет страницата на администрацията, която го подпомага, и на Портала за обществени консултации в срок до 30 дни от извършването й. Извършената последваща оценка на въздействието следва да бъде изпратена в администрацията на М</w:t>
      </w:r>
      <w:r w:rsidR="00286107" w:rsidRPr="00A3491F">
        <w:rPr>
          <w:sz w:val="22"/>
          <w:lang w:val="bg-BG"/>
        </w:rPr>
        <w:t>инистерски съвет</w:t>
      </w:r>
      <w:r w:rsidRPr="00A3491F">
        <w:rPr>
          <w:sz w:val="22"/>
          <w:lang w:val="bg-BG"/>
        </w:rPr>
        <w:t xml:space="preserve"> за публикуването </w:t>
      </w:r>
      <w:r w:rsidR="00286107" w:rsidRPr="00A3491F">
        <w:rPr>
          <w:sz w:val="22"/>
          <w:lang w:val="bg-BG"/>
        </w:rPr>
        <w:t xml:space="preserve">ѝ </w:t>
      </w:r>
      <w:r w:rsidRPr="00A3491F">
        <w:rPr>
          <w:sz w:val="22"/>
          <w:lang w:val="bg-BG"/>
        </w:rPr>
        <w:t>на Портала за обществени консултации.</w:t>
      </w:r>
    </w:p>
    <w:p w:rsidR="00365FD5" w:rsidRPr="0099421C" w:rsidRDefault="00365FD5" w:rsidP="001D2E97">
      <w:pPr>
        <w:widowControl w:val="0"/>
        <w:autoSpaceDE w:val="0"/>
        <w:autoSpaceDN w:val="0"/>
        <w:adjustRightInd w:val="0"/>
        <w:spacing w:after="0" w:line="288" w:lineRule="auto"/>
        <w:rPr>
          <w:i/>
          <w:sz w:val="22"/>
          <w:lang w:val="ru-RU"/>
        </w:rPr>
      </w:pPr>
    </w:p>
    <w:p w:rsidR="00223FA0" w:rsidRPr="00A3491F" w:rsidRDefault="00223FA0" w:rsidP="001D2E97">
      <w:pPr>
        <w:widowControl w:val="0"/>
        <w:autoSpaceDE w:val="0"/>
        <w:autoSpaceDN w:val="0"/>
        <w:adjustRightInd w:val="0"/>
        <w:spacing w:after="0" w:line="288" w:lineRule="auto"/>
        <w:rPr>
          <w:i/>
          <w:sz w:val="22"/>
          <w:lang w:val="bg-BG"/>
        </w:rPr>
      </w:pPr>
      <w:r w:rsidRPr="00A3491F">
        <w:rPr>
          <w:i/>
          <w:sz w:val="22"/>
          <w:lang w:val="bg-BG"/>
        </w:rPr>
        <w:t>Приложени</w:t>
      </w:r>
      <w:r w:rsidR="00CB5DF6">
        <w:rPr>
          <w:i/>
          <w:sz w:val="22"/>
          <w:lang w:val="bg-BG"/>
        </w:rPr>
        <w:t>е</w:t>
      </w:r>
      <w:r w:rsidRPr="00A3491F">
        <w:rPr>
          <w:i/>
          <w:sz w:val="22"/>
          <w:lang w:val="bg-BG"/>
        </w:rPr>
        <w:t>:</w:t>
      </w:r>
    </w:p>
    <w:p w:rsidR="00223FA0" w:rsidRPr="00A3491F" w:rsidRDefault="00223FA0" w:rsidP="001D2E97">
      <w:pPr>
        <w:widowControl w:val="0"/>
        <w:autoSpaceDE w:val="0"/>
        <w:autoSpaceDN w:val="0"/>
        <w:adjustRightInd w:val="0"/>
        <w:spacing w:after="0" w:line="288" w:lineRule="auto"/>
        <w:rPr>
          <w:i/>
          <w:sz w:val="22"/>
          <w:lang w:val="bg-BG"/>
        </w:rPr>
      </w:pPr>
    </w:p>
    <w:p w:rsidR="00B022BE" w:rsidRPr="00A3491F" w:rsidRDefault="00B022BE" w:rsidP="007211A2">
      <w:pPr>
        <w:pStyle w:val="ListParagraph"/>
        <w:widowControl w:val="0"/>
        <w:numPr>
          <w:ilvl w:val="0"/>
          <w:numId w:val="33"/>
        </w:numPr>
        <w:autoSpaceDE w:val="0"/>
        <w:autoSpaceDN w:val="0"/>
        <w:adjustRightInd w:val="0"/>
        <w:spacing w:after="0" w:line="288" w:lineRule="auto"/>
        <w:rPr>
          <w:i/>
          <w:sz w:val="22"/>
          <w:lang w:val="bg-BG"/>
        </w:rPr>
      </w:pPr>
      <w:r w:rsidRPr="00A3491F">
        <w:rPr>
          <w:i/>
          <w:sz w:val="22"/>
          <w:lang w:val="bg-BG"/>
        </w:rPr>
        <w:t>Резюме на цялостната предварителна оценка на въздействието</w:t>
      </w:r>
      <w:r w:rsidR="002962C6" w:rsidRPr="00A3491F">
        <w:rPr>
          <w:i/>
          <w:sz w:val="22"/>
          <w:lang w:val="bg-BG"/>
        </w:rPr>
        <w:t>;</w:t>
      </w:r>
    </w:p>
    <w:p w:rsidR="00F37FF1" w:rsidRPr="00A3491F" w:rsidRDefault="00F37FF1" w:rsidP="007211A2">
      <w:pPr>
        <w:pStyle w:val="ListParagraph"/>
        <w:widowControl w:val="0"/>
        <w:numPr>
          <w:ilvl w:val="0"/>
          <w:numId w:val="33"/>
        </w:numPr>
        <w:autoSpaceDE w:val="0"/>
        <w:autoSpaceDN w:val="0"/>
        <w:adjustRightInd w:val="0"/>
        <w:spacing w:after="0" w:line="288" w:lineRule="auto"/>
        <w:rPr>
          <w:i/>
          <w:sz w:val="22"/>
          <w:lang w:val="bg-BG"/>
        </w:rPr>
      </w:pPr>
      <w:r w:rsidRPr="00A3491F">
        <w:rPr>
          <w:i/>
          <w:sz w:val="22"/>
          <w:lang w:val="bg-BG"/>
        </w:rPr>
        <w:t>Консултационен документ за оценка на въздействието на проекта на ЗВСН</w:t>
      </w:r>
      <w:r w:rsidR="001A5045" w:rsidRPr="0099421C">
        <w:rPr>
          <w:i/>
          <w:sz w:val="22"/>
          <w:lang w:val="ru-RU"/>
        </w:rPr>
        <w:t>.</w:t>
      </w:r>
    </w:p>
    <w:p w:rsidR="00B022BE" w:rsidRPr="0099421C" w:rsidRDefault="00B022BE" w:rsidP="00CB5DF6">
      <w:pPr>
        <w:widowControl w:val="0"/>
        <w:autoSpaceDE w:val="0"/>
        <w:autoSpaceDN w:val="0"/>
        <w:adjustRightInd w:val="0"/>
        <w:spacing w:after="0" w:line="288" w:lineRule="auto"/>
        <w:rPr>
          <w:i/>
          <w:sz w:val="22"/>
          <w:lang w:val="ru-RU"/>
        </w:rPr>
      </w:pPr>
    </w:p>
    <w:p w:rsidR="00F37FF1" w:rsidRPr="00A3491F" w:rsidRDefault="00F37FF1" w:rsidP="007211A2">
      <w:pPr>
        <w:pStyle w:val="ListParagraph"/>
        <w:widowControl w:val="0"/>
        <w:autoSpaceDE w:val="0"/>
        <w:autoSpaceDN w:val="0"/>
        <w:adjustRightInd w:val="0"/>
        <w:spacing w:after="0" w:line="288" w:lineRule="auto"/>
        <w:rPr>
          <w:i/>
          <w:sz w:val="22"/>
          <w:lang w:val="bg-BG"/>
        </w:rPr>
      </w:pPr>
    </w:p>
    <w:p w:rsidR="003A6573" w:rsidRPr="00A3491F" w:rsidRDefault="003A6573" w:rsidP="00E265DA">
      <w:pPr>
        <w:spacing w:before="120" w:after="120" w:line="240" w:lineRule="auto"/>
        <w:rPr>
          <w:rFonts w:eastAsia="Times New Roman"/>
          <w:b/>
          <w:sz w:val="22"/>
          <w:lang w:val="bg-BG"/>
        </w:rPr>
      </w:pPr>
    </w:p>
    <w:p w:rsidR="00E265DA" w:rsidRPr="00A3491F" w:rsidRDefault="00E265DA" w:rsidP="00E265DA">
      <w:pPr>
        <w:spacing w:before="120" w:after="120" w:line="240" w:lineRule="auto"/>
        <w:rPr>
          <w:rFonts w:eastAsia="Times New Roman"/>
          <w:sz w:val="22"/>
          <w:lang w:val="bg-BG"/>
        </w:rPr>
      </w:pPr>
    </w:p>
    <w:p w:rsidR="008E6B45" w:rsidRPr="00A3491F" w:rsidRDefault="00C06874" w:rsidP="009B4424">
      <w:pPr>
        <w:pStyle w:val="ListParagraph"/>
        <w:widowControl w:val="0"/>
        <w:autoSpaceDE w:val="0"/>
        <w:autoSpaceDN w:val="0"/>
        <w:adjustRightInd w:val="0"/>
        <w:spacing w:after="0" w:line="288" w:lineRule="auto"/>
        <w:ind w:left="0"/>
        <w:rPr>
          <w:b/>
          <w:bCs/>
          <w:sz w:val="22"/>
          <w:lang w:val="bg-BG"/>
        </w:rPr>
      </w:pPr>
      <w:r>
        <w:rPr>
          <w:b/>
          <w:bCs/>
          <w:sz w:val="22"/>
          <w:lang w:val="bg-BG"/>
        </w:rPr>
        <w:t>Красимир Коев</w:t>
      </w:r>
    </w:p>
    <w:p w:rsidR="00863CB6" w:rsidRPr="00C243AD" w:rsidRDefault="00C06874" w:rsidP="00C243AD">
      <w:pPr>
        <w:pStyle w:val="ListParagraph"/>
        <w:widowControl w:val="0"/>
        <w:autoSpaceDE w:val="0"/>
        <w:autoSpaceDN w:val="0"/>
        <w:adjustRightInd w:val="0"/>
        <w:spacing w:after="0" w:line="288" w:lineRule="auto"/>
        <w:ind w:firstLine="720"/>
        <w:rPr>
          <w:bCs/>
          <w:sz w:val="22"/>
          <w:lang w:val="bg-BG"/>
        </w:rPr>
      </w:pPr>
      <w:r>
        <w:rPr>
          <w:bCs/>
          <w:sz w:val="22"/>
          <w:lang w:val="bg-BG"/>
        </w:rPr>
        <w:t>Изпълнителен директор на Изпълнителна агенция по лозата и виното</w:t>
      </w:r>
    </w:p>
    <w:sectPr w:rsidR="00863CB6" w:rsidRPr="00C243AD" w:rsidSect="00756345">
      <w:footerReference w:type="default" r:id="rId13"/>
      <w:pgSz w:w="12240" w:h="15840" w:code="1"/>
      <w:pgMar w:top="851" w:right="1134"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1E" w:rsidRDefault="00BF4D1E" w:rsidP="00131C5A">
      <w:pPr>
        <w:spacing w:after="0" w:line="240" w:lineRule="auto"/>
      </w:pPr>
      <w:r>
        <w:separator/>
      </w:r>
    </w:p>
  </w:endnote>
  <w:endnote w:type="continuationSeparator" w:id="0">
    <w:p w:rsidR="00BF4D1E" w:rsidRDefault="00BF4D1E" w:rsidP="0013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16600"/>
      <w:docPartObj>
        <w:docPartGallery w:val="Page Numbers (Bottom of Page)"/>
        <w:docPartUnique/>
      </w:docPartObj>
    </w:sdtPr>
    <w:sdtEndPr>
      <w:rPr>
        <w:noProof/>
      </w:rPr>
    </w:sdtEndPr>
    <w:sdtContent>
      <w:p w:rsidR="004312E3" w:rsidRPr="00AA681D" w:rsidRDefault="004312E3" w:rsidP="00AA681D">
        <w:pPr>
          <w:pStyle w:val="Footer"/>
          <w:jc w:val="right"/>
        </w:pPr>
        <w:r>
          <w:fldChar w:fldCharType="begin"/>
        </w:r>
        <w:r>
          <w:instrText xml:space="preserve"> PAGE   \* MERGEFORMAT </w:instrText>
        </w:r>
        <w:r>
          <w:fldChar w:fldCharType="separate"/>
        </w:r>
        <w:r w:rsidR="0099421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1E" w:rsidRDefault="00BF4D1E" w:rsidP="00131C5A">
      <w:pPr>
        <w:spacing w:after="0" w:line="240" w:lineRule="auto"/>
      </w:pPr>
      <w:r>
        <w:separator/>
      </w:r>
    </w:p>
  </w:footnote>
  <w:footnote w:type="continuationSeparator" w:id="0">
    <w:p w:rsidR="00BF4D1E" w:rsidRDefault="00BF4D1E" w:rsidP="00131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DD"/>
    <w:multiLevelType w:val="hybridMultilevel"/>
    <w:tmpl w:val="7DCEC6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4630C8B"/>
    <w:multiLevelType w:val="hybridMultilevel"/>
    <w:tmpl w:val="AAEE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307CF"/>
    <w:multiLevelType w:val="hybridMultilevel"/>
    <w:tmpl w:val="2ED29028"/>
    <w:lvl w:ilvl="0" w:tplc="6664A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05717D"/>
    <w:multiLevelType w:val="hybridMultilevel"/>
    <w:tmpl w:val="B3CA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D7BD9"/>
    <w:multiLevelType w:val="hybridMultilevel"/>
    <w:tmpl w:val="A3D0E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D15E1"/>
    <w:multiLevelType w:val="hybridMultilevel"/>
    <w:tmpl w:val="0B7861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C5C44D9"/>
    <w:multiLevelType w:val="hybridMultilevel"/>
    <w:tmpl w:val="EB16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C5864"/>
    <w:multiLevelType w:val="hybridMultilevel"/>
    <w:tmpl w:val="919A29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A55C2E"/>
    <w:multiLevelType w:val="hybridMultilevel"/>
    <w:tmpl w:val="172A0C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nsid w:val="230705B6"/>
    <w:multiLevelType w:val="multilevel"/>
    <w:tmpl w:val="3DB80DD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8A62BC"/>
    <w:multiLevelType w:val="hybridMultilevel"/>
    <w:tmpl w:val="E74E4284"/>
    <w:lvl w:ilvl="0" w:tplc="D2FE1048">
      <w:numFmt w:val="bullet"/>
      <w:lvlText w:val="-"/>
      <w:lvlJc w:val="left"/>
      <w:pPr>
        <w:ind w:left="644" w:hanging="360"/>
      </w:pPr>
      <w:rPr>
        <w:rFonts w:ascii="Cambria" w:eastAsiaTheme="minorEastAsia" w:hAnsi="Cambria"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BA8085A"/>
    <w:multiLevelType w:val="multilevel"/>
    <w:tmpl w:val="0734C2D4"/>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4B71A5"/>
    <w:multiLevelType w:val="hybridMultilevel"/>
    <w:tmpl w:val="4F42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07C5C"/>
    <w:multiLevelType w:val="hybridMultilevel"/>
    <w:tmpl w:val="1FCC39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AED57DA"/>
    <w:multiLevelType w:val="hybridMultilevel"/>
    <w:tmpl w:val="41721FC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897EB2"/>
    <w:multiLevelType w:val="hybridMultilevel"/>
    <w:tmpl w:val="B02AE56C"/>
    <w:lvl w:ilvl="0" w:tplc="C174378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F990B0D"/>
    <w:multiLevelType w:val="hybridMultilevel"/>
    <w:tmpl w:val="539CFD36"/>
    <w:lvl w:ilvl="0" w:tplc="1AA4883E">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03620D"/>
    <w:multiLevelType w:val="hybridMultilevel"/>
    <w:tmpl w:val="878E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B1A32"/>
    <w:multiLevelType w:val="hybridMultilevel"/>
    <w:tmpl w:val="671E7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82187C"/>
    <w:multiLevelType w:val="hybridMultilevel"/>
    <w:tmpl w:val="21F06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109E3"/>
    <w:multiLevelType w:val="hybridMultilevel"/>
    <w:tmpl w:val="DF1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E4BF4"/>
    <w:multiLevelType w:val="hybridMultilevel"/>
    <w:tmpl w:val="13449D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D4C1124"/>
    <w:multiLevelType w:val="multilevel"/>
    <w:tmpl w:val="662AE9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8003DA"/>
    <w:multiLevelType w:val="hybridMultilevel"/>
    <w:tmpl w:val="D3F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61539"/>
    <w:multiLevelType w:val="hybridMultilevel"/>
    <w:tmpl w:val="2D4E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62CF5"/>
    <w:multiLevelType w:val="hybridMultilevel"/>
    <w:tmpl w:val="B5E005F6"/>
    <w:lvl w:ilvl="0" w:tplc="4D46F7B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43258F"/>
    <w:multiLevelType w:val="hybridMultilevel"/>
    <w:tmpl w:val="257663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072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1E46EF"/>
    <w:multiLevelType w:val="hybridMultilevel"/>
    <w:tmpl w:val="75ACB388"/>
    <w:lvl w:ilvl="0" w:tplc="AA1EBB78">
      <w:numFmt w:val="bullet"/>
      <w:lvlText w:val="-"/>
      <w:lvlJc w:val="left"/>
      <w:pPr>
        <w:ind w:left="786" w:hanging="360"/>
      </w:pPr>
      <w:rPr>
        <w:rFonts w:ascii="Cambria" w:eastAsiaTheme="minorEastAsia" w:hAnsi="Cambria"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nsid w:val="67B84FB5"/>
    <w:multiLevelType w:val="multilevel"/>
    <w:tmpl w:val="45649700"/>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6F0F37"/>
    <w:multiLevelType w:val="multilevel"/>
    <w:tmpl w:val="3DB80DD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5E318C"/>
    <w:multiLevelType w:val="hybridMultilevel"/>
    <w:tmpl w:val="45CA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E2FE2"/>
    <w:multiLevelType w:val="hybridMultilevel"/>
    <w:tmpl w:val="7E58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86B0F"/>
    <w:multiLevelType w:val="hybridMultilevel"/>
    <w:tmpl w:val="A26468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9E5B63"/>
    <w:multiLevelType w:val="hybridMultilevel"/>
    <w:tmpl w:val="6E74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310210"/>
    <w:multiLevelType w:val="hybridMultilevel"/>
    <w:tmpl w:val="87DE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7"/>
  </w:num>
  <w:num w:numId="4">
    <w:abstractNumId w:val="31"/>
  </w:num>
  <w:num w:numId="5">
    <w:abstractNumId w:val="14"/>
  </w:num>
  <w:num w:numId="6">
    <w:abstractNumId w:val="26"/>
  </w:num>
  <w:num w:numId="7">
    <w:abstractNumId w:val="9"/>
  </w:num>
  <w:num w:numId="8">
    <w:abstractNumId w:val="11"/>
  </w:num>
  <w:num w:numId="9">
    <w:abstractNumId w:val="5"/>
  </w:num>
  <w:num w:numId="10">
    <w:abstractNumId w:val="10"/>
  </w:num>
  <w:num w:numId="11">
    <w:abstractNumId w:val="13"/>
  </w:num>
  <w:num w:numId="12">
    <w:abstractNumId w:val="28"/>
  </w:num>
  <w:num w:numId="13">
    <w:abstractNumId w:val="1"/>
  </w:num>
  <w:num w:numId="14">
    <w:abstractNumId w:val="25"/>
  </w:num>
  <w:num w:numId="15">
    <w:abstractNumId w:val="18"/>
  </w:num>
  <w:num w:numId="16">
    <w:abstractNumId w:val="12"/>
  </w:num>
  <w:num w:numId="17">
    <w:abstractNumId w:val="16"/>
  </w:num>
  <w:num w:numId="18">
    <w:abstractNumId w:val="4"/>
  </w:num>
  <w:num w:numId="19">
    <w:abstractNumId w:val="2"/>
  </w:num>
  <w:num w:numId="20">
    <w:abstractNumId w:val="33"/>
  </w:num>
  <w:num w:numId="21">
    <w:abstractNumId w:val="34"/>
  </w:num>
  <w:num w:numId="22">
    <w:abstractNumId w:val="22"/>
  </w:num>
  <w:num w:numId="23">
    <w:abstractNumId w:val="35"/>
  </w:num>
  <w:num w:numId="24">
    <w:abstractNumId w:val="3"/>
  </w:num>
  <w:num w:numId="25">
    <w:abstractNumId w:val="21"/>
  </w:num>
  <w:num w:numId="26">
    <w:abstractNumId w:val="15"/>
  </w:num>
  <w:num w:numId="27">
    <w:abstractNumId w:val="6"/>
  </w:num>
  <w:num w:numId="28">
    <w:abstractNumId w:val="17"/>
  </w:num>
  <w:num w:numId="29">
    <w:abstractNumId w:val="23"/>
  </w:num>
  <w:num w:numId="30">
    <w:abstractNumId w:val="32"/>
  </w:num>
  <w:num w:numId="31">
    <w:abstractNumId w:val="20"/>
  </w:num>
  <w:num w:numId="32">
    <w:abstractNumId w:val="24"/>
  </w:num>
  <w:num w:numId="33">
    <w:abstractNumId w:val="7"/>
  </w:num>
  <w:num w:numId="34">
    <w:abstractNumId w:val="29"/>
  </w:num>
  <w:num w:numId="35">
    <w:abstractNumId w:val="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B0"/>
    <w:rsid w:val="000028B9"/>
    <w:rsid w:val="00004401"/>
    <w:rsid w:val="00004B4F"/>
    <w:rsid w:val="000059C6"/>
    <w:rsid w:val="0000680D"/>
    <w:rsid w:val="00010AAE"/>
    <w:rsid w:val="00012DDA"/>
    <w:rsid w:val="00023FD4"/>
    <w:rsid w:val="00027869"/>
    <w:rsid w:val="000349E5"/>
    <w:rsid w:val="0003661E"/>
    <w:rsid w:val="00042D08"/>
    <w:rsid w:val="00045583"/>
    <w:rsid w:val="000515FA"/>
    <w:rsid w:val="000548B7"/>
    <w:rsid w:val="00054931"/>
    <w:rsid w:val="000615AF"/>
    <w:rsid w:val="00061BD0"/>
    <w:rsid w:val="00064E22"/>
    <w:rsid w:val="000859CF"/>
    <w:rsid w:val="000A0845"/>
    <w:rsid w:val="000A7A15"/>
    <w:rsid w:val="000B02D6"/>
    <w:rsid w:val="000B051A"/>
    <w:rsid w:val="000B367C"/>
    <w:rsid w:val="000B5086"/>
    <w:rsid w:val="000B5BBE"/>
    <w:rsid w:val="000C4368"/>
    <w:rsid w:val="000D1788"/>
    <w:rsid w:val="000F5B7D"/>
    <w:rsid w:val="001021BA"/>
    <w:rsid w:val="00106EE5"/>
    <w:rsid w:val="0011133E"/>
    <w:rsid w:val="00111D67"/>
    <w:rsid w:val="0011704F"/>
    <w:rsid w:val="00131C5A"/>
    <w:rsid w:val="001431E0"/>
    <w:rsid w:val="0014399F"/>
    <w:rsid w:val="00155DA9"/>
    <w:rsid w:val="001560E7"/>
    <w:rsid w:val="001625F5"/>
    <w:rsid w:val="001876F2"/>
    <w:rsid w:val="001A41C8"/>
    <w:rsid w:val="001A5045"/>
    <w:rsid w:val="001A5E24"/>
    <w:rsid w:val="001B7477"/>
    <w:rsid w:val="001B7CD1"/>
    <w:rsid w:val="001C1DF1"/>
    <w:rsid w:val="001D2E97"/>
    <w:rsid w:val="00203B43"/>
    <w:rsid w:val="0020552B"/>
    <w:rsid w:val="00212F61"/>
    <w:rsid w:val="00223FA0"/>
    <w:rsid w:val="00252B85"/>
    <w:rsid w:val="0026293C"/>
    <w:rsid w:val="002645A8"/>
    <w:rsid w:val="00275030"/>
    <w:rsid w:val="00277614"/>
    <w:rsid w:val="002850E1"/>
    <w:rsid w:val="00286107"/>
    <w:rsid w:val="00294109"/>
    <w:rsid w:val="002962C6"/>
    <w:rsid w:val="002A78D2"/>
    <w:rsid w:val="002C1131"/>
    <w:rsid w:val="002C2635"/>
    <w:rsid w:val="002D3F4C"/>
    <w:rsid w:val="002D6428"/>
    <w:rsid w:val="002E6FFB"/>
    <w:rsid w:val="00301A3D"/>
    <w:rsid w:val="00302EEF"/>
    <w:rsid w:val="0030711F"/>
    <w:rsid w:val="003104DE"/>
    <w:rsid w:val="00314D5C"/>
    <w:rsid w:val="003202C4"/>
    <w:rsid w:val="0033391D"/>
    <w:rsid w:val="0033680C"/>
    <w:rsid w:val="003514D0"/>
    <w:rsid w:val="0036237A"/>
    <w:rsid w:val="00362EAD"/>
    <w:rsid w:val="00365FD5"/>
    <w:rsid w:val="00371661"/>
    <w:rsid w:val="00382A42"/>
    <w:rsid w:val="0038326A"/>
    <w:rsid w:val="00386E65"/>
    <w:rsid w:val="00387DD2"/>
    <w:rsid w:val="00395718"/>
    <w:rsid w:val="003A3FCF"/>
    <w:rsid w:val="003A6573"/>
    <w:rsid w:val="003B60C8"/>
    <w:rsid w:val="003C0B63"/>
    <w:rsid w:val="003C5095"/>
    <w:rsid w:val="003E20E7"/>
    <w:rsid w:val="003F7B29"/>
    <w:rsid w:val="004064EF"/>
    <w:rsid w:val="004312E3"/>
    <w:rsid w:val="0043197D"/>
    <w:rsid w:val="0044249E"/>
    <w:rsid w:val="00455820"/>
    <w:rsid w:val="00464FBE"/>
    <w:rsid w:val="00466D49"/>
    <w:rsid w:val="00471133"/>
    <w:rsid w:val="004714BB"/>
    <w:rsid w:val="0048212B"/>
    <w:rsid w:val="0048417C"/>
    <w:rsid w:val="0048481E"/>
    <w:rsid w:val="00496FA9"/>
    <w:rsid w:val="004B086C"/>
    <w:rsid w:val="004B6C6C"/>
    <w:rsid w:val="004D057F"/>
    <w:rsid w:val="004E32C9"/>
    <w:rsid w:val="004E3B20"/>
    <w:rsid w:val="004E410E"/>
    <w:rsid w:val="004E4B35"/>
    <w:rsid w:val="004E649E"/>
    <w:rsid w:val="004E6505"/>
    <w:rsid w:val="004F5286"/>
    <w:rsid w:val="005141F7"/>
    <w:rsid w:val="00514FDC"/>
    <w:rsid w:val="005234C9"/>
    <w:rsid w:val="00526667"/>
    <w:rsid w:val="00531737"/>
    <w:rsid w:val="00547735"/>
    <w:rsid w:val="00555D98"/>
    <w:rsid w:val="00565DB1"/>
    <w:rsid w:val="00565DC0"/>
    <w:rsid w:val="005709F6"/>
    <w:rsid w:val="00577D55"/>
    <w:rsid w:val="00594DD1"/>
    <w:rsid w:val="005A0924"/>
    <w:rsid w:val="005A7BE2"/>
    <w:rsid w:val="005C5F20"/>
    <w:rsid w:val="005C6417"/>
    <w:rsid w:val="005F5D8B"/>
    <w:rsid w:val="00606633"/>
    <w:rsid w:val="00616A65"/>
    <w:rsid w:val="006422B1"/>
    <w:rsid w:val="006447DD"/>
    <w:rsid w:val="00660608"/>
    <w:rsid w:val="006665E9"/>
    <w:rsid w:val="00671874"/>
    <w:rsid w:val="0067536F"/>
    <w:rsid w:val="0068114D"/>
    <w:rsid w:val="00685890"/>
    <w:rsid w:val="006A4C13"/>
    <w:rsid w:val="006A7040"/>
    <w:rsid w:val="006B179E"/>
    <w:rsid w:val="006B1D0D"/>
    <w:rsid w:val="006B3BB7"/>
    <w:rsid w:val="006D65F0"/>
    <w:rsid w:val="006E448F"/>
    <w:rsid w:val="006E52A8"/>
    <w:rsid w:val="006E578A"/>
    <w:rsid w:val="007004B4"/>
    <w:rsid w:val="00702E23"/>
    <w:rsid w:val="007211A2"/>
    <w:rsid w:val="0072714B"/>
    <w:rsid w:val="00731D4C"/>
    <w:rsid w:val="00734653"/>
    <w:rsid w:val="00740986"/>
    <w:rsid w:val="00747E09"/>
    <w:rsid w:val="00751728"/>
    <w:rsid w:val="00754686"/>
    <w:rsid w:val="00756345"/>
    <w:rsid w:val="00773570"/>
    <w:rsid w:val="00775B30"/>
    <w:rsid w:val="007779CA"/>
    <w:rsid w:val="007824F7"/>
    <w:rsid w:val="00785242"/>
    <w:rsid w:val="00787254"/>
    <w:rsid w:val="00796362"/>
    <w:rsid w:val="007C402D"/>
    <w:rsid w:val="007C524E"/>
    <w:rsid w:val="007C7532"/>
    <w:rsid w:val="007D1A14"/>
    <w:rsid w:val="007D5D65"/>
    <w:rsid w:val="007E512E"/>
    <w:rsid w:val="008027A3"/>
    <w:rsid w:val="00815F0A"/>
    <w:rsid w:val="008200B6"/>
    <w:rsid w:val="00820B89"/>
    <w:rsid w:val="00820C85"/>
    <w:rsid w:val="00824291"/>
    <w:rsid w:val="008259E7"/>
    <w:rsid w:val="00842375"/>
    <w:rsid w:val="00850366"/>
    <w:rsid w:val="00850A0D"/>
    <w:rsid w:val="00850FE7"/>
    <w:rsid w:val="00855273"/>
    <w:rsid w:val="00860AC8"/>
    <w:rsid w:val="00863271"/>
    <w:rsid w:val="00863CB6"/>
    <w:rsid w:val="00867F98"/>
    <w:rsid w:val="00870E7F"/>
    <w:rsid w:val="008819D5"/>
    <w:rsid w:val="008841D5"/>
    <w:rsid w:val="0089528F"/>
    <w:rsid w:val="008A0A8D"/>
    <w:rsid w:val="008A36C9"/>
    <w:rsid w:val="008A3C7A"/>
    <w:rsid w:val="008A7E08"/>
    <w:rsid w:val="008B6880"/>
    <w:rsid w:val="008C46D8"/>
    <w:rsid w:val="008D193D"/>
    <w:rsid w:val="008E6B45"/>
    <w:rsid w:val="00903F04"/>
    <w:rsid w:val="00923636"/>
    <w:rsid w:val="0092471F"/>
    <w:rsid w:val="00925EF2"/>
    <w:rsid w:val="00931BE4"/>
    <w:rsid w:val="0093294D"/>
    <w:rsid w:val="0093690E"/>
    <w:rsid w:val="00941D7F"/>
    <w:rsid w:val="00942731"/>
    <w:rsid w:val="00942901"/>
    <w:rsid w:val="0094741E"/>
    <w:rsid w:val="00947479"/>
    <w:rsid w:val="00950447"/>
    <w:rsid w:val="00955E02"/>
    <w:rsid w:val="009569C1"/>
    <w:rsid w:val="00961388"/>
    <w:rsid w:val="00962425"/>
    <w:rsid w:val="0096265E"/>
    <w:rsid w:val="00973124"/>
    <w:rsid w:val="009733FA"/>
    <w:rsid w:val="00973DB5"/>
    <w:rsid w:val="00982A96"/>
    <w:rsid w:val="00982D7C"/>
    <w:rsid w:val="0099293E"/>
    <w:rsid w:val="0099421C"/>
    <w:rsid w:val="00994931"/>
    <w:rsid w:val="009977FB"/>
    <w:rsid w:val="009A106A"/>
    <w:rsid w:val="009A5699"/>
    <w:rsid w:val="009A61CC"/>
    <w:rsid w:val="009B16C8"/>
    <w:rsid w:val="009B1F1D"/>
    <w:rsid w:val="009B4424"/>
    <w:rsid w:val="009C25BF"/>
    <w:rsid w:val="009C2B72"/>
    <w:rsid w:val="009C3461"/>
    <w:rsid w:val="009D0AB4"/>
    <w:rsid w:val="009D1B11"/>
    <w:rsid w:val="009D41FB"/>
    <w:rsid w:val="009E17C5"/>
    <w:rsid w:val="009E3397"/>
    <w:rsid w:val="009E5EAD"/>
    <w:rsid w:val="009F1DBF"/>
    <w:rsid w:val="009F7625"/>
    <w:rsid w:val="009F7B9F"/>
    <w:rsid w:val="00A15173"/>
    <w:rsid w:val="00A227E2"/>
    <w:rsid w:val="00A3491F"/>
    <w:rsid w:val="00A35924"/>
    <w:rsid w:val="00A46E20"/>
    <w:rsid w:val="00A4750F"/>
    <w:rsid w:val="00A4766F"/>
    <w:rsid w:val="00A729D3"/>
    <w:rsid w:val="00A8063F"/>
    <w:rsid w:val="00A83BDF"/>
    <w:rsid w:val="00A86C72"/>
    <w:rsid w:val="00AA0196"/>
    <w:rsid w:val="00AA681D"/>
    <w:rsid w:val="00AB04A7"/>
    <w:rsid w:val="00AB5B22"/>
    <w:rsid w:val="00AB6594"/>
    <w:rsid w:val="00AC0FA3"/>
    <w:rsid w:val="00AC3C7B"/>
    <w:rsid w:val="00AC77D1"/>
    <w:rsid w:val="00AD02D6"/>
    <w:rsid w:val="00AD64B6"/>
    <w:rsid w:val="00AF3758"/>
    <w:rsid w:val="00B022BE"/>
    <w:rsid w:val="00B131D3"/>
    <w:rsid w:val="00B27013"/>
    <w:rsid w:val="00B41DD1"/>
    <w:rsid w:val="00B438E3"/>
    <w:rsid w:val="00B44A86"/>
    <w:rsid w:val="00B568F2"/>
    <w:rsid w:val="00B66BE6"/>
    <w:rsid w:val="00B66DAE"/>
    <w:rsid w:val="00B7490C"/>
    <w:rsid w:val="00B76338"/>
    <w:rsid w:val="00B764E0"/>
    <w:rsid w:val="00B770B4"/>
    <w:rsid w:val="00B958D1"/>
    <w:rsid w:val="00B96CCE"/>
    <w:rsid w:val="00B96F8E"/>
    <w:rsid w:val="00BA4080"/>
    <w:rsid w:val="00BA4888"/>
    <w:rsid w:val="00BB54FA"/>
    <w:rsid w:val="00BC001C"/>
    <w:rsid w:val="00BE556E"/>
    <w:rsid w:val="00BF0B22"/>
    <w:rsid w:val="00BF2393"/>
    <w:rsid w:val="00BF4D1E"/>
    <w:rsid w:val="00BF65E5"/>
    <w:rsid w:val="00C04FB6"/>
    <w:rsid w:val="00C06874"/>
    <w:rsid w:val="00C100E3"/>
    <w:rsid w:val="00C10DE0"/>
    <w:rsid w:val="00C14C40"/>
    <w:rsid w:val="00C15B2D"/>
    <w:rsid w:val="00C21012"/>
    <w:rsid w:val="00C22546"/>
    <w:rsid w:val="00C243AD"/>
    <w:rsid w:val="00C409F7"/>
    <w:rsid w:val="00C466D3"/>
    <w:rsid w:val="00C56A90"/>
    <w:rsid w:val="00C56B56"/>
    <w:rsid w:val="00C6485B"/>
    <w:rsid w:val="00C654AC"/>
    <w:rsid w:val="00C70518"/>
    <w:rsid w:val="00C73518"/>
    <w:rsid w:val="00C812B0"/>
    <w:rsid w:val="00C9380E"/>
    <w:rsid w:val="00C95C78"/>
    <w:rsid w:val="00CA0560"/>
    <w:rsid w:val="00CA75E2"/>
    <w:rsid w:val="00CB5569"/>
    <w:rsid w:val="00CB5DF6"/>
    <w:rsid w:val="00CB5ECC"/>
    <w:rsid w:val="00CC6E2F"/>
    <w:rsid w:val="00CC725E"/>
    <w:rsid w:val="00CD6947"/>
    <w:rsid w:val="00CE1B26"/>
    <w:rsid w:val="00CF0774"/>
    <w:rsid w:val="00CF42EC"/>
    <w:rsid w:val="00CF4DFD"/>
    <w:rsid w:val="00D06942"/>
    <w:rsid w:val="00D14334"/>
    <w:rsid w:val="00D245F7"/>
    <w:rsid w:val="00D24B97"/>
    <w:rsid w:val="00D24F84"/>
    <w:rsid w:val="00D32DA9"/>
    <w:rsid w:val="00D33AE7"/>
    <w:rsid w:val="00D51A73"/>
    <w:rsid w:val="00D537EE"/>
    <w:rsid w:val="00D54B3A"/>
    <w:rsid w:val="00D653D5"/>
    <w:rsid w:val="00D80579"/>
    <w:rsid w:val="00D93573"/>
    <w:rsid w:val="00DA40A5"/>
    <w:rsid w:val="00DA62F8"/>
    <w:rsid w:val="00DB1925"/>
    <w:rsid w:val="00DB2602"/>
    <w:rsid w:val="00DB6DC9"/>
    <w:rsid w:val="00DC2F9D"/>
    <w:rsid w:val="00DC39A2"/>
    <w:rsid w:val="00DC48AC"/>
    <w:rsid w:val="00DD001A"/>
    <w:rsid w:val="00DD1FA8"/>
    <w:rsid w:val="00DE242D"/>
    <w:rsid w:val="00DE7334"/>
    <w:rsid w:val="00DF4B03"/>
    <w:rsid w:val="00DF76D1"/>
    <w:rsid w:val="00E125E7"/>
    <w:rsid w:val="00E139F6"/>
    <w:rsid w:val="00E20C4D"/>
    <w:rsid w:val="00E22FCC"/>
    <w:rsid w:val="00E265DA"/>
    <w:rsid w:val="00E325EA"/>
    <w:rsid w:val="00E353EB"/>
    <w:rsid w:val="00E3748E"/>
    <w:rsid w:val="00E47E10"/>
    <w:rsid w:val="00E55D2E"/>
    <w:rsid w:val="00E62DAF"/>
    <w:rsid w:val="00E65E8A"/>
    <w:rsid w:val="00E66547"/>
    <w:rsid w:val="00E76E4B"/>
    <w:rsid w:val="00E850DB"/>
    <w:rsid w:val="00E93413"/>
    <w:rsid w:val="00E95FCD"/>
    <w:rsid w:val="00EB0799"/>
    <w:rsid w:val="00EB096A"/>
    <w:rsid w:val="00EB19F8"/>
    <w:rsid w:val="00EB5D90"/>
    <w:rsid w:val="00EC0821"/>
    <w:rsid w:val="00ED5B21"/>
    <w:rsid w:val="00ED71E3"/>
    <w:rsid w:val="00ED79A8"/>
    <w:rsid w:val="00EE5DDF"/>
    <w:rsid w:val="00EF0D23"/>
    <w:rsid w:val="00EF2954"/>
    <w:rsid w:val="00F02C60"/>
    <w:rsid w:val="00F131C7"/>
    <w:rsid w:val="00F15634"/>
    <w:rsid w:val="00F37FF1"/>
    <w:rsid w:val="00F40574"/>
    <w:rsid w:val="00F5015A"/>
    <w:rsid w:val="00F53655"/>
    <w:rsid w:val="00F70254"/>
    <w:rsid w:val="00F80119"/>
    <w:rsid w:val="00F85051"/>
    <w:rsid w:val="00F96E24"/>
    <w:rsid w:val="00F979AD"/>
    <w:rsid w:val="00FA05B7"/>
    <w:rsid w:val="00FA0DD3"/>
    <w:rsid w:val="00FB4F60"/>
    <w:rsid w:val="00FC1BC7"/>
    <w:rsid w:val="00FC69E9"/>
    <w:rsid w:val="00FD6187"/>
    <w:rsid w:val="00FD660F"/>
    <w:rsid w:val="00FD6A61"/>
    <w:rsid w:val="00FE1E30"/>
    <w:rsid w:val="00FF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F2"/>
    <w:pPr>
      <w:jc w:val="both"/>
    </w:pPr>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B44A8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A86"/>
    <w:pPr>
      <w:keepNext/>
      <w:keepLines/>
      <w:spacing w:before="200"/>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B44A86"/>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1C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1C5A"/>
    <w:rPr>
      <w:rFonts w:eastAsiaTheme="minorEastAsia"/>
      <w:lang w:eastAsia="ja-JP"/>
    </w:rPr>
  </w:style>
  <w:style w:type="paragraph" w:styleId="BalloonText">
    <w:name w:val="Balloon Text"/>
    <w:basedOn w:val="Normal"/>
    <w:link w:val="BalloonTextChar"/>
    <w:semiHidden/>
    <w:unhideWhenUsed/>
    <w:rsid w:val="0013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1C5A"/>
    <w:rPr>
      <w:rFonts w:ascii="Tahoma" w:eastAsiaTheme="minorEastAsia" w:hAnsi="Tahoma" w:cs="Tahoma"/>
      <w:sz w:val="16"/>
      <w:szCs w:val="16"/>
    </w:rPr>
  </w:style>
  <w:style w:type="character" w:customStyle="1" w:styleId="Heading1Char">
    <w:name w:val="Heading 1 Char"/>
    <w:basedOn w:val="DefaultParagraphFont"/>
    <w:link w:val="Heading1"/>
    <w:uiPriority w:val="9"/>
    <w:rsid w:val="00B44A86"/>
    <w:rPr>
      <w:rFonts w:ascii="Times New Roman" w:eastAsiaTheme="majorEastAsia" w:hAnsi="Times New Roman"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31C5A"/>
    <w:pPr>
      <w:outlineLvl w:val="9"/>
    </w:pPr>
    <w:rPr>
      <w:lang w:eastAsia="ja-JP"/>
    </w:rPr>
  </w:style>
  <w:style w:type="paragraph" w:styleId="Header">
    <w:name w:val="header"/>
    <w:basedOn w:val="Normal"/>
    <w:link w:val="HeaderChar"/>
    <w:uiPriority w:val="99"/>
    <w:unhideWhenUsed/>
    <w:rsid w:val="00131C5A"/>
    <w:pPr>
      <w:tabs>
        <w:tab w:val="center" w:pos="4703"/>
        <w:tab w:val="right" w:pos="9406"/>
      </w:tabs>
      <w:spacing w:after="0" w:line="240" w:lineRule="auto"/>
    </w:pPr>
  </w:style>
  <w:style w:type="character" w:customStyle="1" w:styleId="HeaderChar">
    <w:name w:val="Header Char"/>
    <w:basedOn w:val="DefaultParagraphFont"/>
    <w:link w:val="Header"/>
    <w:uiPriority w:val="99"/>
    <w:rsid w:val="00131C5A"/>
    <w:rPr>
      <w:rFonts w:eastAsiaTheme="minorEastAsia" w:cs="Times New Roman"/>
    </w:rPr>
  </w:style>
  <w:style w:type="paragraph" w:styleId="Footer">
    <w:name w:val="footer"/>
    <w:basedOn w:val="Normal"/>
    <w:link w:val="FooterChar"/>
    <w:uiPriority w:val="99"/>
    <w:unhideWhenUsed/>
    <w:rsid w:val="00131C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1C5A"/>
    <w:rPr>
      <w:rFonts w:eastAsiaTheme="minorEastAsia" w:cs="Times New Roman"/>
    </w:rPr>
  </w:style>
  <w:style w:type="paragraph" w:styleId="ListParagraph">
    <w:name w:val="List Paragraph"/>
    <w:basedOn w:val="Normal"/>
    <w:uiPriority w:val="34"/>
    <w:qFormat/>
    <w:rsid w:val="00131C5A"/>
    <w:pPr>
      <w:ind w:left="720"/>
      <w:contextualSpacing/>
    </w:pPr>
  </w:style>
  <w:style w:type="character" w:styleId="Hyperlink">
    <w:name w:val="Hyperlink"/>
    <w:basedOn w:val="DefaultParagraphFont"/>
    <w:uiPriority w:val="99"/>
    <w:unhideWhenUsed/>
    <w:rsid w:val="009977FB"/>
    <w:rPr>
      <w:color w:val="0000FF" w:themeColor="hyperlink"/>
      <w:u w:val="single"/>
    </w:rPr>
  </w:style>
  <w:style w:type="paragraph" w:styleId="TOC1">
    <w:name w:val="toc 1"/>
    <w:basedOn w:val="Normal"/>
    <w:next w:val="Normal"/>
    <w:autoRedefine/>
    <w:uiPriority w:val="39"/>
    <w:unhideWhenUsed/>
    <w:rsid w:val="00D653D5"/>
    <w:pPr>
      <w:tabs>
        <w:tab w:val="right" w:leader="dot" w:pos="9396"/>
      </w:tabs>
      <w:spacing w:after="100"/>
    </w:pPr>
  </w:style>
  <w:style w:type="character" w:customStyle="1" w:styleId="Heading2Char">
    <w:name w:val="Heading 2 Char"/>
    <w:basedOn w:val="DefaultParagraphFont"/>
    <w:link w:val="Heading2"/>
    <w:uiPriority w:val="9"/>
    <w:rsid w:val="00B44A86"/>
    <w:rPr>
      <w:rFonts w:ascii="Times New Roman" w:eastAsiaTheme="majorEastAsia" w:hAnsi="Times New Roman" w:cstheme="majorBidi"/>
      <w:b/>
      <w:bCs/>
      <w:color w:val="365F91" w:themeColor="accent1" w:themeShade="BF"/>
      <w:sz w:val="26"/>
      <w:szCs w:val="26"/>
    </w:rPr>
  </w:style>
  <w:style w:type="paragraph" w:styleId="TOC2">
    <w:name w:val="toc 2"/>
    <w:basedOn w:val="Normal"/>
    <w:next w:val="Normal"/>
    <w:autoRedefine/>
    <w:uiPriority w:val="39"/>
    <w:unhideWhenUsed/>
    <w:rsid w:val="00B96CCE"/>
    <w:pPr>
      <w:tabs>
        <w:tab w:val="right" w:leader="dot" w:pos="9849"/>
      </w:tabs>
      <w:spacing w:after="100"/>
      <w:ind w:left="220"/>
    </w:pPr>
  </w:style>
  <w:style w:type="character" w:customStyle="1" w:styleId="Heading3Char">
    <w:name w:val="Heading 3 Char"/>
    <w:basedOn w:val="DefaultParagraphFont"/>
    <w:link w:val="Heading3"/>
    <w:uiPriority w:val="9"/>
    <w:rsid w:val="00B44A86"/>
    <w:rPr>
      <w:rFonts w:asciiTheme="majorHAnsi" w:eastAsiaTheme="majorEastAsia" w:hAnsiTheme="majorHAnsi" w:cstheme="majorBidi"/>
      <w:b/>
      <w:bCs/>
      <w:color w:val="365F91" w:themeColor="accent1" w:themeShade="BF"/>
      <w:sz w:val="24"/>
    </w:rPr>
  </w:style>
  <w:style w:type="paragraph" w:styleId="TOC3">
    <w:name w:val="toc 3"/>
    <w:basedOn w:val="Normal"/>
    <w:next w:val="Normal"/>
    <w:autoRedefine/>
    <w:uiPriority w:val="39"/>
    <w:unhideWhenUsed/>
    <w:rsid w:val="00061BD0"/>
    <w:pPr>
      <w:spacing w:after="100"/>
      <w:ind w:left="440"/>
    </w:pPr>
  </w:style>
  <w:style w:type="character" w:styleId="CommentReference">
    <w:name w:val="annotation reference"/>
    <w:basedOn w:val="DefaultParagraphFont"/>
    <w:uiPriority w:val="99"/>
    <w:semiHidden/>
    <w:unhideWhenUsed/>
    <w:rsid w:val="00294109"/>
    <w:rPr>
      <w:sz w:val="16"/>
      <w:szCs w:val="16"/>
    </w:rPr>
  </w:style>
  <w:style w:type="paragraph" w:styleId="CommentText">
    <w:name w:val="annotation text"/>
    <w:basedOn w:val="Normal"/>
    <w:link w:val="CommentTextChar"/>
    <w:uiPriority w:val="99"/>
    <w:semiHidden/>
    <w:unhideWhenUsed/>
    <w:rsid w:val="00294109"/>
    <w:pPr>
      <w:spacing w:line="240" w:lineRule="auto"/>
    </w:pPr>
    <w:rPr>
      <w:sz w:val="20"/>
      <w:szCs w:val="20"/>
    </w:rPr>
  </w:style>
  <w:style w:type="character" w:customStyle="1" w:styleId="CommentTextChar">
    <w:name w:val="Comment Text Char"/>
    <w:basedOn w:val="DefaultParagraphFont"/>
    <w:link w:val="CommentText"/>
    <w:uiPriority w:val="99"/>
    <w:semiHidden/>
    <w:rsid w:val="0029410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94109"/>
    <w:rPr>
      <w:b/>
      <w:bCs/>
    </w:rPr>
  </w:style>
  <w:style w:type="character" w:customStyle="1" w:styleId="CommentSubjectChar">
    <w:name w:val="Comment Subject Char"/>
    <w:basedOn w:val="CommentTextChar"/>
    <w:link w:val="CommentSubject"/>
    <w:uiPriority w:val="99"/>
    <w:semiHidden/>
    <w:rsid w:val="00294109"/>
    <w:rPr>
      <w:rFonts w:eastAsiaTheme="minorEastAsia" w:cs="Times New Roman"/>
      <w:b/>
      <w:bCs/>
      <w:sz w:val="20"/>
      <w:szCs w:val="20"/>
    </w:rPr>
  </w:style>
  <w:style w:type="paragraph" w:styleId="Revision">
    <w:name w:val="Revision"/>
    <w:hidden/>
    <w:uiPriority w:val="99"/>
    <w:semiHidden/>
    <w:rsid w:val="00EB0799"/>
    <w:pPr>
      <w:spacing w:after="0" w:line="240" w:lineRule="auto"/>
    </w:pPr>
    <w:rPr>
      <w:rFonts w:eastAsiaTheme="minorEastAsia" w:cs="Times New Roman"/>
    </w:rPr>
  </w:style>
  <w:style w:type="paragraph" w:customStyle="1" w:styleId="Default">
    <w:name w:val="Default"/>
    <w:rsid w:val="00BA4888"/>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F2"/>
    <w:pPr>
      <w:jc w:val="both"/>
    </w:pPr>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B44A8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A86"/>
    <w:pPr>
      <w:keepNext/>
      <w:keepLines/>
      <w:spacing w:before="200"/>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B44A86"/>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1C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1C5A"/>
    <w:rPr>
      <w:rFonts w:eastAsiaTheme="minorEastAsia"/>
      <w:lang w:eastAsia="ja-JP"/>
    </w:rPr>
  </w:style>
  <w:style w:type="paragraph" w:styleId="BalloonText">
    <w:name w:val="Balloon Text"/>
    <w:basedOn w:val="Normal"/>
    <w:link w:val="BalloonTextChar"/>
    <w:semiHidden/>
    <w:unhideWhenUsed/>
    <w:rsid w:val="00131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1C5A"/>
    <w:rPr>
      <w:rFonts w:ascii="Tahoma" w:eastAsiaTheme="minorEastAsia" w:hAnsi="Tahoma" w:cs="Tahoma"/>
      <w:sz w:val="16"/>
      <w:szCs w:val="16"/>
    </w:rPr>
  </w:style>
  <w:style w:type="character" w:customStyle="1" w:styleId="Heading1Char">
    <w:name w:val="Heading 1 Char"/>
    <w:basedOn w:val="DefaultParagraphFont"/>
    <w:link w:val="Heading1"/>
    <w:uiPriority w:val="9"/>
    <w:rsid w:val="00B44A86"/>
    <w:rPr>
      <w:rFonts w:ascii="Times New Roman" w:eastAsiaTheme="majorEastAsia" w:hAnsi="Times New Roman"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31C5A"/>
    <w:pPr>
      <w:outlineLvl w:val="9"/>
    </w:pPr>
    <w:rPr>
      <w:lang w:eastAsia="ja-JP"/>
    </w:rPr>
  </w:style>
  <w:style w:type="paragraph" w:styleId="Header">
    <w:name w:val="header"/>
    <w:basedOn w:val="Normal"/>
    <w:link w:val="HeaderChar"/>
    <w:uiPriority w:val="99"/>
    <w:unhideWhenUsed/>
    <w:rsid w:val="00131C5A"/>
    <w:pPr>
      <w:tabs>
        <w:tab w:val="center" w:pos="4703"/>
        <w:tab w:val="right" w:pos="9406"/>
      </w:tabs>
      <w:spacing w:after="0" w:line="240" w:lineRule="auto"/>
    </w:pPr>
  </w:style>
  <w:style w:type="character" w:customStyle="1" w:styleId="HeaderChar">
    <w:name w:val="Header Char"/>
    <w:basedOn w:val="DefaultParagraphFont"/>
    <w:link w:val="Header"/>
    <w:uiPriority w:val="99"/>
    <w:rsid w:val="00131C5A"/>
    <w:rPr>
      <w:rFonts w:eastAsiaTheme="minorEastAsia" w:cs="Times New Roman"/>
    </w:rPr>
  </w:style>
  <w:style w:type="paragraph" w:styleId="Footer">
    <w:name w:val="footer"/>
    <w:basedOn w:val="Normal"/>
    <w:link w:val="FooterChar"/>
    <w:uiPriority w:val="99"/>
    <w:unhideWhenUsed/>
    <w:rsid w:val="00131C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131C5A"/>
    <w:rPr>
      <w:rFonts w:eastAsiaTheme="minorEastAsia" w:cs="Times New Roman"/>
    </w:rPr>
  </w:style>
  <w:style w:type="paragraph" w:styleId="ListParagraph">
    <w:name w:val="List Paragraph"/>
    <w:basedOn w:val="Normal"/>
    <w:uiPriority w:val="34"/>
    <w:qFormat/>
    <w:rsid w:val="00131C5A"/>
    <w:pPr>
      <w:ind w:left="720"/>
      <w:contextualSpacing/>
    </w:pPr>
  </w:style>
  <w:style w:type="character" w:styleId="Hyperlink">
    <w:name w:val="Hyperlink"/>
    <w:basedOn w:val="DefaultParagraphFont"/>
    <w:uiPriority w:val="99"/>
    <w:unhideWhenUsed/>
    <w:rsid w:val="009977FB"/>
    <w:rPr>
      <w:color w:val="0000FF" w:themeColor="hyperlink"/>
      <w:u w:val="single"/>
    </w:rPr>
  </w:style>
  <w:style w:type="paragraph" w:styleId="TOC1">
    <w:name w:val="toc 1"/>
    <w:basedOn w:val="Normal"/>
    <w:next w:val="Normal"/>
    <w:autoRedefine/>
    <w:uiPriority w:val="39"/>
    <w:unhideWhenUsed/>
    <w:rsid w:val="00D653D5"/>
    <w:pPr>
      <w:tabs>
        <w:tab w:val="right" w:leader="dot" w:pos="9396"/>
      </w:tabs>
      <w:spacing w:after="100"/>
    </w:pPr>
  </w:style>
  <w:style w:type="character" w:customStyle="1" w:styleId="Heading2Char">
    <w:name w:val="Heading 2 Char"/>
    <w:basedOn w:val="DefaultParagraphFont"/>
    <w:link w:val="Heading2"/>
    <w:uiPriority w:val="9"/>
    <w:rsid w:val="00B44A86"/>
    <w:rPr>
      <w:rFonts w:ascii="Times New Roman" w:eastAsiaTheme="majorEastAsia" w:hAnsi="Times New Roman" w:cstheme="majorBidi"/>
      <w:b/>
      <w:bCs/>
      <w:color w:val="365F91" w:themeColor="accent1" w:themeShade="BF"/>
      <w:sz w:val="26"/>
      <w:szCs w:val="26"/>
    </w:rPr>
  </w:style>
  <w:style w:type="paragraph" w:styleId="TOC2">
    <w:name w:val="toc 2"/>
    <w:basedOn w:val="Normal"/>
    <w:next w:val="Normal"/>
    <w:autoRedefine/>
    <w:uiPriority w:val="39"/>
    <w:unhideWhenUsed/>
    <w:rsid w:val="00B96CCE"/>
    <w:pPr>
      <w:tabs>
        <w:tab w:val="right" w:leader="dot" w:pos="9849"/>
      </w:tabs>
      <w:spacing w:after="100"/>
      <w:ind w:left="220"/>
    </w:pPr>
  </w:style>
  <w:style w:type="character" w:customStyle="1" w:styleId="Heading3Char">
    <w:name w:val="Heading 3 Char"/>
    <w:basedOn w:val="DefaultParagraphFont"/>
    <w:link w:val="Heading3"/>
    <w:uiPriority w:val="9"/>
    <w:rsid w:val="00B44A86"/>
    <w:rPr>
      <w:rFonts w:asciiTheme="majorHAnsi" w:eastAsiaTheme="majorEastAsia" w:hAnsiTheme="majorHAnsi" w:cstheme="majorBidi"/>
      <w:b/>
      <w:bCs/>
      <w:color w:val="365F91" w:themeColor="accent1" w:themeShade="BF"/>
      <w:sz w:val="24"/>
    </w:rPr>
  </w:style>
  <w:style w:type="paragraph" w:styleId="TOC3">
    <w:name w:val="toc 3"/>
    <w:basedOn w:val="Normal"/>
    <w:next w:val="Normal"/>
    <w:autoRedefine/>
    <w:uiPriority w:val="39"/>
    <w:unhideWhenUsed/>
    <w:rsid w:val="00061BD0"/>
    <w:pPr>
      <w:spacing w:after="100"/>
      <w:ind w:left="440"/>
    </w:pPr>
  </w:style>
  <w:style w:type="character" w:styleId="CommentReference">
    <w:name w:val="annotation reference"/>
    <w:basedOn w:val="DefaultParagraphFont"/>
    <w:uiPriority w:val="99"/>
    <w:semiHidden/>
    <w:unhideWhenUsed/>
    <w:rsid w:val="00294109"/>
    <w:rPr>
      <w:sz w:val="16"/>
      <w:szCs w:val="16"/>
    </w:rPr>
  </w:style>
  <w:style w:type="paragraph" w:styleId="CommentText">
    <w:name w:val="annotation text"/>
    <w:basedOn w:val="Normal"/>
    <w:link w:val="CommentTextChar"/>
    <w:uiPriority w:val="99"/>
    <w:semiHidden/>
    <w:unhideWhenUsed/>
    <w:rsid w:val="00294109"/>
    <w:pPr>
      <w:spacing w:line="240" w:lineRule="auto"/>
    </w:pPr>
    <w:rPr>
      <w:sz w:val="20"/>
      <w:szCs w:val="20"/>
    </w:rPr>
  </w:style>
  <w:style w:type="character" w:customStyle="1" w:styleId="CommentTextChar">
    <w:name w:val="Comment Text Char"/>
    <w:basedOn w:val="DefaultParagraphFont"/>
    <w:link w:val="CommentText"/>
    <w:uiPriority w:val="99"/>
    <w:semiHidden/>
    <w:rsid w:val="0029410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94109"/>
    <w:rPr>
      <w:b/>
      <w:bCs/>
    </w:rPr>
  </w:style>
  <w:style w:type="character" w:customStyle="1" w:styleId="CommentSubjectChar">
    <w:name w:val="Comment Subject Char"/>
    <w:basedOn w:val="CommentTextChar"/>
    <w:link w:val="CommentSubject"/>
    <w:uiPriority w:val="99"/>
    <w:semiHidden/>
    <w:rsid w:val="00294109"/>
    <w:rPr>
      <w:rFonts w:eastAsiaTheme="minorEastAsia" w:cs="Times New Roman"/>
      <w:b/>
      <w:bCs/>
      <w:sz w:val="20"/>
      <w:szCs w:val="20"/>
    </w:rPr>
  </w:style>
  <w:style w:type="paragraph" w:styleId="Revision">
    <w:name w:val="Revision"/>
    <w:hidden/>
    <w:uiPriority w:val="99"/>
    <w:semiHidden/>
    <w:rsid w:val="00EB0799"/>
    <w:pPr>
      <w:spacing w:after="0" w:line="240" w:lineRule="auto"/>
    </w:pPr>
    <w:rPr>
      <w:rFonts w:eastAsiaTheme="minorEastAsia" w:cs="Times New Roman"/>
    </w:rPr>
  </w:style>
  <w:style w:type="paragraph" w:customStyle="1" w:styleId="Default">
    <w:name w:val="Default"/>
    <w:rsid w:val="00BA488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8343">
      <w:bodyDiv w:val="1"/>
      <w:marLeft w:val="0"/>
      <w:marRight w:val="0"/>
      <w:marTop w:val="0"/>
      <w:marBottom w:val="0"/>
      <w:divBdr>
        <w:top w:val="none" w:sz="0" w:space="0" w:color="auto"/>
        <w:left w:val="none" w:sz="0" w:space="0" w:color="auto"/>
        <w:bottom w:val="none" w:sz="0" w:space="0" w:color="auto"/>
        <w:right w:val="none" w:sz="0" w:space="0" w:color="auto"/>
      </w:divBdr>
    </w:div>
    <w:div w:id="596712948">
      <w:bodyDiv w:val="1"/>
      <w:marLeft w:val="0"/>
      <w:marRight w:val="0"/>
      <w:marTop w:val="0"/>
      <w:marBottom w:val="0"/>
      <w:divBdr>
        <w:top w:val="none" w:sz="0" w:space="0" w:color="auto"/>
        <w:left w:val="none" w:sz="0" w:space="0" w:color="auto"/>
        <w:bottom w:val="none" w:sz="0" w:space="0" w:color="auto"/>
        <w:right w:val="none" w:sz="0" w:space="0" w:color="auto"/>
      </w:divBdr>
    </w:div>
    <w:div w:id="858351284">
      <w:bodyDiv w:val="1"/>
      <w:marLeft w:val="0"/>
      <w:marRight w:val="0"/>
      <w:marTop w:val="0"/>
      <w:marBottom w:val="0"/>
      <w:divBdr>
        <w:top w:val="none" w:sz="0" w:space="0" w:color="auto"/>
        <w:left w:val="none" w:sz="0" w:space="0" w:color="auto"/>
        <w:bottom w:val="none" w:sz="0" w:space="0" w:color="auto"/>
        <w:right w:val="none" w:sz="0" w:space="0" w:color="auto"/>
      </w:divBdr>
    </w:div>
    <w:div w:id="18624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av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vw.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strategy.b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София, октомври 2017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0E0BED-F668-4B81-AD7B-D629DC31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17202</Words>
  <Characters>98055</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Цялостна предварителна оценка на въздействието на проект на Закон за виното и спиртните напитки</vt:lpstr>
    </vt:vector>
  </TitlesOfParts>
  <Company>министерство на земделието, храните и горите на република българия</Company>
  <LinksUpToDate>false</LinksUpToDate>
  <CharactersWithSpaces>115027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Цялостна предварителна оценка на въздействието на проект на Закон за виното и спиртните напитки</dc:title>
  <dc:subject>Доклад от извършена цялостна предварителна оценка на въздействието</dc:subject>
  <dc:creator>ANG</dc:creator>
  <cp:lastModifiedBy>Evstatiy Evstatiev</cp:lastModifiedBy>
  <cp:revision>3</cp:revision>
  <cp:lastPrinted>2019-07-26T11:56:00Z</cp:lastPrinted>
  <dcterms:created xsi:type="dcterms:W3CDTF">2019-07-26T08:13:00Z</dcterms:created>
  <dcterms:modified xsi:type="dcterms:W3CDTF">2019-07-26T11:57:00Z</dcterms:modified>
</cp:coreProperties>
</file>