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16" w:rsidRDefault="00624816" w:rsidP="00624816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</w:p>
    <w:p w:rsidR="00597E85" w:rsidRPr="00624816" w:rsidRDefault="00597E85" w:rsidP="00624816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624816">
        <w:rPr>
          <w:rFonts w:ascii="Verdana" w:hAnsi="Verdana"/>
          <w:b/>
          <w:szCs w:val="24"/>
          <w:lang w:val="bg-BG"/>
        </w:rPr>
        <w:t>М  О  Т  И  В  И</w:t>
      </w:r>
    </w:p>
    <w:p w:rsidR="00597E85" w:rsidRPr="008D11B7" w:rsidRDefault="00597E85" w:rsidP="00624816">
      <w:pPr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8D11B7">
        <w:rPr>
          <w:rFonts w:ascii="Verdana" w:hAnsi="Verdana"/>
          <w:b/>
          <w:bCs/>
          <w:sz w:val="20"/>
          <w:lang w:val="bg-BG"/>
        </w:rPr>
        <w:t xml:space="preserve">към проекта на </w:t>
      </w:r>
      <w:r w:rsidRPr="008D11B7">
        <w:rPr>
          <w:rFonts w:ascii="Verdana" w:hAnsi="Verdana"/>
          <w:b/>
          <w:sz w:val="20"/>
          <w:lang w:val="bg-BG"/>
        </w:rPr>
        <w:t>Закон за виното и спиртните напитки</w:t>
      </w:r>
    </w:p>
    <w:p w:rsidR="00597E85" w:rsidRPr="00597E85" w:rsidRDefault="00597E85" w:rsidP="00624816">
      <w:pPr>
        <w:spacing w:line="360" w:lineRule="auto"/>
        <w:ind w:firstLine="709"/>
        <w:jc w:val="both"/>
        <w:rPr>
          <w:rFonts w:ascii="Verdana" w:hAnsi="Verdana" w:cs="Tahoma"/>
          <w:color w:val="333333"/>
          <w:sz w:val="20"/>
          <w:lang w:val="bg-BG"/>
        </w:rPr>
      </w:pPr>
    </w:p>
    <w:p w:rsidR="003E610E" w:rsidRDefault="003E610E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3E610E">
        <w:rPr>
          <w:rFonts w:ascii="Verdana" w:hAnsi="Verdana" w:cs="Tahoma" w:hint="eastAsia"/>
          <w:color w:val="333333"/>
          <w:sz w:val="20"/>
          <w:lang w:val="bg-BG"/>
        </w:rPr>
        <w:t>Приемането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нов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закон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породено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необходимостта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гарантира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провеждането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политиката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Pr="003E610E">
        <w:rPr>
          <w:rFonts w:ascii="Verdana" w:hAnsi="Verdana" w:cs="Tahoma" w:hint="eastAsia"/>
          <w:color w:val="333333"/>
          <w:sz w:val="20"/>
          <w:lang w:val="bg-BG"/>
        </w:rPr>
        <w:t>лозаро</w:t>
      </w:r>
      <w:r w:rsidRPr="003E610E">
        <w:rPr>
          <w:rFonts w:ascii="Verdana" w:hAnsi="Verdana" w:cs="Tahoma"/>
          <w:color w:val="333333"/>
          <w:sz w:val="20"/>
          <w:lang w:val="bg-BG"/>
        </w:rPr>
        <w:t>-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винарския</w:t>
      </w:r>
      <w:proofErr w:type="spellEnd"/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сектор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областта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спиртните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напитки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.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Тази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промяна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свързана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необходимостта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изпълнение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препоръки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страна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Европейската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комисия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(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ЕК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отношение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конкретни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разпоредби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които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водят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до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разминавания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между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действащото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право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ЕС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закона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.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тази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връзка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направено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запитване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системата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EU </w:t>
      </w:r>
      <w:proofErr w:type="spellStart"/>
      <w:r w:rsidRPr="003E610E">
        <w:rPr>
          <w:rFonts w:ascii="Verdana" w:hAnsi="Verdana" w:cs="Tahoma"/>
          <w:color w:val="333333"/>
          <w:sz w:val="20"/>
          <w:lang w:val="bg-BG"/>
        </w:rPr>
        <w:t>Pilot</w:t>
      </w:r>
      <w:proofErr w:type="spellEnd"/>
      <w:r w:rsidRPr="003E610E">
        <w:rPr>
          <w:rFonts w:ascii="Verdana" w:hAnsi="Verdana" w:cs="Tahoma"/>
          <w:color w:val="333333"/>
          <w:sz w:val="20"/>
          <w:lang w:val="bg-BG"/>
        </w:rPr>
        <w:t xml:space="preserve"> –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5919/2013/AGRI.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хода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проведената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комуникация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ЕК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след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направен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анализ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отправените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бележки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Република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България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поела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ангажимент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подготви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нов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3E610E">
        <w:rPr>
          <w:rFonts w:ascii="Verdana" w:hAnsi="Verdana" w:cs="Tahoma" w:hint="eastAsia"/>
          <w:color w:val="333333"/>
          <w:sz w:val="20"/>
          <w:lang w:val="bg-BG"/>
        </w:rPr>
        <w:t>законопроект</w:t>
      </w:r>
      <w:r w:rsidRPr="003E610E">
        <w:rPr>
          <w:rFonts w:ascii="Verdana" w:hAnsi="Verdana" w:cs="Tahoma"/>
          <w:color w:val="333333"/>
          <w:sz w:val="20"/>
          <w:lang w:val="bg-BG"/>
        </w:rPr>
        <w:t xml:space="preserve">. </w:t>
      </w:r>
    </w:p>
    <w:p w:rsid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закона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разписани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текстове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свързани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със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системата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въведена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Регламент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(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1308/2013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Европейския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парламент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Съвета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17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декември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2013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година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установяване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обща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организация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пазарите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селскостопански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продукти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отмяна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регламенти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(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ЕИО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922/72, (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ЕИО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234/79, (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1037/2001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(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)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№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1234/2007.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тази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система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цели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ограничаване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нарастването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броя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новите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лозови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насаждения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посредством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предпазен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механизъм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основан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задължение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ежегодно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предоставяне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разрешения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нови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насаждения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размер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1%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засадените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лозя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площи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към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31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юли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предходната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година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Целта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въведения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механизъм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запазване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качеството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авторитета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вината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произведени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Европейския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съюз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Периодът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действие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разрешителния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режим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лозови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насаждения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Европейския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съюз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1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януари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2016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г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31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декември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2030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г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.,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като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правилата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прилагането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му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изготвени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така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че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осигурят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прозрачна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справедлива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навременно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функционираща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система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адаптирана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към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нуждите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Pr="00FD5F66">
        <w:rPr>
          <w:rFonts w:ascii="Verdana" w:hAnsi="Verdana" w:cs="Tahoma" w:hint="eastAsia"/>
          <w:color w:val="333333"/>
          <w:sz w:val="20"/>
          <w:lang w:val="bg-BG"/>
        </w:rPr>
        <w:t>лозаро</w:t>
      </w:r>
      <w:r w:rsidRPr="00FD5F66">
        <w:rPr>
          <w:rFonts w:ascii="Verdana" w:hAnsi="Verdana" w:cs="Tahoma"/>
          <w:color w:val="333333"/>
          <w:sz w:val="20"/>
          <w:lang w:val="bg-BG"/>
        </w:rPr>
        <w:t>-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винарския</w:t>
      </w:r>
      <w:proofErr w:type="spellEnd"/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сектор</w:t>
      </w:r>
      <w:r w:rsidRPr="00FD5F66">
        <w:rPr>
          <w:rFonts w:ascii="Verdana" w:hAnsi="Verdana" w:cs="Tahoma"/>
          <w:color w:val="333333"/>
          <w:sz w:val="20"/>
          <w:lang w:val="bg-BG"/>
        </w:rPr>
        <w:t>.</w:t>
      </w:r>
    </w:p>
    <w:p w:rsidR="00FD5F66" w:rsidRDefault="00597E85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597E85">
        <w:rPr>
          <w:rFonts w:ascii="Verdana" w:hAnsi="Verdana" w:cs="Tahoma"/>
          <w:color w:val="333333"/>
          <w:sz w:val="20"/>
          <w:lang w:val="bg-BG"/>
        </w:rPr>
        <w:t xml:space="preserve">С приемането на новия закон се очаква да се гарантира безпрепятственото провеждане на политиката в </w:t>
      </w:r>
      <w:proofErr w:type="spellStart"/>
      <w:r w:rsidRPr="00597E85">
        <w:rPr>
          <w:rFonts w:ascii="Verdana" w:hAnsi="Verdana" w:cs="Tahoma"/>
          <w:color w:val="333333"/>
          <w:sz w:val="20"/>
          <w:lang w:val="bg-BG"/>
        </w:rPr>
        <w:t>лозаро-винарския</w:t>
      </w:r>
      <w:proofErr w:type="spellEnd"/>
      <w:r w:rsidRPr="00597E85">
        <w:rPr>
          <w:rFonts w:ascii="Verdana" w:hAnsi="Verdana" w:cs="Tahoma"/>
          <w:color w:val="333333"/>
          <w:sz w:val="20"/>
          <w:lang w:val="bg-BG"/>
        </w:rPr>
        <w:t xml:space="preserve"> сектор, производствения потенциал и контрола по спазването й, както и в областта на спиртните напитки</w:t>
      </w:r>
      <w:r w:rsidR="0019720F">
        <w:rPr>
          <w:rFonts w:ascii="Verdana" w:hAnsi="Verdana" w:cs="Tahoma"/>
          <w:color w:val="333333"/>
          <w:sz w:val="20"/>
          <w:lang w:val="bg-BG"/>
        </w:rPr>
        <w:t>.</w:t>
      </w:r>
      <w:r w:rsidR="00857A17" w:rsidRPr="00857A17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Продуктите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от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лозаро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>-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винарския</w:t>
      </w:r>
      <w:proofErr w:type="spellEnd"/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сектор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следва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се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произвеждат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съответствие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определени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правила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относно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енологичните</w:t>
      </w:r>
      <w:proofErr w:type="spellEnd"/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практики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ограничения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които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гарантират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общественото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здраве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очакванията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потребителите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отношение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качеството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производствените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FD5F66" w:rsidRPr="00FD5F66">
        <w:rPr>
          <w:rFonts w:ascii="Verdana" w:hAnsi="Verdana" w:cs="Tahoma" w:hint="eastAsia"/>
          <w:color w:val="333333"/>
          <w:sz w:val="20"/>
          <w:lang w:val="bg-BG"/>
        </w:rPr>
        <w:t>методи</w:t>
      </w:r>
      <w:r w:rsidR="00FD5F66" w:rsidRPr="00FD5F66">
        <w:rPr>
          <w:rFonts w:ascii="Verdana" w:hAnsi="Verdana" w:cs="Tahoma"/>
          <w:color w:val="333333"/>
          <w:sz w:val="20"/>
          <w:lang w:val="bg-BG"/>
        </w:rPr>
        <w:t>.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приемането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новия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Закон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виното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спиртните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напитки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очаква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бъдат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постигнати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следните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цели</w:t>
      </w:r>
      <w:r w:rsidRPr="00FD5F66">
        <w:rPr>
          <w:rFonts w:ascii="Verdana" w:hAnsi="Verdana" w:cs="Tahoma"/>
          <w:color w:val="333333"/>
          <w:sz w:val="20"/>
          <w:lang w:val="bg-BG"/>
        </w:rPr>
        <w:t>: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/>
          <w:color w:val="333333"/>
          <w:sz w:val="20"/>
          <w:lang w:val="bg-BG"/>
        </w:rPr>
        <w:t xml:space="preserve">1.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Възвръщане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традиционни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пазари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установяване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нови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рамките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единния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пазар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света</w:t>
      </w:r>
      <w:r w:rsidRPr="00FD5F66">
        <w:rPr>
          <w:rFonts w:ascii="Verdana" w:hAnsi="Verdana" w:cs="Tahoma"/>
          <w:color w:val="333333"/>
          <w:sz w:val="20"/>
          <w:lang w:val="bg-BG"/>
        </w:rPr>
        <w:t>;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/>
          <w:color w:val="333333"/>
          <w:sz w:val="20"/>
          <w:lang w:val="bg-BG"/>
        </w:rPr>
        <w:t xml:space="preserve">2.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Създаване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ясни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прости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ефикасни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правила</w:t>
      </w:r>
      <w:r w:rsidR="00624816">
        <w:rPr>
          <w:rFonts w:ascii="Verdana" w:hAnsi="Verdana" w:cs="Tahoma"/>
          <w:color w:val="333333"/>
          <w:sz w:val="20"/>
          <w:lang w:val="bg-BG"/>
        </w:rPr>
        <w:t>,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осигуряващи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баланс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между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търсенето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предлагането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Pr="00FD5F66">
        <w:rPr>
          <w:rFonts w:ascii="Verdana" w:hAnsi="Verdana" w:cs="Tahoma" w:hint="eastAsia"/>
          <w:color w:val="333333"/>
          <w:sz w:val="20"/>
          <w:lang w:val="bg-BG"/>
        </w:rPr>
        <w:t>лозаро</w:t>
      </w:r>
      <w:r w:rsidRPr="00FD5F66">
        <w:rPr>
          <w:rFonts w:ascii="Verdana" w:hAnsi="Verdana" w:cs="Tahoma"/>
          <w:color w:val="333333"/>
          <w:sz w:val="20"/>
          <w:lang w:val="bg-BG"/>
        </w:rPr>
        <w:t>-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винарския</w:t>
      </w:r>
      <w:proofErr w:type="spellEnd"/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сектор</w:t>
      </w:r>
      <w:r w:rsidRPr="00FD5F66">
        <w:rPr>
          <w:rFonts w:ascii="Verdana" w:hAnsi="Verdana" w:cs="Tahoma"/>
          <w:color w:val="333333"/>
          <w:sz w:val="20"/>
          <w:lang w:val="bg-BG"/>
        </w:rPr>
        <w:t>;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/>
          <w:color w:val="333333"/>
          <w:sz w:val="20"/>
          <w:lang w:val="bg-BG"/>
        </w:rPr>
        <w:t xml:space="preserve">3.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Ограничаване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нарастването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броя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новите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лозови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насаждения</w:t>
      </w:r>
      <w:r w:rsidRPr="00FD5F66">
        <w:rPr>
          <w:rFonts w:ascii="Verdana" w:hAnsi="Verdana" w:cs="Tahoma"/>
          <w:color w:val="333333"/>
          <w:sz w:val="20"/>
          <w:lang w:val="bg-BG"/>
        </w:rPr>
        <w:t>;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/>
          <w:color w:val="333333"/>
          <w:sz w:val="20"/>
          <w:lang w:val="bg-BG"/>
        </w:rPr>
        <w:t xml:space="preserve">4.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Актуализиране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методите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лабораторни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анализи</w:t>
      </w:r>
      <w:r w:rsidRPr="00FD5F66">
        <w:rPr>
          <w:rFonts w:ascii="Verdana" w:hAnsi="Verdana" w:cs="Tahoma"/>
          <w:color w:val="333333"/>
          <w:sz w:val="20"/>
          <w:lang w:val="bg-BG"/>
        </w:rPr>
        <w:t>;</w:t>
      </w:r>
    </w:p>
    <w:p w:rsidR="008D11B7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/>
          <w:color w:val="333333"/>
          <w:sz w:val="20"/>
          <w:lang w:val="bg-BG"/>
        </w:rPr>
        <w:lastRenderedPageBreak/>
        <w:t xml:space="preserve">5.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Предотвратяване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нелоялни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практики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постигане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прозрачност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конкуренция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пазара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производството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спиртни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напитки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proofErr w:type="spellStart"/>
      <w:r w:rsidRPr="00FD5F66">
        <w:rPr>
          <w:rFonts w:ascii="Verdana" w:hAnsi="Verdana" w:cs="Tahoma" w:hint="eastAsia"/>
          <w:color w:val="333333"/>
          <w:sz w:val="20"/>
          <w:lang w:val="bg-BG"/>
        </w:rPr>
        <w:t>гроздо</w:t>
      </w:r>
      <w:proofErr w:type="spellEnd"/>
      <w:r w:rsidRPr="00FD5F66">
        <w:rPr>
          <w:rFonts w:ascii="Verdana" w:hAnsi="Verdana" w:cs="Tahoma"/>
          <w:color w:val="333333"/>
          <w:sz w:val="20"/>
          <w:lang w:val="bg-BG"/>
        </w:rPr>
        <w:t xml:space="preserve">-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винопроизводството</w:t>
      </w:r>
      <w:r w:rsidRPr="00FD5F66">
        <w:rPr>
          <w:rFonts w:ascii="Verdana" w:hAnsi="Verdana" w:cs="Tahoma"/>
          <w:color w:val="333333"/>
          <w:sz w:val="20"/>
          <w:lang w:val="bg-BG"/>
        </w:rPr>
        <w:t>.</w:t>
      </w:r>
    </w:p>
    <w:p w:rsidR="00974206" w:rsidRDefault="00744FF4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>
        <w:rPr>
          <w:rFonts w:ascii="Verdana" w:hAnsi="Verdana" w:cs="Tahoma"/>
          <w:color w:val="333333"/>
          <w:sz w:val="20"/>
          <w:lang w:val="bg-BG"/>
        </w:rPr>
        <w:t>Министърът на земеделието,</w:t>
      </w:r>
      <w:r w:rsidR="00D45E8D" w:rsidRPr="00D45E8D">
        <w:rPr>
          <w:rFonts w:ascii="Verdana" w:hAnsi="Verdana" w:cs="Tahoma"/>
          <w:color w:val="333333"/>
          <w:sz w:val="20"/>
          <w:lang w:val="bg-BG"/>
        </w:rPr>
        <w:t xml:space="preserve"> храните</w:t>
      </w:r>
      <w:r>
        <w:rPr>
          <w:rFonts w:ascii="Verdana" w:hAnsi="Verdana" w:cs="Tahoma"/>
          <w:color w:val="333333"/>
          <w:sz w:val="20"/>
          <w:lang w:val="bg-BG"/>
        </w:rPr>
        <w:t xml:space="preserve"> и горите</w:t>
      </w:r>
      <w:r w:rsidR="00D45E8D" w:rsidRPr="00D45E8D">
        <w:rPr>
          <w:rFonts w:ascii="Verdana" w:hAnsi="Verdana" w:cs="Tahoma"/>
          <w:color w:val="333333"/>
          <w:sz w:val="20"/>
          <w:lang w:val="bg-BG"/>
        </w:rPr>
        <w:t xml:space="preserve"> осъществява държавната политика в </w:t>
      </w:r>
      <w:proofErr w:type="spellStart"/>
      <w:r w:rsidR="00D45E8D" w:rsidRPr="00D45E8D">
        <w:rPr>
          <w:rFonts w:ascii="Verdana" w:hAnsi="Verdana" w:cs="Tahoma"/>
          <w:color w:val="333333"/>
          <w:sz w:val="20"/>
          <w:lang w:val="bg-BG"/>
        </w:rPr>
        <w:t>лозаро-винарския</w:t>
      </w:r>
      <w:proofErr w:type="spellEnd"/>
      <w:r w:rsidR="00D45E8D" w:rsidRPr="00D45E8D">
        <w:rPr>
          <w:rFonts w:ascii="Verdana" w:hAnsi="Verdana" w:cs="Tahoma"/>
          <w:color w:val="333333"/>
          <w:sz w:val="20"/>
          <w:lang w:val="bg-BG"/>
        </w:rPr>
        <w:t xml:space="preserve"> сектор</w:t>
      </w:r>
      <w:r w:rsidR="00D45E8D" w:rsidRPr="00F02CC9">
        <w:rPr>
          <w:rFonts w:ascii="Verdana" w:hAnsi="Verdana" w:cs="Tahoma"/>
          <w:color w:val="000000" w:themeColor="text1"/>
          <w:sz w:val="20"/>
          <w:lang w:val="bg-BG"/>
        </w:rPr>
        <w:t xml:space="preserve"> и </w:t>
      </w:r>
      <w:r w:rsidR="00D45E8D" w:rsidRPr="00D45E8D">
        <w:rPr>
          <w:rFonts w:ascii="Verdana" w:hAnsi="Verdana" w:cs="Tahoma"/>
          <w:color w:val="333333"/>
          <w:sz w:val="20"/>
          <w:lang w:val="bg-BG"/>
        </w:rPr>
        <w:t xml:space="preserve">по отношение на производството на плодови вина и оцет. Контролът за спазване изискванията на закона по отношение на лозовите насаждения и </w:t>
      </w:r>
      <w:proofErr w:type="spellStart"/>
      <w:r w:rsidR="00D45E8D" w:rsidRPr="00D45E8D">
        <w:rPr>
          <w:rFonts w:ascii="Verdana" w:hAnsi="Verdana" w:cs="Tahoma"/>
          <w:color w:val="333333"/>
          <w:sz w:val="20"/>
          <w:lang w:val="bg-BG"/>
        </w:rPr>
        <w:t>лозаро-винарските</w:t>
      </w:r>
      <w:proofErr w:type="spellEnd"/>
      <w:r w:rsidR="00D45E8D" w:rsidRPr="00D45E8D">
        <w:rPr>
          <w:rFonts w:ascii="Verdana" w:hAnsi="Verdana" w:cs="Tahoma"/>
          <w:color w:val="333333"/>
          <w:sz w:val="20"/>
          <w:lang w:val="bg-BG"/>
        </w:rPr>
        <w:t xml:space="preserve"> продукти, плодовите вина и оцета се упражнява от Изпълнителната агенция по лозата и виното</w:t>
      </w:r>
      <w:r w:rsidR="00D45E8D">
        <w:rPr>
          <w:rFonts w:ascii="Verdana" w:hAnsi="Verdana" w:cs="Tahoma"/>
          <w:color w:val="333333"/>
          <w:sz w:val="20"/>
          <w:lang w:val="bg-BG"/>
        </w:rPr>
        <w:t>.</w:t>
      </w:r>
    </w:p>
    <w:p w:rsidR="00974206" w:rsidRPr="00974206" w:rsidRDefault="00D45E8D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974206">
        <w:rPr>
          <w:rFonts w:ascii="Verdana" w:hAnsi="Verdana" w:cs="Tahoma"/>
          <w:color w:val="333333"/>
          <w:sz w:val="20"/>
          <w:lang w:val="bg-BG"/>
        </w:rPr>
        <w:t>В закона</w:t>
      </w:r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са уредени условията и реда за издаване на разрешения за засаждане на нови насаждения и за </w:t>
      </w:r>
      <w:proofErr w:type="spellStart"/>
      <w:r w:rsidR="00974206" w:rsidRPr="00974206">
        <w:rPr>
          <w:rFonts w:ascii="Verdana" w:hAnsi="Verdana" w:cs="Tahoma"/>
          <w:color w:val="333333"/>
          <w:sz w:val="20"/>
          <w:lang w:val="bg-BG"/>
        </w:rPr>
        <w:t>презасаждане</w:t>
      </w:r>
      <w:proofErr w:type="spellEnd"/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на територията на страната. Разписани са и разпоредби, свързани с прилагането на национално ниво на преходния режим за преобразуване на права за засаждане и </w:t>
      </w:r>
      <w:proofErr w:type="spellStart"/>
      <w:r w:rsidR="00974206" w:rsidRPr="00974206">
        <w:rPr>
          <w:rFonts w:ascii="Verdana" w:hAnsi="Verdana" w:cs="Tahoma"/>
          <w:color w:val="333333"/>
          <w:sz w:val="20"/>
          <w:lang w:val="bg-BG"/>
        </w:rPr>
        <w:t>презасаждане</w:t>
      </w:r>
      <w:proofErr w:type="spellEnd"/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в разрешения за засаждане на нови насаждения. </w:t>
      </w:r>
      <w:r w:rsidR="00974206">
        <w:rPr>
          <w:rFonts w:ascii="Verdana" w:hAnsi="Verdana" w:cs="Tahoma"/>
          <w:color w:val="333333"/>
          <w:sz w:val="20"/>
          <w:lang w:val="bg-BG"/>
        </w:rPr>
        <w:t>Определени</w:t>
      </w:r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са и хипотезите, в които не се изисква издаването на разрешения за лозови насаждения </w:t>
      </w:r>
      <w:r w:rsidR="00624816">
        <w:rPr>
          <w:rFonts w:ascii="Verdana" w:hAnsi="Verdana" w:cs="Tahoma"/>
          <w:color w:val="333333"/>
          <w:sz w:val="20"/>
          <w:lang w:val="bg-BG"/>
        </w:rPr>
        <w:t>–</w:t>
      </w:r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засаждането или </w:t>
      </w:r>
      <w:proofErr w:type="spellStart"/>
      <w:r w:rsidR="00974206" w:rsidRPr="00974206">
        <w:rPr>
          <w:rFonts w:ascii="Verdana" w:hAnsi="Verdana" w:cs="Tahoma"/>
          <w:color w:val="333333"/>
          <w:sz w:val="20"/>
          <w:lang w:val="bg-BG"/>
        </w:rPr>
        <w:t>презасаждането</w:t>
      </w:r>
      <w:proofErr w:type="spellEnd"/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на площи, предназначени за експериментални цели; отглеждане на лозов посадъчен материал, от който се произвежда вино или </w:t>
      </w:r>
      <w:proofErr w:type="spellStart"/>
      <w:r w:rsidR="00974206" w:rsidRPr="00974206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продукти, предназначени за консумация само в домакинството на производителя или от организации, произвеждащи вино само за вътрешна консумация; при </w:t>
      </w:r>
      <w:proofErr w:type="spellStart"/>
      <w:r w:rsidR="00974206" w:rsidRPr="00974206">
        <w:rPr>
          <w:rFonts w:ascii="Verdana" w:hAnsi="Verdana" w:cs="Tahoma"/>
          <w:color w:val="333333"/>
          <w:sz w:val="20"/>
          <w:lang w:val="bg-BG"/>
        </w:rPr>
        <w:t>презасаждане</w:t>
      </w:r>
      <w:proofErr w:type="spellEnd"/>
      <w:r w:rsidR="00974206" w:rsidRPr="00974206">
        <w:rPr>
          <w:rFonts w:ascii="Verdana" w:hAnsi="Verdana" w:cs="Tahoma"/>
          <w:color w:val="333333"/>
          <w:sz w:val="20"/>
          <w:lang w:val="bg-BG"/>
        </w:rPr>
        <w:t xml:space="preserve"> от производител, на когото са отчуждени имоти за държавна или общинска нужда, които са били засадени с лозя. </w:t>
      </w:r>
    </w:p>
    <w:p w:rsidR="00D45E8D" w:rsidRPr="00715A4A" w:rsidRDefault="00D45E8D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D45E8D">
        <w:rPr>
          <w:rFonts w:ascii="Verdana" w:hAnsi="Verdana" w:cs="Tahoma"/>
          <w:color w:val="333333"/>
          <w:sz w:val="20"/>
          <w:lang w:val="bg-BG"/>
        </w:rPr>
        <w:t>За целите на контрола е регламентирано поддържането на лозарски регистър, който съдържа актуализирана информацията, посочена в Приложение І</w:t>
      </w:r>
      <w:r w:rsidR="00140783">
        <w:rPr>
          <w:rFonts w:ascii="Verdana" w:hAnsi="Verdana" w:cs="Tahoma"/>
          <w:color w:val="333333"/>
          <w:sz w:val="20"/>
        </w:rPr>
        <w:t>II</w:t>
      </w:r>
      <w:r w:rsidR="00140783" w:rsidRPr="00CE198B">
        <w:rPr>
          <w:rFonts w:ascii="Verdana" w:hAnsi="Verdana" w:cs="Tahoma"/>
          <w:color w:val="333333"/>
          <w:sz w:val="20"/>
          <w:lang w:val="ru-RU"/>
        </w:rPr>
        <w:t xml:space="preserve"> </w:t>
      </w:r>
      <w:r w:rsidR="00140783">
        <w:rPr>
          <w:rFonts w:ascii="Verdana" w:hAnsi="Verdana" w:cs="Tahoma"/>
          <w:color w:val="333333"/>
          <w:sz w:val="20"/>
          <w:lang w:val="bg-BG"/>
        </w:rPr>
        <w:t xml:space="preserve">и </w:t>
      </w:r>
      <w:r w:rsidR="00140783">
        <w:rPr>
          <w:rFonts w:ascii="Verdana" w:hAnsi="Verdana" w:cs="Tahoma"/>
          <w:color w:val="333333"/>
          <w:sz w:val="20"/>
        </w:rPr>
        <w:t>IV</w:t>
      </w:r>
      <w:r w:rsidRPr="00D45E8D">
        <w:rPr>
          <w:rFonts w:ascii="Verdana" w:hAnsi="Verdana" w:cs="Tahoma"/>
          <w:color w:val="333333"/>
          <w:sz w:val="20"/>
          <w:lang w:val="bg-BG"/>
        </w:rPr>
        <w:t xml:space="preserve"> от </w:t>
      </w:r>
      <w:r w:rsidR="00140783">
        <w:rPr>
          <w:rFonts w:ascii="Verdana" w:hAnsi="Verdana" w:cs="Tahoma"/>
          <w:color w:val="333333"/>
          <w:sz w:val="20"/>
          <w:lang w:val="bg-BG"/>
        </w:rPr>
        <w:t>Делегиран р</w:t>
      </w:r>
      <w:r w:rsidRPr="00D45E8D">
        <w:rPr>
          <w:rFonts w:ascii="Verdana" w:hAnsi="Verdana" w:cs="Tahoma"/>
          <w:color w:val="333333"/>
          <w:sz w:val="20"/>
          <w:lang w:val="bg-BG"/>
        </w:rPr>
        <w:t>егламент (Е</w:t>
      </w:r>
      <w:r w:rsidR="00140783">
        <w:rPr>
          <w:rFonts w:ascii="Verdana" w:hAnsi="Verdana" w:cs="Tahoma"/>
          <w:color w:val="333333"/>
          <w:sz w:val="20"/>
          <w:lang w:val="bg-BG"/>
        </w:rPr>
        <w:t>С</w:t>
      </w:r>
      <w:r w:rsidRPr="00D45E8D">
        <w:rPr>
          <w:rFonts w:ascii="Verdana" w:hAnsi="Verdana" w:cs="Tahoma"/>
          <w:color w:val="333333"/>
          <w:sz w:val="20"/>
          <w:lang w:val="bg-BG"/>
        </w:rPr>
        <w:t xml:space="preserve">) № </w:t>
      </w:r>
      <w:r w:rsidR="00140783">
        <w:rPr>
          <w:rFonts w:ascii="Verdana" w:hAnsi="Verdana" w:cs="Tahoma"/>
          <w:color w:val="333333"/>
          <w:sz w:val="20"/>
          <w:lang w:val="bg-BG"/>
        </w:rPr>
        <w:t>2018</w:t>
      </w:r>
      <w:r w:rsidRPr="00D45E8D">
        <w:rPr>
          <w:rFonts w:ascii="Verdana" w:hAnsi="Verdana" w:cs="Tahoma"/>
          <w:color w:val="333333"/>
          <w:sz w:val="20"/>
          <w:lang w:val="bg-BG"/>
        </w:rPr>
        <w:t>/</w:t>
      </w:r>
      <w:r w:rsidR="00140783">
        <w:rPr>
          <w:rFonts w:ascii="Verdana" w:hAnsi="Verdana" w:cs="Tahoma"/>
          <w:color w:val="333333"/>
          <w:sz w:val="20"/>
          <w:lang w:val="bg-BG"/>
        </w:rPr>
        <w:t>273</w:t>
      </w:r>
      <w:r w:rsidRPr="00D45E8D">
        <w:rPr>
          <w:rFonts w:ascii="Verdana" w:hAnsi="Verdana" w:cs="Tahoma"/>
          <w:color w:val="333333"/>
          <w:sz w:val="20"/>
          <w:lang w:val="bg-BG"/>
        </w:rPr>
        <w:t xml:space="preserve"> на Комисията, свързана с </w:t>
      </w:r>
      <w:proofErr w:type="spellStart"/>
      <w:r w:rsidRPr="00D45E8D">
        <w:rPr>
          <w:rFonts w:ascii="Verdana" w:hAnsi="Verdana" w:cs="Tahoma"/>
          <w:color w:val="333333"/>
          <w:sz w:val="20"/>
          <w:lang w:val="bg-BG"/>
        </w:rPr>
        <w:t>гроздопроизводителите</w:t>
      </w:r>
      <w:proofErr w:type="spellEnd"/>
      <w:r w:rsidRPr="00D45E8D">
        <w:rPr>
          <w:rFonts w:ascii="Verdana" w:hAnsi="Verdana" w:cs="Tahoma"/>
          <w:color w:val="333333"/>
          <w:sz w:val="20"/>
          <w:lang w:val="bg-BG"/>
        </w:rPr>
        <w:t>, с управляваните от тях лозарски стопанства и винопроизводителите.</w:t>
      </w:r>
      <w:r w:rsidR="0097420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D45E8D">
        <w:rPr>
          <w:rFonts w:ascii="Verdana" w:hAnsi="Verdana" w:cs="Tahoma"/>
          <w:color w:val="333333"/>
          <w:sz w:val="20"/>
          <w:lang w:val="bg-BG"/>
        </w:rPr>
        <w:t xml:space="preserve">Категориите </w:t>
      </w:r>
      <w:proofErr w:type="spellStart"/>
      <w:r w:rsidRPr="00D45E8D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Pr="00D45E8D">
        <w:rPr>
          <w:rFonts w:ascii="Verdana" w:hAnsi="Verdana" w:cs="Tahoma"/>
          <w:color w:val="333333"/>
          <w:sz w:val="20"/>
          <w:lang w:val="bg-BG"/>
        </w:rPr>
        <w:t xml:space="preserve"> продукти и типът на вината са определени в </w:t>
      </w:r>
      <w:r w:rsidRPr="00715A4A">
        <w:rPr>
          <w:rFonts w:ascii="Verdana" w:hAnsi="Verdana" w:cs="Tahoma"/>
          <w:color w:val="333333"/>
          <w:sz w:val="20"/>
          <w:lang w:val="bg-BG"/>
        </w:rPr>
        <w:t>съгласно законодателството на ЕС. Уредени са изискванията към вина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та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 със защитено наименование на произход (ЗНП)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715A4A">
        <w:rPr>
          <w:rFonts w:ascii="Verdana" w:hAnsi="Verdana" w:cs="Tahoma"/>
          <w:color w:val="333333"/>
          <w:sz w:val="20"/>
          <w:lang w:val="bg-BG"/>
        </w:rPr>
        <w:t>вина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та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 със защитено географско указание (ЗГУ)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715A4A">
        <w:rPr>
          <w:rFonts w:ascii="Verdana" w:hAnsi="Verdana" w:cs="Tahoma"/>
          <w:color w:val="333333"/>
          <w:sz w:val="20"/>
          <w:lang w:val="bg-BG"/>
        </w:rPr>
        <w:t>сортови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те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 вина без ЗНП и 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 xml:space="preserve">ЗГУ и </w:t>
      </w:r>
      <w:r w:rsidRPr="00715A4A">
        <w:rPr>
          <w:rFonts w:ascii="Verdana" w:hAnsi="Verdana" w:cs="Tahoma"/>
          <w:color w:val="333333"/>
          <w:sz w:val="20"/>
          <w:lang w:val="bg-BG"/>
        </w:rPr>
        <w:t>вина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та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 без ЗНП и ЗГУ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, както и ре</w:t>
      </w:r>
      <w:r w:rsidR="004A08E5">
        <w:rPr>
          <w:rFonts w:ascii="Verdana" w:hAnsi="Verdana" w:cs="Tahoma"/>
          <w:color w:val="333333"/>
          <w:sz w:val="20"/>
          <w:lang w:val="bg-BG"/>
        </w:rPr>
        <w:t>д</w:t>
      </w:r>
      <w:r w:rsidR="00715A4A" w:rsidRPr="00715A4A">
        <w:rPr>
          <w:rFonts w:ascii="Verdana" w:hAnsi="Verdana" w:cs="Tahoma"/>
          <w:color w:val="333333"/>
          <w:sz w:val="20"/>
          <w:lang w:val="bg-BG"/>
        </w:rPr>
        <w:t>ът за предоставяне на правна закрила</w:t>
      </w:r>
      <w:r w:rsidRPr="00715A4A">
        <w:rPr>
          <w:rFonts w:ascii="Verdana" w:hAnsi="Verdana" w:cs="Tahoma"/>
          <w:color w:val="333333"/>
          <w:sz w:val="20"/>
          <w:lang w:val="bg-BG"/>
        </w:rPr>
        <w:t>.</w:t>
      </w:r>
    </w:p>
    <w:p w:rsidR="00D45E8D" w:rsidRDefault="00715A4A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715A4A">
        <w:rPr>
          <w:rFonts w:ascii="Verdana" w:hAnsi="Verdana" w:cs="Tahoma"/>
          <w:color w:val="333333"/>
          <w:sz w:val="20"/>
          <w:lang w:val="bg-BG"/>
        </w:rPr>
        <w:t xml:space="preserve">Законопроектът регулира статута на лицата, които произвеждат и предлагат  винено грозде и </w:t>
      </w:r>
      <w:proofErr w:type="spellStart"/>
      <w:r w:rsidRPr="00715A4A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Pr="00715A4A">
        <w:rPr>
          <w:rFonts w:ascii="Verdana" w:hAnsi="Verdana" w:cs="Tahoma"/>
          <w:color w:val="333333"/>
          <w:sz w:val="20"/>
          <w:lang w:val="bg-BG"/>
        </w:rPr>
        <w:t xml:space="preserve"> продукти, както и плодови вина и оцет.</w:t>
      </w:r>
      <w:r>
        <w:rPr>
          <w:rFonts w:ascii="Verdana" w:hAnsi="Verdana" w:cs="Tahoma"/>
          <w:color w:val="333333"/>
          <w:sz w:val="20"/>
          <w:lang w:val="bg-BG"/>
        </w:rPr>
        <w:t xml:space="preserve"> Уредени са техните задължения свързани с ежегодното подаване на декларации и воденето на днев</w:t>
      </w:r>
      <w:r w:rsidR="004A08E5">
        <w:rPr>
          <w:rFonts w:ascii="Verdana" w:hAnsi="Verdana" w:cs="Tahoma"/>
          <w:color w:val="333333"/>
          <w:sz w:val="20"/>
          <w:lang w:val="bg-BG"/>
        </w:rPr>
        <w:t>н</w:t>
      </w:r>
      <w:r>
        <w:rPr>
          <w:rFonts w:ascii="Verdana" w:hAnsi="Verdana" w:cs="Tahoma"/>
          <w:color w:val="333333"/>
          <w:sz w:val="20"/>
          <w:lang w:val="bg-BG"/>
        </w:rPr>
        <w:t>ици. Регламентирани са р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азрешените </w:t>
      </w:r>
      <w:proofErr w:type="spellStart"/>
      <w:r w:rsidRPr="00715A4A">
        <w:rPr>
          <w:rFonts w:ascii="Verdana" w:hAnsi="Verdana" w:cs="Tahoma"/>
          <w:color w:val="333333"/>
          <w:sz w:val="20"/>
          <w:lang w:val="bg-BG"/>
        </w:rPr>
        <w:t>енологични</w:t>
      </w:r>
      <w:proofErr w:type="spellEnd"/>
      <w:r w:rsidRPr="00715A4A">
        <w:rPr>
          <w:rFonts w:ascii="Verdana" w:hAnsi="Verdana" w:cs="Tahoma"/>
          <w:color w:val="333333"/>
          <w:sz w:val="20"/>
          <w:lang w:val="bg-BG"/>
        </w:rPr>
        <w:t xml:space="preserve"> практики, приложими към производството и съхраняването на </w:t>
      </w:r>
      <w:proofErr w:type="spellStart"/>
      <w:r w:rsidRPr="00715A4A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Pr="00715A4A">
        <w:rPr>
          <w:rFonts w:ascii="Verdana" w:hAnsi="Verdana" w:cs="Tahoma"/>
          <w:color w:val="333333"/>
          <w:sz w:val="20"/>
          <w:lang w:val="bg-BG"/>
        </w:rPr>
        <w:t xml:space="preserve"> продукти, условията за прилагането им и граничните стойности при употребата им, спецификациите за чистотата и идентичността на веществата, използвани в </w:t>
      </w:r>
      <w:proofErr w:type="spellStart"/>
      <w:r w:rsidRPr="00715A4A">
        <w:rPr>
          <w:rFonts w:ascii="Verdana" w:hAnsi="Verdana" w:cs="Tahoma"/>
          <w:color w:val="333333"/>
          <w:sz w:val="20"/>
          <w:lang w:val="bg-BG"/>
        </w:rPr>
        <w:t>енологичните</w:t>
      </w:r>
      <w:proofErr w:type="spellEnd"/>
      <w:r w:rsidRPr="00715A4A">
        <w:rPr>
          <w:rFonts w:ascii="Verdana" w:hAnsi="Verdana" w:cs="Tahoma"/>
          <w:color w:val="333333"/>
          <w:sz w:val="20"/>
          <w:lang w:val="bg-BG"/>
        </w:rPr>
        <w:t xml:space="preserve"> практики</w:t>
      </w:r>
      <w:r w:rsidR="008D11B7">
        <w:rPr>
          <w:rFonts w:ascii="Verdana" w:hAnsi="Verdana" w:cs="Tahoma"/>
          <w:color w:val="333333"/>
          <w:sz w:val="20"/>
          <w:lang w:val="bg-BG"/>
        </w:rPr>
        <w:t>,</w:t>
      </w:r>
      <w:r w:rsidRPr="00715A4A">
        <w:rPr>
          <w:rFonts w:ascii="Verdana" w:hAnsi="Verdana" w:cs="Tahoma"/>
          <w:color w:val="333333"/>
          <w:sz w:val="20"/>
          <w:lang w:val="bg-BG"/>
        </w:rPr>
        <w:t xml:space="preserve"> както и</w:t>
      </w:r>
      <w:r w:rsidRPr="00DF7C96">
        <w:rPr>
          <w:rFonts w:ascii="Verdana" w:hAnsi="Verdana" w:cs="Tahoma"/>
          <w:color w:val="333333"/>
          <w:sz w:val="20"/>
          <w:lang w:val="bg-BG"/>
        </w:rPr>
        <w:t xml:space="preserve"> експериментите за прилагането на нови </w:t>
      </w:r>
      <w:proofErr w:type="spellStart"/>
      <w:r w:rsidRPr="00DF7C96">
        <w:rPr>
          <w:rFonts w:ascii="Verdana" w:hAnsi="Verdana" w:cs="Tahoma"/>
          <w:color w:val="333333"/>
          <w:sz w:val="20"/>
          <w:lang w:val="bg-BG"/>
        </w:rPr>
        <w:t>енологични</w:t>
      </w:r>
      <w:proofErr w:type="spellEnd"/>
      <w:r w:rsidRPr="00DF7C96">
        <w:rPr>
          <w:rFonts w:ascii="Verdana" w:hAnsi="Verdana" w:cs="Tahoma"/>
          <w:color w:val="333333"/>
          <w:sz w:val="20"/>
          <w:lang w:val="bg-BG"/>
        </w:rPr>
        <w:t xml:space="preserve"> практики.</w:t>
      </w:r>
      <w:r w:rsidR="00DF7C96" w:rsidRPr="00DF7C96">
        <w:rPr>
          <w:rFonts w:ascii="Verdana" w:hAnsi="Verdana" w:cs="Tahoma"/>
          <w:color w:val="333333"/>
          <w:sz w:val="20"/>
          <w:lang w:val="bg-BG"/>
        </w:rPr>
        <w:t xml:space="preserve"> Включени са </w:t>
      </w:r>
      <w:r w:rsidR="00DF7C96" w:rsidRPr="008D11B7">
        <w:rPr>
          <w:rFonts w:ascii="Verdana" w:hAnsi="Verdana" w:cs="Tahoma"/>
          <w:color w:val="333333"/>
          <w:sz w:val="20"/>
          <w:lang w:val="bg-BG"/>
        </w:rPr>
        <w:t>прав</w:t>
      </w:r>
      <w:r w:rsidR="008D11B7" w:rsidRPr="008D11B7">
        <w:rPr>
          <w:rFonts w:ascii="Verdana" w:hAnsi="Verdana" w:cs="Tahoma"/>
          <w:color w:val="333333"/>
          <w:sz w:val="20"/>
          <w:lang w:val="bg-BG"/>
        </w:rPr>
        <w:t>н</w:t>
      </w:r>
      <w:r w:rsidR="00DF7C96" w:rsidRPr="008D11B7">
        <w:rPr>
          <w:rFonts w:ascii="Verdana" w:hAnsi="Verdana" w:cs="Tahoma"/>
          <w:color w:val="333333"/>
          <w:sz w:val="20"/>
          <w:lang w:val="bg-BG"/>
        </w:rPr>
        <w:t>и</w:t>
      </w:r>
      <w:r w:rsidR="00DF7C96" w:rsidRPr="00DF7C96">
        <w:rPr>
          <w:rFonts w:ascii="Verdana" w:hAnsi="Verdana" w:cs="Tahoma"/>
          <w:color w:val="333333"/>
          <w:sz w:val="20"/>
          <w:lang w:val="bg-BG"/>
        </w:rPr>
        <w:t xml:space="preserve"> норми</w:t>
      </w:r>
      <w:r w:rsidR="008D11B7">
        <w:rPr>
          <w:rFonts w:ascii="Verdana" w:hAnsi="Verdana" w:cs="Tahoma"/>
          <w:color w:val="333333"/>
          <w:sz w:val="20"/>
          <w:lang w:val="bg-BG"/>
        </w:rPr>
        <w:t>,</w:t>
      </w:r>
      <w:r w:rsidR="00DF7C96" w:rsidRPr="00DF7C96">
        <w:rPr>
          <w:rFonts w:ascii="Verdana" w:hAnsi="Verdana" w:cs="Tahoma"/>
          <w:color w:val="333333"/>
          <w:sz w:val="20"/>
          <w:lang w:val="bg-BG"/>
        </w:rPr>
        <w:t xml:space="preserve"> свързани с унищожаването на продуктите, произведени чрез различни от разрешените </w:t>
      </w:r>
      <w:proofErr w:type="spellStart"/>
      <w:r w:rsidR="00DF7C96" w:rsidRPr="00DF7C96">
        <w:rPr>
          <w:rFonts w:ascii="Verdana" w:hAnsi="Verdana" w:cs="Tahoma"/>
          <w:color w:val="333333"/>
          <w:sz w:val="20"/>
          <w:lang w:val="bg-BG"/>
        </w:rPr>
        <w:t>енологични</w:t>
      </w:r>
      <w:proofErr w:type="spellEnd"/>
      <w:r w:rsidR="00DF7C96" w:rsidRPr="00DF7C96">
        <w:rPr>
          <w:rFonts w:ascii="Verdana" w:hAnsi="Verdana" w:cs="Tahoma"/>
          <w:color w:val="333333"/>
          <w:sz w:val="20"/>
          <w:lang w:val="bg-BG"/>
        </w:rPr>
        <w:t xml:space="preserve"> практики и/или в нарушение на ограниченията за производството и съхраняването им.</w:t>
      </w:r>
    </w:p>
    <w:p w:rsidR="00DF7C96" w:rsidRDefault="00DF7C9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DF7C96">
        <w:rPr>
          <w:rFonts w:ascii="Verdana" w:hAnsi="Verdana" w:cs="Tahoma"/>
          <w:color w:val="333333"/>
          <w:sz w:val="20"/>
          <w:lang w:val="bg-BG"/>
        </w:rPr>
        <w:lastRenderedPageBreak/>
        <w:t xml:space="preserve">Етикетирането и представянето </w:t>
      </w:r>
      <w:proofErr w:type="spellStart"/>
      <w:r w:rsidRPr="00715A4A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Pr="00715A4A">
        <w:rPr>
          <w:rFonts w:ascii="Verdana" w:hAnsi="Verdana" w:cs="Tahoma"/>
          <w:color w:val="333333"/>
          <w:sz w:val="20"/>
          <w:lang w:val="bg-BG"/>
        </w:rPr>
        <w:t xml:space="preserve"> продукти</w:t>
      </w:r>
      <w:r w:rsidRPr="00DF7C96">
        <w:rPr>
          <w:rFonts w:ascii="Verdana" w:hAnsi="Verdana" w:cs="Tahoma"/>
          <w:color w:val="333333"/>
          <w:sz w:val="20"/>
          <w:lang w:val="bg-BG"/>
        </w:rPr>
        <w:t xml:space="preserve"> </w:t>
      </w:r>
      <w:r>
        <w:rPr>
          <w:rFonts w:ascii="Verdana" w:hAnsi="Verdana" w:cs="Tahoma"/>
          <w:color w:val="333333"/>
          <w:sz w:val="20"/>
          <w:lang w:val="bg-BG"/>
        </w:rPr>
        <w:t>са регламентирани в съответствие с</w:t>
      </w:r>
      <w:r w:rsidRPr="00DF7C96">
        <w:rPr>
          <w:rFonts w:ascii="Verdana" w:hAnsi="Verdana" w:cs="Tahoma"/>
          <w:color w:val="333333"/>
          <w:sz w:val="20"/>
          <w:lang w:val="bg-BG"/>
        </w:rPr>
        <w:t xml:space="preserve"> правилата на Глава IV на Регламент (ЕО) № 607/2009. </w:t>
      </w:r>
      <w:r w:rsidR="003353AC">
        <w:rPr>
          <w:rFonts w:ascii="Verdana" w:hAnsi="Verdana" w:cs="Tahoma"/>
          <w:color w:val="333333"/>
          <w:sz w:val="20"/>
          <w:lang w:val="bg-BG"/>
        </w:rPr>
        <w:t>Хармонизирани с правото на ЕС са и придружителите документи з</w:t>
      </w:r>
      <w:r w:rsidR="003353AC" w:rsidRPr="003353AC">
        <w:rPr>
          <w:rFonts w:ascii="Verdana" w:hAnsi="Verdana" w:cs="Tahoma"/>
          <w:color w:val="333333"/>
          <w:sz w:val="20"/>
          <w:lang w:val="bg-BG"/>
        </w:rPr>
        <w:t xml:space="preserve">а превоз на </w:t>
      </w:r>
      <w:proofErr w:type="spellStart"/>
      <w:r w:rsidR="003353AC" w:rsidRPr="003353AC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="003353AC" w:rsidRPr="003353AC">
        <w:rPr>
          <w:rFonts w:ascii="Verdana" w:hAnsi="Verdana" w:cs="Tahoma"/>
          <w:color w:val="333333"/>
          <w:sz w:val="20"/>
          <w:lang w:val="bg-BG"/>
        </w:rPr>
        <w:t xml:space="preserve"> продукти на територията на страната или на друга държава членка на Европейския съюз, както и предоставянето на специална гаранция при внос на </w:t>
      </w:r>
      <w:proofErr w:type="spellStart"/>
      <w:r w:rsidR="003353AC" w:rsidRPr="00715A4A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="003353AC" w:rsidRPr="00715A4A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="003353AC" w:rsidRPr="003353AC">
        <w:rPr>
          <w:rFonts w:ascii="Verdana" w:hAnsi="Verdana" w:cs="Tahoma"/>
          <w:color w:val="333333"/>
          <w:sz w:val="20"/>
          <w:lang w:val="bg-BG"/>
        </w:rPr>
        <w:t>продукти</w:t>
      </w:r>
      <w:r w:rsidR="003353AC">
        <w:rPr>
          <w:rFonts w:ascii="Verdana" w:hAnsi="Verdana" w:cs="Tahoma"/>
          <w:color w:val="333333"/>
          <w:sz w:val="20"/>
          <w:lang w:val="bg-BG"/>
        </w:rPr>
        <w:t>.</w:t>
      </w:r>
    </w:p>
    <w:p w:rsidR="00D67CEB" w:rsidRPr="00381F9E" w:rsidRDefault="00D67CEB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381F9E">
        <w:rPr>
          <w:rFonts w:ascii="Verdana" w:hAnsi="Verdana" w:cs="Tahoma"/>
          <w:color w:val="333333"/>
          <w:sz w:val="20"/>
          <w:lang w:val="bg-BG"/>
        </w:rPr>
        <w:t xml:space="preserve">В </w:t>
      </w:r>
      <w:r w:rsidRPr="00597E85">
        <w:rPr>
          <w:rFonts w:ascii="Verdana" w:hAnsi="Verdana" w:cs="Tahoma"/>
          <w:color w:val="333333"/>
          <w:sz w:val="20"/>
          <w:lang w:val="bg-BG"/>
        </w:rPr>
        <w:t xml:space="preserve">Закон за виното и спиртните напитки </w:t>
      </w:r>
      <w:r w:rsidRPr="00381F9E">
        <w:rPr>
          <w:rFonts w:ascii="Verdana" w:hAnsi="Verdana" w:cs="Tahoma"/>
          <w:color w:val="333333"/>
          <w:sz w:val="20"/>
          <w:lang w:val="bg-BG"/>
        </w:rPr>
        <w:t xml:space="preserve">се уреждат условията и редът за признаване на </w:t>
      </w:r>
      <w:r>
        <w:rPr>
          <w:rFonts w:ascii="Verdana" w:hAnsi="Verdana" w:cs="Tahoma"/>
          <w:color w:val="333333"/>
          <w:sz w:val="20"/>
          <w:lang w:val="bg-BG"/>
        </w:rPr>
        <w:t xml:space="preserve">браншови </w:t>
      </w:r>
      <w:r w:rsidRPr="00381F9E">
        <w:rPr>
          <w:rFonts w:ascii="Verdana" w:hAnsi="Verdana" w:cs="Tahoma"/>
          <w:color w:val="333333"/>
          <w:sz w:val="20"/>
          <w:lang w:val="bg-BG"/>
        </w:rPr>
        <w:t xml:space="preserve">организации на производителите, </w:t>
      </w:r>
      <w:r>
        <w:rPr>
          <w:rFonts w:ascii="Verdana" w:hAnsi="Verdana" w:cs="Tahoma"/>
          <w:color w:val="333333"/>
          <w:sz w:val="20"/>
          <w:lang w:val="bg-BG"/>
        </w:rPr>
        <w:t>изпитателните лаборатории и методите за изпитване, к</w:t>
      </w:r>
      <w:r w:rsidRPr="003353AC">
        <w:rPr>
          <w:rFonts w:ascii="Verdana" w:hAnsi="Verdana" w:cs="Tahoma"/>
          <w:color w:val="333333"/>
          <w:sz w:val="20"/>
          <w:lang w:val="bg-BG"/>
        </w:rPr>
        <w:t>онтрол</w:t>
      </w:r>
      <w:r>
        <w:rPr>
          <w:rFonts w:ascii="Verdana" w:hAnsi="Verdana" w:cs="Tahoma"/>
          <w:color w:val="333333"/>
          <w:sz w:val="20"/>
          <w:lang w:val="bg-BG"/>
        </w:rPr>
        <w:t>ът</w:t>
      </w:r>
      <w:r w:rsidRPr="003353AC">
        <w:rPr>
          <w:rFonts w:ascii="Verdana" w:hAnsi="Verdana" w:cs="Tahoma"/>
          <w:color w:val="333333"/>
          <w:sz w:val="20"/>
          <w:lang w:val="bg-BG"/>
        </w:rPr>
        <w:t xml:space="preserve"> върху производството и търговията на </w:t>
      </w:r>
      <w:proofErr w:type="spellStart"/>
      <w:r w:rsidRPr="003353AC">
        <w:rPr>
          <w:rFonts w:ascii="Verdana" w:hAnsi="Verdana" w:cs="Tahoma"/>
          <w:color w:val="333333"/>
          <w:sz w:val="20"/>
          <w:lang w:val="bg-BG"/>
        </w:rPr>
        <w:t>лозаро-винарски</w:t>
      </w:r>
      <w:proofErr w:type="spellEnd"/>
      <w:r w:rsidRPr="003353AC">
        <w:rPr>
          <w:rFonts w:ascii="Verdana" w:hAnsi="Verdana" w:cs="Tahoma"/>
          <w:color w:val="333333"/>
          <w:sz w:val="20"/>
          <w:lang w:val="bg-BG"/>
        </w:rPr>
        <w:t xml:space="preserve"> продукти</w:t>
      </w:r>
      <w:r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3353AC">
        <w:rPr>
          <w:rFonts w:ascii="Verdana" w:hAnsi="Verdana" w:cs="Tahoma"/>
          <w:color w:val="333333"/>
          <w:sz w:val="20"/>
          <w:lang w:val="bg-BG"/>
        </w:rPr>
        <w:t>етилов алкохол от земеделски произход, дестилати и спиртни напитки</w:t>
      </w:r>
      <w:r>
        <w:rPr>
          <w:rFonts w:ascii="Verdana" w:hAnsi="Verdana" w:cs="Tahoma"/>
          <w:color w:val="333333"/>
          <w:sz w:val="20"/>
          <w:lang w:val="bg-BG"/>
        </w:rPr>
        <w:t xml:space="preserve"> и </w:t>
      </w:r>
      <w:r w:rsidRPr="00381F9E">
        <w:rPr>
          <w:rFonts w:ascii="Verdana" w:hAnsi="Verdana" w:cs="Tahoma"/>
          <w:color w:val="333333"/>
          <w:sz w:val="20"/>
          <w:lang w:val="bg-BG"/>
        </w:rPr>
        <w:t>утвърждаването на със</w:t>
      </w:r>
      <w:r>
        <w:rPr>
          <w:rFonts w:ascii="Verdana" w:hAnsi="Verdana" w:cs="Tahoma"/>
          <w:color w:val="333333"/>
          <w:sz w:val="20"/>
          <w:lang w:val="bg-BG"/>
        </w:rPr>
        <w:t>тава на дегустационните комисии</w:t>
      </w:r>
      <w:r w:rsidRPr="00381F9E">
        <w:rPr>
          <w:rFonts w:ascii="Verdana" w:hAnsi="Verdana" w:cs="Tahoma"/>
          <w:color w:val="333333"/>
          <w:sz w:val="20"/>
          <w:lang w:val="bg-BG"/>
        </w:rPr>
        <w:t>.</w:t>
      </w:r>
    </w:p>
    <w:p w:rsidR="00381F9E" w:rsidRPr="00381F9E" w:rsidRDefault="00381F9E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381F9E">
        <w:rPr>
          <w:rFonts w:ascii="Verdana" w:hAnsi="Verdana" w:cs="Tahoma"/>
          <w:color w:val="333333"/>
          <w:sz w:val="20"/>
          <w:lang w:val="bg-BG"/>
        </w:rPr>
        <w:t>Министърът на икономикат</w:t>
      </w:r>
      <w:r w:rsidR="00744FF4">
        <w:rPr>
          <w:rFonts w:ascii="Verdana" w:hAnsi="Verdana" w:cs="Tahoma"/>
          <w:color w:val="333333"/>
          <w:sz w:val="20"/>
          <w:lang w:val="bg-BG"/>
        </w:rPr>
        <w:t>а</w:t>
      </w:r>
      <w:r w:rsidRPr="00381F9E">
        <w:rPr>
          <w:rFonts w:ascii="Verdana" w:hAnsi="Verdana" w:cs="Tahoma"/>
          <w:color w:val="333333"/>
          <w:sz w:val="20"/>
          <w:lang w:val="bg-BG"/>
        </w:rPr>
        <w:t xml:space="preserve"> осъществява държавната политика по отношение на производството на етилов алкохол от земеделски произход, дестилати от земеделски произход и на спиртните напитки.</w:t>
      </w:r>
    </w:p>
    <w:p w:rsidR="00381F9E" w:rsidRPr="00974206" w:rsidRDefault="00381F9E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974206">
        <w:rPr>
          <w:rFonts w:ascii="Verdana" w:hAnsi="Verdana" w:cs="Tahoma"/>
          <w:color w:val="333333"/>
          <w:sz w:val="20"/>
          <w:lang w:val="bg-BG"/>
        </w:rPr>
        <w:t xml:space="preserve"> В текста на новия Закон правилата за производство, техническите определения, означаването, представянето и етикетирането на етилов алкохол от земеделски произход, дестилати от земеделски произход и спиртни напитки са изцяло хармонизирани с изискванията, установени в Регламент (ЕО) № 110/2008 на Европейския парламент и на Съвета на Европейския съюз от 15 януари 2008 година относно определението, описанието, представянето, етикетирането и защитата на географските указания на спиртните напитки и отмяна на Регламент (ЕИО) № 1576/89 на Съвета. </w:t>
      </w:r>
    </w:p>
    <w:p w:rsidR="00E92197" w:rsidRDefault="00381F9E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974206">
        <w:rPr>
          <w:rFonts w:ascii="Verdana" w:hAnsi="Verdana" w:cs="Tahoma"/>
          <w:color w:val="333333"/>
          <w:sz w:val="20"/>
          <w:lang w:val="bg-BG"/>
        </w:rPr>
        <w:t xml:space="preserve">За целите на българските производители и потребители, съобразно наложени добри традиционни практики, този закон установява специфични определения и изисквания за ракия, мастика, както и дестилатите за тяхното производство. Тези определения подчертават традиционния характер на българските напитки и по-специално на ракията. Разписани са правила за производство на спиртни напитки с географско указание. Конкретизирани са контролните органи при производството и търговията на дребно със спиртни напитки. Намален е броят на дневниците, които производителите водят, и в които вписват данни за автентичността, произхода, категорията на стоките и извършените производствени манипулации. Включени са текстове, регулиращи вноса и износа на спиртни напитки в трети страни, което в още по-голяма степен ще защити българските и чуждестранните потребители. </w:t>
      </w:r>
    </w:p>
    <w:p w:rsidR="00381F9E" w:rsidRDefault="00381F9E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974206">
        <w:rPr>
          <w:rFonts w:ascii="Verdana" w:hAnsi="Verdana" w:cs="Tahoma"/>
          <w:color w:val="333333"/>
          <w:sz w:val="20"/>
          <w:lang w:val="bg-BG"/>
        </w:rPr>
        <w:t xml:space="preserve">В Министерство на икономиката се води регистър на производителите на етилов алкохол от земеделски произход, дестилати и спиртни напитки. Контролът върху производството им се осъществява от длъжностни лица, </w:t>
      </w:r>
      <w:proofErr w:type="spellStart"/>
      <w:r w:rsidRPr="00974206">
        <w:rPr>
          <w:rFonts w:ascii="Verdana" w:hAnsi="Verdana" w:cs="Tahoma"/>
          <w:color w:val="333333"/>
          <w:sz w:val="20"/>
          <w:lang w:val="bg-BG"/>
        </w:rPr>
        <w:t>оправомощени</w:t>
      </w:r>
      <w:proofErr w:type="spellEnd"/>
      <w:r w:rsidRPr="00974206">
        <w:rPr>
          <w:rFonts w:ascii="Verdana" w:hAnsi="Verdana" w:cs="Tahoma"/>
          <w:color w:val="333333"/>
          <w:sz w:val="20"/>
          <w:lang w:val="bg-BG"/>
        </w:rPr>
        <w:t xml:space="preserve"> от министъра на икономиката. В законопроекта се уреждат правилата за регистриране и заличаване от регистъра на производителите и правомощията на контролните органи.</w:t>
      </w:r>
    </w:p>
    <w:p w:rsidR="00FD5F66" w:rsidRP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 w:hint="eastAsia"/>
          <w:color w:val="333333"/>
          <w:sz w:val="20"/>
          <w:lang w:val="bg-BG"/>
        </w:rPr>
        <w:lastRenderedPageBreak/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законопроекта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определени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контролните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органи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техните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правомощия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като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proofErr w:type="spellStart"/>
      <w:r w:rsidRPr="00FD5F66">
        <w:rPr>
          <w:rFonts w:ascii="Verdana" w:hAnsi="Verdana" w:cs="Tahoma" w:hint="eastAsia"/>
          <w:color w:val="333333"/>
          <w:sz w:val="20"/>
          <w:lang w:val="bg-BG"/>
        </w:rPr>
        <w:t>административнонаказателните</w:t>
      </w:r>
      <w:proofErr w:type="spellEnd"/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разпоредби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предвидени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пропорционални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извършените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нарушения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санкции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нарушителите</w:t>
      </w:r>
      <w:r w:rsidRPr="00FD5F66">
        <w:rPr>
          <w:rFonts w:ascii="Verdana" w:hAnsi="Verdana" w:cs="Tahoma"/>
          <w:color w:val="333333"/>
          <w:sz w:val="20"/>
          <w:lang w:val="bg-BG"/>
        </w:rPr>
        <w:t>.</w:t>
      </w:r>
    </w:p>
    <w:p w:rsidR="00FD5F66" w:rsidRDefault="00FD5F6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преходни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заключителни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разпоредби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законопроекта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включено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изменение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Закона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акцизите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данъчните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складове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оглед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</w:t>
      </w:r>
      <w:r w:rsidR="006D7C38">
        <w:rPr>
          <w:rFonts w:ascii="Verdana" w:hAnsi="Verdana" w:cs="Tahoma"/>
          <w:color w:val="333333"/>
          <w:sz w:val="20"/>
          <w:lang w:val="bg-BG"/>
        </w:rPr>
        <w:t>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това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че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той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урежда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изисквания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към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лицата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,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които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водят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производствения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процес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специализираните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малки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обекти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дестилиране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обектите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за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винопроизводство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на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малки</w:t>
      </w:r>
      <w:r w:rsidRPr="00FD5F66">
        <w:rPr>
          <w:rFonts w:ascii="Verdana" w:hAnsi="Verdana" w:cs="Tahoma"/>
          <w:color w:val="333333"/>
          <w:sz w:val="20"/>
          <w:lang w:val="bg-BG"/>
        </w:rPr>
        <w:t xml:space="preserve"> </w:t>
      </w:r>
      <w:r w:rsidRPr="00FD5F66">
        <w:rPr>
          <w:rFonts w:ascii="Verdana" w:hAnsi="Verdana" w:cs="Tahoma" w:hint="eastAsia"/>
          <w:color w:val="333333"/>
          <w:sz w:val="20"/>
          <w:lang w:val="bg-BG"/>
        </w:rPr>
        <w:t>винопроизводители</w:t>
      </w:r>
      <w:r w:rsidRPr="00FD5F66">
        <w:rPr>
          <w:rFonts w:ascii="Verdana" w:hAnsi="Verdana" w:cs="Tahoma"/>
          <w:color w:val="333333"/>
          <w:sz w:val="20"/>
          <w:lang w:val="bg-BG"/>
        </w:rPr>
        <w:t>.</w:t>
      </w:r>
    </w:p>
    <w:p w:rsidR="009054E6" w:rsidRDefault="009054E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</w:p>
    <w:p w:rsidR="00624816" w:rsidRPr="00624816" w:rsidRDefault="0062481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</w:p>
    <w:p w:rsidR="00D46EF4" w:rsidRDefault="00D46EF4" w:rsidP="00624816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rFonts w:ascii="Verdana" w:hAnsi="Verdana"/>
          <w:b/>
          <w:caps/>
          <w:sz w:val="20"/>
          <w:lang w:val="bg-BG"/>
        </w:rPr>
      </w:pPr>
    </w:p>
    <w:p w:rsidR="00D46EF4" w:rsidRPr="00CE198B" w:rsidRDefault="00D46EF4" w:rsidP="00624816">
      <w:pPr>
        <w:shd w:val="clear" w:color="auto" w:fill="FFFFFF"/>
        <w:tabs>
          <w:tab w:val="left" w:leader="dot" w:pos="3802"/>
        </w:tabs>
        <w:spacing w:line="360" w:lineRule="auto"/>
        <w:ind w:left="2880"/>
        <w:outlineLvl w:val="0"/>
        <w:rPr>
          <w:rFonts w:ascii="Verdana" w:hAnsi="Verdana"/>
          <w:b/>
          <w:caps/>
          <w:sz w:val="20"/>
          <w:lang w:val="ru-RU"/>
        </w:rPr>
      </w:pPr>
      <w:r w:rsidRPr="00CE198B">
        <w:rPr>
          <w:rFonts w:ascii="Verdana" w:hAnsi="Verdana"/>
          <w:b/>
          <w:caps/>
          <w:sz w:val="20"/>
          <w:lang w:val="ru-RU"/>
        </w:rPr>
        <w:t>МИНИСТЪР-ПРЕДСЕДАТЕЛ:</w:t>
      </w:r>
    </w:p>
    <w:p w:rsidR="007523BE" w:rsidRDefault="00D46EF4" w:rsidP="00624816">
      <w:pPr>
        <w:spacing w:line="360" w:lineRule="auto"/>
        <w:ind w:firstLine="708"/>
        <w:jc w:val="both"/>
        <w:rPr>
          <w:rFonts w:ascii="Verdana" w:hAnsi="Verdana"/>
          <w:b/>
          <w:caps/>
          <w:sz w:val="20"/>
          <w:lang w:val="bg-BG"/>
        </w:rPr>
      </w:pPr>
      <w:r w:rsidRPr="00CE198B">
        <w:rPr>
          <w:rFonts w:ascii="Verdana" w:hAnsi="Verdana"/>
          <w:b/>
          <w:caps/>
          <w:sz w:val="20"/>
          <w:lang w:val="ru-RU"/>
        </w:rPr>
        <w:t xml:space="preserve">        </w:t>
      </w:r>
      <w:r>
        <w:rPr>
          <w:rFonts w:ascii="Verdana" w:hAnsi="Verdana"/>
          <w:b/>
          <w:caps/>
          <w:sz w:val="20"/>
          <w:lang w:val="bg-BG"/>
        </w:rPr>
        <w:tab/>
      </w:r>
      <w:r>
        <w:rPr>
          <w:rFonts w:ascii="Verdana" w:hAnsi="Verdana"/>
          <w:b/>
          <w:caps/>
          <w:sz w:val="20"/>
          <w:lang w:val="bg-BG"/>
        </w:rPr>
        <w:tab/>
      </w:r>
      <w:r>
        <w:rPr>
          <w:rFonts w:ascii="Verdana" w:hAnsi="Verdana"/>
          <w:b/>
          <w:caps/>
          <w:sz w:val="20"/>
          <w:lang w:val="bg-BG"/>
        </w:rPr>
        <w:tab/>
      </w:r>
      <w:r>
        <w:rPr>
          <w:rFonts w:ascii="Verdana" w:hAnsi="Verdana"/>
          <w:b/>
          <w:caps/>
          <w:sz w:val="20"/>
          <w:lang w:val="bg-BG"/>
        </w:rPr>
        <w:tab/>
      </w:r>
      <w:r>
        <w:rPr>
          <w:rFonts w:ascii="Verdana" w:hAnsi="Verdana"/>
          <w:b/>
          <w:caps/>
          <w:sz w:val="20"/>
          <w:lang w:val="bg-BG"/>
        </w:rPr>
        <w:tab/>
      </w:r>
      <w:r w:rsidR="00624816">
        <w:rPr>
          <w:rFonts w:ascii="Verdana" w:hAnsi="Verdana"/>
          <w:b/>
          <w:caps/>
          <w:sz w:val="20"/>
          <w:lang w:val="bg-BG"/>
        </w:rPr>
        <w:tab/>
      </w:r>
      <w:r w:rsidR="00624816">
        <w:rPr>
          <w:rFonts w:ascii="Verdana" w:hAnsi="Verdana"/>
          <w:b/>
          <w:caps/>
          <w:sz w:val="20"/>
          <w:lang w:val="bg-BG"/>
        </w:rPr>
        <w:tab/>
      </w:r>
      <w:r w:rsidR="00624816">
        <w:rPr>
          <w:rFonts w:ascii="Verdana" w:hAnsi="Verdana"/>
          <w:b/>
          <w:caps/>
          <w:sz w:val="20"/>
          <w:lang w:val="bg-BG"/>
        </w:rPr>
        <w:tab/>
      </w:r>
      <w:r w:rsidRPr="00CE198B">
        <w:rPr>
          <w:rFonts w:ascii="Verdana" w:hAnsi="Verdana"/>
          <w:b/>
          <w:caps/>
          <w:sz w:val="20"/>
          <w:lang w:val="ru-RU"/>
        </w:rPr>
        <w:t>Бойко борисов</w:t>
      </w:r>
    </w:p>
    <w:p w:rsidR="00624816" w:rsidRDefault="00624816" w:rsidP="00624816">
      <w:pPr>
        <w:spacing w:line="360" w:lineRule="auto"/>
        <w:ind w:firstLine="708"/>
        <w:jc w:val="both"/>
        <w:rPr>
          <w:rFonts w:ascii="Verdana" w:hAnsi="Verdana"/>
          <w:b/>
          <w:caps/>
          <w:sz w:val="20"/>
          <w:lang w:val="bg-BG"/>
        </w:rPr>
      </w:pPr>
    </w:p>
    <w:p w:rsidR="00624816" w:rsidRDefault="00624816" w:rsidP="00624816">
      <w:pPr>
        <w:spacing w:line="360" w:lineRule="auto"/>
        <w:ind w:firstLine="708"/>
        <w:jc w:val="both"/>
        <w:rPr>
          <w:rFonts w:ascii="Verdana" w:hAnsi="Verdana"/>
          <w:b/>
          <w:caps/>
          <w:sz w:val="20"/>
          <w:lang w:val="bg-BG"/>
        </w:rPr>
      </w:pPr>
    </w:p>
    <w:p w:rsidR="00624816" w:rsidRPr="00624816" w:rsidRDefault="00624816" w:rsidP="00624816">
      <w:pPr>
        <w:spacing w:line="360" w:lineRule="auto"/>
        <w:ind w:firstLine="708"/>
        <w:jc w:val="both"/>
        <w:rPr>
          <w:rFonts w:ascii="Verdana" w:hAnsi="Verdana" w:cs="Tahoma"/>
          <w:color w:val="333333"/>
          <w:sz w:val="20"/>
          <w:lang w:val="bg-BG"/>
        </w:rPr>
      </w:pPr>
      <w:bookmarkStart w:id="0" w:name="_GoBack"/>
      <w:bookmarkEnd w:id="0"/>
    </w:p>
    <w:sectPr w:rsidR="00624816" w:rsidRPr="00624816" w:rsidSect="00624816">
      <w:footerReference w:type="default" r:id="rId8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77" w:rsidRDefault="00D94E77" w:rsidP="008D11B7">
      <w:r>
        <w:separator/>
      </w:r>
    </w:p>
  </w:endnote>
  <w:endnote w:type="continuationSeparator" w:id="0">
    <w:p w:rsidR="00D94E77" w:rsidRDefault="00D94E77" w:rsidP="008D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90119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8D11B7" w:rsidRPr="00624816" w:rsidRDefault="008D11B7" w:rsidP="0062481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24816">
          <w:rPr>
            <w:rFonts w:ascii="Verdana" w:hAnsi="Verdana"/>
            <w:sz w:val="16"/>
            <w:szCs w:val="16"/>
          </w:rPr>
          <w:fldChar w:fldCharType="begin"/>
        </w:r>
        <w:r w:rsidRPr="0062481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24816">
          <w:rPr>
            <w:rFonts w:ascii="Verdana" w:hAnsi="Verdana"/>
            <w:sz w:val="16"/>
            <w:szCs w:val="16"/>
          </w:rPr>
          <w:fldChar w:fldCharType="separate"/>
        </w:r>
        <w:r w:rsidR="00BD0E65">
          <w:rPr>
            <w:rFonts w:ascii="Verdana" w:hAnsi="Verdana"/>
            <w:noProof/>
            <w:sz w:val="16"/>
            <w:szCs w:val="16"/>
          </w:rPr>
          <w:t>2</w:t>
        </w:r>
        <w:r w:rsidRPr="0062481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77" w:rsidRDefault="00D94E77" w:rsidP="008D11B7">
      <w:r>
        <w:separator/>
      </w:r>
    </w:p>
  </w:footnote>
  <w:footnote w:type="continuationSeparator" w:id="0">
    <w:p w:rsidR="00D94E77" w:rsidRDefault="00D94E77" w:rsidP="008D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CF"/>
    <w:multiLevelType w:val="hybridMultilevel"/>
    <w:tmpl w:val="2ED29028"/>
    <w:lvl w:ilvl="0" w:tplc="6664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99094D"/>
    <w:multiLevelType w:val="hybridMultilevel"/>
    <w:tmpl w:val="2A1CBC00"/>
    <w:lvl w:ilvl="0" w:tplc="0402000F">
      <w:start w:val="1"/>
      <w:numFmt w:val="decimal"/>
      <w:lvlText w:val="%1."/>
      <w:lvlJc w:val="left"/>
      <w:pPr>
        <w:ind w:left="2203" w:hanging="360"/>
      </w:pPr>
    </w:lvl>
    <w:lvl w:ilvl="1" w:tplc="04020019" w:tentative="1">
      <w:start w:val="1"/>
      <w:numFmt w:val="lowerLetter"/>
      <w:lvlText w:val="%2."/>
      <w:lvlJc w:val="left"/>
      <w:pPr>
        <w:ind w:left="2923" w:hanging="360"/>
      </w:pPr>
    </w:lvl>
    <w:lvl w:ilvl="2" w:tplc="0402001B" w:tentative="1">
      <w:start w:val="1"/>
      <w:numFmt w:val="lowerRoman"/>
      <w:lvlText w:val="%3."/>
      <w:lvlJc w:val="right"/>
      <w:pPr>
        <w:ind w:left="3643" w:hanging="180"/>
      </w:pPr>
    </w:lvl>
    <w:lvl w:ilvl="3" w:tplc="0402000F" w:tentative="1">
      <w:start w:val="1"/>
      <w:numFmt w:val="decimal"/>
      <w:lvlText w:val="%4."/>
      <w:lvlJc w:val="left"/>
      <w:pPr>
        <w:ind w:left="4363" w:hanging="360"/>
      </w:pPr>
    </w:lvl>
    <w:lvl w:ilvl="4" w:tplc="04020019" w:tentative="1">
      <w:start w:val="1"/>
      <w:numFmt w:val="lowerLetter"/>
      <w:lvlText w:val="%5."/>
      <w:lvlJc w:val="left"/>
      <w:pPr>
        <w:ind w:left="5083" w:hanging="360"/>
      </w:pPr>
    </w:lvl>
    <w:lvl w:ilvl="5" w:tplc="0402001B" w:tentative="1">
      <w:start w:val="1"/>
      <w:numFmt w:val="lowerRoman"/>
      <w:lvlText w:val="%6."/>
      <w:lvlJc w:val="right"/>
      <w:pPr>
        <w:ind w:left="5803" w:hanging="180"/>
      </w:pPr>
    </w:lvl>
    <w:lvl w:ilvl="6" w:tplc="0402000F" w:tentative="1">
      <w:start w:val="1"/>
      <w:numFmt w:val="decimal"/>
      <w:lvlText w:val="%7."/>
      <w:lvlJc w:val="left"/>
      <w:pPr>
        <w:ind w:left="6523" w:hanging="360"/>
      </w:pPr>
    </w:lvl>
    <w:lvl w:ilvl="7" w:tplc="04020019" w:tentative="1">
      <w:start w:val="1"/>
      <w:numFmt w:val="lowerLetter"/>
      <w:lvlText w:val="%8."/>
      <w:lvlJc w:val="left"/>
      <w:pPr>
        <w:ind w:left="7243" w:hanging="360"/>
      </w:pPr>
    </w:lvl>
    <w:lvl w:ilvl="8" w:tplc="0402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FD303F4"/>
    <w:multiLevelType w:val="hybridMultilevel"/>
    <w:tmpl w:val="8826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C"/>
    <w:rsid w:val="000949D2"/>
    <w:rsid w:val="00097CDB"/>
    <w:rsid w:val="000A7CCA"/>
    <w:rsid w:val="000E7AD8"/>
    <w:rsid w:val="00140783"/>
    <w:rsid w:val="00191795"/>
    <w:rsid w:val="0019720F"/>
    <w:rsid w:val="001E5EE0"/>
    <w:rsid w:val="00257EE1"/>
    <w:rsid w:val="002630C1"/>
    <w:rsid w:val="00283D31"/>
    <w:rsid w:val="003353AC"/>
    <w:rsid w:val="003773CD"/>
    <w:rsid w:val="00381F9E"/>
    <w:rsid w:val="003B74F1"/>
    <w:rsid w:val="003C4667"/>
    <w:rsid w:val="003E610E"/>
    <w:rsid w:val="004A08E5"/>
    <w:rsid w:val="004B0B3D"/>
    <w:rsid w:val="00531625"/>
    <w:rsid w:val="00536230"/>
    <w:rsid w:val="00597E85"/>
    <w:rsid w:val="00624816"/>
    <w:rsid w:val="0069259C"/>
    <w:rsid w:val="006A36E5"/>
    <w:rsid w:val="006D68BC"/>
    <w:rsid w:val="006D7C38"/>
    <w:rsid w:val="00715A4A"/>
    <w:rsid w:val="00744FF4"/>
    <w:rsid w:val="007523BE"/>
    <w:rsid w:val="007532D6"/>
    <w:rsid w:val="00767D28"/>
    <w:rsid w:val="00857A17"/>
    <w:rsid w:val="00875BD0"/>
    <w:rsid w:val="008D11B7"/>
    <w:rsid w:val="009054E6"/>
    <w:rsid w:val="00974206"/>
    <w:rsid w:val="00996D0C"/>
    <w:rsid w:val="009A617E"/>
    <w:rsid w:val="00A11006"/>
    <w:rsid w:val="00A408E1"/>
    <w:rsid w:val="00A96F12"/>
    <w:rsid w:val="00B22070"/>
    <w:rsid w:val="00BA3D7C"/>
    <w:rsid w:val="00BD0E65"/>
    <w:rsid w:val="00C14FDE"/>
    <w:rsid w:val="00C3379C"/>
    <w:rsid w:val="00CE198B"/>
    <w:rsid w:val="00D45E8D"/>
    <w:rsid w:val="00D46EF4"/>
    <w:rsid w:val="00D67CEB"/>
    <w:rsid w:val="00D94E77"/>
    <w:rsid w:val="00D95649"/>
    <w:rsid w:val="00DA7B55"/>
    <w:rsid w:val="00DF7C96"/>
    <w:rsid w:val="00E425F0"/>
    <w:rsid w:val="00E65C40"/>
    <w:rsid w:val="00E76379"/>
    <w:rsid w:val="00E92197"/>
    <w:rsid w:val="00EC29E2"/>
    <w:rsid w:val="00F02CC9"/>
    <w:rsid w:val="00F44619"/>
    <w:rsid w:val="00F92343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5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97E85"/>
  </w:style>
  <w:style w:type="paragraph" w:styleId="ListParagraph">
    <w:name w:val="List Paragraph"/>
    <w:basedOn w:val="Normal"/>
    <w:uiPriority w:val="34"/>
    <w:qFormat/>
    <w:rsid w:val="00F92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9"/>
    <w:rPr>
      <w:rFonts w:ascii="Tahoma" w:eastAsia="Times New Roman" w:hAnsi="Tahoma" w:cs="Tahoma"/>
      <w:sz w:val="16"/>
      <w:szCs w:val="16"/>
      <w:lang w:val="en-GB" w:eastAsia="bg-BG"/>
    </w:rPr>
  </w:style>
  <w:style w:type="paragraph" w:customStyle="1" w:styleId="CharChar3">
    <w:name w:val="Char Char3"/>
    <w:basedOn w:val="Normal"/>
    <w:rsid w:val="00D46EF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D1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7"/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8D1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7"/>
    <w:rPr>
      <w:rFonts w:ascii="Hebar" w:eastAsia="Times New Roman" w:hAnsi="Hebar" w:cs="Times New Roman"/>
      <w:sz w:val="24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5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97E85"/>
  </w:style>
  <w:style w:type="paragraph" w:styleId="ListParagraph">
    <w:name w:val="List Paragraph"/>
    <w:basedOn w:val="Normal"/>
    <w:uiPriority w:val="34"/>
    <w:qFormat/>
    <w:rsid w:val="00F92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9"/>
    <w:rPr>
      <w:rFonts w:ascii="Tahoma" w:eastAsia="Times New Roman" w:hAnsi="Tahoma" w:cs="Tahoma"/>
      <w:sz w:val="16"/>
      <w:szCs w:val="16"/>
      <w:lang w:val="en-GB" w:eastAsia="bg-BG"/>
    </w:rPr>
  </w:style>
  <w:style w:type="paragraph" w:customStyle="1" w:styleId="CharChar3">
    <w:name w:val="Char Char3"/>
    <w:basedOn w:val="Normal"/>
    <w:rsid w:val="00D46EF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8D1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7"/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8D1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7"/>
    <w:rPr>
      <w:rFonts w:ascii="Hebar" w:eastAsia="Times New Roman" w:hAnsi="Hebar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</dc:creator>
  <cp:lastModifiedBy>Kristiana Pavlova</cp:lastModifiedBy>
  <cp:revision>6</cp:revision>
  <cp:lastPrinted>2019-07-26T11:44:00Z</cp:lastPrinted>
  <dcterms:created xsi:type="dcterms:W3CDTF">2019-07-26T09:16:00Z</dcterms:created>
  <dcterms:modified xsi:type="dcterms:W3CDTF">2019-08-01T12:34:00Z</dcterms:modified>
</cp:coreProperties>
</file>