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9B" w:rsidRPr="00291E9B"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CE2A7F" w:rsidTr="00291E9B">
        <w:trPr>
          <w:trHeight w:val="958"/>
          <w:jc w:val="center"/>
        </w:trPr>
        <w:tc>
          <w:tcPr>
            <w:tcW w:w="15650" w:type="dxa"/>
            <w:tcBorders>
              <w:bottom w:val="single" w:sz="36" w:space="0" w:color="2E74B5"/>
            </w:tcBorders>
            <w:shd w:val="clear" w:color="auto" w:fill="BDD6EE"/>
          </w:tcPr>
          <w:p w:rsidR="00C975B4" w:rsidRPr="00291E9B" w:rsidRDefault="00C975B4" w:rsidP="00291E9B">
            <w:pPr>
              <w:tabs>
                <w:tab w:val="left" w:pos="2190"/>
              </w:tabs>
              <w:spacing w:before="120" w:line="360" w:lineRule="auto"/>
              <w:jc w:val="center"/>
              <w:rPr>
                <w:rFonts w:ascii="Times New Roman Bold" w:hAnsi="Times New Roman Bold"/>
                <w:b/>
                <w:spacing w:val="60"/>
                <w:sz w:val="26"/>
                <w:szCs w:val="26"/>
              </w:rPr>
            </w:pPr>
            <w:r w:rsidRPr="00291E9B">
              <w:rPr>
                <w:rFonts w:ascii="Times New Roman Bold" w:hAnsi="Times New Roman Bold"/>
                <w:b/>
                <w:spacing w:val="60"/>
                <w:sz w:val="26"/>
                <w:szCs w:val="26"/>
              </w:rPr>
              <w:t>СПРАВКА</w:t>
            </w:r>
          </w:p>
          <w:p w:rsidR="00E220AD" w:rsidRPr="00CE2A7F" w:rsidRDefault="00C975B4" w:rsidP="00291E9B">
            <w:pPr>
              <w:tabs>
                <w:tab w:val="left" w:pos="2190"/>
              </w:tabs>
              <w:spacing w:after="120" w:line="360" w:lineRule="auto"/>
              <w:jc w:val="center"/>
              <w:rPr>
                <w:b/>
                <w:sz w:val="23"/>
                <w:szCs w:val="23"/>
              </w:rPr>
            </w:pPr>
            <w:r w:rsidRPr="00CE2A7F">
              <w:rPr>
                <w:b/>
                <w:sz w:val="23"/>
                <w:szCs w:val="23"/>
              </w:rPr>
              <w:t>ЗА ОТРАЗЯВАНЕ НА ПОСТЪПИЛИТЕ ПРЕДЛОЖЕНИЯ ОТ ОБЩЕСТВЕНИТЕ КОНСУЛТАЦИИ НА</w:t>
            </w:r>
            <w:r w:rsidR="000632EC" w:rsidRPr="00CE2A7F">
              <w:rPr>
                <w:b/>
                <w:sz w:val="23"/>
                <w:szCs w:val="23"/>
              </w:rPr>
              <w:t xml:space="preserve"> ПРОЕКТ НА </w:t>
            </w:r>
            <w:r w:rsidR="00F4439D">
              <w:rPr>
                <w:b/>
                <w:sz w:val="23"/>
                <w:szCs w:val="23"/>
              </w:rPr>
              <w:t>РЕШЕНИЕ НА МИНИ</w:t>
            </w:r>
            <w:r w:rsidR="00F4439D">
              <w:rPr>
                <w:b/>
                <w:sz w:val="23"/>
                <w:szCs w:val="23"/>
              </w:rPr>
              <w:t>С</w:t>
            </w:r>
            <w:r w:rsidR="00F4439D">
              <w:rPr>
                <w:b/>
                <w:sz w:val="23"/>
                <w:szCs w:val="23"/>
              </w:rPr>
              <w:t>ТЕРСКИЯ СЪВЕТ ЗА ОДОБРЯВАНЕ НА ЗАКОН ЗА ВИНОТО И СПИРТНИТЕ НАПИТКИ</w:t>
            </w:r>
          </w:p>
        </w:tc>
      </w:tr>
    </w:tbl>
    <w:p w:rsidR="00291E9B" w:rsidRPr="00291E9B" w:rsidRDefault="00291E9B">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410"/>
        <w:gridCol w:w="6467"/>
        <w:gridCol w:w="1613"/>
        <w:gridCol w:w="4538"/>
      </w:tblGrid>
      <w:tr w:rsidR="00E220AD" w:rsidRPr="00CE2A7F" w:rsidTr="00E127B9">
        <w:trPr>
          <w:tblHeader/>
          <w:jc w:val="center"/>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CE2A7F" w:rsidRDefault="00E220AD" w:rsidP="00E220AD">
            <w:pPr>
              <w:tabs>
                <w:tab w:val="left" w:pos="192"/>
              </w:tabs>
              <w:jc w:val="center"/>
              <w:rPr>
                <w:b/>
                <w:sz w:val="23"/>
                <w:szCs w:val="23"/>
              </w:rPr>
            </w:pPr>
            <w:r w:rsidRPr="00CE2A7F">
              <w:rPr>
                <w:b/>
                <w:sz w:val="23"/>
                <w:szCs w:val="23"/>
              </w:rPr>
              <w:t>№</w:t>
            </w:r>
          </w:p>
        </w:tc>
        <w:tc>
          <w:tcPr>
            <w:tcW w:w="241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Организ</w:t>
            </w:r>
            <w:r w:rsidRPr="00CE2A7F">
              <w:rPr>
                <w:b/>
                <w:sz w:val="23"/>
                <w:szCs w:val="23"/>
              </w:rPr>
              <w:t>а</w:t>
            </w:r>
            <w:r w:rsidRPr="00CE2A7F">
              <w:rPr>
                <w:b/>
                <w:sz w:val="23"/>
                <w:szCs w:val="23"/>
              </w:rPr>
              <w:t>ция/потребител</w:t>
            </w:r>
          </w:p>
          <w:p w:rsidR="005424B9" w:rsidRPr="00CE2A7F" w:rsidRDefault="00291E9B" w:rsidP="00291E9B">
            <w:pPr>
              <w:jc w:val="center"/>
              <w:rPr>
                <w:b/>
                <w:sz w:val="16"/>
                <w:szCs w:val="16"/>
              </w:rPr>
            </w:pPr>
            <w:r>
              <w:rPr>
                <w:b/>
                <w:sz w:val="16"/>
                <w:szCs w:val="16"/>
              </w:rPr>
              <w:t>(</w:t>
            </w:r>
            <w:r w:rsidR="005424B9" w:rsidRPr="00CE2A7F">
              <w:rPr>
                <w:b/>
                <w:sz w:val="16"/>
                <w:szCs w:val="16"/>
              </w:rPr>
              <w:t>вкл. начина на получаване на предложението</w:t>
            </w:r>
            <w:r>
              <w:rPr>
                <w:b/>
                <w:sz w:val="16"/>
                <w:szCs w:val="16"/>
              </w:rPr>
              <w:t>)</w:t>
            </w:r>
          </w:p>
        </w:tc>
        <w:tc>
          <w:tcPr>
            <w:tcW w:w="646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Бележки и предложения</w:t>
            </w:r>
          </w:p>
        </w:tc>
        <w:tc>
          <w:tcPr>
            <w:tcW w:w="161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E220AD">
            <w:pPr>
              <w:jc w:val="center"/>
              <w:rPr>
                <w:b/>
                <w:sz w:val="23"/>
                <w:szCs w:val="23"/>
              </w:rPr>
            </w:pPr>
            <w:r w:rsidRPr="00CE2A7F">
              <w:rPr>
                <w:b/>
                <w:sz w:val="23"/>
                <w:szCs w:val="23"/>
              </w:rPr>
              <w:t>Приети/</w:t>
            </w:r>
          </w:p>
          <w:p w:rsidR="00E220AD" w:rsidRPr="00CE2A7F" w:rsidRDefault="00E220AD" w:rsidP="00E220AD">
            <w:pPr>
              <w:jc w:val="center"/>
              <w:rPr>
                <w:b/>
                <w:sz w:val="23"/>
                <w:szCs w:val="23"/>
              </w:rPr>
            </w:pPr>
            <w:r w:rsidRPr="00CE2A7F">
              <w:rPr>
                <w:b/>
                <w:sz w:val="23"/>
                <w:szCs w:val="23"/>
              </w:rPr>
              <w:t>неприети</w:t>
            </w:r>
          </w:p>
        </w:tc>
        <w:tc>
          <w:tcPr>
            <w:tcW w:w="4538"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CE2A7F" w:rsidRDefault="00E220AD" w:rsidP="00E220AD">
            <w:pPr>
              <w:jc w:val="center"/>
              <w:rPr>
                <w:sz w:val="23"/>
                <w:szCs w:val="23"/>
              </w:rPr>
            </w:pPr>
            <w:r w:rsidRPr="00CE2A7F">
              <w:rPr>
                <w:b/>
                <w:sz w:val="23"/>
                <w:szCs w:val="23"/>
              </w:rPr>
              <w:t>Мотиви</w:t>
            </w:r>
          </w:p>
        </w:tc>
      </w:tr>
      <w:tr w:rsidR="00E220AD" w:rsidRPr="00A426CE" w:rsidTr="00E127B9">
        <w:trPr>
          <w:jc w:val="center"/>
        </w:trPr>
        <w:tc>
          <w:tcPr>
            <w:tcW w:w="622" w:type="dxa"/>
            <w:tcBorders>
              <w:top w:val="single" w:sz="36" w:space="0" w:color="2E74B5"/>
              <w:left w:val="single" w:sz="36" w:space="0" w:color="2E74B5"/>
              <w:bottom w:val="nil"/>
              <w:right w:val="single" w:sz="18" w:space="0" w:color="2E74B5"/>
            </w:tcBorders>
            <w:shd w:val="clear" w:color="auto" w:fill="auto"/>
          </w:tcPr>
          <w:p w:rsidR="00E220AD" w:rsidRPr="00A426CE" w:rsidRDefault="00E220AD" w:rsidP="00C975B4">
            <w:pPr>
              <w:numPr>
                <w:ilvl w:val="0"/>
                <w:numId w:val="5"/>
              </w:numPr>
              <w:tabs>
                <w:tab w:val="left" w:pos="192"/>
              </w:tabs>
              <w:ind w:left="0" w:firstLine="0"/>
              <w:jc w:val="center"/>
              <w:rPr>
                <w:b/>
              </w:rPr>
            </w:pPr>
          </w:p>
        </w:tc>
        <w:tc>
          <w:tcPr>
            <w:tcW w:w="2410" w:type="dxa"/>
            <w:tcBorders>
              <w:top w:val="single" w:sz="36" w:space="0" w:color="2E74B5"/>
              <w:left w:val="single" w:sz="18" w:space="0" w:color="2E74B5"/>
              <w:bottom w:val="nil"/>
              <w:right w:val="single" w:sz="18" w:space="0" w:color="2E74B5"/>
            </w:tcBorders>
            <w:shd w:val="clear" w:color="auto" w:fill="auto"/>
          </w:tcPr>
          <w:p w:rsidR="00E3454D" w:rsidRPr="00A426CE" w:rsidRDefault="00E3454D" w:rsidP="00E3454D">
            <w:pPr>
              <w:rPr>
                <w:b/>
                <w:lang w:val="en-US"/>
              </w:rPr>
            </w:pPr>
            <w:r w:rsidRPr="00A426CE">
              <w:rPr>
                <w:b/>
                <w:lang w:val="en-US"/>
              </w:rPr>
              <w:t>t</w:t>
            </w:r>
            <w:proofErr w:type="spellStart"/>
            <w:r w:rsidRPr="00A426CE">
              <w:rPr>
                <w:b/>
              </w:rPr>
              <w:t>zviatkov</w:t>
            </w:r>
            <w:proofErr w:type="spellEnd"/>
            <w:r w:rsidRPr="00A426CE">
              <w:rPr>
                <w:b/>
              </w:rPr>
              <w:t xml:space="preserve"> </w:t>
            </w:r>
          </w:p>
          <w:p w:rsidR="00E3454D" w:rsidRPr="00A426CE" w:rsidRDefault="00E3454D" w:rsidP="00E3454D">
            <w:pPr>
              <w:rPr>
                <w:b/>
                <w:bCs/>
                <w:color w:val="000000"/>
                <w:lang w:val="en-US"/>
              </w:rPr>
            </w:pPr>
            <w:r w:rsidRPr="00A426CE">
              <w:rPr>
                <w:b/>
                <w:bCs/>
                <w:color w:val="000000"/>
              </w:rPr>
              <w:t xml:space="preserve">от </w:t>
            </w:r>
            <w:r w:rsidR="00F4439D" w:rsidRPr="00A426CE">
              <w:rPr>
                <w:b/>
                <w:bCs/>
                <w:color w:val="000000"/>
              </w:rPr>
              <w:t>Портала за о</w:t>
            </w:r>
            <w:r w:rsidR="00F4439D" w:rsidRPr="00A426CE">
              <w:rPr>
                <w:b/>
                <w:bCs/>
                <w:color w:val="000000"/>
              </w:rPr>
              <w:t>б</w:t>
            </w:r>
            <w:r w:rsidR="00F4439D" w:rsidRPr="00A426CE">
              <w:rPr>
                <w:b/>
                <w:bCs/>
                <w:color w:val="000000"/>
              </w:rPr>
              <w:t>ществени консу</w:t>
            </w:r>
            <w:r w:rsidR="00F4439D" w:rsidRPr="00A426CE">
              <w:rPr>
                <w:b/>
                <w:bCs/>
                <w:color w:val="000000"/>
              </w:rPr>
              <w:t>л</w:t>
            </w:r>
            <w:r w:rsidR="00F4439D" w:rsidRPr="00A426CE">
              <w:rPr>
                <w:b/>
                <w:bCs/>
                <w:color w:val="000000"/>
              </w:rPr>
              <w:t xml:space="preserve">тации – </w:t>
            </w:r>
          </w:p>
          <w:p w:rsidR="00E220AD" w:rsidRPr="00A426CE" w:rsidRDefault="00F4439D" w:rsidP="00E3454D">
            <w:pPr>
              <w:rPr>
                <w:b/>
              </w:rPr>
            </w:pPr>
            <w:r w:rsidRPr="00A426CE">
              <w:rPr>
                <w:b/>
                <w:bCs/>
                <w:color w:val="000000"/>
              </w:rPr>
              <w:t xml:space="preserve">получено на </w:t>
            </w:r>
            <w:r w:rsidRPr="00A426CE">
              <w:rPr>
                <w:b/>
              </w:rPr>
              <w:t xml:space="preserve">20 март 2018 </w:t>
            </w:r>
            <w:r w:rsidRPr="00A426CE">
              <w:rPr>
                <w:b/>
                <w:bCs/>
                <w:color w:val="000000"/>
              </w:rPr>
              <w:t xml:space="preserve">г.  </w:t>
            </w:r>
          </w:p>
        </w:tc>
        <w:tc>
          <w:tcPr>
            <w:tcW w:w="6467" w:type="dxa"/>
            <w:tcBorders>
              <w:top w:val="single" w:sz="36" w:space="0" w:color="2E74B5"/>
              <w:left w:val="single" w:sz="18" w:space="0" w:color="2E74B5"/>
              <w:bottom w:val="single" w:sz="18" w:space="0" w:color="2E74B5"/>
              <w:right w:val="single" w:sz="18" w:space="0" w:color="2E74B5"/>
            </w:tcBorders>
            <w:shd w:val="clear" w:color="auto" w:fill="auto"/>
          </w:tcPr>
          <w:p w:rsidR="001551C4" w:rsidRPr="00A426CE" w:rsidRDefault="001551C4" w:rsidP="001551C4">
            <w:pPr>
              <w:jc w:val="both"/>
            </w:pPr>
            <w:r w:rsidRPr="00A426CE">
              <w:t>(6) Изпълнителният директор на ИАЛВ утвърждава със з</w:t>
            </w:r>
            <w:r w:rsidRPr="00A426CE">
              <w:t>а</w:t>
            </w:r>
            <w:r w:rsidRPr="00A426CE">
              <w:t>повед образци на документи по този закон, ако с нормат</w:t>
            </w:r>
            <w:r w:rsidRPr="00A426CE">
              <w:t>и</w:t>
            </w:r>
            <w:r w:rsidRPr="00A426CE">
              <w:t>вен акт не е предвиден друг ред. Заповедите и документите, както и указанията за тяхното попълване, се публикуват на интернет страницата на ИАЛВ в срок до 24 часа от утвър</w:t>
            </w:r>
            <w:r w:rsidRPr="00A426CE">
              <w:t>ж</w:t>
            </w:r>
            <w:r w:rsidRPr="00A426CE">
              <w:t>даването им.</w:t>
            </w:r>
          </w:p>
          <w:p w:rsidR="001551C4" w:rsidRPr="00A426CE" w:rsidRDefault="001551C4" w:rsidP="001551C4">
            <w:pPr>
              <w:jc w:val="both"/>
              <w:rPr>
                <w:b/>
              </w:rPr>
            </w:pPr>
            <w:r w:rsidRPr="00A426CE">
              <w:rPr>
                <w:b/>
              </w:rPr>
              <w:t>ЗАБЕЛЕЖКА</w:t>
            </w:r>
          </w:p>
          <w:p w:rsidR="001551C4" w:rsidRPr="00057011" w:rsidRDefault="001551C4" w:rsidP="001551C4">
            <w:pPr>
              <w:jc w:val="both"/>
              <w:rPr>
                <w:spacing w:val="-4"/>
              </w:rPr>
            </w:pPr>
            <w:r w:rsidRPr="00057011">
              <w:rPr>
                <w:spacing w:val="-4"/>
              </w:rPr>
              <w:t xml:space="preserve">Приложимите документи да бъдат включени като образци в една наредба или свързаните със закона наредби, като по този начин да преминат през обществено обсъждане. Като пример може да се посочи „НАРЕДБА № 3 ОТ 31 ЮЛИ 2003 Г. ЗА СЪСТАВЯНЕ НА АКТОВЕ И ПРОТОКОЛИ ПО ВРЕМЕ НА СТРОИТЕЛСТВОТО”, </w:t>
            </w:r>
            <w:proofErr w:type="spellStart"/>
            <w:r w:rsidRPr="00057011">
              <w:rPr>
                <w:spacing w:val="-4"/>
              </w:rPr>
              <w:t>обн</w:t>
            </w:r>
            <w:proofErr w:type="spellEnd"/>
            <w:r w:rsidRPr="00057011">
              <w:rPr>
                <w:spacing w:val="-4"/>
              </w:rPr>
              <w:t>. ДВ. бр.72 от 15 Август 2003</w:t>
            </w:r>
            <w:r w:rsidR="00057011">
              <w:rPr>
                <w:spacing w:val="-4"/>
              </w:rPr>
              <w:t xml:space="preserve"> </w:t>
            </w:r>
            <w:r w:rsidRPr="00057011">
              <w:rPr>
                <w:spacing w:val="-4"/>
              </w:rPr>
              <w:t>г.</w:t>
            </w:r>
          </w:p>
          <w:p w:rsidR="001551C4" w:rsidRPr="00A426CE" w:rsidRDefault="001551C4" w:rsidP="001551C4">
            <w:pPr>
              <w:jc w:val="both"/>
            </w:pPr>
            <w:r w:rsidRPr="00A426CE">
              <w:t>Липсата на такова спрямо ползваните в настоящия момент образци на документи води до неясноти по тяхното попъ</w:t>
            </w:r>
            <w:r w:rsidRPr="00A426CE">
              <w:t>л</w:t>
            </w:r>
            <w:r w:rsidRPr="00A426CE">
              <w:t>ване, което от своя страна е предпоставка за „тълкувания” в териториалните поделения на ИАЛВ.</w:t>
            </w:r>
          </w:p>
          <w:p w:rsidR="001551C4" w:rsidRPr="00A426CE" w:rsidRDefault="001551C4" w:rsidP="001551C4">
            <w:pPr>
              <w:jc w:val="both"/>
            </w:pPr>
            <w:r w:rsidRPr="00A426CE">
              <w:t>Друг проблем, който ще се реши ще бъде изменението на документите в периода на тяхното ползване. На страницата на ИАЛВ няма публикувана заповед с приложени към нея образци на документите, както и заповеди за изменение на документите с актуални образци след изменението, от които заповеди да е видно от кога са в сила изменените документи и какво е новото съдържание.</w:t>
            </w:r>
          </w:p>
          <w:p w:rsidR="00E220AD" w:rsidRPr="00A426CE" w:rsidRDefault="001551C4" w:rsidP="00004862">
            <w:pPr>
              <w:jc w:val="both"/>
            </w:pPr>
            <w:r w:rsidRPr="00A426CE">
              <w:t xml:space="preserve">Включването на образците на документите в наредба ще наложи ИАЛВ подробно и обоснова да предлага образци на </w:t>
            </w:r>
            <w:r w:rsidRPr="00A426CE">
              <w:lastRenderedPageBreak/>
              <w:t>документи, както и тяхното изменение.</w:t>
            </w:r>
          </w:p>
        </w:tc>
        <w:tc>
          <w:tcPr>
            <w:tcW w:w="1613" w:type="dxa"/>
            <w:tcBorders>
              <w:top w:val="single" w:sz="36" w:space="0" w:color="2E74B5"/>
              <w:left w:val="single" w:sz="18" w:space="0" w:color="2E74B5"/>
              <w:bottom w:val="single" w:sz="18" w:space="0" w:color="2E74B5"/>
              <w:right w:val="single" w:sz="18" w:space="0" w:color="2E74B5"/>
            </w:tcBorders>
            <w:shd w:val="clear" w:color="auto" w:fill="auto"/>
          </w:tcPr>
          <w:p w:rsidR="00BE6BFB" w:rsidRPr="00A426CE" w:rsidRDefault="002472CF" w:rsidP="00831124">
            <w:pPr>
              <w:rPr>
                <w:color w:val="000000"/>
              </w:rPr>
            </w:pPr>
            <w:r w:rsidRPr="00A426CE">
              <w:rPr>
                <w:color w:val="000000"/>
              </w:rPr>
              <w:lastRenderedPageBreak/>
              <w:t>П</w:t>
            </w:r>
            <w:r w:rsidR="00BE6BFB" w:rsidRPr="00A426CE">
              <w:rPr>
                <w:color w:val="000000"/>
              </w:rPr>
              <w:t>риема</w:t>
            </w:r>
            <w:r w:rsidRPr="00A426CE">
              <w:rPr>
                <w:color w:val="000000"/>
              </w:rPr>
              <w:t xml:space="preserve"> се по принцип</w:t>
            </w:r>
          </w:p>
        </w:tc>
        <w:tc>
          <w:tcPr>
            <w:tcW w:w="4538" w:type="dxa"/>
            <w:tcBorders>
              <w:top w:val="single" w:sz="36" w:space="0" w:color="2E74B5"/>
              <w:left w:val="single" w:sz="18" w:space="0" w:color="2E74B5"/>
              <w:bottom w:val="single" w:sz="18" w:space="0" w:color="2E74B5"/>
              <w:right w:val="single" w:sz="36" w:space="0" w:color="2E74B5"/>
            </w:tcBorders>
            <w:shd w:val="clear" w:color="auto" w:fill="auto"/>
          </w:tcPr>
          <w:p w:rsidR="00704988" w:rsidRPr="00A426CE" w:rsidRDefault="003A48EE" w:rsidP="00427EF4">
            <w:pPr>
              <w:jc w:val="both"/>
            </w:pPr>
            <w:r w:rsidRPr="00A426CE">
              <w:t>Текстът изрично указва, че със заповед се утвърждават само тези документи, за к</w:t>
            </w:r>
            <w:r w:rsidRPr="00A426CE">
              <w:t>о</w:t>
            </w:r>
            <w:r w:rsidRPr="00A426CE">
              <w:t xml:space="preserve">ито не е предвиден друг ред. </w:t>
            </w:r>
            <w:r w:rsidR="00704988" w:rsidRPr="00A426CE">
              <w:t xml:space="preserve">Текстът </w:t>
            </w:r>
            <w:r w:rsidR="00427EF4" w:rsidRPr="00A426CE">
              <w:t xml:space="preserve">на чл. 2, ал. 6 </w:t>
            </w:r>
            <w:r w:rsidR="00704988" w:rsidRPr="00A426CE">
              <w:t xml:space="preserve">е </w:t>
            </w:r>
            <w:r w:rsidR="00427EF4" w:rsidRPr="00A426CE">
              <w:t xml:space="preserve">включен </w:t>
            </w:r>
            <w:r w:rsidR="00704988" w:rsidRPr="00A426CE">
              <w:t>в частта на закона</w:t>
            </w:r>
            <w:r w:rsidR="00BE5DB7" w:rsidRPr="00A426CE">
              <w:t>,</w:t>
            </w:r>
            <w:r w:rsidR="00704988" w:rsidRPr="00A426CE">
              <w:t xml:space="preserve"> с която се дефинират органите за управл</w:t>
            </w:r>
            <w:r w:rsidR="00704988" w:rsidRPr="00A426CE">
              <w:t>е</w:t>
            </w:r>
            <w:r w:rsidR="00704988" w:rsidRPr="00A426CE">
              <w:t xml:space="preserve">ние </w:t>
            </w:r>
            <w:r w:rsidR="004739BA" w:rsidRPr="00A426CE">
              <w:t>за осъществяване държавната пол</w:t>
            </w:r>
            <w:r w:rsidR="004739BA" w:rsidRPr="00A426CE">
              <w:t>и</w:t>
            </w:r>
            <w:r w:rsidR="004739BA" w:rsidRPr="00A426CE">
              <w:t xml:space="preserve">тика в </w:t>
            </w:r>
            <w:proofErr w:type="spellStart"/>
            <w:r w:rsidR="004739BA" w:rsidRPr="00A426CE">
              <w:t>лозаро-винарския</w:t>
            </w:r>
            <w:proofErr w:type="spellEnd"/>
            <w:r w:rsidR="004739BA" w:rsidRPr="00A426CE">
              <w:t xml:space="preserve"> сектор. С</w:t>
            </w:r>
            <w:r w:rsidR="00704988" w:rsidRPr="00A426CE">
              <w:t xml:space="preserve"> кон</w:t>
            </w:r>
            <w:r w:rsidR="00704988" w:rsidRPr="00A426CE">
              <w:t>к</w:t>
            </w:r>
            <w:r w:rsidR="00704988" w:rsidRPr="00A426CE">
              <w:t>ретната разпоредбата се предоставят пр</w:t>
            </w:r>
            <w:r w:rsidR="00704988" w:rsidRPr="00A426CE">
              <w:t>а</w:t>
            </w:r>
            <w:r w:rsidR="00704988" w:rsidRPr="00A426CE">
              <w:t xml:space="preserve">вомощия на изпълнителния директор на </w:t>
            </w:r>
            <w:r w:rsidR="004739BA" w:rsidRPr="00A426CE">
              <w:t>Изпълнителната агенция по лозата и в</w:t>
            </w:r>
            <w:r w:rsidR="004739BA" w:rsidRPr="00A426CE">
              <w:t>и</w:t>
            </w:r>
            <w:r w:rsidR="004739BA" w:rsidRPr="00A426CE">
              <w:t>ното, като фокусът не е върху видовете документи, а в правомощието за издав</w:t>
            </w:r>
            <w:r w:rsidR="004739BA" w:rsidRPr="00A426CE">
              <w:t>а</w:t>
            </w:r>
            <w:r w:rsidR="004739BA" w:rsidRPr="00A426CE">
              <w:t>нето им</w:t>
            </w:r>
            <w:r w:rsidR="00BE5DB7" w:rsidRPr="00A426CE">
              <w:t>.</w:t>
            </w:r>
            <w:r w:rsidR="00704988" w:rsidRPr="00A426CE">
              <w:t xml:space="preserve">   </w:t>
            </w:r>
          </w:p>
          <w:p w:rsidR="00E220AD" w:rsidRPr="00A426CE" w:rsidRDefault="00BE5DB7" w:rsidP="004739BA">
            <w:pPr>
              <w:jc w:val="both"/>
            </w:pPr>
            <w:r w:rsidRPr="00A426CE">
              <w:t>Законът предвижда за уреждане на част от отношенията да се приемат наредби. При необходимост от утвърждаване на образци на документи, същите стават</w:t>
            </w:r>
            <w:r w:rsidR="00B00DA4" w:rsidRPr="00A426CE">
              <w:t xml:space="preserve"> част от съответната наредба, като прил</w:t>
            </w:r>
            <w:r w:rsidR="00B00DA4" w:rsidRPr="00A426CE">
              <w:t>о</w:t>
            </w:r>
            <w:r w:rsidR="00B00DA4" w:rsidRPr="00A426CE">
              <w:t>жение.</w:t>
            </w:r>
          </w:p>
          <w:p w:rsidR="002472CF" w:rsidRPr="00A426CE" w:rsidRDefault="002472CF" w:rsidP="004739BA">
            <w:pPr>
              <w:jc w:val="both"/>
            </w:pPr>
          </w:p>
        </w:tc>
      </w:tr>
      <w:tr w:rsidR="00450BC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450BCC" w:rsidRPr="00A426CE" w:rsidRDefault="00450BC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450BCC" w:rsidRPr="00A426CE" w:rsidRDefault="00450BCC" w:rsidP="00831124">
            <w:pPr>
              <w:rPr>
                <w:b/>
                <w:bCs/>
                <w:color w:val="000000"/>
                <w:spacing w:val="-2"/>
                <w:w w:val="86"/>
              </w:rPr>
            </w:pPr>
          </w:p>
        </w:tc>
        <w:tc>
          <w:tcPr>
            <w:tcW w:w="6467" w:type="dxa"/>
            <w:tcBorders>
              <w:top w:val="single" w:sz="18" w:space="0" w:color="2E74B5"/>
              <w:left w:val="single" w:sz="18" w:space="0" w:color="2E74B5"/>
              <w:bottom w:val="nil"/>
              <w:right w:val="single" w:sz="18" w:space="0" w:color="2E74B5"/>
            </w:tcBorders>
            <w:shd w:val="clear" w:color="auto" w:fill="auto"/>
          </w:tcPr>
          <w:p w:rsidR="001551C4" w:rsidRPr="00A426CE" w:rsidRDefault="001551C4" w:rsidP="001551C4">
            <w:pPr>
              <w:jc w:val="both"/>
            </w:pPr>
            <w:r w:rsidRPr="00A426CE">
              <w:t>(7) Изпълнителният директор на ИАЛВ утвърждава със з</w:t>
            </w:r>
            <w:r w:rsidRPr="00A426CE">
              <w:t>а</w:t>
            </w:r>
            <w:r w:rsidRPr="00A426CE">
              <w:t>повед условия и ред за подаване на документите по ал. 6 в електронен вид, когато това е приложимо.</w:t>
            </w:r>
          </w:p>
          <w:p w:rsidR="001551C4" w:rsidRPr="00A426CE" w:rsidRDefault="001551C4" w:rsidP="001551C4">
            <w:pPr>
              <w:jc w:val="both"/>
              <w:rPr>
                <w:b/>
              </w:rPr>
            </w:pPr>
            <w:r w:rsidRPr="00A426CE">
              <w:rPr>
                <w:b/>
              </w:rPr>
              <w:t>ЗАБЕЛЕЖКА</w:t>
            </w:r>
          </w:p>
          <w:p w:rsidR="001551C4" w:rsidRPr="00A426CE" w:rsidRDefault="001551C4" w:rsidP="001551C4">
            <w:pPr>
              <w:jc w:val="both"/>
            </w:pPr>
            <w:r w:rsidRPr="00A426CE">
              <w:t>Да отпадне. Редът за подаване на документите в електронен вид да бъде част от условията по ал. 6.</w:t>
            </w:r>
          </w:p>
          <w:p w:rsidR="00450BCC" w:rsidRPr="00A426CE" w:rsidRDefault="00450BCC" w:rsidP="00450BCC">
            <w:pPr>
              <w:jc w:val="both"/>
              <w:rPr>
                <w:b/>
              </w:rPr>
            </w:pPr>
          </w:p>
        </w:tc>
        <w:tc>
          <w:tcPr>
            <w:tcW w:w="1613" w:type="dxa"/>
            <w:tcBorders>
              <w:top w:val="single" w:sz="18" w:space="0" w:color="2E74B5"/>
              <w:left w:val="single" w:sz="18" w:space="0" w:color="2E74B5"/>
              <w:bottom w:val="nil"/>
              <w:right w:val="single" w:sz="18" w:space="0" w:color="2E74B5"/>
            </w:tcBorders>
            <w:shd w:val="clear" w:color="auto" w:fill="auto"/>
          </w:tcPr>
          <w:p w:rsidR="00450BCC" w:rsidRPr="00A426CE" w:rsidRDefault="003A48EE" w:rsidP="00831124">
            <w:pPr>
              <w:rPr>
                <w:color w:val="000000"/>
              </w:rPr>
            </w:pPr>
            <w:r w:rsidRPr="00A426CE">
              <w:rPr>
                <w:color w:val="000000"/>
              </w:rPr>
              <w:t>Приема се по принцип</w:t>
            </w:r>
          </w:p>
        </w:tc>
        <w:tc>
          <w:tcPr>
            <w:tcW w:w="4538" w:type="dxa"/>
            <w:tcBorders>
              <w:top w:val="single" w:sz="18" w:space="0" w:color="2E74B5"/>
              <w:left w:val="single" w:sz="18" w:space="0" w:color="2E74B5"/>
              <w:bottom w:val="nil"/>
              <w:right w:val="single" w:sz="36" w:space="0" w:color="2E74B5"/>
            </w:tcBorders>
            <w:shd w:val="clear" w:color="auto" w:fill="auto"/>
          </w:tcPr>
          <w:p w:rsidR="00450BCC" w:rsidRPr="00E127B9" w:rsidRDefault="00B00DA4" w:rsidP="002472CF">
            <w:pPr>
              <w:jc w:val="both"/>
              <w:rPr>
                <w:spacing w:val="-2"/>
              </w:rPr>
            </w:pPr>
            <w:r w:rsidRPr="00E127B9">
              <w:rPr>
                <w:spacing w:val="-2"/>
              </w:rPr>
              <w:t xml:space="preserve">Възможността </w:t>
            </w:r>
            <w:r w:rsidR="00BE5DB7" w:rsidRPr="00E127B9">
              <w:rPr>
                <w:spacing w:val="-2"/>
              </w:rPr>
              <w:t>за подаване на документи по електронен вид е</w:t>
            </w:r>
            <w:r w:rsidRPr="00E127B9">
              <w:rPr>
                <w:spacing w:val="-2"/>
              </w:rPr>
              <w:t xml:space="preserve"> допълнител</w:t>
            </w:r>
            <w:r w:rsidR="00BE5DB7" w:rsidRPr="00E127B9">
              <w:rPr>
                <w:spacing w:val="-2"/>
              </w:rPr>
              <w:t>на</w:t>
            </w:r>
            <w:r w:rsidRPr="00E127B9">
              <w:rPr>
                <w:spacing w:val="-2"/>
              </w:rPr>
              <w:t xml:space="preserve">. </w:t>
            </w:r>
            <w:r w:rsidR="00BE5DB7" w:rsidRPr="00E127B9">
              <w:rPr>
                <w:spacing w:val="-2"/>
              </w:rPr>
              <w:t xml:space="preserve">Това е процес, </w:t>
            </w:r>
            <w:r w:rsidR="00063709" w:rsidRPr="00E127B9">
              <w:rPr>
                <w:spacing w:val="-2"/>
              </w:rPr>
              <w:t>при който може да има различия с процеса на подаване на документи на ха</w:t>
            </w:r>
            <w:r w:rsidR="00063709" w:rsidRPr="00E127B9">
              <w:rPr>
                <w:spacing w:val="-2"/>
              </w:rPr>
              <w:t>р</w:t>
            </w:r>
            <w:r w:rsidR="002440AF" w:rsidRPr="00E127B9">
              <w:rPr>
                <w:spacing w:val="-2"/>
              </w:rPr>
              <w:t>тиен носител, п</w:t>
            </w:r>
            <w:r w:rsidR="00063709" w:rsidRPr="00E127B9">
              <w:rPr>
                <w:spacing w:val="-2"/>
              </w:rPr>
              <w:t>оради което изпълните</w:t>
            </w:r>
            <w:r w:rsidR="00063709" w:rsidRPr="00E127B9">
              <w:rPr>
                <w:spacing w:val="-2"/>
              </w:rPr>
              <w:t>л</w:t>
            </w:r>
            <w:r w:rsidR="00063709" w:rsidRPr="00E127B9">
              <w:rPr>
                <w:spacing w:val="-2"/>
              </w:rPr>
              <w:t xml:space="preserve">ният директор на ИАЛВ следва да </w:t>
            </w:r>
            <w:r w:rsidR="002472CF" w:rsidRPr="00E127B9">
              <w:rPr>
                <w:spacing w:val="-2"/>
              </w:rPr>
              <w:t>разп</w:t>
            </w:r>
            <w:r w:rsidR="002472CF" w:rsidRPr="00E127B9">
              <w:rPr>
                <w:spacing w:val="-2"/>
              </w:rPr>
              <w:t>о</w:t>
            </w:r>
            <w:r w:rsidR="002472CF" w:rsidRPr="00E127B9">
              <w:rPr>
                <w:spacing w:val="-2"/>
              </w:rPr>
              <w:t>лага с</w:t>
            </w:r>
            <w:r w:rsidR="00063709" w:rsidRPr="00E127B9">
              <w:rPr>
                <w:spacing w:val="-2"/>
              </w:rPr>
              <w:t xml:space="preserve"> правомощие да утвърждава проц</w:t>
            </w:r>
            <w:r w:rsidR="00063709" w:rsidRPr="00E127B9">
              <w:rPr>
                <w:spacing w:val="-2"/>
              </w:rPr>
              <w:t>е</w:t>
            </w:r>
            <w:r w:rsidR="00063709" w:rsidRPr="00E127B9">
              <w:rPr>
                <w:spacing w:val="-2"/>
              </w:rPr>
              <w:t>дурата в цялост, а с конкретната разп</w:t>
            </w:r>
            <w:r w:rsidR="00063709" w:rsidRPr="00E127B9">
              <w:rPr>
                <w:spacing w:val="-2"/>
              </w:rPr>
              <w:t>о</w:t>
            </w:r>
            <w:r w:rsidR="00063709" w:rsidRPr="00E127B9">
              <w:rPr>
                <w:spacing w:val="-2"/>
              </w:rPr>
              <w:t xml:space="preserve">редбата се вменява именно това право. </w:t>
            </w:r>
          </w:p>
        </w:tc>
      </w:tr>
      <w:tr w:rsidR="00EB11E2"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EB11E2" w:rsidRPr="00A426CE" w:rsidRDefault="00EB11E2"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B11E2" w:rsidRPr="00A426CE" w:rsidRDefault="00EB11E2"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551C4" w:rsidRPr="00A426CE" w:rsidRDefault="001551C4" w:rsidP="001551C4">
            <w:pPr>
              <w:jc w:val="both"/>
            </w:pPr>
            <w:r w:rsidRPr="00A426CE">
              <w:t>(8) Изпълнителната агенция по лозата и виното админис</w:t>
            </w:r>
            <w:r w:rsidRPr="00A426CE">
              <w:t>т</w:t>
            </w:r>
            <w:r w:rsidRPr="00A426CE">
              <w:t xml:space="preserve">рира мерки за подпомагане на </w:t>
            </w:r>
            <w:proofErr w:type="spellStart"/>
            <w:r w:rsidRPr="00A426CE">
              <w:t>лозаро-винарския</w:t>
            </w:r>
            <w:proofErr w:type="spellEnd"/>
            <w:r w:rsidRPr="00A426CE">
              <w:t xml:space="preserve"> сектор, включени в Националната програма за подпомаг</w:t>
            </w:r>
            <w:r w:rsidR="004D5FF9" w:rsidRPr="00A426CE">
              <w:t xml:space="preserve">ане на </w:t>
            </w:r>
            <w:proofErr w:type="spellStart"/>
            <w:r w:rsidR="004D5FF9" w:rsidRPr="00A426CE">
              <w:t>л</w:t>
            </w:r>
            <w:r w:rsidR="004D5FF9" w:rsidRPr="00A426CE">
              <w:t>о</w:t>
            </w:r>
            <w:r w:rsidR="004D5FF9" w:rsidRPr="00A426CE">
              <w:t>заро-винарския</w:t>
            </w:r>
            <w:proofErr w:type="spellEnd"/>
            <w:r w:rsidR="004D5FF9" w:rsidRPr="00A426CE">
              <w:t xml:space="preserve"> сектор.</w:t>
            </w:r>
          </w:p>
          <w:p w:rsidR="001551C4" w:rsidRPr="00A426CE" w:rsidRDefault="001551C4" w:rsidP="001551C4">
            <w:pPr>
              <w:jc w:val="both"/>
              <w:rPr>
                <w:b/>
              </w:rPr>
            </w:pPr>
            <w:r w:rsidRPr="00A426CE">
              <w:rPr>
                <w:b/>
              </w:rPr>
              <w:t>ЗАБЕЛЕЖКА</w:t>
            </w:r>
          </w:p>
          <w:p w:rsidR="00EB11E2" w:rsidRPr="00A426CE" w:rsidRDefault="001551C4" w:rsidP="001551C4">
            <w:pPr>
              <w:jc w:val="both"/>
            </w:pPr>
            <w:r w:rsidRPr="00A426CE">
              <w:t>Защо програмата е в единствено число при условие, че в края на периода на една такава програма вече е одобрена следваща такава програма.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A426CE" w:rsidRDefault="003A48EE" w:rsidP="00831124">
            <w:pPr>
              <w:rPr>
                <w:color w:val="000000"/>
              </w:rPr>
            </w:pPr>
            <w:r w:rsidRPr="00A426CE">
              <w:rPr>
                <w:color w:val="000000"/>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B11E2" w:rsidRPr="00E127B9" w:rsidRDefault="003A48EE" w:rsidP="003A48EE">
            <w:pPr>
              <w:jc w:val="both"/>
              <w:rPr>
                <w:spacing w:val="-2"/>
              </w:rPr>
            </w:pPr>
            <w:r w:rsidRPr="00E127B9">
              <w:rPr>
                <w:spacing w:val="-2"/>
              </w:rPr>
              <w:t>За един и същи период не може да има застъпване на две действащи програми, напротив има една Националната прогр</w:t>
            </w:r>
            <w:r w:rsidRPr="00E127B9">
              <w:rPr>
                <w:spacing w:val="-2"/>
              </w:rPr>
              <w:t>а</w:t>
            </w:r>
            <w:r w:rsidRPr="00E127B9">
              <w:rPr>
                <w:spacing w:val="-2"/>
              </w:rPr>
              <w:t>ма за подпомагане с една или повече ме</w:t>
            </w:r>
            <w:r w:rsidRPr="00E127B9">
              <w:rPr>
                <w:spacing w:val="-2"/>
              </w:rPr>
              <w:t>р</w:t>
            </w:r>
            <w:r w:rsidRPr="00E127B9">
              <w:rPr>
                <w:spacing w:val="-2"/>
              </w:rPr>
              <w:t xml:space="preserve">ки. </w:t>
            </w:r>
            <w:r w:rsidR="00063709" w:rsidRPr="00E127B9">
              <w:rPr>
                <w:spacing w:val="-2"/>
              </w:rPr>
              <w:t xml:space="preserve">Настоящата Националната програма за подпомагане на </w:t>
            </w:r>
            <w:proofErr w:type="spellStart"/>
            <w:r w:rsidR="00063709" w:rsidRPr="00E127B9">
              <w:rPr>
                <w:spacing w:val="-2"/>
              </w:rPr>
              <w:t>лозаро-винарския</w:t>
            </w:r>
            <w:proofErr w:type="spellEnd"/>
            <w:r w:rsidR="00063709" w:rsidRPr="00E127B9">
              <w:rPr>
                <w:spacing w:val="-2"/>
              </w:rPr>
              <w:t xml:space="preserve"> сектор е за периода 2014-2018, а следващата е за 2019-2023г. </w:t>
            </w:r>
            <w:r w:rsidR="00B00DA4" w:rsidRPr="00E127B9">
              <w:rPr>
                <w:spacing w:val="-2"/>
              </w:rPr>
              <w:t>Съгласно чл. 41 от Регламент</w:t>
            </w:r>
            <w:r w:rsidR="00063709" w:rsidRPr="00E127B9">
              <w:rPr>
                <w:spacing w:val="-2"/>
              </w:rPr>
              <w:t xml:space="preserve"> (ЕС)</w:t>
            </w:r>
            <w:r w:rsidR="00B00DA4" w:rsidRPr="00E127B9">
              <w:rPr>
                <w:spacing w:val="-2"/>
              </w:rPr>
              <w:t xml:space="preserve"> 1308</w:t>
            </w:r>
            <w:r w:rsidR="00063709" w:rsidRPr="00E127B9">
              <w:rPr>
                <w:spacing w:val="-2"/>
              </w:rPr>
              <w:t>/2013</w:t>
            </w:r>
            <w:r w:rsidR="00B00DA4" w:rsidRPr="00E127B9">
              <w:rPr>
                <w:spacing w:val="-2"/>
              </w:rPr>
              <w:t xml:space="preserve"> програмата за подпомаг</w:t>
            </w:r>
            <w:r w:rsidR="00B00DA4" w:rsidRPr="00E127B9">
              <w:rPr>
                <w:spacing w:val="-2"/>
              </w:rPr>
              <w:t>а</w:t>
            </w:r>
            <w:r w:rsidR="00B00DA4" w:rsidRPr="00E127B9">
              <w:rPr>
                <w:spacing w:val="-2"/>
              </w:rPr>
              <w:t xml:space="preserve">не е с период от 5 год., </w:t>
            </w:r>
            <w:r w:rsidR="00063709" w:rsidRPr="00E127B9">
              <w:rPr>
                <w:spacing w:val="-2"/>
              </w:rPr>
              <w:t>а параграф 3 ре</w:t>
            </w:r>
            <w:r w:rsidR="00063709" w:rsidRPr="00E127B9">
              <w:rPr>
                <w:spacing w:val="-2"/>
              </w:rPr>
              <w:t>г</w:t>
            </w:r>
            <w:r w:rsidR="00063709" w:rsidRPr="00E127B9">
              <w:rPr>
                <w:spacing w:val="-2"/>
              </w:rPr>
              <w:t>ламентира, че всяка държава членка пре</w:t>
            </w:r>
            <w:r w:rsidR="00063709" w:rsidRPr="00E127B9">
              <w:rPr>
                <w:spacing w:val="-2"/>
              </w:rPr>
              <w:t>д</w:t>
            </w:r>
            <w:r w:rsidR="00063709" w:rsidRPr="00E127B9">
              <w:rPr>
                <w:spacing w:val="-2"/>
              </w:rPr>
              <w:t xml:space="preserve">ставя само един проект за подпомагане. </w:t>
            </w:r>
          </w:p>
        </w:tc>
      </w:tr>
      <w:tr w:rsidR="00EB11E2"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EB11E2" w:rsidRPr="00A426CE" w:rsidRDefault="00EB11E2"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B11E2" w:rsidRPr="00A426CE" w:rsidRDefault="00EB11E2"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D5FF9" w:rsidRPr="00057011" w:rsidRDefault="004D5FF9" w:rsidP="004D5FF9">
            <w:pPr>
              <w:jc w:val="both"/>
              <w:rPr>
                <w:spacing w:val="-8"/>
              </w:rPr>
            </w:pPr>
            <w:r w:rsidRPr="00057011">
              <w:rPr>
                <w:spacing w:val="-8"/>
              </w:rPr>
              <w:t>Чл. 3. За извършване на услугите по чл. 2, ал. 4, т. 2 ИАЛВ съб</w:t>
            </w:r>
            <w:r w:rsidRPr="00057011">
              <w:rPr>
                <w:spacing w:val="-8"/>
              </w:rPr>
              <w:t>и</w:t>
            </w:r>
            <w:r w:rsidRPr="00057011">
              <w:rPr>
                <w:spacing w:val="-8"/>
              </w:rPr>
              <w:t>ра такси в размер, определен с тарифа на Министерския съвет.</w:t>
            </w:r>
          </w:p>
          <w:p w:rsidR="004D5FF9" w:rsidRPr="00A426CE" w:rsidRDefault="004D5FF9" w:rsidP="004D5FF9">
            <w:pPr>
              <w:jc w:val="both"/>
              <w:rPr>
                <w:b/>
              </w:rPr>
            </w:pPr>
            <w:r w:rsidRPr="00A426CE">
              <w:rPr>
                <w:b/>
              </w:rPr>
              <w:t>ЗАБЕЛЕЖКА</w:t>
            </w:r>
          </w:p>
          <w:p w:rsidR="00EB11E2" w:rsidRPr="00A426CE" w:rsidRDefault="004D5FF9" w:rsidP="00450BCC">
            <w:pPr>
              <w:jc w:val="both"/>
            </w:pPr>
            <w:r w:rsidRPr="00A426CE">
              <w:t>Чл. 2, ал. 4, т. 2 е „приходи от извършвани услуги”. Има н</w:t>
            </w:r>
            <w:r w:rsidRPr="00A426CE">
              <w:t>е</w:t>
            </w:r>
            <w:r w:rsidRPr="00A426CE">
              <w:t>точност в посочването на точката, защото в тази точка не са посочени услуги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A426CE" w:rsidRDefault="00B00DA4" w:rsidP="00831124">
            <w:r w:rsidRPr="00A426CE">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B11E2" w:rsidRPr="00A426CE" w:rsidRDefault="00EB11E2" w:rsidP="00063709"/>
        </w:tc>
      </w:tr>
      <w:tr w:rsidR="00EB11E2"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EB11E2" w:rsidRPr="00A426CE" w:rsidRDefault="00EB11E2"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B11E2" w:rsidRPr="00A426CE" w:rsidRDefault="00EB11E2"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D5FF9" w:rsidRPr="00A426CE" w:rsidRDefault="004D5FF9" w:rsidP="004D5FF9">
            <w:pPr>
              <w:jc w:val="both"/>
            </w:pPr>
            <w:r w:rsidRPr="00A426CE">
              <w:t>(2) Изпълнителната агенция по лозата и виното упражнява контрол върху извършването на засаждане и изкореняване на лозя.</w:t>
            </w:r>
          </w:p>
          <w:p w:rsidR="004D5FF9" w:rsidRPr="00A426CE" w:rsidRDefault="004D5FF9" w:rsidP="004D5FF9">
            <w:pPr>
              <w:jc w:val="both"/>
              <w:rPr>
                <w:b/>
              </w:rPr>
            </w:pPr>
            <w:r w:rsidRPr="00A426CE">
              <w:rPr>
                <w:b/>
              </w:rPr>
              <w:lastRenderedPageBreak/>
              <w:t>ЗАБЕЛЕЖКА</w:t>
            </w:r>
          </w:p>
          <w:p w:rsidR="00EB11E2" w:rsidRPr="00A426CE" w:rsidRDefault="004D5FF9" w:rsidP="00450BCC">
            <w:pPr>
              <w:jc w:val="both"/>
            </w:pPr>
            <w:r w:rsidRPr="00A426CE">
              <w:t>ИАЛВ не трябва ли да упражнява контрол и върху „подо</w:t>
            </w:r>
            <w:r w:rsidRPr="00A426CE">
              <w:t>б</w:t>
            </w:r>
            <w:r w:rsidRPr="00A426CE">
              <w:t>ряване на техниките за управление на лозята”.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A426CE" w:rsidRDefault="009C4DFC" w:rsidP="00831124">
            <w:pPr>
              <w:rPr>
                <w:color w:val="000000"/>
              </w:rPr>
            </w:pPr>
            <w:r w:rsidRPr="00A426CE">
              <w:rPr>
                <w:color w:val="000000"/>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B11E2" w:rsidRPr="00A426CE" w:rsidRDefault="001E174B" w:rsidP="003A48EE">
            <w:pPr>
              <w:jc w:val="both"/>
            </w:pPr>
            <w:r w:rsidRPr="00A426CE">
              <w:t>С разпоредбата на чл. 4 се регламентират общите правила, касаещи производств</w:t>
            </w:r>
            <w:r w:rsidRPr="00A426CE">
              <w:t>е</w:t>
            </w:r>
            <w:r w:rsidRPr="00A426CE">
              <w:t xml:space="preserve">ния потенциал. </w:t>
            </w:r>
            <w:r w:rsidR="00F4570D" w:rsidRPr="00A426CE">
              <w:t>Подобряване на техник</w:t>
            </w:r>
            <w:r w:rsidR="00F4570D" w:rsidRPr="00A426CE">
              <w:t>и</w:t>
            </w:r>
            <w:r w:rsidR="00F4570D" w:rsidRPr="00A426CE">
              <w:lastRenderedPageBreak/>
              <w:t xml:space="preserve">те </w:t>
            </w:r>
            <w:r w:rsidRPr="00A426CE">
              <w:t xml:space="preserve">за управление на лозята </w:t>
            </w:r>
            <w:r w:rsidR="00F4570D" w:rsidRPr="00A426CE">
              <w:t xml:space="preserve">не </w:t>
            </w:r>
            <w:r w:rsidRPr="00A426CE">
              <w:t xml:space="preserve">е част от </w:t>
            </w:r>
            <w:r w:rsidR="00F4570D" w:rsidRPr="00A426CE">
              <w:t>производствен</w:t>
            </w:r>
            <w:r w:rsidRPr="00A426CE">
              <w:t>ия</w:t>
            </w:r>
            <w:r w:rsidR="00F4570D" w:rsidRPr="00A426CE">
              <w:t xml:space="preserve"> потенциал.</w:t>
            </w:r>
          </w:p>
        </w:tc>
      </w:tr>
      <w:tr w:rsidR="00EB11E2"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EB11E2" w:rsidRPr="00A426CE" w:rsidRDefault="00EB11E2"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EB11E2" w:rsidRPr="00A426CE" w:rsidRDefault="00EB11E2"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D5FF9" w:rsidRPr="00A426CE" w:rsidRDefault="004D5FF9" w:rsidP="004D5FF9">
            <w:pPr>
              <w:jc w:val="both"/>
            </w:pPr>
            <w:r w:rsidRPr="00A426CE">
              <w:t>Чл. 4. (1) Производствен потенциал включва реално засад</w:t>
            </w:r>
            <w:r w:rsidRPr="00A426CE">
              <w:t>е</w:t>
            </w:r>
            <w:r w:rsidRPr="00A426CE">
              <w:t>ните площи с винени лозя, неупражнените от производит</w:t>
            </w:r>
            <w:r w:rsidRPr="00A426CE">
              <w:t>е</w:t>
            </w:r>
            <w:r w:rsidRPr="00A426CE">
              <w:t xml:space="preserve">лите разрешения за ново засаждане и </w:t>
            </w:r>
            <w:proofErr w:type="spellStart"/>
            <w:r w:rsidRPr="00A426CE">
              <w:t>презасаждане</w:t>
            </w:r>
            <w:proofErr w:type="spellEnd"/>
            <w:r w:rsidRPr="00A426CE">
              <w:t xml:space="preserve"> на вин</w:t>
            </w:r>
            <w:r w:rsidRPr="00A426CE">
              <w:t>е</w:t>
            </w:r>
            <w:r w:rsidRPr="00A426CE">
              <w:t>ни сортове лози и подлежащите на преобразуване права на засаждане, предоставени на производителите, подходящи за производство на:</w:t>
            </w:r>
          </w:p>
          <w:p w:rsidR="004D5FF9" w:rsidRPr="00A426CE" w:rsidRDefault="004D5FF9" w:rsidP="004D5FF9">
            <w:pPr>
              <w:jc w:val="both"/>
              <w:rPr>
                <w:b/>
              </w:rPr>
            </w:pPr>
            <w:r w:rsidRPr="00A426CE">
              <w:rPr>
                <w:b/>
              </w:rPr>
              <w:t>ЗАБЕЛЕЖКА</w:t>
            </w:r>
          </w:p>
          <w:p w:rsidR="00EB11E2" w:rsidRPr="00A426CE" w:rsidRDefault="004D5FF9" w:rsidP="00004862">
            <w:pPr>
              <w:jc w:val="both"/>
            </w:pPr>
            <w:r w:rsidRPr="00A426CE">
              <w:t xml:space="preserve">„разрешения за ново засаждане и </w:t>
            </w:r>
            <w:proofErr w:type="spellStart"/>
            <w:r w:rsidRPr="00A426CE">
              <w:t>презасаждане</w:t>
            </w:r>
            <w:proofErr w:type="spellEnd"/>
            <w:r w:rsidRPr="00A426CE">
              <w:t xml:space="preserve"> на винени сортове лози” това две отделни разрешения ли ще бъдат или е едно разрешение?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A426CE" w:rsidRDefault="003A48EE" w:rsidP="00831124">
            <w:pPr>
              <w:rPr>
                <w:color w:val="000000"/>
              </w:rPr>
            </w:pPr>
            <w:r w:rsidRPr="00A426CE">
              <w:rPr>
                <w:color w:val="000000"/>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B11E2" w:rsidRPr="00A426CE" w:rsidRDefault="00F4570D" w:rsidP="002440AF">
            <w:pPr>
              <w:jc w:val="both"/>
            </w:pPr>
            <w:r w:rsidRPr="00A426CE">
              <w:t xml:space="preserve">В чл. 6 от </w:t>
            </w:r>
            <w:r w:rsidR="002440AF" w:rsidRPr="00A426CE">
              <w:t>законо</w:t>
            </w:r>
            <w:r w:rsidRPr="00A426CE">
              <w:t>проекта е предвидено да се издават разрешения за нови насажд</w:t>
            </w:r>
            <w:r w:rsidRPr="00A426CE">
              <w:t>е</w:t>
            </w:r>
            <w:r w:rsidRPr="00A426CE">
              <w:t xml:space="preserve">ния и разрешения за </w:t>
            </w:r>
            <w:proofErr w:type="spellStart"/>
            <w:r w:rsidRPr="00A426CE">
              <w:t>презасаждане</w:t>
            </w:r>
            <w:proofErr w:type="spellEnd"/>
            <w:r w:rsidRPr="00A426CE">
              <w:t>. Ред</w:t>
            </w:r>
            <w:r w:rsidR="001E174B" w:rsidRPr="00A426CE">
              <w:t>ът</w:t>
            </w:r>
            <w:r w:rsidRPr="00A426CE">
              <w:t xml:space="preserve"> за издаване на разрешенията са регламе</w:t>
            </w:r>
            <w:r w:rsidRPr="00A426CE">
              <w:t>н</w:t>
            </w:r>
            <w:r w:rsidRPr="00A426CE">
              <w:t xml:space="preserve">тирани в Раздел </w:t>
            </w:r>
            <w:r w:rsidRPr="00A426CE">
              <w:rPr>
                <w:lang w:val="en-US"/>
              </w:rPr>
              <w:t>III</w:t>
            </w:r>
            <w:r w:rsidRPr="00A426CE">
              <w:t xml:space="preserve"> и в Раздел </w:t>
            </w:r>
            <w:r w:rsidRPr="00A426CE">
              <w:rPr>
                <w:lang w:val="en-US"/>
              </w:rPr>
              <w:t>IV</w:t>
            </w:r>
            <w:r w:rsidRPr="00A426CE">
              <w:t xml:space="preserve"> от глава трета съответно за нови насаждения и за </w:t>
            </w:r>
            <w:proofErr w:type="spellStart"/>
            <w:r w:rsidRPr="00A426CE">
              <w:t>презасаждане</w:t>
            </w:r>
            <w:proofErr w:type="spellEnd"/>
            <w:r w:rsidRPr="00A426CE">
              <w:t xml:space="preserve">. </w:t>
            </w:r>
          </w:p>
        </w:tc>
      </w:tr>
      <w:tr w:rsidR="00450BC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450BCC" w:rsidRPr="00A426CE" w:rsidRDefault="00450BC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450BCC" w:rsidRPr="00A426CE" w:rsidRDefault="00450BC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D5FF9" w:rsidRPr="00ED343A" w:rsidRDefault="004D5FF9" w:rsidP="004D5FF9">
            <w:pPr>
              <w:jc w:val="both"/>
            </w:pPr>
            <w:r w:rsidRPr="00ED343A">
              <w:t>(3) Забранява се създаване на лозови насаждения без изд</w:t>
            </w:r>
            <w:r w:rsidRPr="00ED343A">
              <w:t>а</w:t>
            </w:r>
            <w:r w:rsidRPr="00ED343A">
              <w:t>дено разрешение. Производителите са длъжни да изкорен</w:t>
            </w:r>
            <w:r w:rsidRPr="00ED343A">
              <w:t>я</w:t>
            </w:r>
            <w:r w:rsidRPr="00ED343A">
              <w:t>ват за своя сметка площите, засадени с лозя без разрешение.</w:t>
            </w:r>
          </w:p>
          <w:p w:rsidR="004D5FF9" w:rsidRPr="00ED343A" w:rsidRDefault="004D5FF9" w:rsidP="004D5FF9">
            <w:pPr>
              <w:jc w:val="both"/>
              <w:rPr>
                <w:b/>
              </w:rPr>
            </w:pPr>
            <w:r w:rsidRPr="00ED343A">
              <w:rPr>
                <w:b/>
              </w:rPr>
              <w:t>ЗАБЕЛЕЖКА</w:t>
            </w:r>
          </w:p>
          <w:p w:rsidR="004D5FF9" w:rsidRPr="00ED343A" w:rsidRDefault="004D5FF9" w:rsidP="004D5FF9">
            <w:pPr>
              <w:jc w:val="both"/>
            </w:pPr>
            <w:r w:rsidRPr="00ED343A">
              <w:t>„лозови насаждения” да се замени с „винени сортове лози”.</w:t>
            </w:r>
          </w:p>
          <w:p w:rsidR="00450BCC" w:rsidRPr="00ED343A" w:rsidRDefault="004D5FF9" w:rsidP="004D5FF9">
            <w:pPr>
              <w:jc w:val="both"/>
            </w:pPr>
            <w:r w:rsidRPr="00ED343A">
              <w:t>„издадено разрешение” да се замени с „разрешения за ново засаждане/</w:t>
            </w:r>
            <w:proofErr w:type="spellStart"/>
            <w:r w:rsidRPr="00ED343A">
              <w:t>презасаждане</w:t>
            </w:r>
            <w:proofErr w:type="spellEnd"/>
            <w:r w:rsidRPr="00ED343A">
              <w:t xml:space="preserve"> на винени сортове лози”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50BCC" w:rsidRPr="00ED343A" w:rsidRDefault="00ED343A" w:rsidP="00831124">
            <w:pPr>
              <w:rPr>
                <w:color w:val="000000"/>
              </w:rPr>
            </w:pPr>
            <w:r w:rsidRPr="00ED343A">
              <w:rPr>
                <w:color w:val="000000"/>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524038" w:rsidRPr="00ED343A" w:rsidRDefault="001E174B" w:rsidP="001E174B">
            <w:pPr>
              <w:rPr>
                <w:highlight w:val="yellow"/>
              </w:rPr>
            </w:pPr>
            <w:r w:rsidRPr="00ED343A">
              <w:rPr>
                <w:highlight w:val="yellow"/>
              </w:rPr>
              <w:t xml:space="preserve"> </w:t>
            </w:r>
          </w:p>
        </w:tc>
      </w:tr>
      <w:tr w:rsidR="00450BC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450BCC" w:rsidRPr="00A426CE" w:rsidRDefault="00450BC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450BCC" w:rsidRPr="00A426CE" w:rsidRDefault="00450BC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A2346" w:rsidRPr="00A426CE" w:rsidRDefault="008A2346" w:rsidP="008A2346">
            <w:pPr>
              <w:jc w:val="both"/>
            </w:pPr>
            <w:r w:rsidRPr="00A426CE">
              <w:t>4) Когато ИАЛВ установи наличието на лозя, които са зас</w:t>
            </w:r>
            <w:r w:rsidRPr="00A426CE">
              <w:t>а</w:t>
            </w:r>
            <w:r w:rsidRPr="00A426CE">
              <w:t>дени без разрешение, със заповед на изпълнителния дире</w:t>
            </w:r>
            <w:r w:rsidRPr="00A426CE">
              <w:t>к</w:t>
            </w:r>
            <w:r w:rsidRPr="00A426CE">
              <w:t>тор се дава срок от четири месеца на производителя  да и</w:t>
            </w:r>
            <w:r w:rsidRPr="00A426CE">
              <w:t>з</w:t>
            </w:r>
            <w:r w:rsidRPr="00A426CE">
              <w:t>върши изкореняването. Заповедта се съобщава на произв</w:t>
            </w:r>
            <w:r w:rsidRPr="00A426CE">
              <w:t>о</w:t>
            </w:r>
            <w:r w:rsidRPr="00A426CE">
              <w:t xml:space="preserve">дителя и може да се обжалва по реда на </w:t>
            </w:r>
            <w:proofErr w:type="spellStart"/>
            <w:r w:rsidRPr="00A426CE">
              <w:t>Администрати</w:t>
            </w:r>
            <w:r w:rsidRPr="00A426CE">
              <w:t>в</w:t>
            </w:r>
            <w:r w:rsidRPr="00A426CE">
              <w:t>нопроцесуалния</w:t>
            </w:r>
            <w:proofErr w:type="spellEnd"/>
            <w:r w:rsidRPr="00A426CE">
              <w:t xml:space="preserve"> кодекс.</w:t>
            </w:r>
          </w:p>
          <w:p w:rsidR="008A2346" w:rsidRPr="00A426CE" w:rsidRDefault="008A2346" w:rsidP="008A2346">
            <w:pPr>
              <w:jc w:val="both"/>
              <w:rPr>
                <w:b/>
              </w:rPr>
            </w:pPr>
            <w:r w:rsidRPr="00A426CE">
              <w:rPr>
                <w:b/>
              </w:rPr>
              <w:t>ЗАБЕЛЕЖКА</w:t>
            </w:r>
          </w:p>
          <w:p w:rsidR="008A2346" w:rsidRPr="00A426CE" w:rsidRDefault="008A2346" w:rsidP="008A2346">
            <w:pPr>
              <w:jc w:val="both"/>
            </w:pPr>
            <w:r w:rsidRPr="00A426CE">
              <w:t>Къде е описан реда за установяване на „наличието на лозя, които са засадени без разрешение”?</w:t>
            </w:r>
          </w:p>
          <w:p w:rsidR="008A2346" w:rsidRPr="00A426CE" w:rsidRDefault="008A2346" w:rsidP="008A2346">
            <w:pPr>
              <w:jc w:val="both"/>
            </w:pPr>
            <w:r w:rsidRPr="00A426CE">
              <w:t>„наличието на лозя” да се замени с „винени сортове лози”.</w:t>
            </w:r>
          </w:p>
          <w:p w:rsidR="008A2346" w:rsidRPr="00A426CE" w:rsidRDefault="008A2346" w:rsidP="008A2346">
            <w:pPr>
              <w:jc w:val="both"/>
            </w:pPr>
            <w:r w:rsidRPr="00A426CE">
              <w:t xml:space="preserve">Как е определен този срок и как е отчетено обстоятелството, </w:t>
            </w:r>
            <w:r w:rsidRPr="00A426CE">
              <w:lastRenderedPageBreak/>
              <w:t>че установяването може да се извърши през месец октомври и четирите месеца обхващат зимния период, през който е затруднено изкореняването. Това автоматически ще доведе до неизпълнение на условието на настоящата алинея.</w:t>
            </w:r>
          </w:p>
          <w:p w:rsidR="008A2346" w:rsidRPr="00A426CE" w:rsidRDefault="008A2346" w:rsidP="008A2346">
            <w:pPr>
              <w:jc w:val="both"/>
            </w:pPr>
            <w:r w:rsidRPr="00A426CE">
              <w:t>Предлагам срокът „от четири месеца” да се промени в пер</w:t>
            </w:r>
            <w:r w:rsidRPr="00A426CE">
              <w:t>и</w:t>
            </w:r>
            <w:r w:rsidRPr="00A426CE">
              <w:t>ода на винарската година.</w:t>
            </w:r>
          </w:p>
          <w:p w:rsidR="00450BCC" w:rsidRPr="00A426CE" w:rsidRDefault="008A2346" w:rsidP="008A2346">
            <w:pPr>
              <w:jc w:val="both"/>
            </w:pPr>
            <w:r w:rsidRPr="00A426CE">
              <w:t>Къде е описан реда за съобщаване на заповедта на произв</w:t>
            </w:r>
            <w:r w:rsidRPr="00A426CE">
              <w:t>о</w:t>
            </w:r>
            <w:r w:rsidRPr="00A426CE">
              <w:t>дителя?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50BCC" w:rsidRPr="00A426CE" w:rsidRDefault="00963058" w:rsidP="00831124">
            <w:r w:rsidRPr="00A426CE">
              <w:rPr>
                <w:color w:val="000000"/>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2854C9" w:rsidRPr="00A426CE" w:rsidRDefault="002854C9" w:rsidP="002440AF">
            <w:pPr>
              <w:jc w:val="both"/>
            </w:pPr>
            <w:r w:rsidRPr="00A426CE">
              <w:t>С</w:t>
            </w:r>
            <w:r w:rsidR="004942CA" w:rsidRPr="00A426CE">
              <w:t xml:space="preserve"> чл. 125 и сл</w:t>
            </w:r>
            <w:r w:rsidRPr="00A426CE">
              <w:t>едващите</w:t>
            </w:r>
            <w:r w:rsidR="004942CA" w:rsidRPr="00A426CE">
              <w:t xml:space="preserve"> </w:t>
            </w:r>
            <w:r w:rsidRPr="00A426CE">
              <w:t>от проекта с</w:t>
            </w:r>
            <w:r w:rsidR="004942CA" w:rsidRPr="00A426CE">
              <w:t>е ре</w:t>
            </w:r>
            <w:r w:rsidR="004942CA" w:rsidRPr="00A426CE">
              <w:t>г</w:t>
            </w:r>
            <w:r w:rsidR="004942CA" w:rsidRPr="00A426CE">
              <w:t>ламентира, че ИАЛВ упражнява контрол по спазване изискванията на закона по отношение на производствения потенц</w:t>
            </w:r>
            <w:r w:rsidR="004942CA" w:rsidRPr="00A426CE">
              <w:t>и</w:t>
            </w:r>
            <w:r w:rsidR="004942CA" w:rsidRPr="00A426CE">
              <w:t xml:space="preserve">ал посредством проверки включително и такива на място. </w:t>
            </w:r>
            <w:r w:rsidRPr="00A426CE">
              <w:t>Срокът от 4 месеца е напълно достатъчен, за да се организира изкореняване</w:t>
            </w:r>
            <w:r w:rsidR="00B11252">
              <w:t xml:space="preserve"> и е определен в </w:t>
            </w:r>
            <w:r w:rsidR="00D5313C">
              <w:t xml:space="preserve">чл. 71 от </w:t>
            </w:r>
            <w:r w:rsidR="00B11252">
              <w:t>Регламент (ЕС) 2013/1308</w:t>
            </w:r>
            <w:r w:rsidR="00963058" w:rsidRPr="00A426CE">
              <w:t>.</w:t>
            </w:r>
          </w:p>
          <w:p w:rsidR="00F54121" w:rsidRPr="00A426CE" w:rsidRDefault="00963058" w:rsidP="002440AF">
            <w:pPr>
              <w:jc w:val="both"/>
            </w:pPr>
            <w:r w:rsidRPr="00A426CE">
              <w:t>Редът за съобщаване на индивидуален административен акт, какъвто предста</w:t>
            </w:r>
            <w:r w:rsidRPr="00A426CE">
              <w:t>в</w:t>
            </w:r>
            <w:r w:rsidRPr="00A426CE">
              <w:lastRenderedPageBreak/>
              <w:t xml:space="preserve">лява заповедта, се регламентира от </w:t>
            </w:r>
            <w:proofErr w:type="spellStart"/>
            <w:r w:rsidRPr="00A426CE">
              <w:t>А</w:t>
            </w:r>
            <w:r w:rsidRPr="00A426CE">
              <w:t>д</w:t>
            </w:r>
            <w:r w:rsidRPr="00A426CE">
              <w:t>министративнопрецесуалния</w:t>
            </w:r>
            <w:proofErr w:type="spellEnd"/>
            <w:r w:rsidRPr="00A426CE">
              <w:t xml:space="preserve"> кодекс и по-конкретно чл. 61.</w:t>
            </w:r>
          </w:p>
        </w:tc>
      </w:tr>
      <w:tr w:rsidR="009C4DF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9C4DFC" w:rsidRPr="00A426CE" w:rsidRDefault="009C4DF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C4DFC" w:rsidRPr="00A426CE" w:rsidRDefault="009C4DF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9C4DFC" w:rsidP="008A2346">
            <w:pPr>
              <w:jc w:val="both"/>
            </w:pPr>
            <w:r w:rsidRPr="00A426CE">
              <w:t>7) Площите, засадени с лозя без разрешение, не получават подпомагане по схеми и мерки финансирани от държавния бюджет и от фондовете на Европейския съюз.</w:t>
            </w:r>
          </w:p>
          <w:p w:rsidR="009C4DFC" w:rsidRPr="00A426CE" w:rsidRDefault="009C4DFC" w:rsidP="008A2346">
            <w:pPr>
              <w:jc w:val="both"/>
              <w:rPr>
                <w:b/>
              </w:rPr>
            </w:pPr>
            <w:r w:rsidRPr="00A426CE">
              <w:rPr>
                <w:b/>
              </w:rPr>
              <w:t>ЗАБЕЛЕЖКА</w:t>
            </w:r>
          </w:p>
          <w:p w:rsidR="009C4DFC" w:rsidRPr="00E127B9" w:rsidRDefault="009C4DFC" w:rsidP="008A2346">
            <w:pPr>
              <w:jc w:val="both"/>
              <w:rPr>
                <w:spacing w:val="-2"/>
              </w:rPr>
            </w:pPr>
            <w:r w:rsidRPr="00E127B9">
              <w:rPr>
                <w:spacing w:val="-2"/>
              </w:rPr>
              <w:t>Да се промени на „Площите с издадена заповед по реда на ал. 4 не получават подпомагане по схеми и мерки финансирани от държавния бюджет и от фондовете на Европейския съюз.”</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9C4DFC" w:rsidP="00AE6725">
            <w:r w:rsidRPr="00A426CE">
              <w:t>Приема се</w:t>
            </w:r>
            <w:r w:rsidR="00887913" w:rsidRPr="00A426CE">
              <w:t xml:space="preserve"> по принцип</w:t>
            </w:r>
            <w:r w:rsidRPr="00A426CE">
              <w:t>.</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C4DFC" w:rsidRPr="00A426CE" w:rsidRDefault="00887913" w:rsidP="00963058">
            <w:r w:rsidRPr="00A426CE">
              <w:t>Текстът на разпоредбата е прецизиран.</w:t>
            </w:r>
          </w:p>
        </w:tc>
      </w:tr>
      <w:tr w:rsidR="009C4DF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9C4DFC" w:rsidRPr="00A426CE" w:rsidRDefault="009C4DF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C4DFC" w:rsidRPr="00A426CE" w:rsidRDefault="009C4DF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9C4DFC" w:rsidP="008A2346">
            <w:pPr>
              <w:jc w:val="both"/>
            </w:pPr>
            <w:r w:rsidRPr="00A426CE">
              <w:t xml:space="preserve">(3) Забранява се засаждането, </w:t>
            </w:r>
            <w:proofErr w:type="spellStart"/>
            <w:r w:rsidRPr="00A426CE">
              <w:t>презасаждането</w:t>
            </w:r>
            <w:proofErr w:type="spellEnd"/>
            <w:r w:rsidRPr="00A426CE">
              <w:t xml:space="preserve"> или приса</w:t>
            </w:r>
            <w:r w:rsidRPr="00A426CE">
              <w:t>ж</w:t>
            </w:r>
            <w:r w:rsidRPr="00A426CE">
              <w:t>дането с некласифицирани винени сортове лози, като те подлежат на изкореняване, по реда на чл. 4, ал. 4 и 5.</w:t>
            </w:r>
          </w:p>
          <w:p w:rsidR="009C4DFC" w:rsidRPr="00A426CE" w:rsidRDefault="009C4DFC" w:rsidP="008A2346">
            <w:pPr>
              <w:jc w:val="both"/>
              <w:rPr>
                <w:b/>
              </w:rPr>
            </w:pPr>
            <w:r w:rsidRPr="00A426CE">
              <w:rPr>
                <w:b/>
              </w:rPr>
              <w:t>ЗАБЕЛЕЖКА</w:t>
            </w:r>
          </w:p>
          <w:p w:rsidR="009C4DFC" w:rsidRPr="00A426CE" w:rsidRDefault="009C4DFC" w:rsidP="008A2346">
            <w:pPr>
              <w:jc w:val="both"/>
            </w:pPr>
            <w:r w:rsidRPr="00A426CE">
              <w:t>Да отпадне, защото условието се покрива от ал. 1</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C11946" w:rsidP="00831124">
            <w:pPr>
              <w:rPr>
                <w:color w:val="000000"/>
              </w:rPr>
            </w:pPr>
            <w:r w:rsidRPr="00A426CE">
              <w:rPr>
                <w:color w:val="000000"/>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C4DFC" w:rsidRPr="00A426CE" w:rsidRDefault="008C01F4" w:rsidP="00887913">
            <w:pPr>
              <w:jc w:val="both"/>
            </w:pPr>
            <w:r w:rsidRPr="00A426CE">
              <w:t xml:space="preserve">Нормите </w:t>
            </w:r>
            <w:r w:rsidR="00963058" w:rsidRPr="00A426CE">
              <w:t xml:space="preserve">на ал. 1 и ал. 3 </w:t>
            </w:r>
            <w:r w:rsidRPr="00A426CE">
              <w:t xml:space="preserve">се различават по своя вид. </w:t>
            </w:r>
            <w:r w:rsidR="00E42966" w:rsidRPr="00A426CE">
              <w:t>Посочената разпоредба</w:t>
            </w:r>
            <w:r w:rsidRPr="00A426CE">
              <w:t xml:space="preserve"> е забр</w:t>
            </w:r>
            <w:r w:rsidRPr="00A426CE">
              <w:t>а</w:t>
            </w:r>
            <w:r w:rsidRPr="00A426CE">
              <w:t>няваща, съдържа поведението</w:t>
            </w:r>
            <w:r w:rsidR="00887913" w:rsidRPr="00A426CE">
              <w:t>,</w:t>
            </w:r>
            <w:r w:rsidRPr="00A426CE">
              <w:t xml:space="preserve"> което не трябва да се прави и прилагане на охр</w:t>
            </w:r>
            <w:r w:rsidRPr="00A426CE">
              <w:t>а</w:t>
            </w:r>
            <w:r w:rsidRPr="00A426CE">
              <w:t>нителната мярка. Съдържанието й не се покрива от ал. 1</w:t>
            </w:r>
          </w:p>
        </w:tc>
      </w:tr>
      <w:tr w:rsidR="009C4DF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9C4DFC" w:rsidRPr="00A426CE" w:rsidRDefault="009C4DF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C4DFC" w:rsidRPr="00A426CE" w:rsidRDefault="009C4DF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9C4DFC" w:rsidP="008A2346">
            <w:pPr>
              <w:jc w:val="both"/>
            </w:pPr>
            <w:r w:rsidRPr="00A426CE">
              <w:t>(4) Забраната по ал. 3 не се прилага за некласифицирани винени сортове лози, чиято продукция е предназначена само за консумация в домакинствата на винопроизводителите.</w:t>
            </w:r>
          </w:p>
          <w:p w:rsidR="009C4DFC" w:rsidRPr="00A426CE" w:rsidRDefault="009C4DFC" w:rsidP="008A2346">
            <w:pPr>
              <w:jc w:val="both"/>
              <w:rPr>
                <w:b/>
              </w:rPr>
            </w:pPr>
            <w:r w:rsidRPr="00A426CE">
              <w:rPr>
                <w:b/>
              </w:rPr>
              <w:t>ЗАБЕЛЕЖКА</w:t>
            </w:r>
          </w:p>
          <w:p w:rsidR="009C4DFC" w:rsidRPr="00A426CE" w:rsidRDefault="009C4DFC" w:rsidP="008A2346">
            <w:pPr>
              <w:jc w:val="both"/>
            </w:pPr>
            <w:r w:rsidRPr="00A426CE">
              <w:t xml:space="preserve">Да отпадне, защото поставя </w:t>
            </w:r>
            <w:proofErr w:type="spellStart"/>
            <w:r w:rsidRPr="00A426CE">
              <w:t>гроздопроизводители</w:t>
            </w:r>
            <w:proofErr w:type="spellEnd"/>
            <w:r w:rsidRPr="00A426CE">
              <w:t xml:space="preserve"> на нера</w:t>
            </w:r>
            <w:r w:rsidRPr="00A426CE">
              <w:t>в</w:t>
            </w:r>
            <w:r w:rsidRPr="00A426CE">
              <w:t>ностойно положение.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887913" w:rsidP="00831124">
            <w:pPr>
              <w:rPr>
                <w:color w:val="000000"/>
              </w:rPr>
            </w:pPr>
            <w:r w:rsidRPr="00A426CE">
              <w:rPr>
                <w:color w:val="000000"/>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200292" w:rsidRPr="00A426CE" w:rsidRDefault="00887913" w:rsidP="00BD7382">
            <w:pPr>
              <w:jc w:val="both"/>
            </w:pPr>
            <w:r w:rsidRPr="00A426CE">
              <w:t xml:space="preserve">Член 5 установява правила за засаждане, </w:t>
            </w:r>
            <w:proofErr w:type="spellStart"/>
            <w:r w:rsidRPr="00A426CE">
              <w:t>презасаждане</w:t>
            </w:r>
            <w:proofErr w:type="spellEnd"/>
            <w:r w:rsidRPr="00A426CE">
              <w:t xml:space="preserve"> или </w:t>
            </w:r>
            <w:proofErr w:type="spellStart"/>
            <w:r w:rsidRPr="00A426CE">
              <w:t>презасаждане</w:t>
            </w:r>
            <w:proofErr w:type="spellEnd"/>
            <w:r w:rsidRPr="00A426CE">
              <w:t xml:space="preserve"> за целите на винопроизводството</w:t>
            </w:r>
            <w:r w:rsidR="00BD7382" w:rsidRPr="00A426CE">
              <w:t>, поради което в ал. 4 са посочени винопроизводителите.</w:t>
            </w:r>
          </w:p>
        </w:tc>
      </w:tr>
      <w:tr w:rsidR="009C4DF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9C4DFC" w:rsidRPr="00A426CE" w:rsidRDefault="009C4DF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C4DFC" w:rsidRPr="00A426CE" w:rsidRDefault="009C4DF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9C4DFC" w:rsidP="008A2346">
            <w:pPr>
              <w:jc w:val="both"/>
            </w:pPr>
            <w:r w:rsidRPr="00A426CE">
              <w:t>(6) За производство на продуктите, посочени в приложение VІІ, част ІІ от Регламент (ЕС) № 1308/2013 на Европейския парламент и на Съвета от 17 декември 2013 година за уст</w:t>
            </w:r>
            <w:r w:rsidRPr="00A426CE">
              <w:t>а</w:t>
            </w:r>
            <w:r w:rsidRPr="00A426CE">
              <w:t>новяване на обща организация на пазарите на селскостопа</w:t>
            </w:r>
            <w:r w:rsidRPr="00A426CE">
              <w:t>н</w:t>
            </w:r>
            <w:r w:rsidRPr="00A426CE">
              <w:lastRenderedPageBreak/>
              <w:t>ски продукти и за отмяна на регламенти (ЕИО) № 922/72, (ЕИО) № 234/79, (ЕО) № 1037/2001 и (ЕО) № 1234/2007 (ОВ, L 347, 20.12.2013 г.) /наричан по-нататък Регламент (ЕС) № 1308/2013/, предназначени за предлагане на пазара, се използват само класифицирани винени сортове лози, съ</w:t>
            </w:r>
            <w:r w:rsidRPr="00A426CE">
              <w:t>г</w:t>
            </w:r>
            <w:r w:rsidRPr="00A426CE">
              <w:t xml:space="preserve">ласно ал. 1.  </w:t>
            </w:r>
          </w:p>
          <w:p w:rsidR="009C4DFC" w:rsidRPr="00A426CE" w:rsidRDefault="009C4DFC" w:rsidP="008A2346">
            <w:pPr>
              <w:jc w:val="both"/>
              <w:rPr>
                <w:b/>
              </w:rPr>
            </w:pPr>
            <w:r w:rsidRPr="00A426CE">
              <w:rPr>
                <w:b/>
              </w:rPr>
              <w:t>ЗАБЕЛЕЖКА</w:t>
            </w:r>
          </w:p>
          <w:p w:rsidR="009C4DFC" w:rsidRPr="00A426CE" w:rsidRDefault="009C4DFC" w:rsidP="008A2346">
            <w:pPr>
              <w:jc w:val="both"/>
            </w:pPr>
            <w:r w:rsidRPr="00A426CE">
              <w:t>Приложението не трябва ли да бъде „Приложение I, част XII”?</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521850" w:rsidP="00831124">
            <w:r w:rsidRPr="00A426CE">
              <w:rPr>
                <w:color w:val="000000"/>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42966" w:rsidRPr="00A426CE" w:rsidRDefault="00E42966" w:rsidP="0088605D">
            <w:pPr>
              <w:jc w:val="both"/>
            </w:pPr>
            <w:r w:rsidRPr="00A426CE">
              <w:t>С чл.78 от Регламент (ЕС) 1308/2013 г. се поставя изискване предлагане на пазара на продукт, да става само ако отговаря на конкретни изисквания. Същите са пос</w:t>
            </w:r>
            <w:r w:rsidRPr="00A426CE">
              <w:t>о</w:t>
            </w:r>
            <w:r w:rsidRPr="00A426CE">
              <w:lastRenderedPageBreak/>
              <w:t xml:space="preserve">чени в Приложение </w:t>
            </w:r>
            <w:r w:rsidRPr="00A426CE">
              <w:rPr>
                <w:lang w:val="en-US"/>
              </w:rPr>
              <w:t>VII</w:t>
            </w:r>
            <w:r w:rsidRPr="00A426CE">
              <w:t xml:space="preserve">, част </w:t>
            </w:r>
            <w:r w:rsidRPr="00A426CE">
              <w:rPr>
                <w:lang w:val="en-US"/>
              </w:rPr>
              <w:t>II</w:t>
            </w:r>
            <w:r w:rsidRPr="00A426CE">
              <w:t xml:space="preserve">, където са изброени категориите </w:t>
            </w:r>
            <w:proofErr w:type="spellStart"/>
            <w:r w:rsidRPr="00A426CE">
              <w:t>лозаровинарски</w:t>
            </w:r>
            <w:proofErr w:type="spellEnd"/>
            <w:r w:rsidRPr="00A426CE">
              <w:t xml:space="preserve"> продукти и съответните изисквания. Именно за производството на тези кат</w:t>
            </w:r>
            <w:r w:rsidRPr="00A426CE">
              <w:t>е</w:t>
            </w:r>
            <w:r w:rsidRPr="00A426CE">
              <w:t xml:space="preserve">гории </w:t>
            </w:r>
            <w:proofErr w:type="spellStart"/>
            <w:r w:rsidRPr="00A426CE">
              <w:t>лозаровинарски</w:t>
            </w:r>
            <w:proofErr w:type="spellEnd"/>
            <w:r w:rsidRPr="00A426CE">
              <w:t xml:space="preserve"> продукти се пост</w:t>
            </w:r>
            <w:r w:rsidRPr="00A426CE">
              <w:t>а</w:t>
            </w:r>
            <w:r w:rsidRPr="00A426CE">
              <w:t>вя изискването да се използват класиф</w:t>
            </w:r>
            <w:r w:rsidRPr="00A426CE">
              <w:t>и</w:t>
            </w:r>
            <w:r w:rsidRPr="00A426CE">
              <w:t>цирани винени сортове лози.</w:t>
            </w:r>
          </w:p>
          <w:p w:rsidR="009C4DFC" w:rsidRPr="00A426CE" w:rsidRDefault="00521850" w:rsidP="003A48EE">
            <w:pPr>
              <w:jc w:val="both"/>
            </w:pPr>
            <w:r w:rsidRPr="00A426CE">
              <w:t>Приложение I на Регламент (ЕС) 1308/2013 г. съдържа списък на проду</w:t>
            </w:r>
            <w:r w:rsidRPr="00A426CE">
              <w:t>к</w:t>
            </w:r>
            <w:r w:rsidRPr="00A426CE">
              <w:t>тите, посочени в чл. 1, пар</w:t>
            </w:r>
            <w:r w:rsidR="003A48EE" w:rsidRPr="00A426CE">
              <w:t>аграф</w:t>
            </w:r>
            <w:r w:rsidRPr="00A426CE">
              <w:t xml:space="preserve"> 2. </w:t>
            </w:r>
            <w:r w:rsidR="009415CD" w:rsidRPr="00A426CE">
              <w:t>В Ч</w:t>
            </w:r>
            <w:r w:rsidR="00817D17" w:rsidRPr="00A426CE">
              <w:t xml:space="preserve">аст </w:t>
            </w:r>
            <w:r w:rsidR="00817D17" w:rsidRPr="00A426CE">
              <w:rPr>
                <w:lang w:val="en-US"/>
              </w:rPr>
              <w:t>XII</w:t>
            </w:r>
            <w:r w:rsidR="00817D17" w:rsidRPr="00A426CE">
              <w:t xml:space="preserve"> са изброени вс</w:t>
            </w:r>
            <w:r w:rsidR="009415CD" w:rsidRPr="00A426CE">
              <w:t>и</w:t>
            </w:r>
            <w:r w:rsidR="00817D17" w:rsidRPr="00A426CE">
              <w:t xml:space="preserve">чки продукти от </w:t>
            </w:r>
            <w:proofErr w:type="spellStart"/>
            <w:r w:rsidR="00817D17" w:rsidRPr="00A426CE">
              <w:t>лоз</w:t>
            </w:r>
            <w:r w:rsidR="00817D17" w:rsidRPr="00A426CE">
              <w:t>а</w:t>
            </w:r>
            <w:r w:rsidR="00817D17" w:rsidRPr="00A426CE">
              <w:t>ро-винарския</w:t>
            </w:r>
            <w:proofErr w:type="spellEnd"/>
            <w:r w:rsidR="00817D17" w:rsidRPr="00A426CE">
              <w:t xml:space="preserve"> сектор.</w:t>
            </w:r>
          </w:p>
        </w:tc>
      </w:tr>
      <w:tr w:rsidR="009C4DF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9C4DFC" w:rsidRPr="00A426CE" w:rsidRDefault="009C4DF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C4DFC" w:rsidRPr="00A426CE" w:rsidRDefault="009C4DF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9C4DFC" w:rsidP="008A2346">
            <w:pPr>
              <w:jc w:val="both"/>
            </w:pPr>
            <w:r w:rsidRPr="00A426CE">
              <w:t xml:space="preserve">Чл. 6. (1) Разрешения се издават за нови насаждения, за </w:t>
            </w:r>
            <w:proofErr w:type="spellStart"/>
            <w:r w:rsidRPr="00A426CE">
              <w:t>пр</w:t>
            </w:r>
            <w:r w:rsidRPr="00A426CE">
              <w:t>е</w:t>
            </w:r>
            <w:r w:rsidRPr="00A426CE">
              <w:t>засаждане</w:t>
            </w:r>
            <w:proofErr w:type="spellEnd"/>
            <w:r w:rsidRPr="00A426CE">
              <w:t xml:space="preserve"> и за преобразуването на права на засаждане, на </w:t>
            </w:r>
            <w:proofErr w:type="spellStart"/>
            <w:r w:rsidRPr="00A426CE">
              <w:t>презасаждане</w:t>
            </w:r>
            <w:proofErr w:type="spellEnd"/>
            <w:r w:rsidRPr="00A426CE">
              <w:t xml:space="preserve"> и на права от Национален резерв.</w:t>
            </w:r>
          </w:p>
          <w:p w:rsidR="009C4DFC" w:rsidRPr="00A426CE" w:rsidRDefault="009C4DFC" w:rsidP="008A2346">
            <w:pPr>
              <w:jc w:val="both"/>
              <w:rPr>
                <w:b/>
              </w:rPr>
            </w:pPr>
            <w:r w:rsidRPr="00A426CE">
              <w:rPr>
                <w:b/>
              </w:rPr>
              <w:t>ЗАБЕЛЕЖКА</w:t>
            </w:r>
          </w:p>
          <w:p w:rsidR="009C4DFC" w:rsidRPr="00A426CE" w:rsidRDefault="009C4DFC" w:rsidP="008A2346">
            <w:pPr>
              <w:jc w:val="both"/>
            </w:pPr>
            <w:r w:rsidRPr="00A426CE">
              <w:t>“нови насаждения” да се замени с “ нови насаждения с в</w:t>
            </w:r>
            <w:r w:rsidRPr="00A426CE">
              <w:t>и</w:t>
            </w:r>
            <w:r w:rsidRPr="00A426CE">
              <w:t>нени сортове лози”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D5313C" w:rsidP="00831124">
            <w:pPr>
              <w:rPr>
                <w:color w:val="000000"/>
              </w:rPr>
            </w:pPr>
            <w:r>
              <w:rPr>
                <w:color w:val="000000"/>
              </w:rPr>
              <w:t>П</w:t>
            </w:r>
            <w:r w:rsidR="002C2EEA" w:rsidRPr="00A426CE">
              <w:rPr>
                <w:color w:val="000000"/>
              </w:rPr>
              <w:t>риема</w:t>
            </w:r>
            <w:r>
              <w:rPr>
                <w:color w:val="000000"/>
              </w:rPr>
              <w:t xml:space="preserve">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C4DFC" w:rsidRPr="00A426CE" w:rsidRDefault="009C4DFC" w:rsidP="0088605D">
            <w:pPr>
              <w:jc w:val="both"/>
            </w:pPr>
          </w:p>
        </w:tc>
      </w:tr>
      <w:tr w:rsidR="009C4DF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9C4DFC" w:rsidRPr="00A426CE" w:rsidRDefault="009C4DF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9C4DFC" w:rsidRPr="00A426CE" w:rsidRDefault="009C4DF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9C4DFC" w:rsidP="000F4E61">
            <w:r w:rsidRPr="00A426CE">
              <w:t xml:space="preserve">(3) Разрешения за </w:t>
            </w:r>
            <w:proofErr w:type="spellStart"/>
            <w:r w:rsidRPr="00A426CE">
              <w:t>презасаждане</w:t>
            </w:r>
            <w:proofErr w:type="spellEnd"/>
            <w:r w:rsidRPr="00A426CE">
              <w:t xml:space="preserve"> или за преобразуване на права на засаждане, на </w:t>
            </w:r>
            <w:proofErr w:type="spellStart"/>
            <w:r w:rsidRPr="00A426CE">
              <w:t>презасаждане</w:t>
            </w:r>
            <w:proofErr w:type="spellEnd"/>
            <w:r w:rsidRPr="00A426CE">
              <w:t xml:space="preserve"> и на права от Наци</w:t>
            </w:r>
            <w:r w:rsidRPr="00A426CE">
              <w:t>о</w:t>
            </w:r>
            <w:r w:rsidRPr="00A426CE">
              <w:t>нален резерв  се издават само на вписани в лозарския реги</w:t>
            </w:r>
            <w:r w:rsidRPr="00A426CE">
              <w:t>с</w:t>
            </w:r>
            <w:r w:rsidRPr="00A426CE">
              <w:t>тър производители с регистрирани лозарски стопанства на територията на лозарския район, в който се намират заяв</w:t>
            </w:r>
            <w:r w:rsidRPr="00A426CE">
              <w:t>е</w:t>
            </w:r>
            <w:r w:rsidRPr="00A426CE">
              <w:t>ните имоти.</w:t>
            </w:r>
          </w:p>
          <w:p w:rsidR="009C4DFC" w:rsidRPr="00A426CE" w:rsidRDefault="009C4DFC" w:rsidP="000F4E61">
            <w:pPr>
              <w:rPr>
                <w:b/>
              </w:rPr>
            </w:pPr>
            <w:r w:rsidRPr="00A426CE">
              <w:rPr>
                <w:b/>
              </w:rPr>
              <w:t>ЗАБЕЛЕЖКА</w:t>
            </w:r>
          </w:p>
          <w:p w:rsidR="009C4DFC" w:rsidRPr="00A426CE" w:rsidRDefault="009C4DFC" w:rsidP="00CE2A7F">
            <w:r w:rsidRPr="00A426CE">
              <w:t>Не е уточнено дали издаденото разрешение се ползва само в лозарския район, от който е възникнало основанието за н</w:t>
            </w:r>
            <w:r w:rsidRPr="00A426CE">
              <w:t>е</w:t>
            </w:r>
            <w:r w:rsidRPr="00A426CE">
              <w:t>говото издаване.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C4DFC" w:rsidRPr="00A426CE" w:rsidRDefault="003628A2" w:rsidP="00831124">
            <w:pPr>
              <w:rPr>
                <w:color w:val="000000"/>
              </w:rPr>
            </w:pPr>
            <w:r w:rsidRPr="00A426CE">
              <w:rPr>
                <w:color w:val="000000"/>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C4DFC" w:rsidRPr="00A426CE" w:rsidRDefault="003628A2" w:rsidP="001F718C">
            <w:pPr>
              <w:jc w:val="both"/>
            </w:pPr>
            <w:r w:rsidRPr="00A426CE">
              <w:t xml:space="preserve">В </w:t>
            </w:r>
            <w:r w:rsidR="001F718C" w:rsidRPr="00A426CE">
              <w:t xml:space="preserve">съответния </w:t>
            </w:r>
            <w:r w:rsidRPr="00A426CE">
              <w:t xml:space="preserve">раздел  подробно </w:t>
            </w:r>
            <w:r w:rsidR="00200292" w:rsidRPr="00A426CE">
              <w:t xml:space="preserve">са </w:t>
            </w:r>
            <w:r w:rsidRPr="00A426CE">
              <w:t>разп</w:t>
            </w:r>
            <w:r w:rsidRPr="00A426CE">
              <w:t>и</w:t>
            </w:r>
            <w:r w:rsidRPr="00A426CE">
              <w:t xml:space="preserve">сани правилата за разрешения за нови насаждения. </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E127B9" w:rsidRDefault="001F718C" w:rsidP="000F4E61">
            <w:pPr>
              <w:rPr>
                <w:spacing w:val="-4"/>
              </w:rPr>
            </w:pPr>
            <w:r w:rsidRPr="00E127B9">
              <w:rPr>
                <w:spacing w:val="-4"/>
              </w:rPr>
              <w:t>2. предназначени за отглеждане на лозов посадъчен материал;</w:t>
            </w:r>
          </w:p>
          <w:p w:rsidR="001F718C" w:rsidRPr="00A426CE" w:rsidRDefault="001F718C" w:rsidP="000F4E61">
            <w:pPr>
              <w:rPr>
                <w:b/>
              </w:rPr>
            </w:pPr>
            <w:r w:rsidRPr="00A426CE">
              <w:rPr>
                <w:b/>
              </w:rPr>
              <w:t>ЗАБЕЛЕЖКА</w:t>
            </w:r>
          </w:p>
          <w:p w:rsidR="001F718C" w:rsidRPr="00A426CE" w:rsidRDefault="001F718C" w:rsidP="000F4E61">
            <w:r w:rsidRPr="00A426CE">
              <w:t xml:space="preserve">Текстът да се замени с „2. предназначени за отглеждане на </w:t>
            </w:r>
            <w:r w:rsidRPr="00A426CE">
              <w:lastRenderedPageBreak/>
              <w:t>винени сортове лозов посадъчен материал;”</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02513E">
            <w:pPr>
              <w:rPr>
                <w:color w:val="000000"/>
              </w:rPr>
            </w:pPr>
            <w:r w:rsidRPr="00A426CE">
              <w:rPr>
                <w:color w:val="000000"/>
              </w:rPr>
              <w:lastRenderedPageBreak/>
              <w:t>Не се прие</w:t>
            </w:r>
            <w:r w:rsidR="002A0A9B">
              <w:rPr>
                <w:color w:val="000000"/>
              </w:rPr>
              <w:t>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ED343A" w:rsidRDefault="001F718C" w:rsidP="00D5313C">
            <w:pPr>
              <w:jc w:val="both"/>
              <w:rPr>
                <w:lang w:val="en-GB"/>
              </w:rPr>
            </w:pPr>
            <w:r w:rsidRPr="00A426CE">
              <w:t>С предложението се ограничава прило</w:t>
            </w:r>
            <w:r w:rsidRPr="00A426CE">
              <w:t>ж</w:t>
            </w:r>
            <w:r w:rsidRPr="00A426CE">
              <w:t>ното поле на изключенията.</w:t>
            </w:r>
            <w:r w:rsidR="00ED343A">
              <w:t xml:space="preserve"> </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0F4E61">
            <w:r w:rsidRPr="00A426CE">
              <w:t xml:space="preserve">3. от които се произвеждат вино или </w:t>
            </w:r>
            <w:proofErr w:type="spellStart"/>
            <w:r w:rsidRPr="00A426CE">
              <w:t>лозаро-винарски</w:t>
            </w:r>
            <w:proofErr w:type="spellEnd"/>
            <w:r w:rsidRPr="00A426CE">
              <w:t xml:space="preserve"> пр</w:t>
            </w:r>
            <w:r w:rsidRPr="00A426CE">
              <w:t>о</w:t>
            </w:r>
            <w:r w:rsidRPr="00A426CE">
              <w:t>дукти, предназначени за консумация само в домакинството на производителя или от организации, които не извършват търговска дейност и произвеждат вино само за вътрешна консумация;</w:t>
            </w:r>
          </w:p>
          <w:p w:rsidR="001F718C" w:rsidRPr="00A426CE" w:rsidRDefault="001F718C" w:rsidP="000F4E61">
            <w:pPr>
              <w:rPr>
                <w:b/>
              </w:rPr>
            </w:pPr>
            <w:r w:rsidRPr="00A426CE">
              <w:rPr>
                <w:b/>
              </w:rPr>
              <w:t>ЗАБЕЛЕЖКА</w:t>
            </w:r>
          </w:p>
          <w:p w:rsidR="001F718C" w:rsidRPr="00A426CE" w:rsidRDefault="001F718C" w:rsidP="00CE2A7F">
            <w:r w:rsidRPr="00A426CE">
              <w:t>Какво е определението за „организации, които не извършват търговска дейност и произвеждат вино само за вътрешна консумация”?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pPr>
              <w:rPr>
                <w:color w:val="000000"/>
              </w:rPr>
            </w:pPr>
            <w:r w:rsidRPr="00A426CE">
              <w:rPr>
                <w:color w:val="000000"/>
              </w:rPr>
              <w:t>Не се прие</w:t>
            </w:r>
            <w:r w:rsidR="002A0A9B">
              <w:rPr>
                <w:color w:val="000000"/>
              </w:rPr>
              <w:t>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070496">
            <w:pPr>
              <w:jc w:val="both"/>
            </w:pPr>
            <w:r w:rsidRPr="00A426CE">
              <w:t>С разпоредбата се въвежда възможност, предоставена съгласно чл. 3 от Делегиран регламент (ЕС) 2018/273. Не считаме за необходимо създаване на ново определ</w:t>
            </w:r>
            <w:r w:rsidRPr="00A426CE">
              <w:t>е</w:t>
            </w:r>
            <w:r w:rsidRPr="00A426CE">
              <w:t>ние, тъй като ползваните изрази са не</w:t>
            </w:r>
            <w:r w:rsidRPr="00A426CE">
              <w:t>д</w:t>
            </w:r>
            <w:r w:rsidRPr="00A426CE">
              <w:t>вусмислени, ясни и не следва да се при</w:t>
            </w:r>
            <w:r w:rsidRPr="00A426CE">
              <w:t>е</w:t>
            </w:r>
            <w:r w:rsidRPr="00A426CE">
              <w:t>мат извън общозначимия им смисъл.</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0F4E61">
            <w:r w:rsidRPr="00A426CE">
              <w:t>(2) Изключенията по ал. 1, т. 1 – 3 се прилагат когато:</w:t>
            </w:r>
          </w:p>
          <w:p w:rsidR="001F718C" w:rsidRPr="00A426CE" w:rsidRDefault="001F718C" w:rsidP="000F4E61">
            <w:r w:rsidRPr="00A426CE">
              <w:t>1. съответната площ не превишава 0,1 ха;</w:t>
            </w:r>
          </w:p>
          <w:p w:rsidR="001F718C" w:rsidRPr="00A426CE" w:rsidRDefault="001F718C" w:rsidP="000F4E61">
            <w:r w:rsidRPr="00A426CE">
              <w:t xml:space="preserve">2. производителят не предлага на пазара вино или други </w:t>
            </w:r>
            <w:proofErr w:type="spellStart"/>
            <w:r w:rsidRPr="00A426CE">
              <w:t>лозаро-винарски</w:t>
            </w:r>
            <w:proofErr w:type="spellEnd"/>
            <w:r w:rsidRPr="00A426CE">
              <w:t xml:space="preserve"> продукти.</w:t>
            </w:r>
          </w:p>
          <w:p w:rsidR="001F718C" w:rsidRPr="00A426CE" w:rsidRDefault="001F718C" w:rsidP="00E127B9">
            <w:pPr>
              <w:spacing w:before="120"/>
              <w:rPr>
                <w:b/>
              </w:rPr>
            </w:pPr>
            <w:r w:rsidRPr="00A426CE">
              <w:rPr>
                <w:b/>
              </w:rPr>
              <w:t>ЗАБЕЛЕЖКА</w:t>
            </w:r>
          </w:p>
          <w:p w:rsidR="001F718C" w:rsidRPr="00A426CE" w:rsidRDefault="001F718C" w:rsidP="000F4E61">
            <w:r w:rsidRPr="00A426CE">
              <w:t>Предлагам т. 1 да се прилага само във връзка с ал. 1, т. 3, физически лица и да се разглежда сумарно за площите на лицето. За целите на „организации” да се посочи изрично условие със сумиране на площите под това условие.</w:t>
            </w:r>
          </w:p>
          <w:p w:rsidR="001F718C" w:rsidRPr="00A426CE" w:rsidRDefault="001F718C" w:rsidP="000F4E61">
            <w:r w:rsidRPr="00A426CE">
              <w:t>Предлагам т. 1 да не се прилага във връзка с ал. 1, т. 1 и т. 2, защото площта е изключително малка за тези цели.</w:t>
            </w:r>
          </w:p>
          <w:p w:rsidR="001F718C" w:rsidRPr="00A426CE" w:rsidRDefault="001F718C" w:rsidP="000F4E61">
            <w:r w:rsidRPr="00A426CE">
              <w:t>Точка 2 да отпадне или да се запише „или” в края на точка 1, защото това създава ограничение за стопанска инициат</w:t>
            </w:r>
            <w:r w:rsidRPr="00A426CE">
              <w:t>и</w:t>
            </w:r>
            <w:r w:rsidRPr="00A426CE">
              <w:t>ва, което не е отчетено в мотивите към проекта.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pPr>
              <w:rPr>
                <w:color w:val="000000"/>
              </w:rPr>
            </w:pPr>
            <w:r w:rsidRPr="00A426CE">
              <w:rPr>
                <w:color w:val="000000"/>
              </w:rPr>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23062F">
            <w:pPr>
              <w:jc w:val="both"/>
            </w:pPr>
            <w:r w:rsidRPr="00A426CE">
              <w:t>Целта на закона не е да поставя в разли</w:t>
            </w:r>
            <w:r w:rsidRPr="00A426CE">
              <w:t>ч</w:t>
            </w:r>
            <w:r w:rsidRPr="00A426CE">
              <w:t>но положение производители в завис</w:t>
            </w:r>
            <w:r w:rsidRPr="00A426CE">
              <w:t>и</w:t>
            </w:r>
            <w:r w:rsidRPr="00A426CE">
              <w:t>мост от правната форма, с която упра</w:t>
            </w:r>
            <w:r w:rsidRPr="00A426CE">
              <w:t>ж</w:t>
            </w:r>
            <w:r w:rsidRPr="00A426CE">
              <w:t>няват дейността, поради което е предв</w:t>
            </w:r>
            <w:r w:rsidRPr="00A426CE">
              <w:t>и</w:t>
            </w:r>
            <w:r w:rsidRPr="00A426CE">
              <w:t>дено изключението да е приложимо за всички производители. Разпоредбата в</w:t>
            </w:r>
            <w:r w:rsidRPr="00A426CE">
              <w:t>ъ</w:t>
            </w:r>
            <w:r w:rsidRPr="00A426CE">
              <w:t>вежда възможност на Делегиран регл</w:t>
            </w:r>
            <w:r w:rsidRPr="00A426CE">
              <w:t>а</w:t>
            </w:r>
            <w:r w:rsidRPr="00A426CE">
              <w:t xml:space="preserve">мент (ЕС) 2018/273 на Комисията, а с предложената редакция ще се допусне </w:t>
            </w:r>
            <w:r w:rsidRPr="00A426CE">
              <w:rPr>
                <w:color w:val="000000"/>
              </w:rPr>
              <w:t>излизане от предвижданото облекчение.</w:t>
            </w:r>
          </w:p>
          <w:p w:rsidR="001F718C" w:rsidRPr="00A426CE" w:rsidRDefault="001F718C" w:rsidP="0023062F">
            <w:pPr>
              <w:jc w:val="both"/>
            </w:pPr>
          </w:p>
          <w:p w:rsidR="001F718C" w:rsidRPr="00A426CE" w:rsidRDefault="001F718C" w:rsidP="0023062F">
            <w:pPr>
              <w:rPr>
                <w:color w:val="FF0000"/>
              </w:rPr>
            </w:pPr>
            <w:r w:rsidRPr="00A426CE">
              <w:rPr>
                <w:color w:val="FF0000"/>
              </w:rPr>
              <w:t xml:space="preserve"> </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0F4E61">
            <w:r w:rsidRPr="00A426CE">
              <w:t>3) В случаите на ал. 1, т. 4 производителят има право да з</w:t>
            </w:r>
            <w:r w:rsidRPr="00A426CE">
              <w:t>а</w:t>
            </w:r>
            <w:r w:rsidRPr="00A426CE">
              <w:t>сади нова площ, от която чистата получена реколта не тря</w:t>
            </w:r>
            <w:r w:rsidRPr="00A426CE">
              <w:t>б</w:t>
            </w:r>
            <w:r w:rsidRPr="00A426CE">
              <w:t>ва да надвишава 105 на сто от реколтата, получена от о</w:t>
            </w:r>
            <w:r w:rsidRPr="00A426CE">
              <w:t>т</w:t>
            </w:r>
            <w:r w:rsidRPr="00A426CE">
              <w:t>чуждената площ.</w:t>
            </w:r>
          </w:p>
          <w:p w:rsidR="001F718C" w:rsidRPr="00A426CE" w:rsidRDefault="001F718C" w:rsidP="000F4E61">
            <w:pPr>
              <w:rPr>
                <w:b/>
              </w:rPr>
            </w:pPr>
            <w:r w:rsidRPr="00A426CE">
              <w:rPr>
                <w:b/>
              </w:rPr>
              <w:t>ЗАБЕЛЕЖКА</w:t>
            </w:r>
          </w:p>
          <w:p w:rsidR="001F718C" w:rsidRPr="00A426CE" w:rsidRDefault="001F718C" w:rsidP="000F4E61">
            <w:r w:rsidRPr="00A426CE">
              <w:t>Къде е описана методиката за изчисляване на „чиста пол</w:t>
            </w:r>
            <w:r w:rsidRPr="00A426CE">
              <w:t>у</w:t>
            </w:r>
            <w:r w:rsidRPr="00A426CE">
              <w:t xml:space="preserve">чена реколта” за ново площ, която не е в </w:t>
            </w:r>
            <w:proofErr w:type="spellStart"/>
            <w:r w:rsidRPr="00A426CE">
              <w:t>плододаване</w:t>
            </w:r>
            <w:proofErr w:type="spellEnd"/>
            <w:r w:rsidRPr="00A426CE">
              <w:t xml:space="preserve">. </w:t>
            </w:r>
            <w:r w:rsidRPr="00A426CE">
              <w:lastRenderedPageBreak/>
              <w:t>Предлагам ограничението да бъде само по еквивалентна площ.</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rPr>
                <w:color w:val="000000"/>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1A3D29">
            <w:pPr>
              <w:jc w:val="both"/>
            </w:pPr>
            <w:r w:rsidRPr="00A426CE">
              <w:t>С разпоредбата се въвежда възможност предоставена от Делегиран регламент (ЕС) 2018/273 на Комисията (чл. 3, п</w:t>
            </w:r>
            <w:r w:rsidRPr="00A426CE">
              <w:t>а</w:t>
            </w:r>
            <w:r w:rsidRPr="00A426CE">
              <w:t xml:space="preserve">раграф 4). </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0F4E61">
            <w:r w:rsidRPr="00A426CE">
              <w:t>Разрешения за нови насаждения</w:t>
            </w:r>
          </w:p>
          <w:p w:rsidR="001F718C" w:rsidRPr="00A426CE" w:rsidRDefault="001F718C" w:rsidP="000F4E61">
            <w:pPr>
              <w:rPr>
                <w:b/>
              </w:rPr>
            </w:pPr>
            <w:r w:rsidRPr="00A426CE">
              <w:rPr>
                <w:b/>
              </w:rPr>
              <w:t>ЗАБЕЛЕЖКА</w:t>
            </w:r>
          </w:p>
          <w:p w:rsidR="001F718C" w:rsidRPr="00A426CE" w:rsidRDefault="001F718C" w:rsidP="000F4E61">
            <w:r w:rsidRPr="00A426CE">
              <w:t>Навсякъде в закона „Разрешения за нови насаждения” да се изписва „разрешения за нови насаждения с винени сортове” или да се даде това определение за термина. Възниква ко</w:t>
            </w:r>
            <w:r w:rsidRPr="00A426CE">
              <w:t>н</w:t>
            </w:r>
            <w:r w:rsidRPr="00A426CE">
              <w:t>фликт с лозови насаждения с десертни сортове грозда, з</w:t>
            </w:r>
            <w:r w:rsidRPr="00A426CE">
              <w:t>а</w:t>
            </w:r>
            <w:r w:rsidRPr="00A426CE">
              <w:t>щото няма текст за изключването им от закона.</w:t>
            </w:r>
          </w:p>
          <w:p w:rsidR="001F718C" w:rsidRPr="00A426CE" w:rsidRDefault="001F718C" w:rsidP="000F4E61">
            <w:r w:rsidRPr="00A426CE">
              <w:t>Да се прецени дали кандидатстването за „разрешения за нови насаждения с винени сортове” да не се отдели в отде</w:t>
            </w:r>
            <w:r w:rsidRPr="00A426CE">
              <w:t>л</w:t>
            </w:r>
            <w:r w:rsidRPr="00A426CE">
              <w:t>на наредба за да се опише точно реда за това, включително и реда за обжалване на тези действия във връзка с издаден</w:t>
            </w:r>
            <w:r w:rsidRPr="00A426CE">
              <w:t>и</w:t>
            </w:r>
            <w:r w:rsidRPr="00A426CE">
              <w:t>те административни актове по тях, защото в раздела липсва информация за това, което поражда неясноти по реда и о</w:t>
            </w:r>
            <w:r w:rsidRPr="00A426CE">
              <w:t>г</w:t>
            </w:r>
            <w:r w:rsidRPr="00A426CE">
              <w:t>раничава публичността и прозрачността на процедурата. От друга страна ще се ползват образци на документи, които е препоръчително да преминат през обществено обсъждане.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EE3199" w:rsidP="00831124">
            <w:pPr>
              <w:rPr>
                <w:color w:val="000000"/>
              </w:rPr>
            </w:pPr>
            <w:r>
              <w:rPr>
                <w:color w:val="000000"/>
              </w:rPr>
              <w:t>П</w:t>
            </w:r>
            <w:r w:rsidR="001F718C" w:rsidRPr="00A426CE">
              <w:rPr>
                <w:color w:val="000000"/>
              </w:rPr>
              <w:t>рие</w:t>
            </w:r>
            <w:r w:rsidR="002A0A9B">
              <w:rPr>
                <w:color w:val="000000"/>
              </w:rPr>
              <w:t>ма</w:t>
            </w:r>
            <w:r>
              <w:rPr>
                <w:color w:val="000000"/>
              </w:rPr>
              <w:t xml:space="preserve">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A72224" w:rsidP="001A3D29">
            <w:pPr>
              <w:jc w:val="both"/>
            </w:pPr>
            <w:r w:rsidRPr="00A426CE">
              <w:t>Редът и условията за издаване на разр</w:t>
            </w:r>
            <w:r w:rsidRPr="00A426CE">
              <w:t>е</w:t>
            </w:r>
            <w:r w:rsidRPr="00A426CE">
              <w:t>шения за нови насаждения се определя с наредбата по чл. 5, ал. 2</w:t>
            </w:r>
            <w:r w:rsidR="001F718C" w:rsidRPr="00A426CE">
              <w:t>. Необходимите образци на документи се одобряват зае</w:t>
            </w:r>
            <w:r w:rsidR="001F718C" w:rsidRPr="00A426CE">
              <w:t>д</w:t>
            </w:r>
            <w:r w:rsidR="001F718C" w:rsidRPr="00A426CE">
              <w:t>но с текста на подзаконовия нормативен акт, тъй като са част от него (прилож</w:t>
            </w:r>
            <w:r w:rsidR="001F718C" w:rsidRPr="00A426CE">
              <w:t>е</w:t>
            </w:r>
            <w:r w:rsidR="001F718C" w:rsidRPr="00A426CE">
              <w:t>ния).  Наредбата в цялост подлежи на обществено обсъждане респективно пр</w:t>
            </w:r>
            <w:r w:rsidR="001F718C" w:rsidRPr="00A426CE">
              <w:t>и</w:t>
            </w:r>
            <w:r w:rsidR="001F718C" w:rsidRPr="00A426CE">
              <w:t>ложения към нея също. Единственият образец в случая, който се утвърждава от изпълнителния директор на ИАЛВ, е по чл. 10, ал. 3 – заявление за отказ в спец</w:t>
            </w:r>
            <w:r w:rsidR="001F718C" w:rsidRPr="00A426CE">
              <w:t>и</w:t>
            </w:r>
            <w:r w:rsidR="001F718C" w:rsidRPr="00A426CE">
              <w:t>фични случаи, което е извън обсега на наредбата по чл. 5, ал. 2</w:t>
            </w:r>
          </w:p>
          <w:p w:rsidR="001F718C" w:rsidRPr="00A426CE" w:rsidRDefault="001F718C" w:rsidP="001A3D29">
            <w:pPr>
              <w:jc w:val="both"/>
            </w:pP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0F4E61">
            <w:r w:rsidRPr="00A426CE">
              <w:t>(4) Разрешенията за нови насаждения са валидни за срок от три години, считано от датата на издаването им.</w:t>
            </w:r>
          </w:p>
          <w:p w:rsidR="001F718C" w:rsidRPr="00A426CE" w:rsidRDefault="001F718C" w:rsidP="000F4E61">
            <w:pPr>
              <w:rPr>
                <w:b/>
              </w:rPr>
            </w:pPr>
            <w:r w:rsidRPr="00A426CE">
              <w:rPr>
                <w:b/>
              </w:rPr>
              <w:t>ЗАБЕЛЕЖКА</w:t>
            </w:r>
          </w:p>
          <w:p w:rsidR="001F718C" w:rsidRPr="00A426CE" w:rsidRDefault="001F718C" w:rsidP="000F4E61">
            <w:r w:rsidRPr="00A426CE">
              <w:t>Да се уточни дали става въпрос за календарна или винарска година, следваща годината на издаването му. Да се ползва като задължително условие за наредбата по ал. 5.</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A72224" w:rsidP="00831124">
            <w:r w:rsidRPr="00A426CE">
              <w:rPr>
                <w:color w:val="000000"/>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1A3D29">
            <w:pPr>
              <w:jc w:val="both"/>
            </w:pP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0F4E61">
            <w:r w:rsidRPr="00A426CE">
              <w:t>(2) С прилагането на критерии за допустимост по ал. 1, т. 2 може да се ограничи издаването на разрешения на реги</w:t>
            </w:r>
            <w:r w:rsidRPr="00A426CE">
              <w:t>о</w:t>
            </w:r>
            <w:r w:rsidRPr="00A426CE">
              <w:t>нално равнище и/или за площи, които отговарят на изискв</w:t>
            </w:r>
            <w:r w:rsidRPr="00A426CE">
              <w:t>а</w:t>
            </w:r>
            <w:r w:rsidRPr="00A426CE">
              <w:t>нията за производство на вина със защитено наименование за произход, на вина със защитено географско указание или за площи без географско указание.</w:t>
            </w:r>
          </w:p>
          <w:p w:rsidR="001F718C" w:rsidRPr="00A426CE" w:rsidRDefault="001F718C" w:rsidP="000F4E61">
            <w:pPr>
              <w:rPr>
                <w:b/>
              </w:rPr>
            </w:pPr>
            <w:r w:rsidRPr="00A426CE">
              <w:rPr>
                <w:b/>
              </w:rPr>
              <w:t>ЗАБЕЛЕЖКА</w:t>
            </w:r>
          </w:p>
          <w:p w:rsidR="001F718C" w:rsidRPr="00A426CE" w:rsidRDefault="001F718C" w:rsidP="00CE2A7F">
            <w:r w:rsidRPr="00A426CE">
              <w:lastRenderedPageBreak/>
              <w:t>Какво се има в предвид под „регионално равнище”? Ако се има предвид „лозарски район”- текста да се замени.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rPr>
                <w:color w:val="000000"/>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EB59D0">
            <w:pPr>
              <w:jc w:val="both"/>
            </w:pPr>
            <w:r w:rsidRPr="00A426CE">
              <w:t>Разпоредбата е ясна и няма необходимост от нейната промяна.</w:t>
            </w:r>
            <w:r w:rsidR="003F29BC">
              <w:t xml:space="preserve"> Не се касае за „л</w:t>
            </w:r>
            <w:r w:rsidR="003F29BC">
              <w:t>о</w:t>
            </w:r>
            <w:r w:rsidR="003F29BC">
              <w:t>зарски район“.</w:t>
            </w:r>
            <w:r w:rsidRPr="00A426CE">
              <w:t xml:space="preserve"> </w:t>
            </w:r>
          </w:p>
          <w:p w:rsidR="001F718C" w:rsidRPr="00A426CE" w:rsidRDefault="001F718C" w:rsidP="008E6E39"/>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0F4E61">
            <w:r w:rsidRPr="00A426CE">
              <w:t>(3) Въведените ограничения по ал. 1, които допринасят за организираното нарастване на размера на лозовите наса</w:t>
            </w:r>
            <w:r w:rsidRPr="00A426CE">
              <w:t>ж</w:t>
            </w:r>
            <w:r w:rsidRPr="00A426CE">
              <w:t>дения, трябва да бъдат обосновани с необходимостта да се избегне риска от:</w:t>
            </w:r>
          </w:p>
          <w:p w:rsidR="001F718C" w:rsidRPr="00A426CE" w:rsidRDefault="001F718C" w:rsidP="000F4E61">
            <w:pPr>
              <w:rPr>
                <w:b/>
              </w:rPr>
            </w:pPr>
            <w:r w:rsidRPr="00A426CE">
              <w:rPr>
                <w:b/>
              </w:rPr>
              <w:t>ЗАБЕЛЕЖКА</w:t>
            </w:r>
          </w:p>
          <w:p w:rsidR="001F718C" w:rsidRPr="00A426CE" w:rsidRDefault="001F718C" w:rsidP="000F4E61">
            <w:r w:rsidRPr="00A426CE">
              <w:t>Какъв е редът и начина за „обосновани с необходимостта да се избегне риска”.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rPr>
                <w:color w:val="000000"/>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EB59D0">
            <w:pPr>
              <w:jc w:val="both"/>
            </w:pPr>
            <w:r w:rsidRPr="00A426CE">
              <w:t>Предвидените ограничения по чл. 9, ал. 1 могат да бъдат въвеждани при съществ</w:t>
            </w:r>
            <w:r w:rsidRPr="00A426CE">
              <w:t>у</w:t>
            </w:r>
            <w:r w:rsidRPr="00A426CE">
              <w:t>ването на рисковете посочени в ал. 3 с цел избягването им.</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0F4E61">
            <w:r w:rsidRPr="00A426CE">
              <w:t>(4) При издаване на заповедта по ал. 1 се вземат предвид препоръките на браншовите организации и на организаци</w:t>
            </w:r>
            <w:r w:rsidRPr="00A426CE">
              <w:t>и</w:t>
            </w:r>
            <w:r w:rsidRPr="00A426CE">
              <w:t xml:space="preserve">те и групите на производители в </w:t>
            </w:r>
            <w:proofErr w:type="spellStart"/>
            <w:r w:rsidRPr="00A426CE">
              <w:t>лозаро-винарския</w:t>
            </w:r>
            <w:proofErr w:type="spellEnd"/>
            <w:r w:rsidRPr="00A426CE">
              <w:t xml:space="preserve"> сектор.</w:t>
            </w:r>
          </w:p>
          <w:p w:rsidR="001F718C" w:rsidRPr="00A426CE" w:rsidRDefault="001F718C" w:rsidP="000F4E61">
            <w:pPr>
              <w:rPr>
                <w:b/>
              </w:rPr>
            </w:pPr>
            <w:r w:rsidRPr="00A426CE">
              <w:rPr>
                <w:b/>
              </w:rPr>
              <w:t>ЗАБЕЛЕЖКА</w:t>
            </w:r>
          </w:p>
          <w:p w:rsidR="001F718C" w:rsidRPr="00A426CE" w:rsidRDefault="001F718C" w:rsidP="000F4E61">
            <w:r w:rsidRPr="00A426CE">
              <w:t>Да се включи задължение, като неразделна част от запове</w:t>
            </w:r>
            <w:r w:rsidRPr="00A426CE">
              <w:t>д</w:t>
            </w:r>
            <w:r w:rsidRPr="00A426CE">
              <w:t>та да бъде обосновката за нейното издаване и получените препоръки по ал. 4 за да се гарантира публичност при вз</w:t>
            </w:r>
            <w:r w:rsidRPr="00A426CE">
              <w:t>е</w:t>
            </w:r>
            <w:r w:rsidRPr="00A426CE">
              <w:t>мане на решения от обществено значение.</w:t>
            </w:r>
          </w:p>
          <w:p w:rsidR="001F718C" w:rsidRPr="00A426CE" w:rsidRDefault="001F718C" w:rsidP="000F4E61">
            <w:r w:rsidRPr="00A426CE">
              <w:t>Защо в ал. 4 са изключени препоръки от индивидуални пр</w:t>
            </w:r>
            <w:r w:rsidRPr="00A426CE">
              <w:t>о</w:t>
            </w:r>
            <w:r w:rsidRPr="00A426CE">
              <w:t>изводители?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C46941">
            <w:pPr>
              <w:jc w:val="both"/>
            </w:pPr>
            <w:r w:rsidRPr="00A426CE">
              <w:t>Актовете, които издава министърът на земеделието, храните и горите, включ</w:t>
            </w:r>
            <w:r w:rsidRPr="00A426CE">
              <w:t>и</w:t>
            </w:r>
            <w:r w:rsidRPr="00A426CE">
              <w:t>телно заповеди, съдържат мотиви. В тази част от заповедта се вземат предвид по</w:t>
            </w:r>
            <w:r w:rsidRPr="00A426CE">
              <w:t>с</w:t>
            </w:r>
            <w:r w:rsidRPr="00A426CE">
              <w:t xml:space="preserve">тъпилите препоръки. </w:t>
            </w:r>
          </w:p>
          <w:p w:rsidR="001F718C" w:rsidRPr="00A426CE" w:rsidRDefault="001F718C" w:rsidP="00C46941">
            <w:pPr>
              <w:jc w:val="both"/>
            </w:pPr>
            <w:r w:rsidRPr="00A426CE">
              <w:t xml:space="preserve">Отделно и в допълнение на това чл. 3, </w:t>
            </w:r>
            <w:proofErr w:type="spellStart"/>
            <w:r w:rsidRPr="00A426CE">
              <w:t>пар</w:t>
            </w:r>
            <w:proofErr w:type="spellEnd"/>
            <w:r w:rsidRPr="00A426CE">
              <w:t>. 2 от Регламент за изпълнение 2018/274 на Комисията предвижда пр</w:t>
            </w:r>
            <w:r w:rsidRPr="00A426CE">
              <w:t>е</w:t>
            </w:r>
            <w:r w:rsidRPr="00A426CE">
              <w:t>поръките да се оповестяват.</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r w:rsidRPr="00A426CE">
              <w:t>Чл. 10. (1) Когато общият размер на площите допустими за създаване на нови лозови насаждения, за съответната год</w:t>
            </w:r>
            <w:r w:rsidRPr="00A426CE">
              <w:t>и</w:t>
            </w:r>
            <w:r w:rsidRPr="00A426CE">
              <w:t>на не надвишава площта по чл. 8, ал. 1 или по чл. 9, ал. 1, т. 1, за всички заявления се издават разрешения за нови н</w:t>
            </w:r>
            <w:r w:rsidRPr="00A426CE">
              <w:t>а</w:t>
            </w:r>
            <w:r w:rsidRPr="00A426CE">
              <w:t>саждения.</w:t>
            </w:r>
          </w:p>
          <w:p w:rsidR="001F718C" w:rsidRPr="00A426CE" w:rsidRDefault="001F718C" w:rsidP="00AE564E">
            <w:pPr>
              <w:rPr>
                <w:b/>
              </w:rPr>
            </w:pPr>
            <w:r w:rsidRPr="00A426CE">
              <w:rPr>
                <w:b/>
              </w:rPr>
              <w:t>ЗАБЕЛЕЖКА</w:t>
            </w:r>
          </w:p>
          <w:p w:rsidR="001F718C" w:rsidRPr="00A426CE" w:rsidRDefault="001F718C" w:rsidP="00AE564E">
            <w:r w:rsidRPr="00A426CE">
              <w:t>Издаването да се обвърже със заявена площ, а не със зая</w:t>
            </w:r>
            <w:r w:rsidRPr="00A426CE">
              <w:t>в</w:t>
            </w:r>
            <w:r w:rsidRPr="00A426CE">
              <w:t>ление.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C46941">
            <w:pPr>
              <w:jc w:val="both"/>
            </w:pPr>
            <w:r w:rsidRPr="00A426CE">
              <w:t>Издаването на разрешения по всички з</w:t>
            </w:r>
            <w:r w:rsidRPr="00A426CE">
              <w:t>а</w:t>
            </w:r>
            <w:r w:rsidRPr="00A426CE">
              <w:t>явления е обвързано с общия размер на заявените площи.</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r w:rsidRPr="00A426CE">
              <w:t>(2) Когато общият размер на площите допустими за създ</w:t>
            </w:r>
            <w:r w:rsidRPr="00A426CE">
              <w:t>а</w:t>
            </w:r>
            <w:r w:rsidRPr="00A426CE">
              <w:t>ване на нови лозови насаждения, за съответната година на</w:t>
            </w:r>
            <w:r w:rsidRPr="00A426CE">
              <w:t>д</w:t>
            </w:r>
            <w:r w:rsidRPr="00A426CE">
              <w:t>вишава площта по чл. 8, ал. 1 или по чл. 9, ал. 1, т. 1, се пр</w:t>
            </w:r>
            <w:r w:rsidRPr="00A426CE">
              <w:t>и</w:t>
            </w:r>
            <w:r w:rsidRPr="00A426CE">
              <w:t xml:space="preserve">лага правилото на чл. 8, ал. 3 или критериите по чл. 9, ал. 1, </w:t>
            </w:r>
            <w:r w:rsidRPr="00A426CE">
              <w:lastRenderedPageBreak/>
              <w:t>т. 2. В тези случаи разрешения за нови насаждения се изд</w:t>
            </w:r>
            <w:r w:rsidRPr="00A426CE">
              <w:t>а</w:t>
            </w:r>
            <w:r w:rsidRPr="00A426CE">
              <w:t>ват за част от заявленията и/или за част от заявените в тях площи пропорционално на заявените площи.</w:t>
            </w:r>
          </w:p>
          <w:p w:rsidR="001F718C" w:rsidRPr="00A426CE" w:rsidRDefault="001F718C" w:rsidP="00AE564E">
            <w:pPr>
              <w:rPr>
                <w:b/>
              </w:rPr>
            </w:pPr>
            <w:r w:rsidRPr="00A426CE">
              <w:rPr>
                <w:b/>
              </w:rPr>
              <w:t>ЗАБЕЛЕЖКА</w:t>
            </w:r>
          </w:p>
          <w:p w:rsidR="001F718C" w:rsidRPr="00A426CE" w:rsidRDefault="001F718C" w:rsidP="00AE564E">
            <w:r w:rsidRPr="00A426CE">
              <w:t>Какво е основание за издаване на разрешение за „част от заявленията”, защото по- горе няма такъв описан ред, а се издава пропорционално? Ако текстът е излишен да отпадне.</w:t>
            </w:r>
          </w:p>
          <w:p w:rsidR="001F718C" w:rsidRPr="00A426CE" w:rsidRDefault="001F718C" w:rsidP="00AE564E">
            <w:r w:rsidRPr="00A426CE">
              <w:t>„част от заявените в тях площи пропорционално на заявен</w:t>
            </w:r>
            <w:r w:rsidRPr="00A426CE">
              <w:t>и</w:t>
            </w:r>
            <w:r w:rsidRPr="00A426CE">
              <w:t>те площи” да се уточни, че става въпрос към всички заявени площи по заповедта.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C46941">
            <w:pPr>
              <w:jc w:val="both"/>
            </w:pPr>
            <w:r w:rsidRPr="00A426CE">
              <w:t>Основание за отказ за издаване на разр</w:t>
            </w:r>
            <w:r w:rsidRPr="00A426CE">
              <w:t>е</w:t>
            </w:r>
            <w:r w:rsidRPr="00A426CE">
              <w:t>шение за „част от заявленията” може да бъде прилагане на критерии за допуст</w:t>
            </w:r>
            <w:r w:rsidRPr="00A426CE">
              <w:t>и</w:t>
            </w:r>
            <w:r w:rsidRPr="00A426CE">
              <w:t xml:space="preserve">мост и/или на критерии за приоритет при </w:t>
            </w:r>
            <w:r w:rsidRPr="00A426CE">
              <w:lastRenderedPageBreak/>
              <w:t>предоставяне на разрешения за нови л</w:t>
            </w:r>
            <w:r w:rsidRPr="00A426CE">
              <w:t>о</w:t>
            </w:r>
            <w:r w:rsidRPr="00A426CE">
              <w:t>зови насаждения.</w:t>
            </w:r>
          </w:p>
          <w:p w:rsidR="001F718C" w:rsidRPr="00A426CE" w:rsidRDefault="001F718C" w:rsidP="00A72224">
            <w:pPr>
              <w:jc w:val="both"/>
            </w:pPr>
            <w:r w:rsidRPr="00A426CE">
              <w:t>Съгласно чл. 7, пар</w:t>
            </w:r>
            <w:r w:rsidR="00A72224" w:rsidRPr="00A426CE">
              <w:t>аграф</w:t>
            </w:r>
            <w:r w:rsidRPr="00A426CE">
              <w:t xml:space="preserve"> 1 на Регламент за изпълнение 2018/274 на Комисията при процедура за подбор се прилагат правилата, посочени в Приложение </w:t>
            </w:r>
            <w:r w:rsidRPr="00A426CE">
              <w:rPr>
                <w:lang w:val="en-US"/>
              </w:rPr>
              <w:t>I</w:t>
            </w:r>
            <w:r w:rsidRPr="00A426CE">
              <w:t>.</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r w:rsidRPr="00A426CE">
              <w:t xml:space="preserve">(6) Редът за преобразуване на права за засаждане и </w:t>
            </w:r>
            <w:proofErr w:type="spellStart"/>
            <w:r w:rsidRPr="00A426CE">
              <w:t>през</w:t>
            </w:r>
            <w:r w:rsidRPr="00A426CE">
              <w:t>а</w:t>
            </w:r>
            <w:r w:rsidRPr="00A426CE">
              <w:t>саждане</w:t>
            </w:r>
            <w:proofErr w:type="spellEnd"/>
            <w:r w:rsidRPr="00A426CE">
              <w:t xml:space="preserve"> в разрешения се уреждат с наредбата по чл. 7, ал. 4.</w:t>
            </w:r>
          </w:p>
          <w:p w:rsidR="001F718C" w:rsidRPr="00A426CE" w:rsidRDefault="001F718C" w:rsidP="00AE564E">
            <w:pPr>
              <w:rPr>
                <w:b/>
              </w:rPr>
            </w:pPr>
            <w:r w:rsidRPr="00A426CE">
              <w:rPr>
                <w:b/>
              </w:rPr>
              <w:t>ЗАБЕЛЕЖКА</w:t>
            </w:r>
          </w:p>
          <w:p w:rsidR="001F718C" w:rsidRPr="00A426CE" w:rsidRDefault="001F718C" w:rsidP="00AE564E">
            <w:r w:rsidRPr="00A426CE">
              <w:t>Условията на Раздел V „Преобразуване на права за засажд</w:t>
            </w:r>
            <w:r w:rsidRPr="00A426CE">
              <w:t>а</w:t>
            </w:r>
            <w:r w:rsidRPr="00A426CE">
              <w:t xml:space="preserve">не и </w:t>
            </w:r>
            <w:proofErr w:type="spellStart"/>
            <w:r w:rsidRPr="00A426CE">
              <w:t>презасаждане</w:t>
            </w:r>
            <w:proofErr w:type="spellEnd"/>
            <w:r w:rsidRPr="00A426CE">
              <w:t xml:space="preserve"> в разрешения” да бъдат прехвърлени и</w:t>
            </w:r>
            <w:r w:rsidRPr="00A426CE">
              <w:t>з</w:t>
            </w:r>
            <w:r w:rsidRPr="00A426CE">
              <w:t>цяло в отделна наредба за да не възникват конфликти между текстовете на закона и наредбата и не зависимо от приор</w:t>
            </w:r>
            <w:r w:rsidRPr="00A426CE">
              <w:t>и</w:t>
            </w:r>
            <w:r w:rsidRPr="00A426CE">
              <w:t>тета на закона ИАЛВ да тълкува прилагането по реда на наредбата, което е практика по действащия закон в момента.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FF26F3">
            <w:pPr>
              <w:widowControl w:val="0"/>
              <w:autoSpaceDE w:val="0"/>
              <w:autoSpaceDN w:val="0"/>
              <w:adjustRightInd w:val="0"/>
              <w:jc w:val="both"/>
            </w:pPr>
            <w:r w:rsidRPr="00A426CE">
              <w:t>Законът урежда принципните положения, а останалите отношения по тази материя се уреждат с подзаконов акт. Законодат</w:t>
            </w:r>
            <w:r w:rsidRPr="00A426CE">
              <w:t>е</w:t>
            </w:r>
            <w:r w:rsidRPr="00A426CE">
              <w:t>лят предвижда за  прилагане на отделни разпоредби от закона да се издаде наре</w:t>
            </w:r>
            <w:r w:rsidRPr="00A426CE">
              <w:t>д</w:t>
            </w:r>
            <w:r w:rsidRPr="00A426CE">
              <w:t>ба. Съгласно § 8, ал. 1 от Преходните и заключителните разпоредби посочените в закона наредби ще се приемат в 6-месечен срок от влизането в сила на з</w:t>
            </w:r>
            <w:r w:rsidRPr="00A426CE">
              <w:t>а</w:t>
            </w:r>
            <w:r w:rsidRPr="00A426CE">
              <w:t xml:space="preserve">кона. </w:t>
            </w:r>
          </w:p>
          <w:p w:rsidR="001F718C" w:rsidRPr="00E127B9" w:rsidRDefault="001F718C" w:rsidP="00FF26F3">
            <w:pPr>
              <w:widowControl w:val="0"/>
              <w:autoSpaceDE w:val="0"/>
              <w:autoSpaceDN w:val="0"/>
              <w:adjustRightInd w:val="0"/>
              <w:jc w:val="both"/>
              <w:rPr>
                <w:spacing w:val="-4"/>
              </w:rPr>
            </w:pPr>
            <w:r w:rsidRPr="00E127B9">
              <w:rPr>
                <w:spacing w:val="-4"/>
              </w:rPr>
              <w:t>Конкретните разпоредби на подзаконовия нормативен акт се съобразяват с действ</w:t>
            </w:r>
            <w:r w:rsidRPr="00E127B9">
              <w:rPr>
                <w:spacing w:val="-4"/>
              </w:rPr>
              <w:t>а</w:t>
            </w:r>
            <w:r w:rsidRPr="00E127B9">
              <w:rPr>
                <w:spacing w:val="-4"/>
              </w:rPr>
              <w:t>щия закон, в резултат на което, се предот</w:t>
            </w:r>
            <w:r w:rsidRPr="00E127B9">
              <w:rPr>
                <w:spacing w:val="-4"/>
              </w:rPr>
              <w:t>в</w:t>
            </w:r>
            <w:r w:rsidRPr="00E127B9">
              <w:rPr>
                <w:spacing w:val="-4"/>
              </w:rPr>
              <w:t>ратява противоречие между разпоредбите.</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 xml:space="preserve">3) Когато разрешенията  по  чл. 15, ал. 5 са издадени чрез преобразуване на права за </w:t>
            </w:r>
            <w:proofErr w:type="spellStart"/>
            <w:r w:rsidRPr="00A426CE">
              <w:t>презасаждане</w:t>
            </w:r>
            <w:proofErr w:type="spellEnd"/>
            <w:r w:rsidRPr="00A426CE">
              <w:t>, произлизащи от изкореняване на лозя в същото стопанство, производителят има право да получи подпомагане за тях по мярка „Прес</w:t>
            </w:r>
            <w:r w:rsidRPr="00A426CE">
              <w:t>т</w:t>
            </w:r>
            <w:r w:rsidRPr="00A426CE">
              <w:t>руктуриране и конверсия на лозя“ от Националната прогр</w:t>
            </w:r>
            <w:r w:rsidRPr="00A426CE">
              <w:t>а</w:t>
            </w:r>
            <w:r w:rsidRPr="00A426CE">
              <w:t xml:space="preserve">ма за подпомагане на </w:t>
            </w:r>
            <w:proofErr w:type="spellStart"/>
            <w:r w:rsidRPr="00A426CE">
              <w:t>лозаро-винарския</w:t>
            </w:r>
            <w:proofErr w:type="spellEnd"/>
            <w:r w:rsidRPr="00A426CE">
              <w:t xml:space="preserve"> сектор, до края п</w:t>
            </w:r>
            <w:r w:rsidRPr="00A426CE">
              <w:t>е</w:t>
            </w:r>
            <w:r w:rsidRPr="00A426CE">
              <w:t>риода на валидността им.</w:t>
            </w:r>
          </w:p>
          <w:p w:rsidR="001F718C" w:rsidRPr="00A426CE" w:rsidRDefault="001F718C" w:rsidP="00AE564E">
            <w:pPr>
              <w:jc w:val="both"/>
              <w:rPr>
                <w:b/>
              </w:rPr>
            </w:pPr>
            <w:r w:rsidRPr="00A426CE">
              <w:rPr>
                <w:b/>
              </w:rPr>
              <w:t>ЗАБЕЛЕЖКА</w:t>
            </w:r>
          </w:p>
          <w:p w:rsidR="001F718C" w:rsidRPr="00A426CE" w:rsidRDefault="001F718C" w:rsidP="00AE564E">
            <w:pPr>
              <w:jc w:val="both"/>
            </w:pPr>
            <w:r w:rsidRPr="00A426CE">
              <w:lastRenderedPageBreak/>
              <w:t>Да отпадне от закона и да се включи в нарочна наредба по прилагане на програмата, като се спазват условията за д</w:t>
            </w:r>
            <w:r w:rsidRPr="00A426CE">
              <w:t>о</w:t>
            </w:r>
            <w:r w:rsidRPr="00A426CE">
              <w:t>пустимост и кандидатстване.</w:t>
            </w:r>
          </w:p>
          <w:p w:rsidR="001F718C" w:rsidRPr="00A426CE" w:rsidRDefault="001F718C" w:rsidP="00AE564E">
            <w:pPr>
              <w:jc w:val="both"/>
            </w:pPr>
            <w:r w:rsidRPr="00A426CE">
              <w:t>Каква е гаранцията, че по европейски регламент няма да се промени наименованието на мярката и това да доведе до промяна на закона?</w:t>
            </w:r>
          </w:p>
          <w:p w:rsidR="001F718C" w:rsidRPr="00A426CE" w:rsidRDefault="001F718C" w:rsidP="00004862">
            <w:pPr>
              <w:jc w:val="both"/>
            </w:pPr>
            <w:r w:rsidRPr="00A426CE">
              <w:t>Каква е гаранцията, че по европейски регламент няма да се промени наименованието на програмата и това да доведе до промяна на закона?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773DD9" w:rsidP="00831124">
            <w:r>
              <w:lastRenderedPageBreak/>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773DD9">
            <w:pPr>
              <w:jc w:val="both"/>
            </w:pPr>
            <w:r w:rsidRPr="00A426CE">
              <w:t xml:space="preserve">Настоящата </w:t>
            </w:r>
            <w:r w:rsidR="00773DD9">
              <w:t>Н</w:t>
            </w:r>
            <w:r w:rsidRPr="00A426CE">
              <w:t>ационалната програма е изготвена за периода 2019-2023</w:t>
            </w:r>
            <w:r w:rsidR="00773DD9">
              <w:t xml:space="preserve"> </w:t>
            </w:r>
            <w:r w:rsidRPr="00A426CE">
              <w:t>г.</w:t>
            </w:r>
            <w:r w:rsidR="00773DD9">
              <w:t>, до к</w:t>
            </w:r>
            <w:r w:rsidR="00773DD9">
              <w:t>о</w:t>
            </w:r>
            <w:r w:rsidR="00773DD9">
              <w:t>гато е валидността на разрешенията с които може да се кандидатства по нея.</w:t>
            </w:r>
            <w:r w:rsidRPr="00A426CE">
              <w:t xml:space="preserve"> Съгласно чл. 41 от Регламент (ЕС) 1308/2013 програмата за подпомагане е с период от 5 год., а параграф 3 регламе</w:t>
            </w:r>
            <w:r w:rsidRPr="00A426CE">
              <w:t>н</w:t>
            </w:r>
            <w:r w:rsidRPr="00A426CE">
              <w:t xml:space="preserve">тира, че всяка държава членка представя </w:t>
            </w:r>
            <w:r w:rsidRPr="00A426CE">
              <w:lastRenderedPageBreak/>
              <w:t>само един проект за подпомагане, в който се включват допустимите мерки. После</w:t>
            </w:r>
            <w:r w:rsidRPr="00A426CE">
              <w:t>д</w:t>
            </w:r>
            <w:r w:rsidRPr="00A426CE">
              <w:t>ните са изчерпателно изброени в Регл</w:t>
            </w:r>
            <w:r w:rsidRPr="00A426CE">
              <w:t>а</w:t>
            </w:r>
            <w:r w:rsidRPr="00A426CE">
              <w:t xml:space="preserve">мента. </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 xml:space="preserve">(4) Когато разрешенията по чл. 15, ал. 5 са издадени чрез преобразуване на права за  </w:t>
            </w:r>
            <w:proofErr w:type="spellStart"/>
            <w:r w:rsidRPr="00A426CE">
              <w:t>презасаждане</w:t>
            </w:r>
            <w:proofErr w:type="spellEnd"/>
            <w:r w:rsidRPr="00A426CE">
              <w:t>, различни от пр</w:t>
            </w:r>
            <w:r w:rsidRPr="00A426CE">
              <w:t>а</w:t>
            </w:r>
            <w:r w:rsidRPr="00A426CE">
              <w:t>вата по ал. 3, на права за засаждане или на права, придобити от Национален резерв, производителят има право да пол</w:t>
            </w:r>
            <w:r w:rsidRPr="00A426CE">
              <w:t>у</w:t>
            </w:r>
            <w:r w:rsidRPr="00A426CE">
              <w:t xml:space="preserve">чава подпомагане по мярка „Преструктуриране и конверсия на лозя“ до края на прилагането на Националната програма за подпомагане на </w:t>
            </w:r>
            <w:proofErr w:type="spellStart"/>
            <w:r w:rsidRPr="00A426CE">
              <w:t>лозаро-винарския</w:t>
            </w:r>
            <w:proofErr w:type="spellEnd"/>
            <w:r w:rsidRPr="00A426CE">
              <w:t xml:space="preserve"> сектор  2014-2018 г.</w:t>
            </w:r>
          </w:p>
          <w:p w:rsidR="001F718C" w:rsidRPr="00A426CE" w:rsidRDefault="001F718C" w:rsidP="00AE564E">
            <w:pPr>
              <w:jc w:val="both"/>
              <w:rPr>
                <w:b/>
              </w:rPr>
            </w:pPr>
            <w:r w:rsidRPr="00A426CE">
              <w:rPr>
                <w:b/>
              </w:rPr>
              <w:t>ЗАБЕЛЕЖКА</w:t>
            </w:r>
          </w:p>
          <w:p w:rsidR="001F718C" w:rsidRPr="00A426CE" w:rsidRDefault="001F718C" w:rsidP="00AE564E">
            <w:pPr>
              <w:jc w:val="both"/>
            </w:pPr>
            <w:r w:rsidRPr="00A426CE">
              <w:t>Да отпадне от закона и да се включи в нарочна наредба по прилагане на програмата, като се спазват условията за д</w:t>
            </w:r>
            <w:r w:rsidRPr="00A426CE">
              <w:t>о</w:t>
            </w:r>
            <w:r w:rsidRPr="00A426CE">
              <w:t>пустимост и кандидатстване.</w:t>
            </w:r>
          </w:p>
          <w:p w:rsidR="001F718C" w:rsidRPr="00A426CE" w:rsidRDefault="001F718C" w:rsidP="00AE564E">
            <w:pPr>
              <w:jc w:val="both"/>
            </w:pPr>
            <w:r w:rsidRPr="00A426CE">
              <w:t>Каква е гаранцията, че по европейски регламент няма да се промени наименованието на мярката и това да доведе до промяна на закона?</w:t>
            </w:r>
          </w:p>
          <w:p w:rsidR="001F718C" w:rsidRPr="00A426CE" w:rsidRDefault="001F718C" w:rsidP="00004862">
            <w:pPr>
              <w:jc w:val="both"/>
            </w:pPr>
            <w:r w:rsidRPr="00A426CE">
              <w:t>Каква е гаранцията, че по европейски регламент няма да се промени наименованието на програмата и това да доведе до промяна на закона?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773DD9" w:rsidP="00831124">
            <w: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B00BAD"/>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 xml:space="preserve">Чл. 17. (1) Издадените по реда на тази глава разрешения не могат да се прехвърлят на други лица. Те могат да бъдат придобити въз основа на </w:t>
            </w:r>
            <w:proofErr w:type="spellStart"/>
            <w:r w:rsidRPr="00A426CE">
              <w:t>правоприемство</w:t>
            </w:r>
            <w:proofErr w:type="spellEnd"/>
            <w:r w:rsidRPr="00A426CE">
              <w:t>, в следните сл</w:t>
            </w:r>
            <w:r w:rsidRPr="00A426CE">
              <w:t>у</w:t>
            </w:r>
            <w:r w:rsidRPr="00A426CE">
              <w:t>чаи:</w:t>
            </w:r>
          </w:p>
          <w:p w:rsidR="001F718C" w:rsidRPr="00A426CE" w:rsidRDefault="001F718C" w:rsidP="00AE564E">
            <w:pPr>
              <w:jc w:val="both"/>
            </w:pPr>
            <w:r w:rsidRPr="00A426CE">
              <w:t>1.по наследство, включително по завещание и чрез делба на наследство;</w:t>
            </w:r>
          </w:p>
          <w:p w:rsidR="001F718C" w:rsidRPr="00A426CE" w:rsidRDefault="001F718C" w:rsidP="00AE564E">
            <w:pPr>
              <w:jc w:val="both"/>
            </w:pPr>
            <w:r w:rsidRPr="00A426CE">
              <w:lastRenderedPageBreak/>
              <w:t>2. при преобразуване на юридическо лице.</w:t>
            </w:r>
          </w:p>
          <w:p w:rsidR="001F718C" w:rsidRPr="00A426CE" w:rsidRDefault="001F718C" w:rsidP="00AE564E">
            <w:pPr>
              <w:jc w:val="both"/>
              <w:rPr>
                <w:b/>
              </w:rPr>
            </w:pPr>
            <w:r w:rsidRPr="00A426CE">
              <w:rPr>
                <w:b/>
              </w:rPr>
              <w:t>ЗАБЕЛЕЖКА</w:t>
            </w:r>
          </w:p>
          <w:p w:rsidR="001F718C" w:rsidRPr="00A426CE" w:rsidRDefault="001F718C" w:rsidP="00AE564E">
            <w:pPr>
              <w:jc w:val="both"/>
            </w:pPr>
            <w:r w:rsidRPr="00A426CE">
              <w:t>Защо в мотивите за приемане на закона няма обосновка за причината за наложеното ограничение за прехвърляне на права по ал. 1? Каква е причината за това ограничение?</w:t>
            </w:r>
          </w:p>
          <w:p w:rsidR="001F718C" w:rsidRPr="00A426CE" w:rsidRDefault="001F718C" w:rsidP="00AE564E">
            <w:pPr>
              <w:jc w:val="both"/>
            </w:pPr>
            <w:r w:rsidRPr="00A426CE">
              <w:t>Да се даде определение на „</w:t>
            </w:r>
            <w:proofErr w:type="spellStart"/>
            <w:r w:rsidRPr="00A426CE">
              <w:t>правоприемство</w:t>
            </w:r>
            <w:proofErr w:type="spellEnd"/>
            <w:r w:rsidRPr="00A426CE">
              <w:t>” във връзка с приложими нормативни актове за това.</w:t>
            </w:r>
          </w:p>
          <w:p w:rsidR="001F718C" w:rsidRPr="00A426CE" w:rsidRDefault="001F718C" w:rsidP="00AE564E">
            <w:pPr>
              <w:jc w:val="both"/>
            </w:pPr>
            <w:r w:rsidRPr="00A426CE">
              <w:t>Кои са приложимите режими по Търговски закон, които се имат в предвид под „при преобразуване на юридическо л</w:t>
            </w:r>
            <w:r w:rsidRPr="00A426CE">
              <w:t>и</w:t>
            </w:r>
            <w:r w:rsidRPr="00A426CE">
              <w:t>це.”?</w:t>
            </w:r>
          </w:p>
          <w:p w:rsidR="001F718C" w:rsidRPr="00A426CE" w:rsidRDefault="001F718C" w:rsidP="00AE564E">
            <w:pPr>
              <w:jc w:val="both"/>
            </w:pPr>
            <w:r w:rsidRPr="00A426CE">
              <w:t>Защо е наложено дискриминационно условие прямо физ</w:t>
            </w:r>
            <w:r w:rsidRPr="00A426CE">
              <w:t>и</w:t>
            </w:r>
            <w:r w:rsidRPr="00A426CE">
              <w:t>чески лица, които регистрират ЕТ и прехвърлят в него вси</w:t>
            </w:r>
            <w:r w:rsidRPr="00A426CE">
              <w:t>ч</w:t>
            </w:r>
            <w:r w:rsidRPr="00A426CE">
              <w:t>ки лозя от лозарското си стопанство?</w:t>
            </w:r>
          </w:p>
          <w:p w:rsidR="001F718C" w:rsidRPr="00A426CE" w:rsidRDefault="001F718C" w:rsidP="00004862">
            <w:pPr>
              <w:jc w:val="both"/>
            </w:pPr>
            <w:r w:rsidRPr="00A426CE">
              <w:t>Защо е наложено дискриминационно условие прямо физ</w:t>
            </w:r>
            <w:r w:rsidRPr="00A426CE">
              <w:t>и</w:t>
            </w:r>
            <w:r w:rsidRPr="00A426CE">
              <w:t>чески лица, които регистрират ЕООД и прехвърлят в него всички лозя от лозарското си стопанство?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527393" w:rsidP="00831124">
            <w:pPr>
              <w:rPr>
                <w:color w:val="000000"/>
              </w:rPr>
            </w:pPr>
            <w:r w:rsidRPr="00A426CE">
              <w:rPr>
                <w:color w:val="000000"/>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527393">
            <w:pPr>
              <w:jc w:val="both"/>
            </w:pPr>
            <w:r w:rsidRPr="00A426CE">
              <w:t>Схемата за разрешаване на лозови наса</w:t>
            </w:r>
            <w:r w:rsidRPr="00A426CE">
              <w:t>ж</w:t>
            </w:r>
            <w:r w:rsidRPr="00A426CE">
              <w:t>дения, определена в Регламент (ЕС) 1308/2013 се прилага считано от 01.</w:t>
            </w:r>
            <w:proofErr w:type="spellStart"/>
            <w:r w:rsidRPr="00A426CE">
              <w:t>01</w:t>
            </w:r>
            <w:proofErr w:type="spellEnd"/>
            <w:r w:rsidRPr="00A426CE">
              <w:t>.2016</w:t>
            </w:r>
            <w:r w:rsidR="00A72224" w:rsidRPr="00A426CE">
              <w:t xml:space="preserve"> </w:t>
            </w:r>
            <w:r w:rsidRPr="00A426CE">
              <w:t xml:space="preserve">г. и заменя предходния режим за правата на засаждане. Настоящата схема, за разлика от предходния режим за </w:t>
            </w:r>
            <w:r w:rsidRPr="00A426CE">
              <w:lastRenderedPageBreak/>
              <w:t>правата на засаждане, не предвижда въ</w:t>
            </w:r>
            <w:r w:rsidRPr="00A426CE">
              <w:t>з</w:t>
            </w:r>
            <w:r w:rsidRPr="00A426CE">
              <w:t>можност за прехвърляния. Разрешенията се издават на конкретен производител, който разполага със срок от три години, за да го използва. Това правило забранява прехвърлянето на разрешения, независ</w:t>
            </w:r>
            <w:r w:rsidRPr="00A426CE">
              <w:t>и</w:t>
            </w:r>
            <w:r w:rsidRPr="00A426CE">
              <w:t>мо дали те се прехвърлят отделно или заедно с правата на разпореждане или собственост върху конкретната площ, за която е издадено разрешението. Това се отнася за всички производители, незав</w:t>
            </w:r>
            <w:r w:rsidRPr="00A426CE">
              <w:t>и</w:t>
            </w:r>
            <w:r w:rsidRPr="00A426CE">
              <w:t>симо дали са физически или юридически лица. Посочените в цитираната разпоре</w:t>
            </w:r>
            <w:r w:rsidRPr="00A426CE">
              <w:t>д</w:t>
            </w:r>
            <w:r w:rsidRPr="00A426CE">
              <w:t>ба случаи са единствените, при които е възможно друго лице да придобие права по вече издадено разрешение поради обективни причини</w:t>
            </w:r>
            <w:r w:rsidR="00527393" w:rsidRPr="00A426CE">
              <w:t>.</w:t>
            </w:r>
            <w:r w:rsidRPr="00A426CE">
              <w:t xml:space="preserve"> </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 xml:space="preserve">Чл. 18. Титулярите на разрешения за засаждане, за </w:t>
            </w:r>
            <w:proofErr w:type="spellStart"/>
            <w:r w:rsidRPr="00A426CE">
              <w:t>през</w:t>
            </w:r>
            <w:r w:rsidRPr="00A426CE">
              <w:t>а</w:t>
            </w:r>
            <w:r w:rsidRPr="00A426CE">
              <w:t>саждане</w:t>
            </w:r>
            <w:proofErr w:type="spellEnd"/>
            <w:r w:rsidRPr="00A426CE">
              <w:t xml:space="preserve"> или за преобразуване на права на засаждане или </w:t>
            </w:r>
            <w:proofErr w:type="spellStart"/>
            <w:r w:rsidRPr="00A426CE">
              <w:t>презасаждане</w:t>
            </w:r>
            <w:proofErr w:type="spellEnd"/>
            <w:r w:rsidRPr="00A426CE">
              <w:t xml:space="preserve"> са длъжни да декларират, в срок до 30 дни от възникване на обстоятелството, в ИАЛВ:</w:t>
            </w:r>
          </w:p>
          <w:p w:rsidR="001F718C" w:rsidRPr="00A426CE" w:rsidRDefault="001F718C" w:rsidP="00AE564E">
            <w:pPr>
              <w:jc w:val="both"/>
            </w:pPr>
            <w:r w:rsidRPr="00A426CE">
              <w:t>1. изкореняването на лозята по чл. 12;</w:t>
            </w:r>
          </w:p>
          <w:p w:rsidR="001F718C" w:rsidRPr="00A426CE" w:rsidRDefault="001F718C" w:rsidP="00AE564E">
            <w:pPr>
              <w:jc w:val="both"/>
            </w:pPr>
            <w:r w:rsidRPr="00A426CE">
              <w:t>2. засаждането на лозята;</w:t>
            </w:r>
          </w:p>
          <w:p w:rsidR="001F718C" w:rsidRPr="00A426CE" w:rsidRDefault="001F718C" w:rsidP="00AE564E">
            <w:pPr>
              <w:jc w:val="both"/>
            </w:pPr>
            <w:r w:rsidRPr="00A426CE">
              <w:t>3. всяко изменение на собствеността или ползването на л</w:t>
            </w:r>
            <w:r w:rsidRPr="00A426CE">
              <w:t>о</w:t>
            </w:r>
            <w:r w:rsidRPr="00A426CE">
              <w:t>зовия масив;</w:t>
            </w:r>
          </w:p>
          <w:p w:rsidR="001F718C" w:rsidRPr="00A426CE" w:rsidRDefault="001F718C" w:rsidP="00AE564E">
            <w:pPr>
              <w:jc w:val="both"/>
            </w:pPr>
            <w:r w:rsidRPr="00A426CE">
              <w:t>4. промяна в предварително заявения сорт за засаждане или присаждане.</w:t>
            </w:r>
          </w:p>
          <w:p w:rsidR="001F718C" w:rsidRPr="00A426CE" w:rsidRDefault="001F718C" w:rsidP="00AE564E">
            <w:pPr>
              <w:jc w:val="both"/>
              <w:rPr>
                <w:b/>
              </w:rPr>
            </w:pPr>
            <w:r w:rsidRPr="00A426CE">
              <w:rPr>
                <w:b/>
              </w:rPr>
              <w:t>ЗАБЕЛЕЖКА</w:t>
            </w:r>
          </w:p>
          <w:p w:rsidR="001F718C" w:rsidRPr="00A426CE" w:rsidRDefault="001F718C" w:rsidP="00AE564E">
            <w:pPr>
              <w:jc w:val="both"/>
            </w:pPr>
            <w:r w:rsidRPr="00A426CE">
              <w:t>Предлагам този член да отпадне и да се включи в свързана със закона наредба, защото третира конкретни действия от страна на лице, които се уреждат свързано с негови други задължения по отношение на тези действия.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pPr>
              <w:rPr>
                <w:color w:val="000000"/>
              </w:rPr>
            </w:pPr>
            <w:r w:rsidRPr="00A426CE">
              <w:rPr>
                <w:color w:val="000000"/>
              </w:rPr>
              <w:t>Не се прие</w:t>
            </w:r>
            <w:r w:rsidR="002A0A9B">
              <w:rPr>
                <w:color w:val="000000"/>
              </w:rPr>
              <w:t>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527393">
            <w:pPr>
              <w:jc w:val="both"/>
            </w:pPr>
            <w:r w:rsidRPr="00A426CE">
              <w:t>Законът като нормативен акт урежда м</w:t>
            </w:r>
            <w:r w:rsidRPr="00A426CE">
              <w:t>а</w:t>
            </w:r>
            <w:r w:rsidRPr="00A426CE">
              <w:t xml:space="preserve">терията в цялост включително правата и задълженията на лицата. С посочената разпоредба се вменяват задължения на определен кръг лица, </w:t>
            </w:r>
            <w:r w:rsidR="00527393" w:rsidRPr="00A426CE">
              <w:t>за неизпълнението на които същите ще бъдат санкционир</w:t>
            </w:r>
            <w:r w:rsidR="00527393" w:rsidRPr="00A426CE">
              <w:t>а</w:t>
            </w:r>
            <w:r w:rsidR="00527393" w:rsidRPr="00A426CE">
              <w:t>ни. Санкции се определят само в норм</w:t>
            </w:r>
            <w:r w:rsidR="00527393" w:rsidRPr="00A426CE">
              <w:t>а</w:t>
            </w:r>
            <w:r w:rsidR="00527393" w:rsidRPr="00A426CE">
              <w:t>тивен акт с ранг на закон</w:t>
            </w:r>
            <w:r w:rsidRPr="00A426CE">
              <w:t xml:space="preserve">. </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Чл. 19. (1) Изпълнителната агенция по лозата и виното по</w:t>
            </w:r>
            <w:r w:rsidRPr="00A426CE">
              <w:t>д</w:t>
            </w:r>
            <w:r w:rsidRPr="00A426CE">
              <w:t>държа лозарски регистър, който съдържа актуализирана информацията, посочена в Приложение І от Регламент (ЕО) № 436/2009 на Комисията от 26 май 2009 година за опред</w:t>
            </w:r>
            <w:r w:rsidRPr="00A426CE">
              <w:t>е</w:t>
            </w:r>
            <w:r w:rsidRPr="00A426CE">
              <w:t xml:space="preserve">ляне на подробни правила за прилагане на Регламент (ЕО) № 479/2008 на Съвета по отношение на лозарския регистър, задължителните декларации и събирането на информация с цел наблюдение на пазара, </w:t>
            </w:r>
            <w:proofErr w:type="spellStart"/>
            <w:r w:rsidRPr="00A426CE">
              <w:t>придружителните</w:t>
            </w:r>
            <w:proofErr w:type="spellEnd"/>
            <w:r w:rsidRPr="00A426CE">
              <w:t xml:space="preserve"> документи при превоза на продукти, регистрите, които е необходимо да се водят в </w:t>
            </w:r>
            <w:proofErr w:type="spellStart"/>
            <w:r w:rsidRPr="00A426CE">
              <w:t>лозаро-винарския</w:t>
            </w:r>
            <w:proofErr w:type="spellEnd"/>
            <w:r w:rsidRPr="00A426CE">
              <w:t xml:space="preserve"> сектор (ОВ L 128 от 27.05.2009 г.) (наричан по-нататък Регламент (ЕО) № 436/2009) и списък на лицата, които водят производствения процес и извършват вписвания в регистрите. Регистърът е публичен и достъпен на интернет страницата на ИАЛВ.</w:t>
            </w:r>
          </w:p>
          <w:p w:rsidR="001F718C" w:rsidRPr="00A426CE" w:rsidRDefault="001F718C" w:rsidP="00AE564E">
            <w:pPr>
              <w:jc w:val="both"/>
              <w:rPr>
                <w:b/>
              </w:rPr>
            </w:pPr>
            <w:r w:rsidRPr="00A426CE">
              <w:rPr>
                <w:b/>
              </w:rPr>
              <w:t>ЗАБЕЛЕЖКА</w:t>
            </w:r>
          </w:p>
          <w:p w:rsidR="001F718C" w:rsidRPr="00A426CE" w:rsidRDefault="001F718C" w:rsidP="00AE564E">
            <w:pPr>
              <w:jc w:val="both"/>
            </w:pPr>
            <w:r w:rsidRPr="00A426CE">
              <w:t>Действащата практика на ИАЛВ е да публикува на своя сайт:</w:t>
            </w:r>
          </w:p>
          <w:p w:rsidR="001F718C" w:rsidRPr="00A426CE" w:rsidRDefault="001F718C" w:rsidP="00AE564E">
            <w:pPr>
              <w:jc w:val="both"/>
            </w:pPr>
            <w:r w:rsidRPr="00A426CE">
              <w:t>Лозарски регистър - актуализация към 01.10.2017 (http://www.eavw.com/updocs/1517111510745103_Lozarski_Registar_2017_10_01.pdf )</w:t>
            </w:r>
          </w:p>
          <w:p w:rsidR="001F718C" w:rsidRPr="00A426CE" w:rsidRDefault="001F718C" w:rsidP="00AE564E">
            <w:pPr>
              <w:jc w:val="both"/>
            </w:pPr>
            <w:r w:rsidRPr="00A426CE">
              <w:t>Информация за:</w:t>
            </w:r>
          </w:p>
          <w:p w:rsidR="001F718C" w:rsidRPr="00A426CE" w:rsidRDefault="001F718C" w:rsidP="00057011">
            <w:pPr>
              <w:spacing w:before="120"/>
              <w:jc w:val="both"/>
            </w:pPr>
            <w:r w:rsidRPr="00A426CE">
              <w:t xml:space="preserve">Наименование на производителя; </w:t>
            </w:r>
          </w:p>
          <w:p w:rsidR="001F718C" w:rsidRPr="00A426CE" w:rsidRDefault="001F718C" w:rsidP="00AE564E">
            <w:pPr>
              <w:jc w:val="both"/>
            </w:pPr>
            <w:r w:rsidRPr="00A426CE">
              <w:t>Вид на производителя;</w:t>
            </w:r>
          </w:p>
          <w:p w:rsidR="001F718C" w:rsidRPr="00A426CE" w:rsidRDefault="001F718C" w:rsidP="00AE564E">
            <w:pPr>
              <w:jc w:val="both"/>
            </w:pPr>
            <w:r w:rsidRPr="00A426CE">
              <w:t>УИН;</w:t>
            </w:r>
          </w:p>
          <w:p w:rsidR="001F718C" w:rsidRPr="00A426CE" w:rsidRDefault="001F718C" w:rsidP="00AE564E">
            <w:pPr>
              <w:jc w:val="both"/>
            </w:pPr>
            <w:r w:rsidRPr="00A426CE">
              <w:t>Пореден;</w:t>
            </w:r>
          </w:p>
          <w:p w:rsidR="001F718C" w:rsidRPr="00A426CE" w:rsidRDefault="001F718C" w:rsidP="00AE564E">
            <w:pPr>
              <w:jc w:val="both"/>
            </w:pPr>
            <w:r w:rsidRPr="00A426CE">
              <w:t>Дата на издаване;</w:t>
            </w:r>
          </w:p>
          <w:p w:rsidR="001F718C" w:rsidRPr="00A426CE" w:rsidRDefault="001F718C" w:rsidP="00AE564E">
            <w:pPr>
              <w:jc w:val="both"/>
            </w:pPr>
            <w:r w:rsidRPr="00A426CE">
              <w:t>Лозарско стопанство 1</w:t>
            </w:r>
          </w:p>
          <w:p w:rsidR="001F718C" w:rsidRPr="00A426CE" w:rsidRDefault="001F718C" w:rsidP="00AE564E">
            <w:pPr>
              <w:jc w:val="both"/>
            </w:pPr>
            <w:r w:rsidRPr="00A426CE">
              <w:t>Лозарско стопанство 2</w:t>
            </w:r>
          </w:p>
          <w:p w:rsidR="001F718C" w:rsidRPr="00A426CE" w:rsidRDefault="001F718C" w:rsidP="00AE564E">
            <w:pPr>
              <w:jc w:val="both"/>
            </w:pPr>
            <w:r w:rsidRPr="00A426CE">
              <w:t>Лозарско стопанство 3</w:t>
            </w:r>
          </w:p>
          <w:p w:rsidR="001F718C" w:rsidRPr="00A426CE" w:rsidRDefault="001F718C" w:rsidP="00AE564E">
            <w:pPr>
              <w:jc w:val="both"/>
            </w:pPr>
            <w:r w:rsidRPr="00A426CE">
              <w:t>Лозарско стопанство 4</w:t>
            </w:r>
          </w:p>
          <w:p w:rsidR="001F718C" w:rsidRPr="00A426CE" w:rsidRDefault="001F718C" w:rsidP="00057011">
            <w:pPr>
              <w:spacing w:before="120"/>
              <w:jc w:val="both"/>
            </w:pPr>
            <w:r w:rsidRPr="00A426CE">
              <w:t>под формата на PDF файл.</w:t>
            </w:r>
          </w:p>
          <w:p w:rsidR="001F718C" w:rsidRPr="00A426CE" w:rsidRDefault="001F718C" w:rsidP="00AE564E">
            <w:pPr>
              <w:jc w:val="both"/>
            </w:pPr>
            <w:r w:rsidRPr="00A426CE">
              <w:lastRenderedPageBreak/>
              <w:t>Посочената информация не може да се посочи като „акт</w:t>
            </w:r>
            <w:r w:rsidRPr="00A426CE">
              <w:t>у</w:t>
            </w:r>
            <w:r w:rsidRPr="00A426CE">
              <w:t>ална”, защото има това свойство само към момента на съ</w:t>
            </w:r>
            <w:r w:rsidRPr="00A426CE">
              <w:t>з</w:t>
            </w:r>
            <w:r w:rsidRPr="00A426CE">
              <w:t>даване на файла. Във връзка с горното как ще се гарантира актуалност на информацията или да се промени текста на алинеята.</w:t>
            </w:r>
          </w:p>
          <w:p w:rsidR="001F718C" w:rsidRPr="00A426CE" w:rsidRDefault="001F718C" w:rsidP="00AE564E">
            <w:pPr>
              <w:jc w:val="both"/>
            </w:pPr>
            <w:r w:rsidRPr="00A426CE">
              <w:t>От друга страна в „ПРИЛОЖЕНИЕ I Минимална информ</w:t>
            </w:r>
            <w:r w:rsidRPr="00A426CE">
              <w:t>а</w:t>
            </w:r>
            <w:r w:rsidRPr="00A426CE">
              <w:t>ция, включена в лозарския регистър, и спецификации на данните, посочени в член 3” е посочено:</w:t>
            </w:r>
          </w:p>
          <w:p w:rsidR="001F718C" w:rsidRPr="00A426CE" w:rsidRDefault="001F718C" w:rsidP="00AE564E">
            <w:pPr>
              <w:jc w:val="both"/>
            </w:pPr>
            <w:r w:rsidRPr="00A426CE">
              <w:t>1.   ДОСИЕ НА ПРОИЗВОДИТЕЛЯ</w:t>
            </w:r>
          </w:p>
          <w:p w:rsidR="001F718C" w:rsidRPr="00A426CE" w:rsidRDefault="001F718C" w:rsidP="00AE564E">
            <w:pPr>
              <w:jc w:val="both"/>
            </w:pPr>
            <w:r w:rsidRPr="00A426CE">
              <w:t>1.</w:t>
            </w:r>
            <w:proofErr w:type="spellStart"/>
            <w:r w:rsidRPr="00A426CE">
              <w:t>1</w:t>
            </w:r>
            <w:proofErr w:type="spellEnd"/>
            <w:r w:rsidRPr="00A426CE">
              <w:t>.   Идентификация и местонахождение</w:t>
            </w:r>
          </w:p>
          <w:p w:rsidR="001F718C" w:rsidRPr="00A426CE" w:rsidRDefault="001F718C" w:rsidP="00AE564E">
            <w:pPr>
              <w:jc w:val="both"/>
            </w:pPr>
            <w:r w:rsidRPr="00A426CE">
              <w:t>1) Идентификация на производителя (съвместима с единн</w:t>
            </w:r>
            <w:r w:rsidRPr="00A426CE">
              <w:t>а</w:t>
            </w:r>
            <w:r w:rsidRPr="00A426CE">
              <w:t>та система за регистриране на самоличността на всеки зем</w:t>
            </w:r>
            <w:r w:rsidRPr="00A426CE">
              <w:t>е</w:t>
            </w:r>
            <w:r w:rsidRPr="00A426CE">
              <w:t>делски стопанин, предвидена в член 15, параграф 1, буква е) от Регламент (ЕО) № 73/2009).</w:t>
            </w:r>
          </w:p>
          <w:p w:rsidR="001F718C" w:rsidRPr="00A426CE" w:rsidRDefault="001F718C" w:rsidP="00AE564E">
            <w:pPr>
              <w:jc w:val="both"/>
            </w:pPr>
            <w:r w:rsidRPr="00A426CE">
              <w:t>2) Списък и местонахождение на стопанисваните лозарски парцели (идентификация, съвместима със системата за идентификация на земеделските парцели, предвидена в член 15, параграф 1, буква б) и член 17 от Регламент (ЕО) № 73/2009).</w:t>
            </w:r>
          </w:p>
          <w:p w:rsidR="001F718C" w:rsidRPr="00A426CE" w:rsidRDefault="001F718C" w:rsidP="00AE564E">
            <w:pPr>
              <w:jc w:val="both"/>
            </w:pPr>
            <w:r w:rsidRPr="00A426CE">
              <w:t>3) Разпределени, но все още неизползвани права на заса</w:t>
            </w:r>
            <w:r w:rsidRPr="00A426CE">
              <w:t>ж</w:t>
            </w:r>
            <w:r w:rsidRPr="00A426CE">
              <w:t xml:space="preserve">дане, и притежавани права на </w:t>
            </w:r>
            <w:proofErr w:type="spellStart"/>
            <w:r w:rsidRPr="00A426CE">
              <w:t>презасаждане</w:t>
            </w:r>
            <w:proofErr w:type="spellEnd"/>
            <w:r w:rsidRPr="00A426CE">
              <w:t xml:space="preserve"> (информация, съвместима със съобщенията, посочени в член 74 и в табл</w:t>
            </w:r>
            <w:r w:rsidRPr="00A426CE">
              <w:t>и</w:t>
            </w:r>
            <w:r w:rsidRPr="00A426CE">
              <w:t>ца 15 от приложение XIII към Регламент (ЕО) № 555/2008).</w:t>
            </w:r>
          </w:p>
          <w:p w:rsidR="001F718C" w:rsidRPr="00A426CE" w:rsidRDefault="001F718C" w:rsidP="00AE564E">
            <w:pPr>
              <w:jc w:val="both"/>
            </w:pPr>
            <w:r w:rsidRPr="00A426CE">
              <w:t>1.2.   Характеристики на лозарския парцел</w:t>
            </w:r>
          </w:p>
          <w:p w:rsidR="001F718C" w:rsidRPr="00A426CE" w:rsidRDefault="001F718C" w:rsidP="00AE564E">
            <w:pPr>
              <w:jc w:val="both"/>
            </w:pPr>
            <w:r w:rsidRPr="00A426CE">
              <w:t>1) Идентификация на лозарския парцел: системата за иде</w:t>
            </w:r>
            <w:r w:rsidRPr="00A426CE">
              <w:t>н</w:t>
            </w:r>
            <w:r w:rsidRPr="00A426CE">
              <w:t>тификация на лозарските парцели се създава на базата на карти и документи от поземлените регистри или други ка</w:t>
            </w:r>
            <w:r w:rsidRPr="00A426CE">
              <w:t>р</w:t>
            </w:r>
            <w:r w:rsidRPr="00A426CE">
              <w:t>тографски препратки. Използваните техники се основават на компютризирана географска информационна система, включително за предпочитане въздушни или спътникови ортогонални изображения, с хомогенен стандарт, гарант</w:t>
            </w:r>
            <w:r w:rsidRPr="00A426CE">
              <w:t>и</w:t>
            </w:r>
            <w:r w:rsidRPr="00A426CE">
              <w:t xml:space="preserve">ращ точност, равна поне на картографската с мащаб 1:10 </w:t>
            </w:r>
            <w:r w:rsidRPr="00A426CE">
              <w:lastRenderedPageBreak/>
              <w:t>000.</w:t>
            </w:r>
          </w:p>
          <w:p w:rsidR="001F718C" w:rsidRPr="00A426CE" w:rsidRDefault="001F718C" w:rsidP="00AE564E">
            <w:pPr>
              <w:jc w:val="both"/>
            </w:pPr>
            <w:r w:rsidRPr="00A426CE">
              <w:t>2) Площ на лозарския парцел</w:t>
            </w:r>
          </w:p>
          <w:p w:rsidR="001F718C" w:rsidRPr="00A426CE" w:rsidRDefault="001F718C" w:rsidP="00AE564E">
            <w:pPr>
              <w:jc w:val="both"/>
            </w:pPr>
            <w:r w:rsidRPr="00A426CE">
              <w:t>В случаите, когато лозите се отглеждат заедно с други ку</w:t>
            </w:r>
            <w:r w:rsidRPr="00A426CE">
              <w:t>л</w:t>
            </w:r>
            <w:r w:rsidRPr="00A426CE">
              <w:t>тури:</w:t>
            </w:r>
          </w:p>
          <w:p w:rsidR="001F718C" w:rsidRPr="00A426CE" w:rsidRDefault="001F718C" w:rsidP="00AE564E">
            <w:pPr>
              <w:jc w:val="both"/>
            </w:pPr>
            <w:r w:rsidRPr="00A426CE">
              <w:t>а) обща площ на съответния парцел;</w:t>
            </w:r>
          </w:p>
          <w:p w:rsidR="001F718C" w:rsidRPr="00A426CE" w:rsidRDefault="001F718C" w:rsidP="00AE564E">
            <w:pPr>
              <w:jc w:val="both"/>
            </w:pPr>
            <w:r w:rsidRPr="00A426CE">
              <w:t>б) лозарска площ, изразена като чиста култура (за целите на превръщането се използват подходящи коефициенти, опр</w:t>
            </w:r>
            <w:r w:rsidRPr="00A426CE">
              <w:t>е</w:t>
            </w:r>
            <w:r w:rsidRPr="00A426CE">
              <w:t>делени от държавата-членка).</w:t>
            </w:r>
          </w:p>
          <w:p w:rsidR="001F718C" w:rsidRPr="00A426CE" w:rsidRDefault="001F718C" w:rsidP="00AE564E">
            <w:pPr>
              <w:jc w:val="both"/>
            </w:pPr>
            <w:r w:rsidRPr="00A426CE">
              <w:t>3) Площ на лозарския парцел или, според случая, лозарска площ, изразена като чиста култура, разпределена по хара</w:t>
            </w:r>
            <w:r w:rsidRPr="00A426CE">
              <w:t>к</w:t>
            </w:r>
            <w:r w:rsidRPr="00A426CE">
              <w:t>теристики на лозите:</w:t>
            </w:r>
          </w:p>
          <w:p w:rsidR="001F718C" w:rsidRPr="00A426CE" w:rsidRDefault="001F718C" w:rsidP="00AE564E">
            <w:pPr>
              <w:jc w:val="both"/>
            </w:pPr>
            <w:r w:rsidRPr="00A426CE">
              <w:t>а) площ, засадена с винени сортове лози (информация, съ</w:t>
            </w:r>
            <w:r w:rsidRPr="00A426CE">
              <w:t>в</w:t>
            </w:r>
            <w:r w:rsidRPr="00A426CE">
              <w:t>местима със съобщенията, посочени в член 74 и в таблица 14 от приложение XIII към Регламент (ЕО) № 555/2008):</w:t>
            </w:r>
          </w:p>
          <w:p w:rsidR="001F718C" w:rsidRPr="00A426CE" w:rsidRDefault="001F718C" w:rsidP="00AE564E">
            <w:pPr>
              <w:jc w:val="both"/>
            </w:pPr>
            <w:r w:rsidRPr="00A426CE">
              <w:t>i) подходящи за производство на вина със защитено наим</w:t>
            </w:r>
            <w:r w:rsidRPr="00A426CE">
              <w:t>е</w:t>
            </w:r>
            <w:r w:rsidRPr="00A426CE">
              <w:t>нование за произход</w:t>
            </w:r>
          </w:p>
          <w:p w:rsidR="001F718C" w:rsidRPr="00A426CE" w:rsidRDefault="001F718C" w:rsidP="00AE564E">
            <w:pPr>
              <w:jc w:val="both"/>
            </w:pPr>
            <w:r w:rsidRPr="00A426CE">
              <w:t>— бели</w:t>
            </w:r>
          </w:p>
          <w:p w:rsidR="001F718C" w:rsidRPr="00A426CE" w:rsidRDefault="001F718C" w:rsidP="00AE564E">
            <w:pPr>
              <w:jc w:val="both"/>
            </w:pPr>
            <w:r w:rsidRPr="00A426CE">
              <w:t>— червени/</w:t>
            </w:r>
            <w:proofErr w:type="spellStart"/>
            <w:r w:rsidRPr="00A426CE">
              <w:t>розе</w:t>
            </w:r>
            <w:proofErr w:type="spellEnd"/>
          </w:p>
          <w:p w:rsidR="001F718C" w:rsidRPr="00A426CE" w:rsidRDefault="001F718C" w:rsidP="00AE564E">
            <w:pPr>
              <w:jc w:val="both"/>
            </w:pPr>
            <w:r w:rsidRPr="00A426CE">
              <w:t>ii) подходящи за производство на вина със защитено гео</w:t>
            </w:r>
            <w:r w:rsidRPr="00A426CE">
              <w:t>г</w:t>
            </w:r>
            <w:r w:rsidRPr="00A426CE">
              <w:t>рафско указание</w:t>
            </w:r>
          </w:p>
          <w:p w:rsidR="001F718C" w:rsidRPr="00A426CE" w:rsidRDefault="001F718C" w:rsidP="00AE564E">
            <w:pPr>
              <w:jc w:val="both"/>
            </w:pPr>
            <w:r w:rsidRPr="00A426CE">
              <w:t>— бели</w:t>
            </w:r>
          </w:p>
          <w:p w:rsidR="001F718C" w:rsidRPr="00A426CE" w:rsidRDefault="001F718C" w:rsidP="00AE564E">
            <w:pPr>
              <w:jc w:val="both"/>
            </w:pPr>
            <w:r w:rsidRPr="00A426CE">
              <w:t>— червени/</w:t>
            </w:r>
            <w:proofErr w:type="spellStart"/>
            <w:r w:rsidRPr="00A426CE">
              <w:t>розе</w:t>
            </w:r>
            <w:proofErr w:type="spellEnd"/>
          </w:p>
          <w:p w:rsidR="001F718C" w:rsidRPr="00A426CE" w:rsidRDefault="001F718C" w:rsidP="00AE564E">
            <w:pPr>
              <w:jc w:val="both"/>
            </w:pPr>
            <w:r w:rsidRPr="00A426CE">
              <w:t>iii) подходящи за производство на вина без ЗНП/ЗГУ</w:t>
            </w:r>
          </w:p>
          <w:p w:rsidR="001F718C" w:rsidRPr="00A426CE" w:rsidRDefault="001F718C" w:rsidP="00AE564E">
            <w:pPr>
              <w:jc w:val="both"/>
            </w:pPr>
            <w:r w:rsidRPr="00A426CE">
              <w:t>— бели</w:t>
            </w:r>
          </w:p>
          <w:p w:rsidR="001F718C" w:rsidRPr="00A426CE" w:rsidRDefault="001F718C" w:rsidP="00AE564E">
            <w:pPr>
              <w:jc w:val="both"/>
            </w:pPr>
            <w:r w:rsidRPr="00A426CE">
              <w:t>— червени/</w:t>
            </w:r>
            <w:proofErr w:type="spellStart"/>
            <w:r w:rsidRPr="00A426CE">
              <w:t>розе</w:t>
            </w:r>
            <w:proofErr w:type="spellEnd"/>
          </w:p>
          <w:p w:rsidR="001F718C" w:rsidRPr="00A426CE" w:rsidRDefault="001F718C" w:rsidP="00AE564E">
            <w:pPr>
              <w:jc w:val="both"/>
            </w:pPr>
            <w:r w:rsidRPr="00A426CE">
              <w:t>б) площ, засадена със сортове лози, включени в класифик</w:t>
            </w:r>
            <w:r w:rsidRPr="00A426CE">
              <w:t>а</w:t>
            </w:r>
            <w:r w:rsidRPr="00A426CE">
              <w:t>цията на сортовете лози, изготвена от държавите-членки в съответствие с член 24 от Регламент (ЕО) № 479/2008, за дадена административна единица, едновременно като вин</w:t>
            </w:r>
            <w:r w:rsidRPr="00A426CE">
              <w:t>е</w:t>
            </w:r>
            <w:r w:rsidRPr="00A426CE">
              <w:t>ни сортове лози и, според случая, като сортове за произво</w:t>
            </w:r>
            <w:r w:rsidRPr="00A426CE">
              <w:t>д</w:t>
            </w:r>
            <w:r w:rsidRPr="00A426CE">
              <w:t xml:space="preserve">ство на десертно грозде, сортове за производство на </w:t>
            </w:r>
            <w:proofErr w:type="spellStart"/>
            <w:r w:rsidRPr="00A426CE">
              <w:t>стаф</w:t>
            </w:r>
            <w:r w:rsidRPr="00A426CE">
              <w:t>и</w:t>
            </w:r>
            <w:r w:rsidRPr="00A426CE">
              <w:t>дирано</w:t>
            </w:r>
            <w:proofErr w:type="spellEnd"/>
            <w:r w:rsidRPr="00A426CE">
              <w:t xml:space="preserve"> грозде или сортове, предназначени за производство </w:t>
            </w:r>
            <w:r w:rsidRPr="00A426CE">
              <w:lastRenderedPageBreak/>
              <w:t>на винена ракия;</w:t>
            </w:r>
          </w:p>
          <w:p w:rsidR="001F718C" w:rsidRPr="00A426CE" w:rsidRDefault="001F718C" w:rsidP="00AE564E">
            <w:pPr>
              <w:jc w:val="both"/>
            </w:pPr>
            <w:r w:rsidRPr="00A426CE">
              <w:t>в) площ, засадена с винени сортове лози, които не са клас</w:t>
            </w:r>
            <w:r w:rsidRPr="00A426CE">
              <w:t>и</w:t>
            </w:r>
            <w:r w:rsidRPr="00A426CE">
              <w:t>фицирани или не могат да бъдат класифицирани от държ</w:t>
            </w:r>
            <w:r w:rsidRPr="00A426CE">
              <w:t>а</w:t>
            </w:r>
            <w:r w:rsidRPr="00A426CE">
              <w:t>вите-членки в съответствие с член 24 от Регламент (ЕО) № 479/2008;</w:t>
            </w:r>
          </w:p>
          <w:p w:rsidR="001F718C" w:rsidRPr="00A426CE" w:rsidRDefault="001F718C" w:rsidP="00AE564E">
            <w:pPr>
              <w:jc w:val="both"/>
            </w:pPr>
            <w:r w:rsidRPr="00A426CE">
              <w:t xml:space="preserve">г) площ, засадена със сортове лози за производство на </w:t>
            </w:r>
            <w:proofErr w:type="spellStart"/>
            <w:r w:rsidRPr="00A426CE">
              <w:t>ст</w:t>
            </w:r>
            <w:r w:rsidRPr="00A426CE">
              <w:t>а</w:t>
            </w:r>
            <w:r w:rsidRPr="00A426CE">
              <w:t>фидирано</w:t>
            </w:r>
            <w:proofErr w:type="spellEnd"/>
            <w:r w:rsidRPr="00A426CE">
              <w:t xml:space="preserve"> грозде;</w:t>
            </w:r>
          </w:p>
          <w:p w:rsidR="001F718C" w:rsidRPr="00A426CE" w:rsidRDefault="001F718C" w:rsidP="00AE564E">
            <w:pPr>
              <w:jc w:val="both"/>
            </w:pPr>
            <w:r w:rsidRPr="00A426CE">
              <w:t>д) засадена площ, предназначена изключително за прои</w:t>
            </w:r>
            <w:r w:rsidRPr="00A426CE">
              <w:t>з</w:t>
            </w:r>
            <w:r w:rsidRPr="00A426CE">
              <w:t>водство на материал за вегетативно размножаване на лози (лозов посадъчен материал);</w:t>
            </w:r>
          </w:p>
          <w:p w:rsidR="001F718C" w:rsidRPr="00A426CE" w:rsidRDefault="001F718C" w:rsidP="00AE564E">
            <w:pPr>
              <w:jc w:val="both"/>
            </w:pPr>
            <w:r w:rsidRPr="00A426CE">
              <w:t>е) площ, засадена с подложки за присаждане;</w:t>
            </w:r>
          </w:p>
          <w:p w:rsidR="001F718C" w:rsidRPr="00A426CE" w:rsidRDefault="001F718C" w:rsidP="00AE564E">
            <w:pPr>
              <w:jc w:val="both"/>
            </w:pPr>
            <w:r w:rsidRPr="00A426CE">
              <w:t>ж) изоставена засадена площ;</w:t>
            </w:r>
          </w:p>
          <w:p w:rsidR="001F718C" w:rsidRPr="00A426CE" w:rsidRDefault="001F718C" w:rsidP="00AE564E">
            <w:pPr>
              <w:jc w:val="both"/>
            </w:pPr>
            <w:r w:rsidRPr="00A426CE">
              <w:t>з) други.</w:t>
            </w:r>
          </w:p>
          <w:p w:rsidR="001F718C" w:rsidRPr="00A426CE" w:rsidRDefault="001F718C" w:rsidP="00AE564E">
            <w:pPr>
              <w:jc w:val="both"/>
            </w:pPr>
            <w:r w:rsidRPr="00A426CE">
              <w:t>4) Винени сортове лози, съответната им изчислена площ и дял от съответния лозарски парцел (информация, съвмест</w:t>
            </w:r>
            <w:r w:rsidRPr="00A426CE">
              <w:t>и</w:t>
            </w:r>
            <w:r w:rsidRPr="00A426CE">
              <w:t>ма със съобщенията, посочени в член 74 и в таблица 16 от приложение XIII към Регламент (ЕО) № 555/2008).</w:t>
            </w:r>
          </w:p>
          <w:p w:rsidR="001F718C" w:rsidRPr="00A426CE" w:rsidRDefault="001F718C" w:rsidP="00AE564E">
            <w:pPr>
              <w:jc w:val="both"/>
            </w:pPr>
            <w:r w:rsidRPr="00A426CE">
              <w:t>5) Засадена площ без съответното право на засаждане след 31 август 1998 г. (информация, съвместима със съобщени</w:t>
            </w:r>
            <w:r w:rsidRPr="00A426CE">
              <w:t>я</w:t>
            </w:r>
            <w:r w:rsidRPr="00A426CE">
              <w:t>та, посочени в член 58 и в таблици 2 и 3 от приложение XIII към Регламент (ЕО) № 555/2008).</w:t>
            </w:r>
          </w:p>
          <w:p w:rsidR="001F718C" w:rsidRPr="00A426CE" w:rsidRDefault="001F718C" w:rsidP="00AE564E">
            <w:pPr>
              <w:jc w:val="both"/>
            </w:pPr>
            <w:r w:rsidRPr="00A426CE">
              <w:t>6) Засадена площ с незаконни насаждения, засадени преди 1 септември 1998 г. (информация, съвместима със съобщен</w:t>
            </w:r>
            <w:r w:rsidRPr="00A426CE">
              <w:t>и</w:t>
            </w:r>
            <w:r w:rsidRPr="00A426CE">
              <w:t>ята, посочени в член 58 и в таблици 4—7 от приложение XIII към Регламент (ЕО) № 555/2008).</w:t>
            </w:r>
          </w:p>
          <w:p w:rsidR="001F718C" w:rsidRPr="00A426CE" w:rsidRDefault="001F718C" w:rsidP="00AE564E">
            <w:pPr>
              <w:jc w:val="both"/>
            </w:pPr>
            <w:r w:rsidRPr="00A426CE">
              <w:t>7) Площ, за която са предоставени права на ново засаждане (информация, съвместима със съобщенията, посочени в член 61 и в таблица 8 от приложение XIII към Регламент (ЕО) № 555/2008).</w:t>
            </w:r>
          </w:p>
          <w:p w:rsidR="001F718C" w:rsidRPr="00A426CE" w:rsidRDefault="001F718C" w:rsidP="00AE564E">
            <w:pPr>
              <w:jc w:val="both"/>
            </w:pPr>
            <w:r w:rsidRPr="00A426CE">
              <w:t>8) Засадена площ, одобрена за премия за изкореняване (и</w:t>
            </w:r>
            <w:r w:rsidRPr="00A426CE">
              <w:t>н</w:t>
            </w:r>
            <w:r w:rsidRPr="00A426CE">
              <w:t xml:space="preserve">формация, съвместима със съобщенията, посочени в член 73 и в таблица 11 от приложение XIII към Регламент (ЕО) № </w:t>
            </w:r>
            <w:r w:rsidRPr="00A426CE">
              <w:lastRenderedPageBreak/>
              <w:t>555/2008).</w:t>
            </w:r>
          </w:p>
          <w:p w:rsidR="001F718C" w:rsidRPr="00A426CE" w:rsidRDefault="001F718C" w:rsidP="00AE564E">
            <w:pPr>
              <w:jc w:val="both"/>
            </w:pPr>
            <w:r w:rsidRPr="00A426CE">
              <w:t>9) Площ, която е била обект на изкореняване и за която е получена съответната премия (информация, съвместима със съобщенията, посочени в членове 68 и 73 и в таблица 12 от приложение XIII към Регламент (ЕО) № 555/2008).</w:t>
            </w:r>
          </w:p>
          <w:p w:rsidR="001F718C" w:rsidRPr="00A426CE" w:rsidRDefault="001F718C" w:rsidP="00AE564E">
            <w:pPr>
              <w:jc w:val="both"/>
            </w:pPr>
            <w:r w:rsidRPr="00A426CE">
              <w:t>10) Площ, която е била обект на преструктуриране или ко</w:t>
            </w:r>
            <w:r w:rsidRPr="00A426CE">
              <w:t>н</w:t>
            </w:r>
            <w:r w:rsidRPr="00A426CE">
              <w:t>версия в съответствие с член 11 от Регламент (ЕО) № 479/2008 (информация, съвместима със съобщенията, пос</w:t>
            </w:r>
            <w:r w:rsidRPr="00A426CE">
              <w:t>о</w:t>
            </w:r>
            <w:r w:rsidRPr="00A426CE">
              <w:t xml:space="preserve">чени в таблиците от приложения VII и </w:t>
            </w:r>
            <w:proofErr w:type="spellStart"/>
            <w:r w:rsidRPr="00A426CE">
              <w:t>VIIIа</w:t>
            </w:r>
            <w:proofErr w:type="spellEnd"/>
            <w:r w:rsidRPr="00A426CE">
              <w:t xml:space="preserve"> към Регламент (ЕО) № 555/2008).</w:t>
            </w:r>
          </w:p>
          <w:p w:rsidR="001F718C" w:rsidRPr="00A426CE" w:rsidRDefault="001F718C" w:rsidP="00AE564E">
            <w:pPr>
              <w:jc w:val="both"/>
            </w:pPr>
            <w:r w:rsidRPr="00A426CE">
              <w:t>11) Площ, която е била обект на събиране на реколтата на зелено в съответствие с член 12 от Регламент (ЕО) № 479/2008 (информация, съвместима със съобщенията, пос</w:t>
            </w:r>
            <w:r w:rsidRPr="00A426CE">
              <w:t>о</w:t>
            </w:r>
            <w:r w:rsidRPr="00A426CE">
              <w:t xml:space="preserve">чени в таблиците от приложения VII и </w:t>
            </w:r>
            <w:proofErr w:type="spellStart"/>
            <w:r w:rsidRPr="00A426CE">
              <w:t>VIIIб</w:t>
            </w:r>
            <w:proofErr w:type="spellEnd"/>
            <w:r w:rsidRPr="00A426CE">
              <w:t xml:space="preserve"> към Регламент (ЕО) № 555/2008).</w:t>
            </w:r>
          </w:p>
          <w:p w:rsidR="001F718C" w:rsidRPr="00A426CE" w:rsidRDefault="001F718C" w:rsidP="00AE564E">
            <w:pPr>
              <w:jc w:val="both"/>
            </w:pPr>
            <w:r w:rsidRPr="00A426CE">
              <w:t>12) Година на засаждане или при липса на такава, приблиз</w:t>
            </w:r>
            <w:r w:rsidRPr="00A426CE">
              <w:t>и</w:t>
            </w:r>
            <w:r w:rsidRPr="00A426CE">
              <w:t>телно изчислена възраст на съответния лозарски парцел (информация, съвместима с Регламент (ЕИО) № 357/79).</w:t>
            </w:r>
          </w:p>
          <w:p w:rsidR="001F718C" w:rsidRPr="00A426CE" w:rsidRDefault="001F718C" w:rsidP="00AE564E">
            <w:pPr>
              <w:jc w:val="both"/>
            </w:pPr>
            <w:r w:rsidRPr="00A426CE">
              <w:t>1.3.   Задължителни декларации</w:t>
            </w:r>
          </w:p>
          <w:p w:rsidR="001F718C" w:rsidRPr="00A426CE" w:rsidRDefault="001F718C" w:rsidP="00AE564E">
            <w:pPr>
              <w:jc w:val="both"/>
            </w:pPr>
            <w:r w:rsidRPr="00A426CE">
              <w:t>1) Декларация за реколтата (информация, съвместима с де</w:t>
            </w:r>
            <w:r w:rsidRPr="00A426CE">
              <w:t>к</w:t>
            </w:r>
            <w:r w:rsidRPr="00A426CE">
              <w:t>ларациите за реколтата, посочени в член 8 и в таблиците от приложения II и III).</w:t>
            </w:r>
          </w:p>
          <w:p w:rsidR="001F718C" w:rsidRPr="00A426CE" w:rsidRDefault="001F718C" w:rsidP="00AE564E">
            <w:pPr>
              <w:jc w:val="both"/>
            </w:pPr>
            <w:r w:rsidRPr="00A426CE">
              <w:t>2) Декларация за производството (информация, съвместима с декларациите за производството, посочени в член 9 и в таблицата от приложение IV).</w:t>
            </w:r>
          </w:p>
          <w:p w:rsidR="001F718C" w:rsidRPr="00A426CE" w:rsidRDefault="001F718C" w:rsidP="00AE564E">
            <w:pPr>
              <w:jc w:val="both"/>
            </w:pPr>
            <w:r w:rsidRPr="00A426CE">
              <w:t>3) Декларация за стоковите запаси (информация, съвмест</w:t>
            </w:r>
            <w:r w:rsidRPr="00A426CE">
              <w:t>и</w:t>
            </w:r>
            <w:r w:rsidRPr="00A426CE">
              <w:t>ма с декларациите за стоковите запаси, посочени в член 11 и в таблицата от приложение V).</w:t>
            </w:r>
          </w:p>
          <w:p w:rsidR="001F718C" w:rsidRPr="00A426CE" w:rsidRDefault="001F718C" w:rsidP="00AE564E">
            <w:pPr>
              <w:jc w:val="both"/>
            </w:pPr>
            <w:r w:rsidRPr="00A426CE">
              <w:t>2.   ПРОИЗВОДСТВЕНО ДОСИЕ</w:t>
            </w:r>
          </w:p>
          <w:p w:rsidR="001F718C" w:rsidRPr="00A426CE" w:rsidRDefault="001F718C" w:rsidP="00AE564E">
            <w:pPr>
              <w:jc w:val="both"/>
            </w:pPr>
            <w:r w:rsidRPr="00A426CE">
              <w:t>2.1.   Идентификация</w:t>
            </w:r>
          </w:p>
          <w:p w:rsidR="001F718C" w:rsidRPr="00A426CE" w:rsidRDefault="001F718C" w:rsidP="00AE564E">
            <w:pPr>
              <w:jc w:val="both"/>
            </w:pPr>
            <w:r w:rsidRPr="00A426CE">
              <w:t>Идентификация на физическото или юридическото лице или групата от такива лица, които са длъжни да подават предв</w:t>
            </w:r>
            <w:r w:rsidRPr="00A426CE">
              <w:t>и</w:t>
            </w:r>
            <w:r w:rsidRPr="00A426CE">
              <w:lastRenderedPageBreak/>
              <w:t>дената в член 9 декларация за производството.</w:t>
            </w:r>
          </w:p>
          <w:p w:rsidR="001F718C" w:rsidRPr="00A426CE" w:rsidRDefault="001F718C" w:rsidP="00AE564E">
            <w:pPr>
              <w:jc w:val="both"/>
            </w:pPr>
            <w:r w:rsidRPr="00A426CE">
              <w:t>2.</w:t>
            </w:r>
            <w:proofErr w:type="spellStart"/>
            <w:r w:rsidRPr="00A426CE">
              <w:t>2</w:t>
            </w:r>
            <w:proofErr w:type="spellEnd"/>
            <w:r w:rsidRPr="00A426CE">
              <w:t>.   Задължителни декларации</w:t>
            </w:r>
          </w:p>
          <w:p w:rsidR="001F718C" w:rsidRPr="00A426CE" w:rsidRDefault="001F718C" w:rsidP="00AE564E">
            <w:pPr>
              <w:jc w:val="both"/>
            </w:pPr>
            <w:r w:rsidRPr="00A426CE">
              <w:t>1) Декларация за производството (информация, съвместима с декларациите за производството, посочени в член 9 и в таблицата от приложение IV).</w:t>
            </w:r>
          </w:p>
          <w:p w:rsidR="001F718C" w:rsidRPr="00A426CE" w:rsidRDefault="001F718C" w:rsidP="00AE564E">
            <w:pPr>
              <w:jc w:val="both"/>
            </w:pPr>
            <w:r w:rsidRPr="00A426CE">
              <w:t>2) Декларация за стоковите запаси (информация, съвмест</w:t>
            </w:r>
            <w:r w:rsidRPr="00A426CE">
              <w:t>и</w:t>
            </w:r>
            <w:r w:rsidRPr="00A426CE">
              <w:t>ма с декларациите за стоковите запаси, посочени в член 11 и в таблицата от приложение V).</w:t>
            </w:r>
          </w:p>
          <w:p w:rsidR="001F718C" w:rsidRPr="00A426CE" w:rsidRDefault="001F718C" w:rsidP="00AE564E">
            <w:pPr>
              <w:jc w:val="both"/>
            </w:pPr>
            <w:r w:rsidRPr="00A426CE">
              <w:t>3.   ДРУГИ</w:t>
            </w:r>
          </w:p>
          <w:p w:rsidR="001F718C" w:rsidRPr="00A426CE" w:rsidRDefault="001F718C" w:rsidP="00AE564E">
            <w:pPr>
              <w:jc w:val="both"/>
            </w:pPr>
            <w:r w:rsidRPr="00A426CE">
              <w:t>Обща засадена с лози площ, която не е включена в досието на производителя, както е предвидено в член 3, параграф 1, буква б) от настоящия регламент.</w:t>
            </w:r>
          </w:p>
          <w:p w:rsidR="001F718C" w:rsidRPr="00A426CE" w:rsidRDefault="001F718C" w:rsidP="00AE564E">
            <w:pPr>
              <w:jc w:val="both"/>
            </w:pPr>
            <w:r w:rsidRPr="00A426CE">
              <w:t>==================</w:t>
            </w:r>
          </w:p>
          <w:p w:rsidR="001F718C" w:rsidRPr="00A426CE" w:rsidRDefault="001F718C" w:rsidP="00AE564E">
            <w:pPr>
              <w:jc w:val="both"/>
            </w:pPr>
            <w:r w:rsidRPr="00A426CE">
              <w:t>„Актуалният регистър” по действащия закон не съдържа цялата информация по Приложение I.</w:t>
            </w:r>
          </w:p>
          <w:p w:rsidR="001F718C" w:rsidRPr="00A426CE" w:rsidRDefault="001F718C" w:rsidP="00CE2A7F">
            <w:pPr>
              <w:jc w:val="both"/>
            </w:pPr>
            <w:r w:rsidRPr="00A426CE">
              <w:t>Предвижда ли се това да не е така с настоящият проект? Ако няма да се публикува цялата информация по Прилож</w:t>
            </w:r>
            <w:r w:rsidRPr="00A426CE">
              <w:t>е</w:t>
            </w:r>
            <w:r w:rsidRPr="00A426CE">
              <w:t>ние I да се посочи каква ще се публикува и на какво основ</w:t>
            </w:r>
            <w:r w:rsidRPr="00A426CE">
              <w:t>а</w:t>
            </w:r>
            <w:r w:rsidRPr="00A426CE">
              <w:t>ние останалата няма да бъде достъпна.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2A0A9B" w:rsidP="00831124">
            <w:r>
              <w:lastRenderedPageBreak/>
              <w:t>Приема се по принцип</w:t>
            </w:r>
            <w:r w:rsidR="001F718C" w:rsidRPr="00A426CE">
              <w:t xml:space="preserve">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527393" w:rsidP="005A1896">
            <w:pPr>
              <w:jc w:val="both"/>
            </w:pPr>
            <w:r w:rsidRPr="00A426CE">
              <w:t xml:space="preserve">Предвижда се регистърът да е съобразен със Закона за електронното управление. </w:t>
            </w:r>
            <w:r w:rsidR="001F718C" w:rsidRPr="00A426CE">
              <w:t>Структурата, организацията и работата на лозарския регистър е съобразена с изис</w:t>
            </w:r>
            <w:r w:rsidR="001F718C" w:rsidRPr="00A426CE">
              <w:t>к</w:t>
            </w:r>
            <w:r w:rsidR="001F718C" w:rsidRPr="00A426CE">
              <w:t xml:space="preserve">ванията на: Делегиран регламент (ЕС) № 2018/273 на Комисията от 11 декември 2017 година </w:t>
            </w:r>
            <w:r w:rsidR="001F718C" w:rsidRPr="00A426CE">
              <w:rPr>
                <w:bCs/>
                <w:color w:val="000000"/>
              </w:rPr>
              <w:t>за допълнение на Регламент (ЕС) №</w:t>
            </w:r>
            <w:r w:rsidR="001F718C" w:rsidRPr="00A426CE">
              <w:rPr>
                <w:bCs/>
                <w:color w:val="000000"/>
                <w:lang w:val="en-US"/>
              </w:rPr>
              <w:t> </w:t>
            </w:r>
            <w:r w:rsidR="001F718C" w:rsidRPr="00A426CE">
              <w:rPr>
                <w:bCs/>
                <w:color w:val="000000"/>
              </w:rPr>
              <w:t>1308/2013 на Европейския парл</w:t>
            </w:r>
            <w:r w:rsidR="001F718C" w:rsidRPr="00A426CE">
              <w:rPr>
                <w:bCs/>
                <w:color w:val="000000"/>
              </w:rPr>
              <w:t>а</w:t>
            </w:r>
            <w:r w:rsidR="001F718C" w:rsidRPr="00A426CE">
              <w:rPr>
                <w:bCs/>
                <w:color w:val="000000"/>
              </w:rPr>
              <w:t>мент и на Съвета по отношение на схем</w:t>
            </w:r>
            <w:r w:rsidR="001F718C" w:rsidRPr="00A426CE">
              <w:rPr>
                <w:bCs/>
                <w:color w:val="000000"/>
              </w:rPr>
              <w:t>а</w:t>
            </w:r>
            <w:r w:rsidR="001F718C" w:rsidRPr="00A426CE">
              <w:rPr>
                <w:bCs/>
                <w:color w:val="000000"/>
              </w:rPr>
              <w:t>та за разрешаване на лозови насаждения, лозарския регистър, придружаващите документи и сертифицирането, входящия и изходящ регистър, задължителните декларации, уведомленията и публикув</w:t>
            </w:r>
            <w:r w:rsidR="001F718C" w:rsidRPr="00A426CE">
              <w:rPr>
                <w:bCs/>
                <w:color w:val="000000"/>
              </w:rPr>
              <w:t>а</w:t>
            </w:r>
            <w:r w:rsidR="001F718C" w:rsidRPr="00A426CE">
              <w:rPr>
                <w:bCs/>
                <w:color w:val="000000"/>
              </w:rPr>
              <w:t>нето на подадената в тях информация, както и за допълнение на Регламент (ЕС) №</w:t>
            </w:r>
            <w:r w:rsidR="001F718C" w:rsidRPr="00A426CE">
              <w:rPr>
                <w:bCs/>
                <w:color w:val="000000"/>
                <w:lang w:val="en-US"/>
              </w:rPr>
              <w:t> </w:t>
            </w:r>
            <w:r w:rsidR="001F718C" w:rsidRPr="00A426CE">
              <w:rPr>
                <w:bCs/>
                <w:color w:val="000000"/>
              </w:rPr>
              <w:t>1306/2013 на Европейския парламент и на Съвета по отношение на съответните проверки и санкции, за изменение на ре</w:t>
            </w:r>
            <w:r w:rsidR="001F718C" w:rsidRPr="00A426CE">
              <w:rPr>
                <w:bCs/>
                <w:color w:val="000000"/>
              </w:rPr>
              <w:t>г</w:t>
            </w:r>
            <w:r w:rsidR="001F718C" w:rsidRPr="00A426CE">
              <w:rPr>
                <w:bCs/>
                <w:color w:val="000000"/>
              </w:rPr>
              <w:t>ламенти (ЕО) №</w:t>
            </w:r>
            <w:r w:rsidR="001F718C" w:rsidRPr="00A426CE">
              <w:rPr>
                <w:bCs/>
                <w:color w:val="000000"/>
                <w:lang w:val="en-US"/>
              </w:rPr>
              <w:t> </w:t>
            </w:r>
            <w:r w:rsidR="001F718C" w:rsidRPr="00A426CE">
              <w:rPr>
                <w:bCs/>
                <w:color w:val="000000"/>
              </w:rPr>
              <w:t>555/2008, (ЕО) №</w:t>
            </w:r>
            <w:r w:rsidR="001F718C" w:rsidRPr="00A426CE">
              <w:rPr>
                <w:bCs/>
                <w:color w:val="000000"/>
                <w:lang w:val="en-US"/>
              </w:rPr>
              <w:t> </w:t>
            </w:r>
            <w:r w:rsidR="001F718C" w:rsidRPr="00A426CE">
              <w:rPr>
                <w:bCs/>
                <w:color w:val="000000"/>
              </w:rPr>
              <w:t>606/2009 и (ЕО) №</w:t>
            </w:r>
            <w:r w:rsidR="001F718C" w:rsidRPr="00A426CE">
              <w:rPr>
                <w:bCs/>
                <w:color w:val="000000"/>
                <w:lang w:val="en-US"/>
              </w:rPr>
              <w:t> </w:t>
            </w:r>
            <w:r w:rsidR="001F718C" w:rsidRPr="00A426CE">
              <w:rPr>
                <w:bCs/>
                <w:color w:val="000000"/>
              </w:rPr>
              <w:t>607/2009 на Ком</w:t>
            </w:r>
            <w:r w:rsidR="001F718C" w:rsidRPr="00A426CE">
              <w:rPr>
                <w:bCs/>
                <w:color w:val="000000"/>
              </w:rPr>
              <w:t>и</w:t>
            </w:r>
            <w:r w:rsidR="001F718C" w:rsidRPr="00A426CE">
              <w:rPr>
                <w:bCs/>
                <w:color w:val="000000"/>
              </w:rPr>
              <w:t>сията и за отмяна на Регламент (ЕО) №</w:t>
            </w:r>
            <w:r w:rsidR="001F718C" w:rsidRPr="00A426CE">
              <w:rPr>
                <w:bCs/>
                <w:color w:val="000000"/>
                <w:lang w:val="en-US"/>
              </w:rPr>
              <w:t> </w:t>
            </w:r>
            <w:r w:rsidR="001F718C" w:rsidRPr="00A426CE">
              <w:rPr>
                <w:bCs/>
                <w:color w:val="000000"/>
              </w:rPr>
              <w:t>436/2009 на Комисията и на Делегиран регламент (ЕС)</w:t>
            </w:r>
            <w:r w:rsidR="001F718C" w:rsidRPr="00A426CE">
              <w:rPr>
                <w:bCs/>
                <w:color w:val="000000"/>
                <w:lang w:val="en-US"/>
              </w:rPr>
              <w:t> </w:t>
            </w:r>
            <w:r w:rsidR="001F718C" w:rsidRPr="00A426CE">
              <w:rPr>
                <w:bCs/>
                <w:color w:val="000000"/>
              </w:rPr>
              <w:t xml:space="preserve">2015/560 на Комисията </w:t>
            </w:r>
            <w:r w:rsidR="001F718C" w:rsidRPr="00A426CE">
              <w:t>(ОВ L 58 от 28.02.2018 г.), Регламент за изпълнение (ЕС) 2018/274 на Комисията от 11 декември 2017 година за определ</w:t>
            </w:r>
            <w:r w:rsidR="001F718C" w:rsidRPr="00A426CE">
              <w:t>я</w:t>
            </w:r>
            <w:r w:rsidR="001F718C" w:rsidRPr="00A426CE">
              <w:t>не на правила за прилагането на Регл</w:t>
            </w:r>
            <w:r w:rsidR="001F718C" w:rsidRPr="00A426CE">
              <w:t>а</w:t>
            </w:r>
            <w:r w:rsidR="001F718C" w:rsidRPr="00A426CE">
              <w:t>мент (ЕС) 1308/2013 на Европейския па</w:t>
            </w:r>
            <w:r w:rsidR="001F718C" w:rsidRPr="00A426CE">
              <w:t>р</w:t>
            </w:r>
            <w:r w:rsidR="001F718C" w:rsidRPr="00A426CE">
              <w:t>ламент и на Съвета по отношение на сх</w:t>
            </w:r>
            <w:r w:rsidR="001F718C" w:rsidRPr="00A426CE">
              <w:t>е</w:t>
            </w:r>
            <w:r w:rsidR="001F718C" w:rsidRPr="00A426CE">
              <w:t>мата за разрешаване на лозови насажд</w:t>
            </w:r>
            <w:r w:rsidR="001F718C" w:rsidRPr="00A426CE">
              <w:t>е</w:t>
            </w:r>
            <w:r w:rsidR="001F718C" w:rsidRPr="00A426CE">
              <w:t xml:space="preserve">ния, </w:t>
            </w:r>
            <w:proofErr w:type="spellStart"/>
            <w:r w:rsidR="001F718C" w:rsidRPr="00A426CE">
              <w:t>серифицирането</w:t>
            </w:r>
            <w:proofErr w:type="spellEnd"/>
            <w:r w:rsidR="001F718C" w:rsidRPr="00A426CE">
              <w:t>, входящия и изх</w:t>
            </w:r>
            <w:r w:rsidR="001F718C" w:rsidRPr="00A426CE">
              <w:t>о</w:t>
            </w:r>
            <w:r w:rsidR="001F718C" w:rsidRPr="00A426CE">
              <w:lastRenderedPageBreak/>
              <w:t>дящи регистър, задължителните деклар</w:t>
            </w:r>
            <w:r w:rsidR="001F718C" w:rsidRPr="00A426CE">
              <w:t>а</w:t>
            </w:r>
            <w:r w:rsidR="001F718C" w:rsidRPr="00A426CE">
              <w:t>ции и уведомления и за прилагането на Регламент (ЕС) 1306/2013 на Европей</w:t>
            </w:r>
            <w:r w:rsidR="001F718C" w:rsidRPr="00A426CE">
              <w:t>с</w:t>
            </w:r>
            <w:r w:rsidR="001F718C" w:rsidRPr="00A426CE">
              <w:t xml:space="preserve">кия парламент и на Съвета по отношение на съответните проверки и за отмяна на Регламент за изпълнение (ЕС) 2015/561 на Комисията (ОВ L 58 от 28.02.2018 г.) </w:t>
            </w:r>
            <w:r w:rsidR="001F718C" w:rsidRPr="00A426CE">
              <w:rPr>
                <w:color w:val="000000"/>
              </w:rPr>
              <w:t xml:space="preserve">и </w:t>
            </w:r>
            <w:bookmarkStart w:id="0" w:name="https://eur-lex.europa.eu/legal-content/"/>
            <w:r w:rsidR="001F718C" w:rsidRPr="00A426CE">
              <w:rPr>
                <w:b/>
                <w:color w:val="000000"/>
              </w:rPr>
              <w:fldChar w:fldCharType="begin"/>
            </w:r>
            <w:r w:rsidR="001F718C" w:rsidRPr="00A426CE">
              <w:rPr>
                <w:b/>
                <w:color w:val="000000"/>
              </w:rPr>
              <w:instrText xml:space="preserve"> HYPERLINK "https://eur-lex.europa.eu/legal-content/AUTO/?uri=CELEX:32016R0679&amp;qid=1532525037562&amp;rid=1" </w:instrText>
            </w:r>
            <w:r w:rsidR="001F718C" w:rsidRPr="00A426CE">
              <w:rPr>
                <w:b/>
                <w:color w:val="000000"/>
              </w:rPr>
              <w:fldChar w:fldCharType="separate"/>
            </w:r>
            <w:r w:rsidR="001F718C" w:rsidRPr="00A426CE">
              <w:rPr>
                <w:rStyle w:val="Strong"/>
                <w:b w:val="0"/>
                <w:color w:val="000000"/>
                <w:bdr w:val="none" w:sz="0" w:space="0" w:color="auto" w:frame="1"/>
              </w:rPr>
              <w:t xml:space="preserve">Регламент (ЕС) 2016/679 на Европейския парламент и на Съвета от 27 април 2016 година относно защитата на физическите лица във връзка с обработването на </w:t>
            </w:r>
            <w:r w:rsidR="001F718C" w:rsidRPr="00A426CE">
              <w:rPr>
                <w:rStyle w:val="Emphasis"/>
                <w:bCs/>
                <w:i w:val="0"/>
                <w:color w:val="000000"/>
                <w:bdr w:val="none" w:sz="0" w:space="0" w:color="auto" w:frame="1"/>
              </w:rPr>
              <w:t>ли</w:t>
            </w:r>
            <w:r w:rsidR="001F718C" w:rsidRPr="00A426CE">
              <w:rPr>
                <w:rStyle w:val="Emphasis"/>
                <w:bCs/>
                <w:i w:val="0"/>
                <w:color w:val="000000"/>
                <w:bdr w:val="none" w:sz="0" w:space="0" w:color="auto" w:frame="1"/>
              </w:rPr>
              <w:t>ч</w:t>
            </w:r>
            <w:r w:rsidR="001F718C" w:rsidRPr="00A426CE">
              <w:rPr>
                <w:rStyle w:val="Emphasis"/>
                <w:bCs/>
                <w:i w:val="0"/>
                <w:color w:val="000000"/>
                <w:bdr w:val="none" w:sz="0" w:space="0" w:color="auto" w:frame="1"/>
              </w:rPr>
              <w:t>ни</w:t>
            </w:r>
            <w:r w:rsidR="001F718C" w:rsidRPr="00A426CE">
              <w:rPr>
                <w:rStyle w:val="Strong"/>
                <w:b w:val="0"/>
                <w:color w:val="000000"/>
                <w:bdr w:val="none" w:sz="0" w:space="0" w:color="auto" w:frame="1"/>
              </w:rPr>
              <w:t xml:space="preserve"> данни и относно свободното движение на такива данни и за отмяна на Директива 95/46/EО (Общ регламент относно защ</w:t>
            </w:r>
            <w:r w:rsidR="001F718C" w:rsidRPr="00A426CE">
              <w:rPr>
                <w:rStyle w:val="Strong"/>
                <w:b w:val="0"/>
                <w:color w:val="000000"/>
                <w:bdr w:val="none" w:sz="0" w:space="0" w:color="auto" w:frame="1"/>
              </w:rPr>
              <w:t>и</w:t>
            </w:r>
            <w:r w:rsidR="001F718C" w:rsidRPr="00A426CE">
              <w:rPr>
                <w:rStyle w:val="Strong"/>
                <w:b w:val="0"/>
                <w:color w:val="000000"/>
                <w:bdr w:val="none" w:sz="0" w:space="0" w:color="auto" w:frame="1"/>
              </w:rPr>
              <w:t xml:space="preserve">тата на данните) </w:t>
            </w:r>
            <w:r w:rsidR="001F718C" w:rsidRPr="00A426CE">
              <w:rPr>
                <w:b/>
                <w:color w:val="000000"/>
              </w:rPr>
              <w:fldChar w:fldCharType="end"/>
            </w:r>
            <w:bookmarkEnd w:id="0"/>
            <w:r w:rsidR="001F718C" w:rsidRPr="00A426CE">
              <w:rPr>
                <w:b/>
                <w:color w:val="000000"/>
              </w:rPr>
              <w:t xml:space="preserve"> </w:t>
            </w:r>
            <w:r w:rsidR="001F718C" w:rsidRPr="00A426CE">
              <w:rPr>
                <w:color w:val="000000"/>
              </w:rPr>
              <w:t>(</w:t>
            </w:r>
            <w:r w:rsidR="001F718C" w:rsidRPr="00A426CE">
              <w:rPr>
                <w:iCs/>
                <w:color w:val="000000"/>
              </w:rPr>
              <w:t>OB L 119 от 4.5.2016г.).</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(3) За вписване и отписване от регистъра по ал. 1, лицата по ал. 2 подават заявление по образец, в териториалните звена на ИАЛВ по местонахождение на лозарските имоти или производствените обекти. Към заявлението се прилагат д</w:t>
            </w:r>
            <w:r w:rsidRPr="00A426CE">
              <w:t>о</w:t>
            </w:r>
            <w:r w:rsidRPr="00A426CE">
              <w:t>кументите, определени в наредбата по ал. 11.</w:t>
            </w:r>
          </w:p>
          <w:p w:rsidR="001F718C" w:rsidRPr="00A426CE" w:rsidRDefault="001F718C" w:rsidP="00AE564E">
            <w:pPr>
              <w:jc w:val="both"/>
              <w:rPr>
                <w:b/>
              </w:rPr>
            </w:pPr>
            <w:r w:rsidRPr="00A426CE">
              <w:rPr>
                <w:b/>
              </w:rPr>
              <w:t>ЗАБЕЛЕЖКА</w:t>
            </w:r>
          </w:p>
          <w:p w:rsidR="001F718C" w:rsidRPr="00A426CE" w:rsidRDefault="001F718C" w:rsidP="00AE564E">
            <w:pPr>
              <w:jc w:val="both"/>
            </w:pPr>
            <w:r w:rsidRPr="00A426CE">
              <w:t>Да отпаднат всички алинея от члена, които са свързани с администриране на промени в регистъра и да се включат в наредбата по ал. 11 за да не се налага промяна на закона при промяна на реда за работа с регистъра и свързаната с него информация.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5A1896">
            <w:pPr>
              <w:jc w:val="both"/>
            </w:pPr>
            <w:r w:rsidRPr="00A426CE">
              <w:t>Законът като нормативен акт урежда м</w:t>
            </w:r>
            <w:r w:rsidRPr="00A426CE">
              <w:t>а</w:t>
            </w:r>
            <w:r w:rsidRPr="00A426CE">
              <w:t>терията в цялост включително правата и задълженията на лицата. С цитираната разпоредба се установява задължението на  лицата да предприемат действия по отразяване на партидата в регистъра. Предвижда се условията и редът по който да се изпълнява това задължение, а име</w:t>
            </w:r>
            <w:r w:rsidRPr="00A426CE">
              <w:t>н</w:t>
            </w:r>
            <w:r w:rsidRPr="00A426CE">
              <w:t xml:space="preserve">но за вписване, промяна и заличаване в регистъра, да се уреждат с наредба. </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 xml:space="preserve">Чл. 20. (1) В регистъра по чл. 19, ал.1 като </w:t>
            </w:r>
            <w:proofErr w:type="spellStart"/>
            <w:r w:rsidRPr="00A426CE">
              <w:t>гроздопроизвод</w:t>
            </w:r>
            <w:r w:rsidRPr="00A426CE">
              <w:t>и</w:t>
            </w:r>
            <w:r w:rsidRPr="00A426CE">
              <w:t>тел</w:t>
            </w:r>
            <w:proofErr w:type="spellEnd"/>
            <w:r w:rsidRPr="00A426CE">
              <w:t xml:space="preserve"> се вписва лице, което:</w:t>
            </w:r>
          </w:p>
          <w:p w:rsidR="001F718C" w:rsidRPr="00A426CE" w:rsidRDefault="001F718C" w:rsidP="00AE564E">
            <w:pPr>
              <w:jc w:val="both"/>
              <w:rPr>
                <w:b/>
              </w:rPr>
            </w:pPr>
            <w:r w:rsidRPr="00A426CE">
              <w:rPr>
                <w:b/>
              </w:rPr>
              <w:lastRenderedPageBreak/>
              <w:t>ЗАБЕЛЕЖКА</w:t>
            </w:r>
          </w:p>
          <w:p w:rsidR="001F718C" w:rsidRPr="00A426CE" w:rsidRDefault="001F718C" w:rsidP="00AE564E">
            <w:pPr>
              <w:jc w:val="both"/>
            </w:pPr>
            <w:r w:rsidRPr="00A426CE">
              <w:t>В съдържанието на члена да се прецизира задължението само спрямо производители на винени грозда, а не и на т</w:t>
            </w:r>
            <w:r w:rsidRPr="00A426CE">
              <w:t>а</w:t>
            </w:r>
            <w:r w:rsidRPr="00A426CE">
              <w:t>кива с десертни грозда.</w:t>
            </w:r>
          </w:p>
          <w:p w:rsidR="001F718C" w:rsidRPr="00A426CE" w:rsidRDefault="001F718C" w:rsidP="00CE2A7F">
            <w:pPr>
              <w:jc w:val="both"/>
            </w:pPr>
            <w:r w:rsidRPr="00A426CE">
              <w:t>Цялата информация по члена да се извади от закона и да се прехвърли в наредба към него или в наредбата по чл. 19, ал. 11.</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D63E9B">
            <w:pPr>
              <w:jc w:val="both"/>
            </w:pPr>
            <w:r w:rsidRPr="00A426CE">
              <w:t xml:space="preserve">Съгласно Делегиран регламент (ЕС) 2018/273 на Комисията в регистъра се </w:t>
            </w:r>
            <w:r w:rsidRPr="00A426CE">
              <w:lastRenderedPageBreak/>
              <w:t>вписват определени данни по отношение на всеки лозар. В определението за лозар е се включва всяко лице, което притежава площ, засадена с лозя, когато продукци</w:t>
            </w:r>
            <w:r w:rsidRPr="00A426CE">
              <w:t>я</w:t>
            </w:r>
            <w:r w:rsidRPr="00A426CE">
              <w:t>та от тази площ се използва за произво</w:t>
            </w:r>
            <w:r w:rsidRPr="00A426CE">
              <w:t>д</w:t>
            </w:r>
            <w:r w:rsidRPr="00A426CE">
              <w:t xml:space="preserve">ството на </w:t>
            </w:r>
            <w:proofErr w:type="spellStart"/>
            <w:r w:rsidRPr="00A426CE">
              <w:t>лозаро</w:t>
            </w:r>
            <w:proofErr w:type="spellEnd"/>
            <w:r w:rsidRPr="00A426CE">
              <w:t xml:space="preserve"> винарски продукти с търговска цел. </w:t>
            </w:r>
            <w:proofErr w:type="spellStart"/>
            <w:r w:rsidRPr="00A426CE">
              <w:t>Лозаровинарски</w:t>
            </w:r>
            <w:proofErr w:type="spellEnd"/>
            <w:r w:rsidRPr="00A426CE">
              <w:t xml:space="preserve"> продукти са продуктите, изброени в част </w:t>
            </w:r>
            <w:r w:rsidRPr="00A426CE">
              <w:rPr>
                <w:lang w:val="en-US"/>
              </w:rPr>
              <w:t>XII</w:t>
            </w:r>
            <w:r w:rsidRPr="00A426CE">
              <w:t xml:space="preserve">  от приложение </w:t>
            </w:r>
            <w:r w:rsidRPr="00A426CE">
              <w:rPr>
                <w:lang w:val="en-US"/>
              </w:rPr>
              <w:t>I</w:t>
            </w:r>
            <w:r w:rsidRPr="00A426CE">
              <w:t xml:space="preserve"> към Регламент (ЕС) 1308/2013, където е включено и прясно грозде, различно от трапезното. Поради което се въвежда изискването лицето, подлежащо на вписване в регистъра, да придобива/ползва площ с „лозови наса</w:t>
            </w:r>
            <w:r w:rsidRPr="00A426CE">
              <w:t>ж</w:t>
            </w:r>
            <w:r w:rsidRPr="00A426CE">
              <w:t>дения“.</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Раздел VIII Промени в данните в лозарския регистър</w:t>
            </w:r>
          </w:p>
          <w:p w:rsidR="001F718C" w:rsidRPr="00A426CE" w:rsidRDefault="001F718C" w:rsidP="00AE564E">
            <w:pPr>
              <w:jc w:val="both"/>
              <w:rPr>
                <w:b/>
              </w:rPr>
            </w:pPr>
            <w:r w:rsidRPr="00A426CE">
              <w:rPr>
                <w:b/>
              </w:rPr>
              <w:t>ЗАБЕЛЕЖКА</w:t>
            </w:r>
          </w:p>
          <w:p w:rsidR="001F718C" w:rsidRPr="00A426CE" w:rsidRDefault="001F718C" w:rsidP="00CE2A7F">
            <w:pPr>
              <w:jc w:val="both"/>
            </w:pPr>
            <w:r w:rsidRPr="00A426CE">
              <w:t>Цялата информация на раздела да се извади от закона и да се прехвърли в наредба към него или в наредбата по чл. 19, ал. 11.</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527393" w:rsidP="00527393">
            <w:pPr>
              <w:jc w:val="both"/>
            </w:pPr>
            <w:r w:rsidRPr="00A426CE">
              <w:t>С цитираните разпоредба се установяват задължения на лицата да предприемат действия по отразяване на промени в р</w:t>
            </w:r>
            <w:r w:rsidRPr="00A426CE">
              <w:t>е</w:t>
            </w:r>
            <w:r w:rsidRPr="00A426CE">
              <w:t>гистъра. Вменяват се задължения на о</w:t>
            </w:r>
            <w:r w:rsidRPr="00A426CE">
              <w:t>п</w:t>
            </w:r>
            <w:r w:rsidRPr="00A426CE">
              <w:t>ределен кръг лица, за неизпълнението на които същите ще бъдат санкционирани. Санкции се определят само в нормативен акт с ранг на закон.</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 xml:space="preserve">Чл. 156. (1) Когато титуляр на разрешение за засаждане, за </w:t>
            </w:r>
            <w:proofErr w:type="spellStart"/>
            <w:r w:rsidRPr="00A426CE">
              <w:t>презасаждане</w:t>
            </w:r>
            <w:proofErr w:type="spellEnd"/>
            <w:r w:rsidRPr="00A426CE">
              <w:t xml:space="preserve"> или за преобразуване на права на засаждане или </w:t>
            </w:r>
            <w:proofErr w:type="spellStart"/>
            <w:r w:rsidRPr="00A426CE">
              <w:t>презасаждане</w:t>
            </w:r>
            <w:proofErr w:type="spellEnd"/>
            <w:r w:rsidRPr="00A426CE">
              <w:t xml:space="preserve"> не го използва в срока по чл. 8, ал. 4, чл. 11, ал. 1, или по чл. 16, ал. 1 се наказва с глоба в размер от 100 до 1000 лв. - за физическите лица, съответно с имущес</w:t>
            </w:r>
            <w:r w:rsidRPr="00A426CE">
              <w:t>т</w:t>
            </w:r>
            <w:r w:rsidRPr="00A426CE">
              <w:t>вена санкция в размер от  300 до 3 000 лв. - за юридическите лица и едноличните търговци.</w:t>
            </w:r>
          </w:p>
          <w:p w:rsidR="001F718C" w:rsidRPr="00A426CE" w:rsidRDefault="001F718C" w:rsidP="00AE564E">
            <w:pPr>
              <w:jc w:val="both"/>
              <w:rPr>
                <w:b/>
              </w:rPr>
            </w:pPr>
            <w:r w:rsidRPr="00A426CE">
              <w:rPr>
                <w:b/>
              </w:rPr>
              <w:t>ЗАБЕЛЕЖКА</w:t>
            </w:r>
          </w:p>
          <w:p w:rsidR="001F718C" w:rsidRPr="00A426CE" w:rsidRDefault="001F718C" w:rsidP="00AE564E">
            <w:pPr>
              <w:jc w:val="both"/>
            </w:pPr>
            <w:r w:rsidRPr="00A426CE">
              <w:t xml:space="preserve">Да се прецизира термина „не го използва в срока”, защото </w:t>
            </w:r>
            <w:r w:rsidRPr="00A426CE">
              <w:lastRenderedPageBreak/>
              <w:t>има използване(частично) и при над 10 на сто от площта, за която е предоставено разрешението.</w:t>
            </w:r>
          </w:p>
          <w:p w:rsidR="001F718C" w:rsidRPr="00A426CE" w:rsidRDefault="001F718C" w:rsidP="00AE564E">
            <w:pPr>
              <w:jc w:val="both"/>
            </w:pPr>
            <w:r w:rsidRPr="00A426CE">
              <w:t>Как е определен размера на глобата като долна и форма гр</w:t>
            </w:r>
            <w:r w:rsidRPr="00A426CE">
              <w:t>а</w:t>
            </w:r>
            <w:r w:rsidRPr="00A426CE">
              <w:t>ница, защото няма обосновка за това в мотивите за прием</w:t>
            </w:r>
            <w:r w:rsidRPr="00A426CE">
              <w:t>а</w:t>
            </w:r>
            <w:r w:rsidRPr="00A426CE">
              <w:t>не на закона?</w:t>
            </w:r>
          </w:p>
          <w:p w:rsidR="001F718C" w:rsidRPr="00A426CE" w:rsidRDefault="001F718C" w:rsidP="00AE564E">
            <w:pPr>
              <w:jc w:val="both"/>
            </w:pPr>
            <w:r w:rsidRPr="00A426CE">
              <w:t>Предлагам да се обвърже размера на глобата с процента на неползване над 10% като сума от горната граница за нея.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D63E9B">
            <w:pPr>
              <w:jc w:val="both"/>
            </w:pPr>
            <w:r w:rsidRPr="00A426CE">
              <w:t xml:space="preserve">В израза „не го използва в срока” не се влага значение различно от </w:t>
            </w:r>
            <w:proofErr w:type="spellStart"/>
            <w:r w:rsidRPr="00A426CE">
              <w:t>общоупотр</w:t>
            </w:r>
            <w:r w:rsidRPr="00A426CE">
              <w:t>е</w:t>
            </w:r>
            <w:r w:rsidRPr="00A426CE">
              <w:t>бимия</w:t>
            </w:r>
            <w:proofErr w:type="spellEnd"/>
            <w:r w:rsidRPr="00A426CE">
              <w:t xml:space="preserve"> смисъл, поради което не е необх</w:t>
            </w:r>
            <w:r w:rsidRPr="00A426CE">
              <w:t>о</w:t>
            </w:r>
            <w:r w:rsidRPr="00A426CE">
              <w:t xml:space="preserve">димо допълнително уточнение. </w:t>
            </w:r>
          </w:p>
          <w:p w:rsidR="001F718C" w:rsidRPr="00A426CE" w:rsidRDefault="001F718C" w:rsidP="00D63E9B">
            <w:pPr>
              <w:jc w:val="both"/>
            </w:pPr>
            <w:r w:rsidRPr="00A426CE">
              <w:t>Обвързването на санкцията с процентно неизпълнение не може да доведе до целта на санкцията, а именно издадено разр</w:t>
            </w:r>
            <w:r w:rsidRPr="00A426CE">
              <w:t>е</w:t>
            </w:r>
            <w:r w:rsidRPr="00A426CE">
              <w:t>шение да се ползва в цялост.</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26. „Изкореняване“ е пълно отстраняване на лозовите кор</w:t>
            </w:r>
            <w:r w:rsidRPr="00A426CE">
              <w:t>е</w:t>
            </w:r>
            <w:r w:rsidRPr="00A426CE">
              <w:t>нища, които се намират на площ, засадена с лозя.</w:t>
            </w:r>
          </w:p>
          <w:p w:rsidR="001F718C" w:rsidRPr="00A426CE" w:rsidRDefault="001F718C" w:rsidP="00AE564E">
            <w:pPr>
              <w:jc w:val="both"/>
              <w:rPr>
                <w:b/>
              </w:rPr>
            </w:pPr>
            <w:r w:rsidRPr="00A426CE">
              <w:rPr>
                <w:b/>
              </w:rPr>
              <w:t>ЗАБЕЛЕЖКА</w:t>
            </w:r>
          </w:p>
          <w:p w:rsidR="001F718C" w:rsidRPr="00A426CE" w:rsidRDefault="001F718C" w:rsidP="00CE2A7F">
            <w:pPr>
              <w:jc w:val="both"/>
            </w:pPr>
            <w:r w:rsidRPr="00A426CE">
              <w:t>„на лозовите коренища, които се намират на площ, засадена с лозя” да се замени с „на лози включително леторасли, стебло и коренища и извършена оран на площта”.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5A1896">
            <w:pPr>
              <w:jc w:val="both"/>
            </w:pPr>
            <w:r w:rsidRPr="00A426CE">
              <w:t>Цитираното определение е прецизирано съобразно изискванията на Регламент 1308/2013.</w:t>
            </w:r>
          </w:p>
        </w:tc>
      </w:tr>
      <w:tr w:rsidR="001F718C"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1F718C" w:rsidRPr="00A426CE" w:rsidRDefault="001F718C" w:rsidP="00EB11E2">
            <w:pPr>
              <w:tabs>
                <w:tab w:val="left" w:pos="192"/>
              </w:tabs>
              <w:jc w:val="center"/>
              <w:rPr>
                <w:b/>
              </w:rPr>
            </w:pPr>
          </w:p>
        </w:tc>
        <w:tc>
          <w:tcPr>
            <w:tcW w:w="2410" w:type="dxa"/>
            <w:tcBorders>
              <w:top w:val="nil"/>
              <w:left w:val="single" w:sz="18" w:space="0" w:color="2E74B5"/>
              <w:bottom w:val="nil"/>
              <w:right w:val="single" w:sz="18" w:space="0" w:color="2E74B5"/>
            </w:tcBorders>
            <w:shd w:val="clear" w:color="auto" w:fill="auto"/>
          </w:tcPr>
          <w:p w:rsidR="001F718C" w:rsidRPr="00A426CE" w:rsidRDefault="001F718C" w:rsidP="00831124">
            <w:pPr>
              <w:rPr>
                <w:b/>
                <w:bCs/>
                <w:color w:val="000000"/>
                <w:spacing w:val="-2"/>
                <w:w w:val="86"/>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AE564E">
            <w:pPr>
              <w:jc w:val="both"/>
            </w:pPr>
            <w:r w:rsidRPr="00A426CE">
              <w:t>40. "</w:t>
            </w:r>
            <w:proofErr w:type="spellStart"/>
            <w:r w:rsidRPr="00A426CE">
              <w:t>Презасаждане</w:t>
            </w:r>
            <w:proofErr w:type="spellEnd"/>
            <w:r w:rsidRPr="00A426CE">
              <w:t xml:space="preserve"> на винени лозя" е дейност, която вклю</w:t>
            </w:r>
            <w:r w:rsidRPr="00A426CE">
              <w:t>ч</w:t>
            </w:r>
            <w:r w:rsidRPr="00A426CE">
              <w:t>ва изкореняване на съществуващото лозе и засаждане на ново лозе на същия терен, със същия или различен сортов състав.</w:t>
            </w:r>
          </w:p>
          <w:p w:rsidR="001F718C" w:rsidRPr="00A426CE" w:rsidRDefault="001F718C" w:rsidP="00AE564E">
            <w:pPr>
              <w:jc w:val="both"/>
              <w:rPr>
                <w:b/>
              </w:rPr>
            </w:pPr>
            <w:r w:rsidRPr="00A426CE">
              <w:rPr>
                <w:b/>
              </w:rPr>
              <w:t>ЗАБЕЛЕЖКА</w:t>
            </w:r>
          </w:p>
          <w:p w:rsidR="001F718C" w:rsidRPr="00A426CE" w:rsidRDefault="001F718C" w:rsidP="00AE564E">
            <w:pPr>
              <w:jc w:val="both"/>
            </w:pPr>
            <w:r w:rsidRPr="00A426CE">
              <w:t xml:space="preserve">В проекта на „Национална програма за подпомагане на </w:t>
            </w:r>
            <w:proofErr w:type="spellStart"/>
            <w:r w:rsidRPr="00A426CE">
              <w:t>л</w:t>
            </w:r>
            <w:r w:rsidRPr="00A426CE">
              <w:t>о</w:t>
            </w:r>
            <w:r w:rsidRPr="00A426CE">
              <w:t>заро-винарския</w:t>
            </w:r>
            <w:proofErr w:type="spellEnd"/>
            <w:r w:rsidRPr="00A426CE">
              <w:t xml:space="preserve"> сектор на България за периода 2019 - 2023 година” е записано:</w:t>
            </w:r>
          </w:p>
          <w:p w:rsidR="001F718C" w:rsidRPr="00A426CE" w:rsidRDefault="001F718C" w:rsidP="00AE564E">
            <w:pPr>
              <w:jc w:val="both"/>
            </w:pPr>
            <w:r w:rsidRPr="00A426CE">
              <w:t>Недопустими за подпомагане по мярката са следните де</w:t>
            </w:r>
            <w:r w:rsidRPr="00A426CE">
              <w:t>й</w:t>
            </w:r>
            <w:r w:rsidRPr="00A426CE">
              <w:t>ности:</w:t>
            </w:r>
          </w:p>
          <w:p w:rsidR="001F718C" w:rsidRPr="00A426CE" w:rsidRDefault="001F718C" w:rsidP="00AE564E">
            <w:pPr>
              <w:jc w:val="both"/>
            </w:pPr>
            <w:r w:rsidRPr="00A426CE">
              <w:t xml:space="preserve">1. </w:t>
            </w:r>
            <w:proofErr w:type="spellStart"/>
            <w:r w:rsidRPr="00A426CE">
              <w:t>Презасаждане</w:t>
            </w:r>
            <w:proofErr w:type="spellEnd"/>
            <w:r w:rsidRPr="00A426CE">
              <w:t xml:space="preserve"> на лозарски парцел със същия винен сорт присъщите или различни разстояния на засаждане, пред</w:t>
            </w:r>
            <w:r w:rsidRPr="00A426CE">
              <w:t>с</w:t>
            </w:r>
            <w:r w:rsidRPr="00A426CE">
              <w:t>тавляващо обичайно обновление на лозята, които са при</w:t>
            </w:r>
            <w:r w:rsidRPr="00A426CE">
              <w:t>к</w:t>
            </w:r>
            <w:r w:rsidRPr="00A426CE">
              <w:t>лючили естествения си жизнен цикъл;</w:t>
            </w:r>
          </w:p>
          <w:p w:rsidR="001F718C" w:rsidRPr="00A426CE" w:rsidRDefault="001F718C" w:rsidP="00AE564E">
            <w:pPr>
              <w:jc w:val="both"/>
            </w:pPr>
            <w:r w:rsidRPr="00A426CE">
              <w:t>Защо в проекта на закона и в проекта на програмата се в</w:t>
            </w:r>
            <w:r w:rsidRPr="00A426CE">
              <w:t>ъ</w:t>
            </w:r>
            <w:r w:rsidRPr="00A426CE">
              <w:t>веждат противоречиви определения? Каква е причината по програмата да не се допуска същия сорт, а по проект на з</w:t>
            </w:r>
            <w:r w:rsidRPr="00A426CE">
              <w:t>а</w:t>
            </w:r>
            <w:r w:rsidRPr="00A426CE">
              <w:t>кон да се допуска?</w:t>
            </w:r>
          </w:p>
          <w:p w:rsidR="001F718C" w:rsidRPr="00A426CE" w:rsidRDefault="001F718C" w:rsidP="00AE564E">
            <w:pPr>
              <w:jc w:val="both"/>
            </w:pPr>
            <w:r w:rsidRPr="00A426CE">
              <w:t xml:space="preserve">Трябва ли да се прецизира текста в проекта на закона или в </w:t>
            </w:r>
            <w:r w:rsidRPr="00A426CE">
              <w:lastRenderedPageBreak/>
              <w:t>проекта на програмата?</w:t>
            </w:r>
          </w:p>
          <w:p w:rsidR="001F718C" w:rsidRPr="00057011" w:rsidRDefault="001F718C" w:rsidP="00CE2A7F">
            <w:pPr>
              <w:jc w:val="both"/>
              <w:rPr>
                <w:spacing w:val="-4"/>
              </w:rPr>
            </w:pPr>
            <w:r w:rsidRPr="00057011">
              <w:rPr>
                <w:spacing w:val="-4"/>
              </w:rPr>
              <w:t>Защо в определенията липсва такова и за „конверсия”, което се ползва в „НАЦИОНАЛНА ПРОГРАМА ЗА ПОДПОМ</w:t>
            </w:r>
            <w:r w:rsidRPr="00057011">
              <w:rPr>
                <w:spacing w:val="-4"/>
              </w:rPr>
              <w:t>А</w:t>
            </w:r>
            <w:r w:rsidRPr="00057011">
              <w:rPr>
                <w:spacing w:val="-4"/>
              </w:rPr>
              <w:t>ГАНЕ НА ЛОЗАРО-ВИНАРСКИЯ СЕКТОР НА БЪЛГАРИЯ”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F718C" w:rsidRPr="00A426CE" w:rsidRDefault="001F718C" w:rsidP="00831124">
            <w:r w:rsidRPr="00A426CE">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F718C" w:rsidRPr="00A426CE" w:rsidRDefault="001F718C" w:rsidP="00923C45">
            <w:pPr>
              <w:jc w:val="both"/>
            </w:pPr>
            <w:r w:rsidRPr="00A426CE">
              <w:t>В допълнителните разпоредби се посо</w:t>
            </w:r>
            <w:r w:rsidRPr="00A426CE">
              <w:t>ч</w:t>
            </w:r>
            <w:r w:rsidRPr="00A426CE">
              <w:t>ват определенията на изразите и терм</w:t>
            </w:r>
            <w:r w:rsidRPr="00A426CE">
              <w:t>и</w:t>
            </w:r>
            <w:r w:rsidRPr="00A426CE">
              <w:t>ните, които се ползват в съответния акт. В законопроекта  е дефинирано какво следва да се разбира под „</w:t>
            </w:r>
            <w:proofErr w:type="spellStart"/>
            <w:r w:rsidRPr="00A426CE">
              <w:t>презасаждане</w:t>
            </w:r>
            <w:proofErr w:type="spellEnd"/>
            <w:r w:rsidRPr="00A426CE">
              <w:t xml:space="preserve"> на винени лоза“ в целия документ. В Н</w:t>
            </w:r>
            <w:r w:rsidRPr="00A426CE">
              <w:t>а</w:t>
            </w:r>
            <w:r w:rsidRPr="00A426CE">
              <w:t>ционалната програма е посочено кои дейности са недопустими за подпомагане по съответната мярка, а не се въвежда ново определение.</w:t>
            </w:r>
          </w:p>
        </w:tc>
      </w:tr>
      <w:tr w:rsidR="00FA70A7" w:rsidRPr="00A426CE" w:rsidTr="00E127B9">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FA70A7" w:rsidRPr="00A426CE" w:rsidRDefault="00FA70A7" w:rsidP="00853C0E">
            <w:pPr>
              <w:numPr>
                <w:ilvl w:val="0"/>
                <w:numId w:val="5"/>
              </w:numPr>
              <w:tabs>
                <w:tab w:val="left" w:pos="192"/>
              </w:tabs>
              <w:ind w:left="0" w:firstLine="0"/>
              <w:jc w:val="center"/>
              <w:rPr>
                <w:b/>
              </w:rPr>
            </w:pPr>
          </w:p>
        </w:tc>
        <w:tc>
          <w:tcPr>
            <w:tcW w:w="2410" w:type="dxa"/>
            <w:tcBorders>
              <w:top w:val="single" w:sz="18" w:space="0" w:color="2E74B5"/>
              <w:left w:val="single" w:sz="18" w:space="0" w:color="2E74B5"/>
              <w:bottom w:val="nil"/>
              <w:right w:val="single" w:sz="18" w:space="0" w:color="2E74B5"/>
            </w:tcBorders>
            <w:shd w:val="clear" w:color="auto" w:fill="auto"/>
          </w:tcPr>
          <w:p w:rsidR="00FA70A7" w:rsidRPr="00A426CE" w:rsidRDefault="00FA70A7" w:rsidP="00853C0E">
            <w:pPr>
              <w:rPr>
                <w:b/>
                <w:bCs/>
                <w:color w:val="000000"/>
              </w:rPr>
            </w:pPr>
            <w:r w:rsidRPr="00A426CE">
              <w:rPr>
                <w:b/>
                <w:lang w:val="en-US"/>
              </w:rPr>
              <w:t>RIA</w:t>
            </w:r>
            <w:r w:rsidRPr="00A426CE">
              <w:rPr>
                <w:b/>
                <w:bCs/>
                <w:color w:val="000000"/>
              </w:rPr>
              <w:t xml:space="preserve"> </w:t>
            </w:r>
          </w:p>
          <w:p w:rsidR="00FA70A7" w:rsidRPr="00A426CE" w:rsidRDefault="00FA70A7" w:rsidP="00853C0E">
            <w:pPr>
              <w:rPr>
                <w:b/>
                <w:bCs/>
                <w:color w:val="000000"/>
              </w:rPr>
            </w:pPr>
            <w:r w:rsidRPr="00A426CE">
              <w:rPr>
                <w:b/>
                <w:bCs/>
                <w:color w:val="000000"/>
              </w:rPr>
              <w:t>от Портала за о</w:t>
            </w:r>
            <w:r w:rsidRPr="00A426CE">
              <w:rPr>
                <w:b/>
                <w:bCs/>
                <w:color w:val="000000"/>
              </w:rPr>
              <w:t>б</w:t>
            </w:r>
            <w:r w:rsidRPr="00A426CE">
              <w:rPr>
                <w:b/>
                <w:bCs/>
                <w:color w:val="000000"/>
              </w:rPr>
              <w:t>ществени консу</w:t>
            </w:r>
            <w:r w:rsidRPr="00A426CE">
              <w:rPr>
                <w:b/>
                <w:bCs/>
                <w:color w:val="000000"/>
              </w:rPr>
              <w:t>л</w:t>
            </w:r>
            <w:r w:rsidRPr="00A426CE">
              <w:rPr>
                <w:b/>
                <w:bCs/>
                <w:color w:val="000000"/>
              </w:rPr>
              <w:t xml:space="preserve">тации – получено на </w:t>
            </w:r>
            <w:r w:rsidRPr="00A426CE">
              <w:rPr>
                <w:b/>
              </w:rPr>
              <w:t xml:space="preserve">22 март 2018 </w:t>
            </w:r>
            <w:r w:rsidRPr="00A426CE">
              <w:rPr>
                <w:b/>
                <w:bCs/>
                <w:color w:val="000000"/>
              </w:rPr>
              <w:t xml:space="preserve">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FA70A7" w:rsidP="00853C0E">
            <w:pPr>
              <w:jc w:val="both"/>
            </w:pPr>
            <w:r w:rsidRPr="00A426CE">
              <w:t>Считаме, че приложената към проекта на Закона за виното и спиртните напитки цялостна предварителна оценка на въ</w:t>
            </w:r>
            <w:r w:rsidRPr="00A426CE">
              <w:t>з</w:t>
            </w:r>
            <w:r w:rsidRPr="00A426CE">
              <w:t xml:space="preserve">действието не отговаря на </w:t>
            </w:r>
            <w:proofErr w:type="spellStart"/>
            <w:r w:rsidRPr="00A426CE">
              <w:t>методологическите</w:t>
            </w:r>
            <w:proofErr w:type="spellEnd"/>
            <w:r w:rsidRPr="00A426CE">
              <w:t xml:space="preserve"> изисквания, нито на българската правна уредба на института, нито на най-добрите практики на Европейската комисия в тази н</w:t>
            </w:r>
            <w:r w:rsidRPr="00A426CE">
              <w:t>а</w:t>
            </w:r>
            <w:r w:rsidRPr="00A426CE">
              <w:t>сока.</w:t>
            </w:r>
          </w:p>
          <w:p w:rsidR="00FA70A7" w:rsidRPr="00A426CE" w:rsidRDefault="00FA70A7" w:rsidP="00853C0E">
            <w:pPr>
              <w:jc w:val="both"/>
            </w:pPr>
            <w:r w:rsidRPr="00A426CE">
              <w:t xml:space="preserve">Първо, нейното извършване е </w:t>
            </w:r>
            <w:proofErr w:type="spellStart"/>
            <w:r w:rsidRPr="00A426CE">
              <w:t>започналo</w:t>
            </w:r>
            <w:proofErr w:type="spellEnd"/>
            <w:r w:rsidRPr="00A426CE">
              <w:t xml:space="preserve"> на толкова късен етап от цикъла на формулиране на политики, че до голяма степен я обезсмисля. Според самата цялостна предварите</w:t>
            </w:r>
            <w:r w:rsidRPr="00A426CE">
              <w:t>л</w:t>
            </w:r>
            <w:r w:rsidRPr="00A426CE">
              <w:t>на оценка:</w:t>
            </w:r>
          </w:p>
          <w:p w:rsidR="00FA70A7" w:rsidRPr="00A426CE" w:rsidRDefault="00FA70A7" w:rsidP="00853C0E">
            <w:pPr>
              <w:jc w:val="both"/>
            </w:pPr>
            <w:r w:rsidRPr="00A426CE">
              <w:t>"Настоящият доклад е изготвен след приключване на раб</w:t>
            </w:r>
            <w:r w:rsidRPr="00A426CE">
              <w:t>о</w:t>
            </w:r>
            <w:r w:rsidRPr="00A426CE">
              <w:t xml:space="preserve">тата по разработване на проект на закона. Ето защо, в тази част от анализа са идентифицирани основните алтернативни варианти за </w:t>
            </w:r>
            <w:proofErr w:type="spellStart"/>
            <w:r w:rsidRPr="00A426CE">
              <w:t>последващо</w:t>
            </w:r>
            <w:proofErr w:type="spellEnd"/>
            <w:r w:rsidRPr="00A426CE">
              <w:t xml:space="preserve"> развитие на проекта на нов закон."</w:t>
            </w:r>
          </w:p>
          <w:p w:rsidR="00FA70A7" w:rsidRPr="00A426CE" w:rsidRDefault="00FA70A7" w:rsidP="00853C0E">
            <w:pPr>
              <w:jc w:val="both"/>
            </w:pPr>
            <w:r w:rsidRPr="00A426CE">
              <w:t>На второ място, още на етапа на определяне на проблемите (II. Определяне на проблемите, II.1 Основен проблем) в оценката се казва:</w:t>
            </w:r>
          </w:p>
          <w:p w:rsidR="00FA70A7" w:rsidRPr="00A426CE" w:rsidRDefault="00FA70A7" w:rsidP="00853C0E">
            <w:pPr>
              <w:jc w:val="both"/>
            </w:pPr>
            <w:r w:rsidRPr="00A426CE">
              <w:t>"Главната причина, налагаща приемане на нов Закон за в</w:t>
            </w:r>
            <w:r w:rsidRPr="00A426CE">
              <w:t>и</w:t>
            </w:r>
            <w:r w:rsidRPr="00A426CE">
              <w:t>ното и спиртните напитки...";</w:t>
            </w:r>
          </w:p>
          <w:p w:rsidR="00FA70A7" w:rsidRPr="00A426CE" w:rsidRDefault="00FA70A7" w:rsidP="00853C0E">
            <w:pPr>
              <w:jc w:val="both"/>
            </w:pPr>
            <w:r w:rsidRPr="00A426CE">
              <w:t>Заинтересованите страни са определени по критерия заи</w:t>
            </w:r>
            <w:r w:rsidRPr="00A426CE">
              <w:t>н</w:t>
            </w:r>
            <w:r w:rsidRPr="00A426CE">
              <w:t>тересованост от "приемането на нов Закон за виното и спи</w:t>
            </w:r>
            <w:r w:rsidRPr="00A426CE">
              <w:t>р</w:t>
            </w:r>
            <w:r w:rsidRPr="00A426CE">
              <w:t>тните напитки".</w:t>
            </w:r>
          </w:p>
          <w:p w:rsidR="00FA70A7" w:rsidRPr="00A426CE" w:rsidRDefault="00FA70A7" w:rsidP="00853C0E">
            <w:pPr>
              <w:jc w:val="both"/>
            </w:pPr>
            <w:r w:rsidRPr="00A426CE">
              <w:t>Това е изключително грешен подход на структуриране на оценката на въздействието, който представлява пряко пр</w:t>
            </w:r>
            <w:r w:rsidRPr="00A426CE">
              <w:t>о</w:t>
            </w:r>
            <w:r w:rsidRPr="00A426CE">
              <w:t>явление на т.нар. „регулаторен инстинкт“, който в България е разпространен в най-крайно негативната си форма на „з</w:t>
            </w:r>
            <w:r w:rsidRPr="00A426CE">
              <w:t>а</w:t>
            </w:r>
            <w:r w:rsidRPr="00A426CE">
              <w:t>конодателен инстинкт“. Оценката трябва да обследва про</w:t>
            </w:r>
            <w:r w:rsidRPr="00A426CE">
              <w:t>б</w:t>
            </w:r>
            <w:r w:rsidRPr="00A426CE">
              <w:t xml:space="preserve">лема и да търси неговото разрешение, включително чрез </w:t>
            </w:r>
            <w:r w:rsidRPr="00A426CE">
              <w:lastRenderedPageBreak/>
              <w:t>получаване на позицията на заинтересованите страни не</w:t>
            </w:r>
            <w:r w:rsidRPr="00A426CE">
              <w:t>п</w:t>
            </w:r>
            <w:r w:rsidRPr="00A426CE">
              <w:t>редубедено и безпристрастно, а не да фаворизира варианта на регулаторна намеса чрез закон още в самото си нач</w:t>
            </w:r>
            <w:r w:rsidRPr="00A426CE">
              <w:t>а</w:t>
            </w:r>
            <w:r w:rsidRPr="00A426CE">
              <w:t>ло.Това я прави изначално предрешена и субективно нат</w:t>
            </w:r>
            <w:r w:rsidRPr="00A426CE">
              <w:t>о</w:t>
            </w:r>
            <w:r w:rsidRPr="00A426CE">
              <w:t>варена и я лишава от нейното водещо предназначение на обективно обосновано експертно становище относно най-доброто, от гледна точка на обществения интерес, разреш</w:t>
            </w:r>
            <w:r w:rsidRPr="00A426CE">
              <w:t>а</w:t>
            </w:r>
            <w:r w:rsidRPr="00A426CE">
              <w:t>ване на проблема, извлечено на база доказателства и вар</w:t>
            </w:r>
            <w:r w:rsidRPr="00A426CE">
              <w:t>и</w:t>
            </w:r>
            <w:r w:rsidRPr="00A426CE">
              <w:t>антен анализ. В случая дори не е направен опит формулир</w:t>
            </w:r>
            <w:r w:rsidRPr="00A426CE">
              <w:t>а</w:t>
            </w:r>
            <w:r w:rsidRPr="00A426CE">
              <w:t>ните цели да бъдат обвързани с разрешаването на проблема, те директно сочат единствено към приемането на нов закон (вж. IV. Определяне на целите пред регулирането на обще</w:t>
            </w:r>
            <w:r w:rsidRPr="00A426CE">
              <w:t>с</w:t>
            </w:r>
            <w:r w:rsidRPr="00A426CE">
              <w:t>твените отношения с проекта на нормативен акт).</w:t>
            </w:r>
          </w:p>
          <w:p w:rsidR="00FA70A7" w:rsidRPr="00A426CE" w:rsidRDefault="00FA70A7" w:rsidP="00853C0E">
            <w:pPr>
              <w:jc w:val="both"/>
            </w:pPr>
            <w:r w:rsidRPr="00A426CE">
              <w:t>Оттук следва изводът, че единствената цел, с която е създ</w:t>
            </w:r>
            <w:r w:rsidRPr="00A426CE">
              <w:t>а</w:t>
            </w:r>
            <w:r w:rsidRPr="00A426CE">
              <w:t>дена настоящата оценка е да оправдае вече взетото решение за регулиране чрез закон, вместо събирането на данни и д</w:t>
            </w:r>
            <w:r w:rsidRPr="00A426CE">
              <w:t>о</w:t>
            </w:r>
            <w:r w:rsidRPr="00A426CE">
              <w:t>казателства и техен експертен анализ, чрез които правител</w:t>
            </w:r>
            <w:r w:rsidRPr="00A426CE">
              <w:t>с</w:t>
            </w:r>
            <w:r w:rsidRPr="00A426CE">
              <w:t>твото да бъде информирано кое би било най-доброто реш</w:t>
            </w:r>
            <w:r w:rsidRPr="00A426CE">
              <w:t>е</w:t>
            </w:r>
            <w:r w:rsidRPr="00A426CE">
              <w:t>ние по отношение на политиката за рационализиране и пр</w:t>
            </w:r>
            <w:r w:rsidRPr="00A426CE">
              <w:t>и</w:t>
            </w:r>
            <w:r w:rsidRPr="00A426CE">
              <w:t>веждане на законодателството в областта в пълно съответ</w:t>
            </w:r>
            <w:r w:rsidRPr="00A426CE">
              <w:t>с</w:t>
            </w:r>
            <w:r w:rsidRPr="00A426CE">
              <w:t>твие с правото на Европейския съюз.</w:t>
            </w:r>
          </w:p>
          <w:p w:rsidR="00FA70A7" w:rsidRPr="00A426CE" w:rsidRDefault="00FA70A7" w:rsidP="00853C0E">
            <w:pPr>
              <w:jc w:val="both"/>
            </w:pPr>
            <w:r w:rsidRPr="00A426CE">
              <w:t>На последно място, т.нар. "алтернативни варианти" са всъщност под-варианти на едно и също разрешение на идентифицираните проблеми, а именно - регулиране чрез законов нормативен акт. При идентифицирането на вариа</w:t>
            </w:r>
            <w:r w:rsidRPr="00A426CE">
              <w:t>н</w:t>
            </w:r>
            <w:r w:rsidRPr="00A426CE">
              <w:t>тите е задължително да се осмислят възможностите за пр</w:t>
            </w:r>
            <w:r w:rsidRPr="00A426CE">
              <w:t>и</w:t>
            </w:r>
            <w:r w:rsidRPr="00A426CE">
              <w:t>лагане на подзаконова нормативна уредба, както и алтерн</w:t>
            </w:r>
            <w:r w:rsidRPr="00A426CE">
              <w:t>а</w:t>
            </w:r>
            <w:r w:rsidRPr="00A426CE">
              <w:t>тивни подходи на регулиране като саморегулиране, съвме</w:t>
            </w:r>
            <w:r w:rsidRPr="00A426CE">
              <w:t>с</w:t>
            </w:r>
            <w:r w:rsidRPr="00A426CE">
              <w:t>тно регулиране, доброволни споразумения, информационни и образователни кампании, въвеждането на стандарти и други. Вариантите трябва да са разработени по начин, който да позволява диференцирането им на базата на тяхната фу</w:t>
            </w:r>
            <w:r w:rsidRPr="00A426CE">
              <w:t>н</w:t>
            </w:r>
            <w:r w:rsidRPr="00A426CE">
              <w:lastRenderedPageBreak/>
              <w:t>кционалност чрез критериите за ефективност, ефикасност и съгласуваност с действащото законодателство и приорит</w:t>
            </w:r>
            <w:r w:rsidRPr="00A426CE">
              <w:t>е</w:t>
            </w:r>
            <w:r w:rsidRPr="00A426CE">
              <w:t xml:space="preserve">тите на държавата. Отделно от това, </w:t>
            </w:r>
            <w:proofErr w:type="spellStart"/>
            <w:r w:rsidRPr="00A426CE">
              <w:t>методологическа</w:t>
            </w:r>
            <w:proofErr w:type="spellEnd"/>
            <w:r w:rsidRPr="00A426CE">
              <w:t xml:space="preserve"> гле</w:t>
            </w:r>
            <w:r w:rsidRPr="00A426CE">
              <w:t>д</w:t>
            </w:r>
            <w:r w:rsidRPr="00A426CE">
              <w:t>на точка не става ясно защо МСП-тестът е извършен след препоръката на вариант за действие. Оттук следва непо</w:t>
            </w:r>
            <w:r w:rsidRPr="00A426CE">
              <w:t>с</w:t>
            </w:r>
            <w:r w:rsidRPr="00A426CE">
              <w:t>редственият извод, че резултатите от него не са взети пре</w:t>
            </w:r>
            <w:r w:rsidRPr="00A426CE">
              <w:t>д</w:t>
            </w:r>
            <w:r w:rsidRPr="00A426CE">
              <w:t>вид при сравняването на "вариантите". Тогава защо изобщо е бил извършван такъв.</w:t>
            </w:r>
          </w:p>
          <w:p w:rsidR="00FA70A7" w:rsidRPr="00A426CE" w:rsidRDefault="00FA70A7" w:rsidP="00853C0E">
            <w:pPr>
              <w:jc w:val="both"/>
            </w:pPr>
            <w:r w:rsidRPr="00A426CE">
              <w:t>Поради това считаме, че в този си вид - обусловена от пре</w:t>
            </w:r>
            <w:r w:rsidRPr="00A426CE">
              <w:t>д</w:t>
            </w:r>
            <w:r w:rsidRPr="00A426CE">
              <w:t>варително зададения краен резултат - оценката на въздейс</w:t>
            </w:r>
            <w:r w:rsidRPr="00A426CE">
              <w:t>т</w:t>
            </w:r>
            <w:r w:rsidRPr="00A426CE">
              <w:t>вието не изпълнява основната си цел - да даде обективен отговор на въпроса "Кое е най-подходящото разрешение на адресирания проблем?" и много ясно, точно и обосновано да обясни защо това е така.</w:t>
            </w:r>
          </w:p>
          <w:p w:rsidR="00FA70A7" w:rsidRPr="00A426CE" w:rsidRDefault="00FA70A7" w:rsidP="00853C0E">
            <w:pPr>
              <w:jc w:val="both"/>
            </w:pPr>
            <w:r w:rsidRPr="00A426CE">
              <w:t>Център за оценка на въздействието на законодателството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FA70A7" w:rsidP="00853C0E">
            <w:r w:rsidRPr="00A426CE">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A426CE" w:rsidRDefault="00FA70A7" w:rsidP="00853C0E">
            <w:pPr>
              <w:jc w:val="both"/>
            </w:pPr>
            <w:r w:rsidRPr="00A426CE">
              <w:t>В държавен вестник бр. 34 от 2016 г. е обнародван Закон за изменение и допъ</w:t>
            </w:r>
            <w:r w:rsidRPr="00A426CE">
              <w:t>л</w:t>
            </w:r>
            <w:r w:rsidRPr="00A426CE">
              <w:t>нение на Закона за нормативните актове. С изменението на съставителя на нов з</w:t>
            </w:r>
            <w:r w:rsidRPr="00A426CE">
              <w:t>а</w:t>
            </w:r>
            <w:r w:rsidRPr="00A426CE">
              <w:t>кон се вменява задължение да извърши цялостна предварителна оценка на въ</w:t>
            </w:r>
            <w:r w:rsidRPr="00A426CE">
              <w:t>з</w:t>
            </w:r>
            <w:r w:rsidRPr="00A426CE">
              <w:t>действието. В резултат на което е изго</w:t>
            </w:r>
            <w:r w:rsidRPr="00A426CE">
              <w:t>т</w:t>
            </w:r>
            <w:r w:rsidRPr="00A426CE">
              <w:t>вена оценка, по която са получени б</w:t>
            </w:r>
            <w:r w:rsidRPr="00A426CE">
              <w:t>е</w:t>
            </w:r>
            <w:r w:rsidRPr="00A426CE">
              <w:t>лежки. След отразяването им оценката е изпратена за повторно съгласуване от дирекция „Модернизация на админис</w:t>
            </w:r>
            <w:r w:rsidRPr="00A426CE">
              <w:t>т</w:t>
            </w:r>
            <w:r w:rsidRPr="00A426CE">
              <w:t>рацията“ на Министерския съвет. Оце</w:t>
            </w:r>
            <w:r w:rsidRPr="00A426CE">
              <w:t>н</w:t>
            </w:r>
            <w:r w:rsidRPr="00A426CE">
              <w:t>ката е съгласувана в края на 2017 г. без допълнителни препоръки.</w:t>
            </w:r>
          </w:p>
          <w:p w:rsidR="00FA70A7" w:rsidRPr="00A426CE" w:rsidRDefault="00FA70A7" w:rsidP="00853C0E">
            <w:pPr>
              <w:jc w:val="both"/>
            </w:pPr>
            <w:r w:rsidRPr="00A426CE">
              <w:t>През февруари 2018 г. работата по изго</w:t>
            </w:r>
            <w:r w:rsidRPr="00A426CE">
              <w:t>т</w:t>
            </w:r>
            <w:r w:rsidRPr="00A426CE">
              <w:t>вяне на проект на Закон за виното и спиртните напитки приключва. Проектът, заедно с посочените в чл. 26, ал. 3 от З</w:t>
            </w:r>
            <w:r w:rsidRPr="00A426CE">
              <w:t>а</w:t>
            </w:r>
            <w:r w:rsidRPr="00A426CE">
              <w:t>кона за нормативните актове (ЗНА) д</w:t>
            </w:r>
            <w:r w:rsidRPr="00A426CE">
              <w:t>о</w:t>
            </w:r>
            <w:r w:rsidRPr="00A426CE">
              <w:t xml:space="preserve">кументи са публикувани в Портала за обществени консултации със срок от 30 дни. </w:t>
            </w:r>
          </w:p>
          <w:p w:rsidR="00FA70A7" w:rsidRPr="00A426CE" w:rsidRDefault="00FA70A7" w:rsidP="00853C0E">
            <w:pPr>
              <w:jc w:val="both"/>
            </w:pPr>
            <w:r w:rsidRPr="00A426CE">
              <w:t>Считаме, че нормативно установената процедурата съгласно ЗНА е спазена, включително оценката на въздействие е приета от компетентният орган - адм</w:t>
            </w:r>
            <w:r w:rsidRPr="00A426CE">
              <w:t>и</w:t>
            </w:r>
            <w:r w:rsidRPr="00A426CE">
              <w:t>нистрация на Министерския съвет.</w:t>
            </w:r>
          </w:p>
        </w:tc>
      </w:tr>
      <w:tr w:rsidR="00FA70A7" w:rsidRPr="00A426CE" w:rsidTr="00E127B9">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FA70A7" w:rsidRPr="00A426CE" w:rsidRDefault="00FA70A7" w:rsidP="00E047E9">
            <w:pPr>
              <w:numPr>
                <w:ilvl w:val="0"/>
                <w:numId w:val="5"/>
              </w:numPr>
              <w:tabs>
                <w:tab w:val="left" w:pos="192"/>
              </w:tabs>
              <w:ind w:left="0" w:firstLine="0"/>
              <w:jc w:val="center"/>
              <w:rPr>
                <w:b/>
              </w:rPr>
            </w:pPr>
          </w:p>
        </w:tc>
        <w:tc>
          <w:tcPr>
            <w:tcW w:w="2410" w:type="dxa"/>
            <w:tcBorders>
              <w:top w:val="single" w:sz="18" w:space="0" w:color="2E74B5"/>
              <w:left w:val="single" w:sz="18" w:space="0" w:color="2E74B5"/>
              <w:bottom w:val="nil"/>
              <w:right w:val="single" w:sz="18" w:space="0" w:color="2E74B5"/>
            </w:tcBorders>
            <w:shd w:val="clear" w:color="auto" w:fill="auto"/>
          </w:tcPr>
          <w:p w:rsidR="00FA70A7" w:rsidRPr="00A426CE" w:rsidRDefault="00FA70A7" w:rsidP="002A0A9B">
            <w:pPr>
              <w:rPr>
                <w:b/>
                <w:bCs/>
                <w:color w:val="000000"/>
              </w:rPr>
            </w:pPr>
            <w:r w:rsidRPr="00A426CE">
              <w:rPr>
                <w:b/>
                <w:bCs/>
                <w:color w:val="000000"/>
              </w:rPr>
              <w:t xml:space="preserve">Национална </w:t>
            </w:r>
            <w:proofErr w:type="spellStart"/>
            <w:r w:rsidRPr="00A426CE">
              <w:rPr>
                <w:b/>
                <w:bCs/>
                <w:color w:val="000000"/>
              </w:rPr>
              <w:t>лоз</w:t>
            </w:r>
            <w:r w:rsidRPr="00A426CE">
              <w:rPr>
                <w:b/>
                <w:bCs/>
                <w:color w:val="000000"/>
              </w:rPr>
              <w:t>а</w:t>
            </w:r>
            <w:r w:rsidRPr="00A426CE">
              <w:rPr>
                <w:b/>
                <w:bCs/>
                <w:color w:val="000000"/>
              </w:rPr>
              <w:t>ро-винарска</w:t>
            </w:r>
            <w:proofErr w:type="spellEnd"/>
            <w:r w:rsidRPr="00A426CE">
              <w:rPr>
                <w:b/>
                <w:bCs/>
                <w:color w:val="000000"/>
              </w:rPr>
              <w:t xml:space="preserve"> кам</w:t>
            </w:r>
            <w:r w:rsidRPr="00A426CE">
              <w:rPr>
                <w:b/>
                <w:bCs/>
                <w:color w:val="000000"/>
              </w:rPr>
              <w:t>а</w:t>
            </w:r>
            <w:r w:rsidRPr="00A426CE">
              <w:rPr>
                <w:b/>
                <w:bCs/>
                <w:color w:val="000000"/>
              </w:rPr>
              <w:t>ра</w:t>
            </w:r>
            <w:r w:rsidR="002A0A9B">
              <w:rPr>
                <w:b/>
                <w:bCs/>
                <w:color w:val="000000"/>
              </w:rPr>
              <w:t>,</w:t>
            </w:r>
            <w:r w:rsidRPr="00A426CE">
              <w:rPr>
                <w:b/>
                <w:bCs/>
                <w:color w:val="000000"/>
              </w:rPr>
              <w:t xml:space="preserve"> постъпило в МЗХГ с регист</w:t>
            </w:r>
            <w:r w:rsidR="002A0A9B">
              <w:rPr>
                <w:b/>
                <w:bCs/>
                <w:color w:val="000000"/>
              </w:rPr>
              <w:t>р</w:t>
            </w:r>
            <w:r w:rsidR="002A0A9B">
              <w:rPr>
                <w:b/>
                <w:bCs/>
                <w:color w:val="000000"/>
              </w:rPr>
              <w:t>а</w:t>
            </w:r>
            <w:r w:rsidR="002A0A9B">
              <w:rPr>
                <w:b/>
                <w:bCs/>
                <w:color w:val="000000"/>
              </w:rPr>
              <w:t xml:space="preserve">ционен </w:t>
            </w:r>
            <w:r w:rsidRPr="00A426CE">
              <w:rPr>
                <w:b/>
                <w:bCs/>
                <w:color w:val="000000"/>
              </w:rPr>
              <w:t xml:space="preserve">индекс </w:t>
            </w:r>
            <w:r w:rsidR="002A0A9B">
              <w:rPr>
                <w:b/>
                <w:bCs/>
                <w:color w:val="000000"/>
              </w:rPr>
              <w:br/>
            </w:r>
            <w:r w:rsidRPr="002A0A9B">
              <w:rPr>
                <w:rFonts w:ascii="Times New Roman Bold" w:hAnsi="Times New Roman Bold"/>
                <w:b/>
                <w:bCs/>
                <w:color w:val="000000"/>
                <w:spacing w:val="-2"/>
              </w:rPr>
              <w:t>17-31 от 21.03.2018 г.</w:t>
            </w:r>
            <w:r w:rsidRPr="00A426CE">
              <w:rPr>
                <w:b/>
                <w:bCs/>
                <w:color w:val="000000"/>
              </w:rPr>
              <w:t xml:space="preserve"> </w:t>
            </w:r>
          </w:p>
        </w:tc>
        <w:tc>
          <w:tcPr>
            <w:tcW w:w="6467" w:type="dxa"/>
            <w:tcBorders>
              <w:top w:val="single" w:sz="18" w:space="0" w:color="2E74B5"/>
              <w:left w:val="single" w:sz="18" w:space="0" w:color="2E74B5"/>
              <w:bottom w:val="nil"/>
              <w:right w:val="single" w:sz="18" w:space="0" w:color="2E74B5"/>
            </w:tcBorders>
            <w:shd w:val="clear" w:color="auto" w:fill="auto"/>
          </w:tcPr>
          <w:p w:rsidR="00FA70A7" w:rsidRPr="00A426CE" w:rsidRDefault="00FA70A7" w:rsidP="00A426CE">
            <w:pPr>
              <w:jc w:val="both"/>
            </w:pPr>
            <w:r w:rsidRPr="00A426CE">
              <w:t xml:space="preserve">С оглед на специфичния статут на „Националната </w:t>
            </w:r>
            <w:proofErr w:type="spellStart"/>
            <w:r w:rsidRPr="00A426CE">
              <w:t>лозаро-винарска</w:t>
            </w:r>
            <w:proofErr w:type="spellEnd"/>
            <w:r w:rsidRPr="00A426CE">
              <w:t xml:space="preserve"> камара" (НЛВК) като </w:t>
            </w:r>
            <w:proofErr w:type="spellStart"/>
            <w:r w:rsidRPr="00A426CE">
              <w:t>междупрофесионална</w:t>
            </w:r>
            <w:proofErr w:type="spellEnd"/>
            <w:r w:rsidRPr="00A426CE">
              <w:t xml:space="preserve"> орг</w:t>
            </w:r>
            <w:r w:rsidRPr="00A426CE">
              <w:t>а</w:t>
            </w:r>
            <w:r w:rsidRPr="00A426CE">
              <w:t xml:space="preserve">низация с представителни за  отрасъла функции по смисъла на Закона за виното и спиртните напитки (ЗВСН) и </w:t>
            </w:r>
            <w:proofErr w:type="spellStart"/>
            <w:r w:rsidRPr="00A426CE">
              <w:t>възосн</w:t>
            </w:r>
            <w:r w:rsidRPr="00A426CE">
              <w:t>о</w:t>
            </w:r>
            <w:r w:rsidRPr="00A426CE">
              <w:t>ва</w:t>
            </w:r>
            <w:proofErr w:type="spellEnd"/>
            <w:r w:rsidRPr="00A426CE">
              <w:t xml:space="preserve"> на </w:t>
            </w:r>
            <w:proofErr w:type="spellStart"/>
            <w:r w:rsidRPr="00A426CE">
              <w:t>вмененете</w:t>
            </w:r>
            <w:proofErr w:type="spellEnd"/>
            <w:r w:rsidRPr="00A426CE">
              <w:t xml:space="preserve"> ни правомощия по </w:t>
            </w:r>
            <w:proofErr w:type="spellStart"/>
            <w:r w:rsidRPr="00A426CE">
              <w:t>чл</w:t>
            </w:r>
            <w:proofErr w:type="spellEnd"/>
            <w:r w:rsidRPr="00A426CE">
              <w:t>, 7 от същия закон, изразяваме принципната си подкрепа по отношение па пу</w:t>
            </w:r>
            <w:r w:rsidRPr="00A426CE">
              <w:t>б</w:t>
            </w:r>
            <w:r w:rsidRPr="00A426CE">
              <w:t xml:space="preserve">ликувания за обществено </w:t>
            </w:r>
            <w:proofErr w:type="spellStart"/>
            <w:r w:rsidRPr="00A426CE">
              <w:t>обсьждане</w:t>
            </w:r>
            <w:proofErr w:type="spellEnd"/>
            <w:r w:rsidRPr="00A426CE">
              <w:t xml:space="preserve"> проект на нов Закон за виното и спиртните напитки (нов ЗВСН), като </w:t>
            </w:r>
            <w:proofErr w:type="spellStart"/>
            <w:r w:rsidRPr="00A426CE">
              <w:t>сьщевреме</w:t>
            </w:r>
            <w:r w:rsidRPr="00A426CE">
              <w:t>н</w:t>
            </w:r>
            <w:r w:rsidRPr="00A426CE">
              <w:t>но</w:t>
            </w:r>
            <w:proofErr w:type="spellEnd"/>
            <w:r w:rsidRPr="00A426CE">
              <w:t xml:space="preserve"> Ви представяме следните наши бележки и предложения:</w:t>
            </w:r>
          </w:p>
        </w:tc>
        <w:tc>
          <w:tcPr>
            <w:tcW w:w="1613" w:type="dxa"/>
            <w:tcBorders>
              <w:top w:val="single" w:sz="18" w:space="0" w:color="2E74B5"/>
              <w:left w:val="single" w:sz="18" w:space="0" w:color="2E74B5"/>
              <w:bottom w:val="nil"/>
              <w:right w:val="single" w:sz="18" w:space="0" w:color="2E74B5"/>
            </w:tcBorders>
            <w:shd w:val="clear" w:color="auto" w:fill="auto"/>
          </w:tcPr>
          <w:p w:rsidR="00FA70A7" w:rsidRPr="00A426CE" w:rsidRDefault="00FA70A7" w:rsidP="00A426CE"/>
        </w:tc>
        <w:tc>
          <w:tcPr>
            <w:tcW w:w="4538" w:type="dxa"/>
            <w:tcBorders>
              <w:top w:val="single" w:sz="18" w:space="0" w:color="2E74B5"/>
              <w:left w:val="single" w:sz="18" w:space="0" w:color="2E74B5"/>
              <w:bottom w:val="nil"/>
              <w:right w:val="single" w:sz="36" w:space="0" w:color="2E74B5"/>
            </w:tcBorders>
            <w:shd w:val="clear" w:color="auto" w:fill="auto"/>
          </w:tcPr>
          <w:p w:rsidR="00FA70A7" w:rsidRPr="00A426CE" w:rsidRDefault="00FA70A7" w:rsidP="00A426CE"/>
        </w:tc>
      </w:tr>
      <w:tr w:rsidR="00A426CE"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A426CE" w:rsidRPr="00A426CE" w:rsidRDefault="00A426CE" w:rsidP="00EB11E2">
            <w:pPr>
              <w:tabs>
                <w:tab w:val="left" w:pos="192"/>
              </w:tabs>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A426CE" w:rsidRPr="00A426CE" w:rsidRDefault="00A426CE" w:rsidP="00831124">
            <w:pPr>
              <w:rPr>
                <w:b/>
                <w:bCs/>
                <w:color w:val="000000"/>
                <w:spacing w:val="-2"/>
                <w:w w:val="86"/>
                <w:highlight w:val="yellow"/>
              </w:rPr>
            </w:pPr>
          </w:p>
        </w:tc>
        <w:tc>
          <w:tcPr>
            <w:tcW w:w="6467" w:type="dxa"/>
            <w:tcBorders>
              <w:top w:val="nil"/>
              <w:left w:val="single" w:sz="18" w:space="0" w:color="2E74B5"/>
              <w:bottom w:val="single" w:sz="18" w:space="0" w:color="2E74B5"/>
              <w:right w:val="single" w:sz="18" w:space="0" w:color="2E74B5"/>
            </w:tcBorders>
            <w:shd w:val="clear" w:color="auto" w:fill="auto"/>
          </w:tcPr>
          <w:p w:rsidR="00A426CE" w:rsidRPr="00A426CE" w:rsidRDefault="00A426CE" w:rsidP="00A426CE">
            <w:pPr>
              <w:jc w:val="both"/>
            </w:pPr>
            <w:r w:rsidRPr="00A426CE">
              <w:t xml:space="preserve">1. </w:t>
            </w:r>
            <w:r w:rsidRPr="00E127B9">
              <w:rPr>
                <w:spacing w:val="-2"/>
              </w:rPr>
              <w:t>Предлагаме от текста на законопроекта да отпаднат разп</w:t>
            </w:r>
            <w:r w:rsidRPr="00E127B9">
              <w:rPr>
                <w:spacing w:val="-2"/>
              </w:rPr>
              <w:t>о</w:t>
            </w:r>
            <w:r w:rsidRPr="00E127B9">
              <w:rPr>
                <w:spacing w:val="-2"/>
              </w:rPr>
              <w:t>редбите на чл. 37, ал. 2 и ал. 3 поради следните съображения:</w:t>
            </w:r>
          </w:p>
          <w:p w:rsidR="00A426CE" w:rsidRPr="00A426CE" w:rsidRDefault="00A426CE" w:rsidP="00A426CE">
            <w:pPr>
              <w:jc w:val="both"/>
            </w:pPr>
            <w:r w:rsidRPr="00A426CE">
              <w:t xml:space="preserve">Изразяваме безпокойство но отношение наличието на така визираните </w:t>
            </w:r>
            <w:proofErr w:type="spellStart"/>
            <w:r w:rsidRPr="00A426CE">
              <w:t>проекторазпоредби</w:t>
            </w:r>
            <w:proofErr w:type="spellEnd"/>
            <w:r w:rsidRPr="00A426CE">
              <w:t>. Чрез тях се предвижда в</w:t>
            </w:r>
            <w:r w:rsidRPr="00A426CE">
              <w:t>ъ</w:t>
            </w:r>
            <w:r w:rsidRPr="00A426CE">
              <w:t>веждането на несъществуващ до настоящия момент режим, толериращ производството на вино за търговски цели от нерегистрирани като винопроизводители лица (</w:t>
            </w:r>
            <w:proofErr w:type="spellStart"/>
            <w:r w:rsidRPr="00A426CE">
              <w:t>гроздопр</w:t>
            </w:r>
            <w:r w:rsidRPr="00A426CE">
              <w:t>о</w:t>
            </w:r>
            <w:r w:rsidRPr="00A426CE">
              <w:t>изводители</w:t>
            </w:r>
            <w:proofErr w:type="spellEnd"/>
            <w:r w:rsidRPr="00A426CE">
              <w:t>). Считаме, че един подобен режим е в против</w:t>
            </w:r>
            <w:r w:rsidRPr="00A426CE">
              <w:t>о</w:t>
            </w:r>
            <w:r w:rsidRPr="00A426CE">
              <w:lastRenderedPageBreak/>
              <w:t>речие, както със заявените цели на законопроекта:</w:t>
            </w:r>
          </w:p>
          <w:p w:rsidR="00A426CE" w:rsidRPr="00A426CE" w:rsidRDefault="00A426CE" w:rsidP="00A426CE">
            <w:pPr>
              <w:jc w:val="both"/>
            </w:pPr>
            <w:r w:rsidRPr="00A426CE">
              <w:t xml:space="preserve">„Създаване на </w:t>
            </w:r>
            <w:proofErr w:type="spellStart"/>
            <w:r w:rsidRPr="00A426CE">
              <w:t>лозаро-винарски</w:t>
            </w:r>
            <w:proofErr w:type="spellEnd"/>
            <w:r w:rsidRPr="00A426CE">
              <w:t xml:space="preserve"> режим, почиващ на ясни, прости и ефикасни правила",</w:t>
            </w:r>
          </w:p>
          <w:p w:rsidR="00A426CE" w:rsidRPr="00A426CE" w:rsidRDefault="00A426CE" w:rsidP="00A426CE">
            <w:pPr>
              <w:jc w:val="both"/>
            </w:pPr>
            <w:r w:rsidRPr="00A426CE">
              <w:t xml:space="preserve">,,Продуктите от </w:t>
            </w:r>
            <w:proofErr w:type="spellStart"/>
            <w:r w:rsidRPr="00A426CE">
              <w:t>лозаро-винарския</w:t>
            </w:r>
            <w:proofErr w:type="spellEnd"/>
            <w:r w:rsidRPr="00A426CE">
              <w:t xml:space="preserve"> сектор следва да се пр</w:t>
            </w:r>
            <w:r w:rsidRPr="00A426CE">
              <w:t>о</w:t>
            </w:r>
            <w:r w:rsidRPr="00A426CE">
              <w:t xml:space="preserve">извеждат в съответствие с определени правила относно </w:t>
            </w:r>
            <w:proofErr w:type="spellStart"/>
            <w:r w:rsidRPr="00A426CE">
              <w:t>ен</w:t>
            </w:r>
            <w:r w:rsidRPr="00A426CE">
              <w:t>о</w:t>
            </w:r>
            <w:r w:rsidRPr="00A426CE">
              <w:t>логичните</w:t>
            </w:r>
            <w:proofErr w:type="spellEnd"/>
            <w:r w:rsidRPr="00A426CE">
              <w:t xml:space="preserve"> практики и ограничения, които да гарантират, че се отговаря на съображенията, свързани с общественото здраве, и на очакванията на потребителите по отношение на качеството и производствените методи" и </w:t>
            </w:r>
          </w:p>
          <w:p w:rsidR="00A426CE" w:rsidRPr="00A426CE" w:rsidRDefault="00A426CE" w:rsidP="00A426CE">
            <w:pPr>
              <w:jc w:val="both"/>
            </w:pPr>
            <w:r w:rsidRPr="00A426CE">
              <w:t>„Предотвратяване на измамни практики и постигане на прозрачност на пазара и честна конкуренция при производ</w:t>
            </w:r>
            <w:r w:rsidRPr="00A426CE">
              <w:t>с</w:t>
            </w:r>
            <w:r w:rsidRPr="00A426CE">
              <w:t xml:space="preserve">твото на спиртни напитки, </w:t>
            </w:r>
            <w:proofErr w:type="spellStart"/>
            <w:r w:rsidRPr="00A426CE">
              <w:t>гроздо</w:t>
            </w:r>
            <w:proofErr w:type="spellEnd"/>
            <w:r w:rsidRPr="00A426CE">
              <w:t xml:space="preserve"> и вино производство“,</w:t>
            </w:r>
          </w:p>
          <w:p w:rsidR="00A426CE" w:rsidRPr="00A426CE" w:rsidRDefault="00A426CE" w:rsidP="00A426CE">
            <w:pPr>
              <w:jc w:val="both"/>
            </w:pPr>
            <w:r w:rsidRPr="00A426CE">
              <w:t>така и с действащата нормативна уредба, регламентираща дейността по производство и предлагане за продажба на вино като акцизна стока по смисъла па европейското зак</w:t>
            </w:r>
            <w:r w:rsidRPr="00A426CE">
              <w:t>о</w:t>
            </w:r>
            <w:r w:rsidRPr="00A426CE">
              <w:t>нодателство и Закона за акцизите и данъчните складове и в частност: чл. 4. т. 9, чл. 20, ал. 2, т. 1а, чл. 56, ал. 1, т.2, чл. 60, чл. 87 и др., които регламентират регистрационния р</w:t>
            </w:r>
            <w:r w:rsidRPr="00A426CE">
              <w:t>е</w:t>
            </w:r>
            <w:r w:rsidRPr="00A426CE">
              <w:t xml:space="preserve">жим по ЗАДС, в рамките на който могат да оперират всички винопроизводители (малки), които не действат в качеството на лицензирани </w:t>
            </w:r>
            <w:proofErr w:type="spellStart"/>
            <w:r w:rsidRPr="00A426CE">
              <w:t>складодържатели</w:t>
            </w:r>
            <w:proofErr w:type="spellEnd"/>
            <w:r w:rsidRPr="00A426CE">
              <w:t xml:space="preserve"> по смисъла на ЗАДС.</w:t>
            </w:r>
          </w:p>
          <w:p w:rsidR="00A426CE" w:rsidRPr="00A426CE" w:rsidRDefault="00A426CE" w:rsidP="00A426CE">
            <w:pPr>
              <w:jc w:val="both"/>
            </w:pPr>
            <w:r w:rsidRPr="00A426CE">
              <w:t>Предлага се въвеждането на режим на производство и пр</w:t>
            </w:r>
            <w:r w:rsidRPr="00A426CE">
              <w:t>о</w:t>
            </w:r>
            <w:r w:rsidRPr="00A426CE">
              <w:t>дажба (освобождаване за потребление) на акцизни стоки (вино), който да попада извън обхвата на изискванията, свързани с контролирането на този вид дейност, което води със себе си съществени рискове, свързани с нарушаване у</w:t>
            </w:r>
            <w:r w:rsidRPr="00A426CE">
              <w:t>с</w:t>
            </w:r>
            <w:r w:rsidRPr="00A426CE">
              <w:t>ловията на конкуренцията, разрастване на сивия сектор в бранша и липса на реални гаранции за защита правата на потребителите и общественото здраве. Изразяваме катег</w:t>
            </w:r>
            <w:r w:rsidRPr="00A426CE">
              <w:t>о</w:t>
            </w:r>
            <w:r w:rsidRPr="00A426CE">
              <w:t>рично несъгласие с въвеждането на подобен режим. Въпр</w:t>
            </w:r>
            <w:r w:rsidRPr="00A426CE">
              <w:t>е</w:t>
            </w:r>
            <w:r w:rsidRPr="00A426CE">
              <w:t xml:space="preserve">ки наличието на изискване, продажби на вино от </w:t>
            </w:r>
            <w:proofErr w:type="spellStart"/>
            <w:r w:rsidRPr="00A426CE">
              <w:t>гроздопр</w:t>
            </w:r>
            <w:r w:rsidRPr="00A426CE">
              <w:t>о</w:t>
            </w:r>
            <w:r w:rsidRPr="00A426CE">
              <w:t>изводители</w:t>
            </w:r>
            <w:proofErr w:type="spellEnd"/>
            <w:r w:rsidRPr="00A426CE">
              <w:t xml:space="preserve"> в размер до 10 000 литра (10 </w:t>
            </w:r>
            <w:proofErr w:type="spellStart"/>
            <w:r w:rsidRPr="00A426CE">
              <w:t>хл</w:t>
            </w:r>
            <w:proofErr w:type="spellEnd"/>
            <w:r w:rsidRPr="00A426CE">
              <w:t xml:space="preserve">.) на година, да </w:t>
            </w:r>
            <w:r w:rsidRPr="00A426CE">
              <w:lastRenderedPageBreak/>
              <w:t>се осъществяват след извършен лабораторен анализ (чл. 37, ал. 3) на същото от акредитирана за целта лаборатория, з</w:t>
            </w:r>
            <w:r w:rsidRPr="00A426CE">
              <w:t>а</w:t>
            </w:r>
            <w:r w:rsidRPr="00A426CE">
              <w:t>конопроектът предвижда едва от 500 лв. до 1000 лв. глоба за лицата, които извършват подобна дейност в нарушение на чл. 37 (чл. 163 от законопроекта), което по никакъв начин не може да възприемем като възпиращ възможните злоупотр</w:t>
            </w:r>
            <w:r w:rsidRPr="00A426CE">
              <w:t>е</w:t>
            </w:r>
            <w:r w:rsidRPr="00A426CE">
              <w:t>би санкционен механизъм нито спрямо максимално допу</w:t>
            </w:r>
            <w:r w:rsidRPr="00A426CE">
              <w:t>с</w:t>
            </w:r>
            <w:r w:rsidRPr="00A426CE">
              <w:t>тимото за реализация количество вино (10 000 литра на г</w:t>
            </w:r>
            <w:r w:rsidRPr="00A426CE">
              <w:t>о</w:t>
            </w:r>
            <w:r w:rsidRPr="00A426CE">
              <w:t>дина), нито спрямо неспазването на изискването за осъще</w:t>
            </w:r>
            <w:r w:rsidRPr="00A426CE">
              <w:t>с</w:t>
            </w:r>
            <w:r w:rsidRPr="00A426CE">
              <w:t>твяване на лабораторен анализ. Така угрозата от налагане на глоба в размер от 500 лв. до 1000 лв. по никакъв начин няма да възпрепятства определени лица да продават десетки х</w:t>
            </w:r>
            <w:r w:rsidRPr="00A426CE">
              <w:t>и</w:t>
            </w:r>
            <w:r w:rsidRPr="00A426CE">
              <w:t>ляди литра вино годишно, в нарушение на всякакви сан</w:t>
            </w:r>
            <w:r w:rsidRPr="00A426CE">
              <w:t>и</w:t>
            </w:r>
            <w:r w:rsidRPr="00A426CE">
              <w:t>тарни, здравни и други пазарни изисквания.</w:t>
            </w:r>
          </w:p>
        </w:tc>
        <w:tc>
          <w:tcPr>
            <w:tcW w:w="1613" w:type="dxa"/>
            <w:tcBorders>
              <w:top w:val="nil"/>
              <w:left w:val="single" w:sz="18" w:space="0" w:color="2E74B5"/>
              <w:bottom w:val="single" w:sz="18" w:space="0" w:color="2E74B5"/>
              <w:right w:val="single" w:sz="18" w:space="0" w:color="2E74B5"/>
            </w:tcBorders>
            <w:shd w:val="clear" w:color="auto" w:fill="auto"/>
          </w:tcPr>
          <w:p w:rsidR="00A426CE" w:rsidRPr="00A426CE" w:rsidRDefault="00A426CE" w:rsidP="00831124">
            <w:r w:rsidRPr="00A426CE">
              <w:lastRenderedPageBreak/>
              <w:t>Приема се</w:t>
            </w:r>
          </w:p>
        </w:tc>
        <w:tc>
          <w:tcPr>
            <w:tcW w:w="4538" w:type="dxa"/>
            <w:tcBorders>
              <w:top w:val="nil"/>
              <w:left w:val="single" w:sz="18" w:space="0" w:color="2E74B5"/>
              <w:bottom w:val="single" w:sz="18" w:space="0" w:color="2E74B5"/>
              <w:right w:val="single" w:sz="36" w:space="0" w:color="2E74B5"/>
            </w:tcBorders>
            <w:shd w:val="clear" w:color="auto" w:fill="auto"/>
          </w:tcPr>
          <w:p w:rsidR="00A426CE" w:rsidRPr="00A426CE" w:rsidRDefault="00A426CE" w:rsidP="001E13F5">
            <w:pPr>
              <w:jc w:val="both"/>
            </w:pPr>
          </w:p>
        </w:tc>
      </w:tr>
      <w:tr w:rsidR="00FA70A7"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FA70A7" w:rsidRPr="00A426CE" w:rsidRDefault="00FA70A7" w:rsidP="00EB11E2">
            <w:pPr>
              <w:tabs>
                <w:tab w:val="left" w:pos="192"/>
              </w:tabs>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FA70A7" w:rsidRPr="00A426CE" w:rsidRDefault="00FA70A7" w:rsidP="00831124">
            <w:pPr>
              <w:rPr>
                <w:b/>
                <w:bCs/>
                <w:color w:val="000000"/>
                <w:spacing w:val="-2"/>
                <w:w w:val="86"/>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057011" w:rsidRDefault="00FA70A7" w:rsidP="00CA3D9D">
            <w:pPr>
              <w:jc w:val="both"/>
              <w:rPr>
                <w:spacing w:val="-4"/>
              </w:rPr>
            </w:pPr>
            <w:r w:rsidRPr="00057011">
              <w:rPr>
                <w:spacing w:val="-4"/>
              </w:rPr>
              <w:t>2. Предлагаме да бъде осмислена възможността от законопр</w:t>
            </w:r>
            <w:r w:rsidRPr="00057011">
              <w:rPr>
                <w:spacing w:val="-4"/>
              </w:rPr>
              <w:t>о</w:t>
            </w:r>
            <w:r w:rsidRPr="00057011">
              <w:rPr>
                <w:spacing w:val="-4"/>
              </w:rPr>
              <w:t>екта да отпаднат разпоредбите на чл. 39, ал. 4 и чл. 60, ал. 6, т. 2 (във връзка с т. 43 от ДР към законопроекта) или най-малкото, посочените в тях допустими стойности да бъдат пр</w:t>
            </w:r>
            <w:r w:rsidRPr="00057011">
              <w:rPr>
                <w:spacing w:val="-4"/>
              </w:rPr>
              <w:t>е</w:t>
            </w:r>
            <w:r w:rsidRPr="00057011">
              <w:rPr>
                <w:spacing w:val="-4"/>
              </w:rPr>
              <w:t>цизирани и редуцирани „до 2 хектолитра годишно на дом</w:t>
            </w:r>
            <w:r w:rsidRPr="00057011">
              <w:rPr>
                <w:spacing w:val="-4"/>
              </w:rPr>
              <w:t>а</w:t>
            </w:r>
            <w:r w:rsidRPr="00057011">
              <w:rPr>
                <w:spacing w:val="-4"/>
              </w:rPr>
              <w:t>кинство" поради следните съображения:</w:t>
            </w:r>
          </w:p>
          <w:p w:rsidR="00FA70A7" w:rsidRPr="00057011" w:rsidRDefault="00FA70A7" w:rsidP="00CA3D9D">
            <w:pPr>
              <w:jc w:val="both"/>
              <w:rPr>
                <w:spacing w:val="-4"/>
              </w:rPr>
            </w:pPr>
            <w:r w:rsidRPr="00057011">
              <w:rPr>
                <w:spacing w:val="-4"/>
              </w:rPr>
              <w:t>Въпросните текстове, макар и да намират частично свой екв</w:t>
            </w:r>
            <w:r w:rsidRPr="00057011">
              <w:rPr>
                <w:spacing w:val="-4"/>
              </w:rPr>
              <w:t>и</w:t>
            </w:r>
            <w:r w:rsidRPr="00057011">
              <w:rPr>
                <w:spacing w:val="-4"/>
              </w:rPr>
              <w:t>валент в действащия Закон за виното и спиртните напитки са в колизия, както със Закона за здравето, така и с препоръките на Световната здравна организация и редица международни а</w:t>
            </w:r>
            <w:r w:rsidRPr="00057011">
              <w:rPr>
                <w:spacing w:val="-4"/>
              </w:rPr>
              <w:t>к</w:t>
            </w:r>
            <w:r w:rsidRPr="00057011">
              <w:rPr>
                <w:spacing w:val="-4"/>
              </w:rPr>
              <w:t>тове, по които Република България е страна, по отношение изискванията за провеждане на държавна политика за огран</w:t>
            </w:r>
            <w:r w:rsidRPr="00057011">
              <w:rPr>
                <w:spacing w:val="-4"/>
              </w:rPr>
              <w:t>и</w:t>
            </w:r>
            <w:r w:rsidRPr="00057011">
              <w:rPr>
                <w:spacing w:val="-4"/>
              </w:rPr>
              <w:t>чаване и превенция на вредите от алкохолната зависимост.</w:t>
            </w:r>
          </w:p>
          <w:p w:rsidR="00FA70A7" w:rsidRPr="00E127B9" w:rsidRDefault="00FA70A7" w:rsidP="00CA3D9D">
            <w:pPr>
              <w:jc w:val="both"/>
              <w:rPr>
                <w:spacing w:val="-2"/>
              </w:rPr>
            </w:pPr>
            <w:r w:rsidRPr="00A426CE">
              <w:t>Обръщаме внимание на обстоятелството, че средният ра</w:t>
            </w:r>
            <w:r w:rsidRPr="00A426CE">
              <w:t>з</w:t>
            </w:r>
            <w:r w:rsidRPr="00A426CE">
              <w:t>мер на едно българско домакинство според официалните данни на НСИ на базата на последното преброяване на н</w:t>
            </w:r>
            <w:r w:rsidRPr="00A426CE">
              <w:t>а</w:t>
            </w:r>
            <w:r w:rsidRPr="00A426CE">
              <w:t xml:space="preserve">селението, осъществено през 2011 г. възлиза на 2.4 души. </w:t>
            </w:r>
            <w:r w:rsidRPr="00E127B9">
              <w:rPr>
                <w:spacing w:val="-2"/>
              </w:rPr>
              <w:t xml:space="preserve">Поради обективни предпоставки от демографски характер, </w:t>
            </w:r>
            <w:r w:rsidRPr="00E127B9">
              <w:rPr>
                <w:spacing w:val="-2"/>
              </w:rPr>
              <w:lastRenderedPageBreak/>
              <w:t>тази стойност е намаляла през последните 7 години. При все това. ако се вземат предвид дори и резултатите от преброяв</w:t>
            </w:r>
            <w:r w:rsidRPr="00E127B9">
              <w:rPr>
                <w:spacing w:val="-2"/>
              </w:rPr>
              <w:t>а</w:t>
            </w:r>
            <w:r w:rsidRPr="00E127B9">
              <w:rPr>
                <w:spacing w:val="-2"/>
              </w:rPr>
              <w:t>нето през 2011 г., то при наличие на следните базови данни:</w:t>
            </w:r>
          </w:p>
          <w:p w:rsidR="00FA70A7" w:rsidRPr="00A426CE" w:rsidRDefault="00FA70A7" w:rsidP="00170505">
            <w:pPr>
              <w:jc w:val="both"/>
            </w:pPr>
            <w:r w:rsidRPr="00A426CE">
              <w:t>- 10 хектолитра вино годишно (1000 литра);</w:t>
            </w:r>
          </w:p>
          <w:p w:rsidR="00FA70A7" w:rsidRPr="00A426CE" w:rsidRDefault="00FA70A7" w:rsidP="00CA3D9D">
            <w:pPr>
              <w:jc w:val="both"/>
            </w:pPr>
            <w:r w:rsidRPr="00A426CE">
              <w:t>- при средно алкохолно съдържание ни виното 13 об.%</w:t>
            </w:r>
          </w:p>
          <w:p w:rsidR="00FA70A7" w:rsidRPr="00A426CE" w:rsidRDefault="00FA70A7" w:rsidP="00CA3D9D">
            <w:pPr>
              <w:jc w:val="both"/>
            </w:pPr>
            <w:r w:rsidRPr="00A426CE">
              <w:t>- ежедневна консумация (365 дни в годината);</w:t>
            </w:r>
          </w:p>
          <w:p w:rsidR="00FA70A7" w:rsidRPr="00A426CE" w:rsidRDefault="00FA70A7" w:rsidP="00CA3D9D">
            <w:pPr>
              <w:jc w:val="both"/>
            </w:pPr>
            <w:r w:rsidRPr="00A426CE">
              <w:t>- среден размер на едно българско домакинство – 2,4 души (като следва да се има предвид,  че в това число са включ</w:t>
            </w:r>
            <w:r w:rsidRPr="00A426CE">
              <w:t>е</w:t>
            </w:r>
            <w:r w:rsidRPr="00A426CE">
              <w:t>ни малолетни и непълнолетни членове на домакинствата, като според същото преброяване</w:t>
            </w:r>
            <w:r w:rsidR="00057011">
              <w:t xml:space="preserve"> </w:t>
            </w:r>
            <w:r w:rsidRPr="00A426CE">
              <w:t>проектът на нов ЗВСН предполага, допуска и толерира едно средно българско д</w:t>
            </w:r>
            <w:r w:rsidRPr="00A426CE">
              <w:t>о</w:t>
            </w:r>
            <w:r w:rsidRPr="00A426CE">
              <w:t>макинство да консумира по 2.74 литра вино на ден. Прира</w:t>
            </w:r>
            <w:r w:rsidRPr="00A426CE">
              <w:t>в</w:t>
            </w:r>
            <w:r w:rsidRPr="00A426CE">
              <w:t xml:space="preserve">нено в спиртни напитки (концентрат), това се равнява на 0,9 литра концентрат (40 об. % </w:t>
            </w:r>
            <w:proofErr w:type="spellStart"/>
            <w:r w:rsidRPr="00A426CE">
              <w:t>алк</w:t>
            </w:r>
            <w:proofErr w:type="spellEnd"/>
            <w:r w:rsidRPr="00A426CE">
              <w:t>.) или средно по</w:t>
            </w:r>
            <w:r w:rsidR="00057011">
              <w:t xml:space="preserve"> </w:t>
            </w:r>
            <w:r w:rsidRPr="00A426CE">
              <w:t>0.375 литра концентрат на ден на член на домакинството (вкл. непълн</w:t>
            </w:r>
            <w:r w:rsidRPr="00A426CE">
              <w:t>о</w:t>
            </w:r>
            <w:r w:rsidRPr="00A426CE">
              <w:t>летните и малолетните). Казано по друг начин предложен</w:t>
            </w:r>
            <w:r w:rsidRPr="00A426CE">
              <w:t>и</w:t>
            </w:r>
            <w:r w:rsidRPr="00A426CE">
              <w:t>те текстове предполагат и допускат възможността цялото или определени прослойки от обществото да бъдат в перм</w:t>
            </w:r>
            <w:r w:rsidRPr="00A426CE">
              <w:t>а</w:t>
            </w:r>
            <w:r w:rsidRPr="00A426CE">
              <w:t>нентно състояние на „</w:t>
            </w:r>
            <w:proofErr w:type="spellStart"/>
            <w:r w:rsidRPr="00A426CE">
              <w:rPr>
                <w:lang w:val="en-US"/>
              </w:rPr>
              <w:t>ebrietas</w:t>
            </w:r>
            <w:proofErr w:type="spellEnd"/>
            <w:r w:rsidRPr="00A426CE">
              <w:t xml:space="preserve"> </w:t>
            </w:r>
            <w:r w:rsidRPr="00A426CE">
              <w:rPr>
                <w:lang w:val="en-US"/>
              </w:rPr>
              <w:t>vulgaris</w:t>
            </w:r>
            <w:r w:rsidRPr="00A426CE">
              <w:t>" (</w:t>
            </w:r>
            <w:proofErr w:type="spellStart"/>
            <w:r w:rsidRPr="00A426CE">
              <w:rPr>
                <w:lang w:val="en-US"/>
              </w:rPr>
              <w:t>lat</w:t>
            </w:r>
            <w:proofErr w:type="spellEnd"/>
            <w:r w:rsidRPr="00A426CE">
              <w:t>: просто алкохо</w:t>
            </w:r>
            <w:r w:rsidRPr="00A426CE">
              <w:t>л</w:t>
            </w:r>
            <w:r w:rsidRPr="00A426CE">
              <w:t xml:space="preserve">но </w:t>
            </w:r>
            <w:proofErr w:type="spellStart"/>
            <w:r w:rsidRPr="00A426CE">
              <w:t>опианение</w:t>
            </w:r>
            <w:proofErr w:type="spellEnd"/>
            <w:r w:rsidRPr="00A426CE">
              <w:t>). За съпоставка, само в Закона за акцизите и данъчните складове съществува текст, който толерира кон</w:t>
            </w:r>
            <w:r w:rsidRPr="00A426CE">
              <w:t>к</w:t>
            </w:r>
            <w:r w:rsidRPr="00A426CE">
              <w:t>ретно определени количества алкохол за консумация на г</w:t>
            </w:r>
            <w:r w:rsidRPr="00A426CE">
              <w:t>о</w:t>
            </w:r>
            <w:r w:rsidRPr="00A426CE">
              <w:t>дишна база от едно домакинство, където това количество е 30 литра ракия на година. При базовите стойности от горния пример, това се равнява на 0,034 литра алкохол (приравнен към 40 об.%) на ден на член па българско домакинство. Видно от гореизложеното с предлаганите текстове в проекта на нов ЗВСН се предвиждат стойност на консумация от един член на домакинство, надхвърлящи пад 10 пъти пре</w:t>
            </w:r>
            <w:r w:rsidRPr="00A426CE">
              <w:t>д</w:t>
            </w:r>
            <w:r w:rsidRPr="00A426CE">
              <w:t>видените стойности според ЗАДС.</w:t>
            </w:r>
          </w:p>
          <w:p w:rsidR="00FA70A7" w:rsidRPr="00A426CE" w:rsidRDefault="00FA70A7" w:rsidP="00CA3D9D">
            <w:pPr>
              <w:jc w:val="both"/>
            </w:pPr>
            <w:r w:rsidRPr="00A426CE">
              <w:t xml:space="preserve">В допълнение, че така предложените в текста на нов ЗВСН допустими стойност за ежедневна консумация от член на </w:t>
            </w:r>
            <w:r w:rsidRPr="00A426CE">
              <w:lastRenderedPageBreak/>
              <w:t xml:space="preserve">домакинството надхвърлят </w:t>
            </w:r>
            <w:r w:rsidRPr="00A426CE">
              <w:rPr>
                <w:b/>
              </w:rPr>
              <w:t>над 5 пъти</w:t>
            </w:r>
            <w:r w:rsidRPr="00A426CE">
              <w:t xml:space="preserve"> стойностите за ежедневна консумация на алкохол, от които според преп</w:t>
            </w:r>
            <w:r w:rsidRPr="00A426CE">
              <w:t>о</w:t>
            </w:r>
            <w:r w:rsidRPr="00A426CE">
              <w:t>ръките на Световната здравна организация е налице хр</w:t>
            </w:r>
            <w:r w:rsidRPr="00A426CE">
              <w:t>о</w:t>
            </w:r>
            <w:r w:rsidRPr="00A426CE">
              <w:t>нична зависимост на човека от алкохола(алкохолизъм).</w:t>
            </w:r>
          </w:p>
          <w:p w:rsidR="00FA70A7" w:rsidRPr="00E127B9" w:rsidRDefault="00FA70A7" w:rsidP="00992009">
            <w:pPr>
              <w:jc w:val="both"/>
              <w:rPr>
                <w:spacing w:val="-2"/>
              </w:rPr>
            </w:pPr>
            <w:r w:rsidRPr="00E127B9">
              <w:rPr>
                <w:spacing w:val="-2"/>
              </w:rPr>
              <w:t>Допълнително притеснение възниква н от обстоятелството, че никъде в текста на законопроекта не се прецизира времева рамка (например една година) за визираната допустима ко</w:t>
            </w:r>
            <w:r w:rsidRPr="00E127B9">
              <w:rPr>
                <w:spacing w:val="-2"/>
              </w:rPr>
              <w:t>н</w:t>
            </w:r>
            <w:r w:rsidRPr="00E127B9">
              <w:rPr>
                <w:spacing w:val="-2"/>
              </w:rPr>
              <w:t>сумация (до 10 хектолитра вино) от едно домакинство, което може да доведе и до свободни интерпретации и до против</w:t>
            </w:r>
            <w:r w:rsidRPr="00E127B9">
              <w:rPr>
                <w:spacing w:val="-2"/>
              </w:rPr>
              <w:t>о</w:t>
            </w:r>
            <w:r w:rsidRPr="00E127B9">
              <w:rPr>
                <w:spacing w:val="-2"/>
              </w:rPr>
              <w:t>речащи на здравия разум и добрите нрави резултати.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FA70A7" w:rsidP="00831124">
            <w:r w:rsidRPr="00A426CE">
              <w:lastRenderedPageBreak/>
              <w:t>Не се прие</w:t>
            </w:r>
            <w:r w:rsidR="00A426CE" w:rsidRPr="00A426CE">
              <w:t>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A426CE" w:rsidRDefault="00FA70A7" w:rsidP="001E13F5">
            <w:pPr>
              <w:jc w:val="both"/>
            </w:pPr>
            <w:r w:rsidRPr="00A426CE">
              <w:t>Както е посочено и в самото предлож</w:t>
            </w:r>
            <w:r w:rsidRPr="00A426CE">
              <w:t>е</w:t>
            </w:r>
            <w:r w:rsidRPr="00A426CE">
              <w:t>ние, законопроектът в тази част следва линията на досега действащата норм</w:t>
            </w:r>
            <w:r w:rsidRPr="00A426CE">
              <w:t>а</w:t>
            </w:r>
            <w:r w:rsidRPr="00A426CE">
              <w:t xml:space="preserve">тивна уредба. Целта на новия закон не е извършването на промяна в ущърб на която и да е страна участник в процеса на производство на </w:t>
            </w:r>
            <w:proofErr w:type="spellStart"/>
            <w:r w:rsidRPr="00A426CE">
              <w:t>лозаро-винарски</w:t>
            </w:r>
            <w:proofErr w:type="spellEnd"/>
            <w:r w:rsidRPr="00A426CE">
              <w:t xml:space="preserve"> пр</w:t>
            </w:r>
            <w:r w:rsidRPr="00A426CE">
              <w:t>о</w:t>
            </w:r>
            <w:r w:rsidRPr="00A426CE">
              <w:t>дукти.</w:t>
            </w:r>
          </w:p>
          <w:p w:rsidR="00FA70A7" w:rsidRPr="00A426CE" w:rsidRDefault="00FA70A7" w:rsidP="001C6E95">
            <w:pPr>
              <w:jc w:val="both"/>
            </w:pPr>
            <w:r w:rsidRPr="00A426CE">
              <w:t>Посочените стойности в проекта на ЗВСН и в сега действащия ЗВСН са с</w:t>
            </w:r>
            <w:r w:rsidRPr="00A426CE">
              <w:t>ъ</w:t>
            </w:r>
            <w:r w:rsidRPr="00A426CE">
              <w:t>образени с редица фактори. Така напр</w:t>
            </w:r>
            <w:r w:rsidRPr="00A426CE">
              <w:t>и</w:t>
            </w:r>
            <w:r w:rsidRPr="00A426CE">
              <w:t>мер е разрешено до декар лозе да се от</w:t>
            </w:r>
            <w:r w:rsidRPr="00A426CE">
              <w:t>г</w:t>
            </w:r>
            <w:r w:rsidRPr="00A426CE">
              <w:t>лежда без да се прилагат различните ра</w:t>
            </w:r>
            <w:r w:rsidRPr="00A426CE">
              <w:t>з</w:t>
            </w:r>
            <w:r w:rsidRPr="00A426CE">
              <w:t>решителни режими. Възможно от такава площ при определени условия да се от</w:t>
            </w:r>
            <w:r w:rsidRPr="00A426CE">
              <w:t>г</w:t>
            </w:r>
            <w:r w:rsidRPr="00A426CE">
              <w:t>леда такова количество продукция, от което да се произведе вино в значителни количества. Такива условия са благопр</w:t>
            </w:r>
            <w:r w:rsidRPr="00A426CE">
              <w:t>и</w:t>
            </w:r>
            <w:r w:rsidRPr="00A426CE">
              <w:lastRenderedPageBreak/>
              <w:t>ятни климатични условия, отглеждането на високопродуктивни сортове лозя, пр</w:t>
            </w:r>
            <w:r w:rsidRPr="00A426CE">
              <w:t>и</w:t>
            </w:r>
            <w:r w:rsidRPr="00A426CE">
              <w:t>лагането на добра агротехника. Не всяко домакинство има собствена реколта и изчисленията са преувеличени.</w:t>
            </w:r>
          </w:p>
          <w:p w:rsidR="00FA70A7" w:rsidRPr="00A426CE" w:rsidRDefault="00FA70A7" w:rsidP="001E13F5">
            <w:pPr>
              <w:jc w:val="both"/>
            </w:pPr>
            <w:r w:rsidRPr="00A426CE">
              <w:t>Следва да се отчете, че проектът е съгл</w:t>
            </w:r>
            <w:r w:rsidRPr="00A426CE">
              <w:t>а</w:t>
            </w:r>
            <w:r w:rsidRPr="00A426CE">
              <w:t>суван с министерство на здравеопазван</w:t>
            </w:r>
            <w:r w:rsidRPr="00A426CE">
              <w:t>е</w:t>
            </w:r>
            <w:r w:rsidRPr="00A426CE">
              <w:t>то, от където няма постъпили предлож</w:t>
            </w:r>
            <w:r w:rsidRPr="00A426CE">
              <w:t>е</w:t>
            </w:r>
            <w:r w:rsidRPr="00A426CE">
              <w:t>ния и препоръки за намаляване на досега приложимите стойности.</w:t>
            </w:r>
          </w:p>
          <w:p w:rsidR="00FA70A7" w:rsidRPr="00A426CE" w:rsidRDefault="00FA70A7" w:rsidP="001E13F5">
            <w:pPr>
              <w:jc w:val="both"/>
            </w:pPr>
            <w:r w:rsidRPr="00A426CE">
              <w:t>Поради изложеното не считаме за цел</w:t>
            </w:r>
            <w:r w:rsidRPr="00A426CE">
              <w:t>е</w:t>
            </w:r>
            <w:r w:rsidRPr="00A426CE">
              <w:t>съобразно предложението за намаляване на размера от 10 на 2 хектолитра за соб</w:t>
            </w:r>
            <w:r w:rsidRPr="00A426CE">
              <w:t>с</w:t>
            </w:r>
            <w:r w:rsidRPr="00A426CE">
              <w:t>твена консумация.</w:t>
            </w:r>
          </w:p>
          <w:p w:rsidR="00FA70A7" w:rsidRPr="00A426CE" w:rsidRDefault="00FA70A7" w:rsidP="001E13F5">
            <w:pPr>
              <w:jc w:val="both"/>
            </w:pPr>
          </w:p>
          <w:p w:rsidR="00FA70A7" w:rsidRPr="00A426CE" w:rsidRDefault="00FA70A7" w:rsidP="001E13F5">
            <w:pPr>
              <w:jc w:val="both"/>
            </w:pPr>
          </w:p>
        </w:tc>
      </w:tr>
      <w:tr w:rsidR="00FA70A7" w:rsidRPr="00A426CE" w:rsidTr="00E127B9">
        <w:trPr>
          <w:jc w:val="center"/>
        </w:trPr>
        <w:tc>
          <w:tcPr>
            <w:tcW w:w="622" w:type="dxa"/>
            <w:tcBorders>
              <w:top w:val="nil"/>
              <w:left w:val="single" w:sz="36" w:space="0" w:color="2E74B5"/>
              <w:bottom w:val="single" w:sz="18" w:space="0" w:color="2E74B5"/>
              <w:right w:val="single" w:sz="18" w:space="0" w:color="2E74B5"/>
            </w:tcBorders>
            <w:shd w:val="clear" w:color="auto" w:fill="auto"/>
          </w:tcPr>
          <w:p w:rsidR="00FA70A7" w:rsidRPr="00A426CE" w:rsidRDefault="00FA70A7" w:rsidP="00EB11E2">
            <w:pPr>
              <w:tabs>
                <w:tab w:val="left" w:pos="192"/>
              </w:tabs>
              <w:jc w:val="center"/>
              <w:rPr>
                <w:b/>
                <w:highlight w:val="yellow"/>
              </w:rPr>
            </w:pPr>
          </w:p>
        </w:tc>
        <w:tc>
          <w:tcPr>
            <w:tcW w:w="2410" w:type="dxa"/>
            <w:tcBorders>
              <w:top w:val="nil"/>
              <w:left w:val="single" w:sz="18" w:space="0" w:color="2E74B5"/>
              <w:bottom w:val="single" w:sz="18" w:space="0" w:color="2E74B5"/>
              <w:right w:val="single" w:sz="18" w:space="0" w:color="2E74B5"/>
            </w:tcBorders>
            <w:shd w:val="clear" w:color="auto" w:fill="auto"/>
          </w:tcPr>
          <w:p w:rsidR="00FA70A7" w:rsidRPr="00A426CE" w:rsidRDefault="00FA70A7" w:rsidP="00831124">
            <w:pPr>
              <w:rPr>
                <w:b/>
                <w:bCs/>
                <w:color w:val="000000"/>
                <w:spacing w:val="-2"/>
                <w:w w:val="86"/>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057011" w:rsidRDefault="00FA70A7" w:rsidP="005A4A9A">
            <w:pPr>
              <w:jc w:val="both"/>
              <w:rPr>
                <w:spacing w:val="-4"/>
              </w:rPr>
            </w:pPr>
            <w:r w:rsidRPr="00057011">
              <w:rPr>
                <w:spacing w:val="-4"/>
              </w:rPr>
              <w:t>3. На последно място, но не и по значение желаем да обърнем внимание на възможността в законопроекта да бъдат доразв</w:t>
            </w:r>
            <w:r w:rsidRPr="00057011">
              <w:rPr>
                <w:spacing w:val="-4"/>
              </w:rPr>
              <w:t>и</w:t>
            </w:r>
            <w:r w:rsidRPr="00057011">
              <w:rPr>
                <w:spacing w:val="-4"/>
              </w:rPr>
              <w:t>ти в по-голяма стенен на изчерпателност разпоредбите и пр</w:t>
            </w:r>
            <w:r w:rsidRPr="00057011">
              <w:rPr>
                <w:spacing w:val="-4"/>
              </w:rPr>
              <w:t>а</w:t>
            </w:r>
            <w:r w:rsidRPr="00057011">
              <w:rPr>
                <w:spacing w:val="-4"/>
              </w:rPr>
              <w:t>вилата, касаещи допустимите загуби и фири при производс</w:t>
            </w:r>
            <w:r w:rsidRPr="00057011">
              <w:rPr>
                <w:spacing w:val="-4"/>
              </w:rPr>
              <w:t>т</w:t>
            </w:r>
            <w:r w:rsidRPr="00057011">
              <w:rPr>
                <w:spacing w:val="-4"/>
              </w:rPr>
              <w:t>вото, съхранението и транспорта на вино и спиртни напитки, при съобразяване, от една страна със съвременните технол</w:t>
            </w:r>
            <w:r w:rsidRPr="00057011">
              <w:rPr>
                <w:spacing w:val="-4"/>
              </w:rPr>
              <w:t>о</w:t>
            </w:r>
            <w:r w:rsidRPr="00057011">
              <w:rPr>
                <w:spacing w:val="-4"/>
              </w:rPr>
              <w:t>гични достижения при осъществяването на този вид дейности и от друга страна, със специфичните и общи компетенции на други органи като Министерството на икономиката и Агенция „Митници" по повод на тяхното регулиране и контрол:</w:t>
            </w:r>
          </w:p>
          <w:p w:rsidR="00FA70A7" w:rsidRPr="00057011" w:rsidRDefault="00FA70A7" w:rsidP="005A4A9A">
            <w:pPr>
              <w:jc w:val="both"/>
              <w:rPr>
                <w:spacing w:val="-4"/>
              </w:rPr>
            </w:pPr>
            <w:r w:rsidRPr="00057011">
              <w:rPr>
                <w:spacing w:val="-4"/>
              </w:rPr>
              <w:t>В тази връзка, на първо място считаме, че най-удачното място за изчерпателно регламентиране на допустимите загуби  и фири при производството, съхранението и транспорта на вино и етилов алкохол (вкл. спиртни напитки) е именно ЗВСН, като „продуктов" закон, каквато е практиката в повечето други държави-членки на ЕС, решили да регламентират този спец</w:t>
            </w:r>
            <w:r w:rsidRPr="00057011">
              <w:rPr>
                <w:spacing w:val="-4"/>
              </w:rPr>
              <w:t>и</w:t>
            </w:r>
            <w:r w:rsidRPr="00057011">
              <w:rPr>
                <w:spacing w:val="-4"/>
              </w:rPr>
              <w:t>фичен елемент от материалната отчетност на лицата, осъщес</w:t>
            </w:r>
            <w:r w:rsidRPr="00057011">
              <w:rPr>
                <w:spacing w:val="-4"/>
              </w:rPr>
              <w:t>т</w:t>
            </w:r>
            <w:r w:rsidRPr="00057011">
              <w:rPr>
                <w:spacing w:val="-4"/>
              </w:rPr>
              <w:t xml:space="preserve">вяващи по занятие дейности по производство и търговия с вино и етилов алкохол, а не в нормативната уредба </w:t>
            </w:r>
            <w:proofErr w:type="spellStart"/>
            <w:r w:rsidRPr="00057011">
              <w:rPr>
                <w:spacing w:val="-4"/>
              </w:rPr>
              <w:t>касаеща</w:t>
            </w:r>
            <w:proofErr w:type="spellEnd"/>
            <w:r w:rsidRPr="00057011">
              <w:rPr>
                <w:spacing w:val="-4"/>
              </w:rPr>
              <w:t xml:space="preserve"> третирането на тези показатели за данъчни (акцизни) цели.</w:t>
            </w:r>
          </w:p>
          <w:p w:rsidR="00FA70A7" w:rsidRPr="00057011" w:rsidRDefault="00FA70A7" w:rsidP="005A4A9A">
            <w:pPr>
              <w:jc w:val="both"/>
              <w:rPr>
                <w:spacing w:val="-2"/>
              </w:rPr>
            </w:pPr>
            <w:r w:rsidRPr="00A426CE">
              <w:t>Понастоящем материята се регламентира частично и неи</w:t>
            </w:r>
            <w:r w:rsidRPr="00A426CE">
              <w:t>з</w:t>
            </w:r>
            <w:r w:rsidRPr="00A426CE">
              <w:t xml:space="preserve">черпателно в 3 отделни нормативни акта: в действащия </w:t>
            </w:r>
            <w:r w:rsidRPr="00A426CE">
              <w:lastRenderedPageBreak/>
              <w:t>ЗВСН, в Наредба №4 от 28.06.2006 г. за нормите на преде</w:t>
            </w:r>
            <w:r w:rsidRPr="00A426CE">
              <w:t>л</w:t>
            </w:r>
            <w:r w:rsidRPr="00A426CE">
              <w:t>ните размери на естествените фири на акцизните стоки, и</w:t>
            </w:r>
            <w:r w:rsidRPr="00A426CE">
              <w:t>з</w:t>
            </w:r>
            <w:r w:rsidRPr="00A426CE">
              <w:t>дадена от министъра на финансите и Наредба № 13а-10403 за пределните размери на естествените фири, брака и липс</w:t>
            </w:r>
            <w:r w:rsidRPr="00A426CE">
              <w:t>и</w:t>
            </w:r>
            <w:r w:rsidRPr="00A426CE">
              <w:t>те на стоково-материалните ценности при съхраняването и транспортирането им (</w:t>
            </w:r>
            <w:proofErr w:type="spellStart"/>
            <w:r w:rsidRPr="00A426CE">
              <w:t>обн</w:t>
            </w:r>
            <w:proofErr w:type="spellEnd"/>
            <w:r w:rsidRPr="00A426CE">
              <w:t xml:space="preserve">. ДВ. бр. 61 от 1959 г.. </w:t>
            </w:r>
            <w:r w:rsidRPr="00057011">
              <w:rPr>
                <w:spacing w:val="-2"/>
              </w:rPr>
              <w:t>Загл. дои. ДВ. бр. 28 от 1980 г.), издадена от министъра на търговията, министъра на финансите, министъра на земеделието и горите и министъра на транспорта и съобщенията. Действащата нормативна уредба не отговаря по задоволителен начин на съвременните условия, при които се осъществява производ</w:t>
            </w:r>
            <w:r w:rsidRPr="00057011">
              <w:rPr>
                <w:spacing w:val="-2"/>
              </w:rPr>
              <w:t>с</w:t>
            </w:r>
            <w:r w:rsidRPr="00057011">
              <w:rPr>
                <w:spacing w:val="-2"/>
              </w:rPr>
              <w:t>твото, съхранението и транспорта на вино, спиртни напитки и етилов алкохол, което поставя в затруднение предприяти</w:t>
            </w:r>
            <w:r w:rsidRPr="00057011">
              <w:rPr>
                <w:spacing w:val="-2"/>
              </w:rPr>
              <w:t>я</w:t>
            </w:r>
            <w:r w:rsidRPr="00057011">
              <w:rPr>
                <w:spacing w:val="-2"/>
              </w:rPr>
              <w:t>та в сектора.</w:t>
            </w:r>
          </w:p>
          <w:p w:rsidR="00FA70A7" w:rsidRPr="00A426CE" w:rsidRDefault="00FA70A7" w:rsidP="006B5E2B">
            <w:pPr>
              <w:jc w:val="both"/>
              <w:rPr>
                <w:highlight w:val="yellow"/>
              </w:rPr>
            </w:pPr>
            <w:r w:rsidRPr="00A426CE">
              <w:t>Същевременно отчитаме обстоятелството, че понастоящем на ниво Агенция „Митници" тече процедура по подготовка на проект на Наредба за изменение и допълнение на Наре</w:t>
            </w:r>
            <w:r w:rsidRPr="00A426CE">
              <w:t>д</w:t>
            </w:r>
            <w:r w:rsidRPr="00A426CE">
              <w:t>ба № 4 от 28.06.2006 г., поради което предлагаме, и в случай че одобрите целесъобразността на този подход, евентуалн</w:t>
            </w:r>
            <w:r w:rsidRPr="00A426CE">
              <w:t>о</w:t>
            </w:r>
            <w:r w:rsidRPr="00A426CE">
              <w:t>то допълнение на проекта на нов ЗВСН с изчерпателни пр</w:t>
            </w:r>
            <w:r w:rsidRPr="00A426CE">
              <w:t>а</w:t>
            </w:r>
            <w:r w:rsidRPr="00A426CE">
              <w:t>вила за допустимите загуби и фири при производството, съхранението и транспорта на вино и спиртни напитки да се осъществи в рамките на допълнително обсъждане във фо</w:t>
            </w:r>
            <w:r w:rsidRPr="00A426CE">
              <w:t>р</w:t>
            </w:r>
            <w:r w:rsidRPr="00A426CE">
              <w:t>мат на „работна група" (с участието на представители на МЗХГ, ИЛВЛ, НЛВК, Асоциацията на производителите, вносителите и търговците на спиртни напитки, Министерс</w:t>
            </w:r>
            <w:r w:rsidRPr="00A426CE">
              <w:t>т</w:t>
            </w:r>
            <w:r w:rsidRPr="00A426CE">
              <w:t>вото на икономиката и Агенция „Митници") преди предст</w:t>
            </w:r>
            <w:r w:rsidRPr="00A426CE">
              <w:t>а</w:t>
            </w:r>
            <w:r w:rsidRPr="00A426CE">
              <w:t>вянето на законопроекта за одобрение от Министерския съвет и внасянето му за обсъждане и гласуване на вниман</w:t>
            </w:r>
            <w:r w:rsidRPr="00A426CE">
              <w:t>и</w:t>
            </w:r>
            <w:r w:rsidRPr="00A426CE">
              <w:t>ето на Народното Събрание.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FA70A7" w:rsidP="00831124">
            <w:r w:rsidRPr="00A426CE">
              <w:lastRenderedPageBreak/>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A426CE" w:rsidRDefault="00A05613" w:rsidP="006C605F">
            <w:pPr>
              <w:jc w:val="both"/>
            </w:pPr>
            <w:r w:rsidRPr="00A426CE">
              <w:t>В закона е предвидена препратка към действащата нормативна уредба.</w:t>
            </w:r>
          </w:p>
        </w:tc>
      </w:tr>
      <w:tr w:rsidR="00FA70A7" w:rsidRPr="00A426CE" w:rsidTr="00E127B9">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FA70A7" w:rsidRPr="00A426CE" w:rsidRDefault="00FA70A7" w:rsidP="00FA70A7">
            <w:pPr>
              <w:numPr>
                <w:ilvl w:val="0"/>
                <w:numId w:val="5"/>
              </w:numPr>
              <w:tabs>
                <w:tab w:val="left" w:pos="192"/>
              </w:tabs>
              <w:ind w:left="0" w:firstLine="0"/>
              <w:jc w:val="center"/>
              <w:rPr>
                <w:b/>
              </w:rPr>
            </w:pPr>
          </w:p>
        </w:tc>
        <w:tc>
          <w:tcPr>
            <w:tcW w:w="2410" w:type="dxa"/>
            <w:tcBorders>
              <w:top w:val="single" w:sz="18" w:space="0" w:color="2E74B5"/>
              <w:left w:val="single" w:sz="18" w:space="0" w:color="2E74B5"/>
              <w:bottom w:val="nil"/>
              <w:right w:val="single" w:sz="18" w:space="0" w:color="2E74B5"/>
            </w:tcBorders>
            <w:shd w:val="clear" w:color="auto" w:fill="auto"/>
          </w:tcPr>
          <w:p w:rsidR="00FA70A7" w:rsidRPr="00057011" w:rsidRDefault="00FA70A7" w:rsidP="00853C0E">
            <w:pPr>
              <w:rPr>
                <w:b/>
                <w:bCs/>
                <w:color w:val="000000"/>
                <w:sz w:val="22"/>
                <w:szCs w:val="22"/>
              </w:rPr>
            </w:pPr>
            <w:r w:rsidRPr="00057011">
              <w:rPr>
                <w:b/>
                <w:bCs/>
                <w:color w:val="000000"/>
                <w:sz w:val="22"/>
                <w:szCs w:val="22"/>
              </w:rPr>
              <w:t xml:space="preserve">Национална </w:t>
            </w:r>
            <w:proofErr w:type="spellStart"/>
            <w:r w:rsidRPr="00057011">
              <w:rPr>
                <w:b/>
                <w:bCs/>
                <w:color w:val="000000"/>
                <w:sz w:val="22"/>
                <w:szCs w:val="22"/>
              </w:rPr>
              <w:t>лозаро-винарска</w:t>
            </w:r>
            <w:proofErr w:type="spellEnd"/>
            <w:r w:rsidRPr="00057011">
              <w:rPr>
                <w:b/>
                <w:bCs/>
                <w:color w:val="000000"/>
                <w:sz w:val="22"/>
                <w:szCs w:val="22"/>
              </w:rPr>
              <w:t xml:space="preserve"> камара - </w:t>
            </w:r>
            <w:r w:rsidRPr="00057011">
              <w:rPr>
                <w:b/>
                <w:bCs/>
                <w:color w:val="000000"/>
                <w:sz w:val="22"/>
                <w:szCs w:val="22"/>
              </w:rPr>
              <w:lastRenderedPageBreak/>
              <w:t>постъпило в МЗХГ с регист</w:t>
            </w:r>
            <w:r w:rsidR="002A0A9B" w:rsidRPr="00057011">
              <w:rPr>
                <w:b/>
                <w:bCs/>
                <w:color w:val="000000"/>
                <w:sz w:val="22"/>
                <w:szCs w:val="22"/>
              </w:rPr>
              <w:t xml:space="preserve">рационен </w:t>
            </w:r>
            <w:r w:rsidRPr="00057011">
              <w:rPr>
                <w:b/>
                <w:bCs/>
                <w:color w:val="000000"/>
                <w:sz w:val="22"/>
                <w:szCs w:val="22"/>
              </w:rPr>
              <w:t>и</w:t>
            </w:r>
            <w:r w:rsidRPr="00057011">
              <w:rPr>
                <w:b/>
                <w:bCs/>
                <w:color w:val="000000"/>
                <w:sz w:val="22"/>
                <w:szCs w:val="22"/>
              </w:rPr>
              <w:t>н</w:t>
            </w:r>
            <w:r w:rsidRPr="00057011">
              <w:rPr>
                <w:b/>
                <w:bCs/>
                <w:color w:val="000000"/>
                <w:sz w:val="22"/>
                <w:szCs w:val="22"/>
              </w:rPr>
              <w:t>декс 17-106 от 16.07.</w:t>
            </w:r>
            <w:r w:rsidR="002A0A9B" w:rsidRPr="00057011">
              <w:rPr>
                <w:b/>
                <w:bCs/>
                <w:color w:val="000000"/>
                <w:sz w:val="22"/>
                <w:szCs w:val="22"/>
              </w:rPr>
              <w:br/>
            </w:r>
            <w:r w:rsidRPr="00057011">
              <w:rPr>
                <w:b/>
                <w:bCs/>
                <w:color w:val="000000"/>
                <w:sz w:val="22"/>
                <w:szCs w:val="22"/>
              </w:rPr>
              <w:t xml:space="preserve">2019 г. </w:t>
            </w:r>
          </w:p>
          <w:p w:rsidR="00FA70A7" w:rsidRPr="00057011" w:rsidRDefault="00FA70A7" w:rsidP="00853C0E">
            <w:pPr>
              <w:rPr>
                <w:b/>
                <w:bCs/>
                <w:color w:val="000000"/>
                <w:sz w:val="22"/>
                <w:szCs w:val="22"/>
              </w:rPr>
            </w:pPr>
          </w:p>
          <w:p w:rsidR="00FA70A7" w:rsidRPr="00057011" w:rsidRDefault="00FA70A7" w:rsidP="00853C0E">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FA70A7" w:rsidP="00177D2B">
            <w:pPr>
              <w:jc w:val="both"/>
            </w:pPr>
            <w:r w:rsidRPr="00A426CE">
              <w:lastRenderedPageBreak/>
              <w:t xml:space="preserve">С оглед на специфичния статут на „Националната </w:t>
            </w:r>
            <w:proofErr w:type="spellStart"/>
            <w:r w:rsidRPr="00A426CE">
              <w:t>лозаро-винарска</w:t>
            </w:r>
            <w:proofErr w:type="spellEnd"/>
            <w:r w:rsidRPr="00A426CE">
              <w:t xml:space="preserve"> камара" (НЛВК) като </w:t>
            </w:r>
            <w:proofErr w:type="spellStart"/>
            <w:r w:rsidRPr="00A426CE">
              <w:t>междупрофесионална</w:t>
            </w:r>
            <w:proofErr w:type="spellEnd"/>
            <w:r w:rsidRPr="00A426CE">
              <w:t xml:space="preserve"> орг</w:t>
            </w:r>
            <w:r w:rsidRPr="00A426CE">
              <w:t>а</w:t>
            </w:r>
            <w:r w:rsidRPr="00A426CE">
              <w:lastRenderedPageBreak/>
              <w:t>низация с представителни за  отрасъла функции по смисъла на Закона за виното и спиртните напитки (ЗВСН) и въз</w:t>
            </w:r>
            <w:r w:rsidR="00057011">
              <w:t xml:space="preserve"> </w:t>
            </w:r>
            <w:r w:rsidRPr="00A426CE">
              <w:t>о</w:t>
            </w:r>
            <w:r w:rsidRPr="00A426CE">
              <w:t>с</w:t>
            </w:r>
            <w:r w:rsidRPr="00A426CE">
              <w:t xml:space="preserve">нова на </w:t>
            </w:r>
            <w:proofErr w:type="spellStart"/>
            <w:r w:rsidRPr="00A426CE">
              <w:t>вмененете</w:t>
            </w:r>
            <w:proofErr w:type="spellEnd"/>
            <w:r w:rsidRPr="00A426CE">
              <w:t xml:space="preserve"> ни правомощия по </w:t>
            </w:r>
            <w:proofErr w:type="spellStart"/>
            <w:r w:rsidRPr="00A426CE">
              <w:t>чл</w:t>
            </w:r>
            <w:proofErr w:type="spellEnd"/>
            <w:r w:rsidRPr="00A426CE">
              <w:t>, 7 от същия закон, изразяваме принципната си подкрепа по отношение па пу</w:t>
            </w:r>
            <w:r w:rsidRPr="00A426CE">
              <w:t>б</w:t>
            </w:r>
            <w:r w:rsidRPr="00A426CE">
              <w:t xml:space="preserve">ликувания за обществено </w:t>
            </w:r>
            <w:proofErr w:type="spellStart"/>
            <w:r w:rsidRPr="00A426CE">
              <w:t>обсьждане</w:t>
            </w:r>
            <w:proofErr w:type="spellEnd"/>
            <w:r w:rsidRPr="00A426CE">
              <w:t xml:space="preserve"> проект на нов Закон за виното и спиртните напитки (нов ЗВСН), като </w:t>
            </w:r>
            <w:proofErr w:type="spellStart"/>
            <w:r w:rsidRPr="00A426CE">
              <w:t>сьщевреме</w:t>
            </w:r>
            <w:r w:rsidRPr="00A426CE">
              <w:t>н</w:t>
            </w:r>
            <w:r w:rsidRPr="00A426CE">
              <w:t>но</w:t>
            </w:r>
            <w:proofErr w:type="spellEnd"/>
            <w:r w:rsidRPr="00A426CE">
              <w:t xml:space="preserve"> Ви представяме следните наши бележки и предложения: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FA70A7" w:rsidP="002A0A9B"/>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A426CE" w:rsidRDefault="00FA70A7" w:rsidP="00177D2B"/>
        </w:tc>
      </w:tr>
      <w:tr w:rsidR="00A426CE"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A426CE" w:rsidRPr="00A426CE" w:rsidRDefault="00A426CE" w:rsidP="00853C0E">
            <w:pPr>
              <w:tabs>
                <w:tab w:val="left" w:pos="192"/>
              </w:tabs>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A426CE" w:rsidRPr="00A426CE" w:rsidRDefault="00A426CE" w:rsidP="00853C0E">
            <w:pPr>
              <w:rPr>
                <w:b/>
                <w:bCs/>
                <w:color w:val="000000"/>
                <w:spacing w:val="-2"/>
                <w:w w:val="86"/>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2A0A9B" w:rsidRPr="004056C3" w:rsidRDefault="002A0A9B" w:rsidP="002A0A9B">
            <w:pPr>
              <w:jc w:val="both"/>
              <w:rPr>
                <w:spacing w:val="-2"/>
              </w:rPr>
            </w:pPr>
            <w:r w:rsidRPr="004056C3">
              <w:rPr>
                <w:spacing w:val="-2"/>
              </w:rPr>
              <w:t>1. Предлагаме от текста на законопроекта да отпаднат разп</w:t>
            </w:r>
            <w:r w:rsidRPr="004056C3">
              <w:rPr>
                <w:spacing w:val="-2"/>
              </w:rPr>
              <w:t>о</w:t>
            </w:r>
            <w:r w:rsidRPr="004056C3">
              <w:rPr>
                <w:spacing w:val="-2"/>
              </w:rPr>
              <w:t>редбите на чл. 37, ал. 2 и ал. 3 поради следните съображения:</w:t>
            </w:r>
          </w:p>
          <w:p w:rsidR="002A0A9B" w:rsidRPr="00A426CE" w:rsidRDefault="002A0A9B" w:rsidP="002A0A9B">
            <w:pPr>
              <w:jc w:val="both"/>
            </w:pPr>
            <w:r w:rsidRPr="00A426CE">
              <w:t xml:space="preserve">Изразяваме безпокойство но отношение наличието на така визираните </w:t>
            </w:r>
            <w:proofErr w:type="spellStart"/>
            <w:r w:rsidRPr="00A426CE">
              <w:t>проекторазпоредби</w:t>
            </w:r>
            <w:proofErr w:type="spellEnd"/>
            <w:r w:rsidRPr="00A426CE">
              <w:t>. Чрез тях се предвижда в</w:t>
            </w:r>
            <w:r w:rsidRPr="00A426CE">
              <w:t>ъ</w:t>
            </w:r>
            <w:r w:rsidRPr="00A426CE">
              <w:t>веждането на несъществуващ до настоящия момент режим, толериращ производството на вино за търговски цели от нерегистрирани като винопроизводители лица (</w:t>
            </w:r>
            <w:proofErr w:type="spellStart"/>
            <w:r w:rsidRPr="00A426CE">
              <w:t>гроздопр</w:t>
            </w:r>
            <w:r w:rsidRPr="00A426CE">
              <w:t>о</w:t>
            </w:r>
            <w:r w:rsidRPr="00A426CE">
              <w:t>изводители</w:t>
            </w:r>
            <w:proofErr w:type="spellEnd"/>
            <w:r w:rsidRPr="00A426CE">
              <w:t>). Считаме, че един подобен режим е в против</w:t>
            </w:r>
            <w:r w:rsidRPr="00A426CE">
              <w:t>о</w:t>
            </w:r>
            <w:r w:rsidRPr="00A426CE">
              <w:t>речие, както със заявените цели на законопроекта:</w:t>
            </w:r>
          </w:p>
          <w:p w:rsidR="002A0A9B" w:rsidRPr="00A426CE" w:rsidRDefault="002A0A9B" w:rsidP="002A0A9B">
            <w:pPr>
              <w:jc w:val="both"/>
            </w:pPr>
            <w:r w:rsidRPr="00A426CE">
              <w:t xml:space="preserve">„Създаване на </w:t>
            </w:r>
            <w:proofErr w:type="spellStart"/>
            <w:r w:rsidRPr="00A426CE">
              <w:t>лозаро-винарски</w:t>
            </w:r>
            <w:proofErr w:type="spellEnd"/>
            <w:r w:rsidRPr="00A426CE">
              <w:t xml:space="preserve"> режим, почиващ на ясни, прости и ефикасни правила",</w:t>
            </w:r>
          </w:p>
          <w:p w:rsidR="002A0A9B" w:rsidRPr="00A426CE" w:rsidRDefault="002A0A9B" w:rsidP="002A0A9B">
            <w:pPr>
              <w:jc w:val="both"/>
            </w:pPr>
            <w:r w:rsidRPr="00A426CE">
              <w:t xml:space="preserve">,,Продуктите от </w:t>
            </w:r>
            <w:proofErr w:type="spellStart"/>
            <w:r w:rsidRPr="00A426CE">
              <w:t>лозаро-винарския</w:t>
            </w:r>
            <w:proofErr w:type="spellEnd"/>
            <w:r w:rsidRPr="00A426CE">
              <w:t xml:space="preserve"> сектор следва да се пр</w:t>
            </w:r>
            <w:r w:rsidRPr="00A426CE">
              <w:t>о</w:t>
            </w:r>
            <w:r w:rsidRPr="00A426CE">
              <w:t xml:space="preserve">извеждат в съответствие с определени правила относно </w:t>
            </w:r>
            <w:proofErr w:type="spellStart"/>
            <w:r w:rsidRPr="00A426CE">
              <w:t>ен</w:t>
            </w:r>
            <w:r w:rsidRPr="00A426CE">
              <w:t>о</w:t>
            </w:r>
            <w:r w:rsidRPr="00A426CE">
              <w:t>логичните</w:t>
            </w:r>
            <w:proofErr w:type="spellEnd"/>
            <w:r w:rsidRPr="00A426CE">
              <w:t xml:space="preserve"> практики и ограничения, които да гарантират, че се отговаря на съображенията, свързани с общественото здраве, и на очакванията на потребителите по отношение на качеството и производствените методи" и </w:t>
            </w:r>
          </w:p>
          <w:p w:rsidR="002A0A9B" w:rsidRPr="00A426CE" w:rsidRDefault="002A0A9B" w:rsidP="002A0A9B">
            <w:pPr>
              <w:jc w:val="both"/>
            </w:pPr>
            <w:r w:rsidRPr="00A426CE">
              <w:t>„Предотвратяване на измамни практики и постигане на прозрачност на пазара и честна конкуренция при производ</w:t>
            </w:r>
            <w:r w:rsidRPr="00A426CE">
              <w:t>с</w:t>
            </w:r>
            <w:r w:rsidRPr="00A426CE">
              <w:t xml:space="preserve">твото на спиртни напитки, </w:t>
            </w:r>
            <w:proofErr w:type="spellStart"/>
            <w:r w:rsidRPr="00A426CE">
              <w:t>гроздо</w:t>
            </w:r>
            <w:proofErr w:type="spellEnd"/>
            <w:r w:rsidRPr="00A426CE">
              <w:t xml:space="preserve"> и вино производство“,</w:t>
            </w:r>
          </w:p>
          <w:p w:rsidR="002A0A9B" w:rsidRPr="00A426CE" w:rsidRDefault="002A0A9B" w:rsidP="002A0A9B">
            <w:pPr>
              <w:jc w:val="both"/>
            </w:pPr>
            <w:r w:rsidRPr="00A426CE">
              <w:t>така и с действащата нормативна уредба, регламентираща дейността по производство и предлагане за продажба на вино като акцизна стока по смисъла па европейското зак</w:t>
            </w:r>
            <w:r w:rsidRPr="00A426CE">
              <w:t>о</w:t>
            </w:r>
            <w:r w:rsidRPr="00A426CE">
              <w:t xml:space="preserve">нодателство и Закона за акцизите и данъчните складове и в частност: чл. 4. т. 9, чл. 20, ал. 2, т. 1а, чл. 56, ал. 1, т.2, чл. </w:t>
            </w:r>
            <w:r w:rsidRPr="00A426CE">
              <w:lastRenderedPageBreak/>
              <w:t>60, чл. 87 и др., които регламентират регистрационния р</w:t>
            </w:r>
            <w:r w:rsidRPr="00A426CE">
              <w:t>е</w:t>
            </w:r>
            <w:r w:rsidRPr="00A426CE">
              <w:t xml:space="preserve">жим по ЗАДС, в рамките на който могат да оперират всички винопроизводители (малки), които не действат в качеството на лицензирани </w:t>
            </w:r>
            <w:proofErr w:type="spellStart"/>
            <w:r w:rsidRPr="00A426CE">
              <w:t>складодържатели</w:t>
            </w:r>
            <w:proofErr w:type="spellEnd"/>
            <w:r w:rsidRPr="00A426CE">
              <w:t xml:space="preserve"> по смисъла на ЗАДС.</w:t>
            </w:r>
          </w:p>
          <w:p w:rsidR="00A426CE" w:rsidRPr="00A426CE" w:rsidRDefault="002A0A9B" w:rsidP="002A0A9B">
            <w:pPr>
              <w:jc w:val="both"/>
            </w:pPr>
            <w:r w:rsidRPr="00A426CE">
              <w:t>Предлага се въвеждането на режим на производство и пр</w:t>
            </w:r>
            <w:r w:rsidRPr="00A426CE">
              <w:t>о</w:t>
            </w:r>
            <w:r w:rsidRPr="00A426CE">
              <w:t>дажба (освобождаване за потребление) на акцизни стоки (вино), който да попада извън обхвата на изискванията, свързани с контролирането на този вид дейност, което води със себе си съществени рискове, свързани с нарушаване у</w:t>
            </w:r>
            <w:r w:rsidRPr="00A426CE">
              <w:t>с</w:t>
            </w:r>
            <w:r w:rsidRPr="00A426CE">
              <w:t>ловията на конкуренцията, разрастване на сивия сектор в бранша и липса на реални гаранции за защита правата на потребителите и общественото здраве. Изразяваме катег</w:t>
            </w:r>
            <w:r w:rsidRPr="00A426CE">
              <w:t>о</w:t>
            </w:r>
            <w:r w:rsidRPr="00A426CE">
              <w:t>рично несъгласие с въвеждането на подобен режим. Въпр</w:t>
            </w:r>
            <w:r w:rsidRPr="00A426CE">
              <w:t>е</w:t>
            </w:r>
            <w:r w:rsidRPr="00A426CE">
              <w:t xml:space="preserve">ки наличието на изискване, продажби на вино от </w:t>
            </w:r>
            <w:proofErr w:type="spellStart"/>
            <w:r w:rsidRPr="00A426CE">
              <w:t>гроздопр</w:t>
            </w:r>
            <w:r w:rsidRPr="00A426CE">
              <w:t>о</w:t>
            </w:r>
            <w:r w:rsidRPr="00A426CE">
              <w:t>изводители</w:t>
            </w:r>
            <w:proofErr w:type="spellEnd"/>
            <w:r w:rsidRPr="00A426CE">
              <w:t xml:space="preserve"> в размер до 10 000 литра (10 </w:t>
            </w:r>
            <w:proofErr w:type="spellStart"/>
            <w:r w:rsidRPr="00A426CE">
              <w:t>хл</w:t>
            </w:r>
            <w:proofErr w:type="spellEnd"/>
            <w:r w:rsidRPr="00A426CE">
              <w:t>.) на година, да се осъществяват след извършен лабораторен анализ (чл. 37, ал. 3) на същото от акредитирана за целта лаборатория, з</w:t>
            </w:r>
            <w:r w:rsidRPr="00A426CE">
              <w:t>а</w:t>
            </w:r>
            <w:r w:rsidRPr="00A426CE">
              <w:t>конопроектът предвижда едва от 500 лв. до 1000 лв. глоба за лицата, които извършват подобна дейност в нарушение на чл. 37 (чл. 163 от законопроекта), което по никакъв начин не може да възприемем като възпиращ възможните злоупотр</w:t>
            </w:r>
            <w:r w:rsidRPr="00A426CE">
              <w:t>е</w:t>
            </w:r>
            <w:r w:rsidRPr="00A426CE">
              <w:t>би санкционен механизъм нито спрямо максимално допу</w:t>
            </w:r>
            <w:r w:rsidRPr="00A426CE">
              <w:t>с</w:t>
            </w:r>
            <w:r w:rsidRPr="00A426CE">
              <w:t>тимото за реализация количество вино (10 000 литра на г</w:t>
            </w:r>
            <w:r w:rsidRPr="00A426CE">
              <w:t>о</w:t>
            </w:r>
            <w:r w:rsidRPr="00A426CE">
              <w:t>дина), нито спрямо неспазването на изискването за осъще</w:t>
            </w:r>
            <w:r w:rsidRPr="00A426CE">
              <w:t>с</w:t>
            </w:r>
            <w:r w:rsidRPr="00A426CE">
              <w:t>твяване на лабораторен анализ. Така угрозата от налагане на глоба в размер от 500 лв. до 1000 лв. по никакъв начин няма да възпрепятства определени лица да продават десетки х</w:t>
            </w:r>
            <w:r w:rsidRPr="00A426CE">
              <w:t>и</w:t>
            </w:r>
            <w:r w:rsidRPr="00A426CE">
              <w:t>ляди литра вино годишно, в нарушение на всякакви сан</w:t>
            </w:r>
            <w:r w:rsidRPr="00A426CE">
              <w:t>и</w:t>
            </w:r>
            <w:r w:rsidRPr="00A426CE">
              <w:t>тарни, здравни и други пазарни изисквания.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A426CE" w:rsidRPr="00A426CE" w:rsidRDefault="002A0A9B" w:rsidP="00853C0E">
            <w:r w:rsidRPr="00A426CE">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A426CE" w:rsidRPr="00A426CE" w:rsidRDefault="00A426CE" w:rsidP="00853C0E">
            <w:pPr>
              <w:jc w:val="both"/>
            </w:pPr>
          </w:p>
        </w:tc>
      </w:tr>
      <w:tr w:rsidR="00FA70A7" w:rsidRPr="00A426CE" w:rsidTr="00E127B9">
        <w:trPr>
          <w:jc w:val="center"/>
        </w:trPr>
        <w:tc>
          <w:tcPr>
            <w:tcW w:w="622" w:type="dxa"/>
            <w:tcBorders>
              <w:top w:val="nil"/>
              <w:left w:val="single" w:sz="36" w:space="0" w:color="2E74B5"/>
              <w:bottom w:val="nil"/>
              <w:right w:val="single" w:sz="18" w:space="0" w:color="2E74B5"/>
            </w:tcBorders>
            <w:shd w:val="clear" w:color="auto" w:fill="auto"/>
          </w:tcPr>
          <w:p w:rsidR="00FA70A7" w:rsidRPr="00A426CE" w:rsidRDefault="00FA70A7" w:rsidP="00853C0E">
            <w:pPr>
              <w:tabs>
                <w:tab w:val="left" w:pos="192"/>
              </w:tabs>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FA70A7" w:rsidRPr="00A426CE" w:rsidRDefault="00FA70A7" w:rsidP="00853C0E">
            <w:pPr>
              <w:rPr>
                <w:b/>
                <w:bCs/>
                <w:color w:val="000000"/>
                <w:spacing w:val="-2"/>
                <w:w w:val="86"/>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FA70A7" w:rsidP="00853C0E">
            <w:pPr>
              <w:jc w:val="both"/>
            </w:pPr>
            <w:r w:rsidRPr="00A426CE">
              <w:t>2. Предлагаме да бъде осмислена възможността от законо</w:t>
            </w:r>
            <w:r w:rsidRPr="00A426CE">
              <w:t>п</w:t>
            </w:r>
            <w:r w:rsidRPr="00A426CE">
              <w:t>роекта да отпаднат разпоредбите на чл. 39, ал. 4 и чл. 60, ал. 6, т. 2 (във връзка с т. 43 от ДР към законопроекта) или най-</w:t>
            </w:r>
            <w:r w:rsidRPr="00A426CE">
              <w:lastRenderedPageBreak/>
              <w:t>малкото, посочените в тях допустими стойности да бъдат прецизирани и редуцирани „до 2 хектолитра годишно на домакинство" поради следните съображения:</w:t>
            </w:r>
          </w:p>
          <w:p w:rsidR="00FA70A7" w:rsidRPr="00A426CE" w:rsidRDefault="00FA70A7" w:rsidP="00853C0E">
            <w:pPr>
              <w:jc w:val="both"/>
            </w:pPr>
            <w:r w:rsidRPr="00A426CE">
              <w:t>Въпросните текстове, макар и да намират частично свой еквивалент в действащия Закон за виното и спиртните н</w:t>
            </w:r>
            <w:r w:rsidRPr="00A426CE">
              <w:t>а</w:t>
            </w:r>
            <w:r w:rsidRPr="00A426CE">
              <w:t>питки са в колизия, както със Закона за здравето, така и с препоръките на Световната здравна организация и редица международни актове, по които Република България е стр</w:t>
            </w:r>
            <w:r w:rsidRPr="00A426CE">
              <w:t>а</w:t>
            </w:r>
            <w:r w:rsidRPr="00A426CE">
              <w:t>на, по отношение изискванията за провеждане на държавна политика за ограничаване и превенция на вредите от алк</w:t>
            </w:r>
            <w:r w:rsidRPr="00A426CE">
              <w:t>о</w:t>
            </w:r>
            <w:r w:rsidRPr="00A426CE">
              <w:t>холната зависимост.</w:t>
            </w:r>
          </w:p>
          <w:p w:rsidR="00FA70A7" w:rsidRPr="004056C3" w:rsidRDefault="00FA70A7" w:rsidP="00853C0E">
            <w:pPr>
              <w:jc w:val="both"/>
              <w:rPr>
                <w:spacing w:val="-2"/>
              </w:rPr>
            </w:pPr>
            <w:r w:rsidRPr="004056C3">
              <w:rPr>
                <w:spacing w:val="-2"/>
              </w:rPr>
              <w:t>Обръщаме внимание на обстоятелството, че средният размер на едно българско домакинство според официалните данни на НСИ на базата на последното преброяване на населението, осъществено през 2011 г. възлиза на 2.4 души. Поради обе</w:t>
            </w:r>
            <w:r w:rsidRPr="004056C3">
              <w:rPr>
                <w:spacing w:val="-2"/>
              </w:rPr>
              <w:t>к</w:t>
            </w:r>
            <w:r w:rsidRPr="004056C3">
              <w:rPr>
                <w:spacing w:val="-2"/>
              </w:rPr>
              <w:t>тивни предпоставки от демографски характер, тази стойност е намаляла през последните 7 години. При все това. ако се вземат предвид дори и резултатите от преброяването през 2011 г., то при наличие на следните базови данни:</w:t>
            </w:r>
          </w:p>
          <w:p w:rsidR="00FA70A7" w:rsidRPr="00A426CE" w:rsidRDefault="00FA70A7" w:rsidP="00853C0E">
            <w:pPr>
              <w:jc w:val="both"/>
            </w:pPr>
            <w:r w:rsidRPr="00A426CE">
              <w:t>- 10 хектолитра вино годишно (1000 литра);</w:t>
            </w:r>
          </w:p>
          <w:p w:rsidR="00FA70A7" w:rsidRPr="00A426CE" w:rsidRDefault="00FA70A7" w:rsidP="00853C0E">
            <w:pPr>
              <w:jc w:val="both"/>
            </w:pPr>
            <w:r w:rsidRPr="00A426CE">
              <w:t>- при средно алкохолно съдържание ни виното 13 об.%</w:t>
            </w:r>
          </w:p>
          <w:p w:rsidR="00FA70A7" w:rsidRPr="00A426CE" w:rsidRDefault="00FA70A7" w:rsidP="00853C0E">
            <w:pPr>
              <w:jc w:val="both"/>
            </w:pPr>
            <w:r w:rsidRPr="00A426CE">
              <w:t>- ежедневна консумация (365 дни в годината);</w:t>
            </w:r>
          </w:p>
          <w:p w:rsidR="00FA70A7" w:rsidRPr="00A426CE" w:rsidRDefault="00FA70A7" w:rsidP="00853C0E">
            <w:pPr>
              <w:jc w:val="both"/>
            </w:pPr>
            <w:r w:rsidRPr="00A426CE">
              <w:t>- среден размер на едно българско домакинство – 2,4 души (като следва да се има предвид,  че в това число са включ</w:t>
            </w:r>
            <w:r w:rsidRPr="00A426CE">
              <w:t>е</w:t>
            </w:r>
            <w:r w:rsidRPr="00A426CE">
              <w:t>ни малолетни и непълнолетни членове на домакинствата, като според същото преброяване</w:t>
            </w:r>
          </w:p>
          <w:p w:rsidR="00FA70A7" w:rsidRPr="00A426CE" w:rsidRDefault="00FA70A7" w:rsidP="00853C0E">
            <w:pPr>
              <w:jc w:val="both"/>
            </w:pPr>
            <w:r w:rsidRPr="00A426CE">
              <w:t xml:space="preserve">проектът на нов ЗВСН предполага, допуска и толерира едно средно българско домакинство да консумира по 2.74 литра вино на ден. Приравнено в спиртни напитки (концентрат), това се равнява на 0,9 литра концентрат (40 об. % </w:t>
            </w:r>
            <w:proofErr w:type="spellStart"/>
            <w:r w:rsidRPr="00A426CE">
              <w:t>алк</w:t>
            </w:r>
            <w:proofErr w:type="spellEnd"/>
            <w:r w:rsidRPr="00A426CE">
              <w:t>.) или средно по</w:t>
            </w:r>
          </w:p>
          <w:p w:rsidR="00FA70A7" w:rsidRPr="00A426CE" w:rsidRDefault="00FA70A7" w:rsidP="00853C0E">
            <w:pPr>
              <w:jc w:val="both"/>
            </w:pPr>
            <w:r w:rsidRPr="00A426CE">
              <w:t xml:space="preserve"> 0.375 литра концентрат на ден на член на домакинството </w:t>
            </w:r>
            <w:r w:rsidRPr="00A426CE">
              <w:lastRenderedPageBreak/>
              <w:t>(вкл. непълнолетните и малолетните). Казано по друг начин предложените текстове предполагат и допускат възмо</w:t>
            </w:r>
            <w:r w:rsidRPr="00A426CE">
              <w:t>ж</w:t>
            </w:r>
            <w:r w:rsidRPr="00A426CE">
              <w:t>ността цялото или определени прослойки от обществото да бъдат в перманентно състояние на „</w:t>
            </w:r>
            <w:proofErr w:type="spellStart"/>
            <w:r w:rsidRPr="00A426CE">
              <w:rPr>
                <w:lang w:val="en-US"/>
              </w:rPr>
              <w:t>ebrietas</w:t>
            </w:r>
            <w:proofErr w:type="spellEnd"/>
            <w:r w:rsidRPr="00A426CE">
              <w:t xml:space="preserve"> </w:t>
            </w:r>
            <w:r w:rsidRPr="00A426CE">
              <w:rPr>
                <w:lang w:val="en-US"/>
              </w:rPr>
              <w:t>vulgaris</w:t>
            </w:r>
            <w:r w:rsidRPr="00A426CE">
              <w:t>" (</w:t>
            </w:r>
            <w:proofErr w:type="spellStart"/>
            <w:r w:rsidRPr="00A426CE">
              <w:rPr>
                <w:lang w:val="en-US"/>
              </w:rPr>
              <w:t>lat</w:t>
            </w:r>
            <w:proofErr w:type="spellEnd"/>
            <w:r w:rsidRPr="00A426CE">
              <w:t xml:space="preserve">: просто алкохолно </w:t>
            </w:r>
            <w:proofErr w:type="spellStart"/>
            <w:r w:rsidRPr="00A426CE">
              <w:t>опианение</w:t>
            </w:r>
            <w:proofErr w:type="spellEnd"/>
            <w:r w:rsidRPr="00A426CE">
              <w:t>). За съпоставка, само в Закона за акцизите и данъчните складове съществува текст, който толерира конкретно определени количества алкохол за ко</w:t>
            </w:r>
            <w:r w:rsidRPr="00A426CE">
              <w:t>н</w:t>
            </w:r>
            <w:r w:rsidRPr="00A426CE">
              <w:t>сумация на годишна база от едно домакинство, където това количество е 30 литра ракия на година. При базовите сто</w:t>
            </w:r>
            <w:r w:rsidRPr="00A426CE">
              <w:t>й</w:t>
            </w:r>
            <w:r w:rsidRPr="00A426CE">
              <w:t>ности от горния пример, това се равнява на 0,034 литра а</w:t>
            </w:r>
            <w:r w:rsidRPr="00A426CE">
              <w:t>л</w:t>
            </w:r>
            <w:r w:rsidRPr="00A426CE">
              <w:t>кохол (приравнен към 40 об.%) на ден на член па българско домакинство. Видно от гореизложеното с предлаганите те</w:t>
            </w:r>
            <w:r w:rsidRPr="00A426CE">
              <w:t>к</w:t>
            </w:r>
            <w:r w:rsidRPr="00A426CE">
              <w:t>стове в проекта на нов ЗВСН се предвиждат стойност на консумация от един член на домакинство, надхвърлящи пад 10 пъти предвидените стойности според ЗАДС.</w:t>
            </w:r>
          </w:p>
          <w:p w:rsidR="00FA70A7" w:rsidRPr="00A426CE" w:rsidRDefault="00FA70A7" w:rsidP="00853C0E">
            <w:pPr>
              <w:jc w:val="both"/>
            </w:pPr>
            <w:r w:rsidRPr="00A426CE">
              <w:t xml:space="preserve">В допълнение, че така предложените в текста на нов ЗВСН допустими стойност за ежедневна консумация от член на домакинството надхвърлят </w:t>
            </w:r>
            <w:r w:rsidRPr="00A426CE">
              <w:rPr>
                <w:b/>
              </w:rPr>
              <w:t>над 5 пъти</w:t>
            </w:r>
            <w:r w:rsidRPr="00A426CE">
              <w:t xml:space="preserve"> стойностите за ежедневна консумация на алкохол, от които според преп</w:t>
            </w:r>
            <w:r w:rsidRPr="00A426CE">
              <w:t>о</w:t>
            </w:r>
            <w:r w:rsidRPr="00A426CE">
              <w:t>ръките на Световната здравна организация е налице хр</w:t>
            </w:r>
            <w:r w:rsidRPr="00A426CE">
              <w:t>о</w:t>
            </w:r>
            <w:r w:rsidRPr="00A426CE">
              <w:t>нична зависимост на човека от алкохола(алкохолизъм).</w:t>
            </w:r>
          </w:p>
          <w:p w:rsidR="00FA70A7" w:rsidRPr="00A426CE" w:rsidRDefault="00FA70A7" w:rsidP="00853C0E">
            <w:pPr>
              <w:jc w:val="both"/>
            </w:pPr>
            <w:r w:rsidRPr="00A426CE">
              <w:t>Допълнително притеснение възниква н от обстоятелството, че никъде в текста на законопроекта не се прецизира врем</w:t>
            </w:r>
            <w:r w:rsidRPr="00A426CE">
              <w:t>е</w:t>
            </w:r>
            <w:r w:rsidRPr="00A426CE">
              <w:t xml:space="preserve">ва рамка (например една година) за визираната допустима консумация (до 10 хектолитра вино) от едно домакинство, </w:t>
            </w:r>
            <w:r w:rsidRPr="00E127B9">
              <w:rPr>
                <w:spacing w:val="-2"/>
              </w:rPr>
              <w:t>което може да доведе и до свободни интерпретации и до пр</w:t>
            </w:r>
            <w:r w:rsidRPr="00E127B9">
              <w:rPr>
                <w:spacing w:val="-2"/>
              </w:rPr>
              <w:t>о</w:t>
            </w:r>
            <w:r w:rsidRPr="00E127B9">
              <w:rPr>
                <w:spacing w:val="-2"/>
              </w:rPr>
              <w:t>тиворечащи на здравия разум и добрите нрави резултати.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FA70A7" w:rsidP="00853C0E">
            <w:r w:rsidRPr="00A426CE">
              <w:lastRenderedPageBreak/>
              <w:t>Не се прие</w:t>
            </w:r>
            <w:r w:rsidR="00A426CE" w:rsidRPr="00A426CE">
              <w:t>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A426CE" w:rsidRDefault="00FA70A7" w:rsidP="00853C0E">
            <w:pPr>
              <w:jc w:val="both"/>
            </w:pPr>
            <w:r w:rsidRPr="00A426CE">
              <w:t>Както е посочено и в самото предлож</w:t>
            </w:r>
            <w:r w:rsidRPr="00A426CE">
              <w:t>е</w:t>
            </w:r>
            <w:r w:rsidRPr="00A426CE">
              <w:t>ние, законопроектът в тази част следва линията на досега действащата норм</w:t>
            </w:r>
            <w:r w:rsidRPr="00A426CE">
              <w:t>а</w:t>
            </w:r>
            <w:r w:rsidRPr="00A426CE">
              <w:lastRenderedPageBreak/>
              <w:t xml:space="preserve">тивна уредба. Целта на новия закон не е извършването на промяна в ущърб на която и да е страна участник в процеса на производство на </w:t>
            </w:r>
            <w:proofErr w:type="spellStart"/>
            <w:r w:rsidRPr="00A426CE">
              <w:t>лозаро-винарски</w:t>
            </w:r>
            <w:proofErr w:type="spellEnd"/>
            <w:r w:rsidRPr="00A426CE">
              <w:t xml:space="preserve"> пр</w:t>
            </w:r>
            <w:r w:rsidRPr="00A426CE">
              <w:t>о</w:t>
            </w:r>
            <w:r w:rsidRPr="00A426CE">
              <w:t>дукти.</w:t>
            </w:r>
          </w:p>
          <w:p w:rsidR="00FA70A7" w:rsidRPr="00A426CE" w:rsidRDefault="00FA70A7" w:rsidP="00853C0E">
            <w:pPr>
              <w:jc w:val="both"/>
            </w:pPr>
            <w:r w:rsidRPr="00A426CE">
              <w:t>Посочените стойности в проекта на ЗВСН и в сега действащия ЗВСН са с</w:t>
            </w:r>
            <w:r w:rsidRPr="00A426CE">
              <w:t>ъ</w:t>
            </w:r>
            <w:r w:rsidRPr="00A426CE">
              <w:t>образени с редица фактори. Така напр</w:t>
            </w:r>
            <w:r w:rsidRPr="00A426CE">
              <w:t>и</w:t>
            </w:r>
            <w:r w:rsidRPr="00A426CE">
              <w:t>мер е разрешено до декар лозе да се от</w:t>
            </w:r>
            <w:r w:rsidRPr="00A426CE">
              <w:t>г</w:t>
            </w:r>
            <w:r w:rsidRPr="00A426CE">
              <w:t>лежда без да се прилагат различните ра</w:t>
            </w:r>
            <w:r w:rsidRPr="00A426CE">
              <w:t>з</w:t>
            </w:r>
            <w:r w:rsidRPr="00A426CE">
              <w:t>решителни режими. Възможно от такава площ при определени условия да се от</w:t>
            </w:r>
            <w:r w:rsidRPr="00A426CE">
              <w:t>г</w:t>
            </w:r>
            <w:r w:rsidRPr="00A426CE">
              <w:t>леда такова количество продукция, от което да се произведе вино в значителни количества. Такива условия са благопр</w:t>
            </w:r>
            <w:r w:rsidRPr="00A426CE">
              <w:t>и</w:t>
            </w:r>
            <w:r w:rsidRPr="00A426CE">
              <w:t>ятни климатични условия, отглеждането на високопродуктивни сортове лозя, пр</w:t>
            </w:r>
            <w:r w:rsidRPr="00A426CE">
              <w:t>и</w:t>
            </w:r>
            <w:r w:rsidRPr="00A426CE">
              <w:t>лагането на добра агротехника. Не всяко домакинство има собствена реколта и изчисленията са преувеличени.</w:t>
            </w:r>
          </w:p>
          <w:p w:rsidR="00FA70A7" w:rsidRPr="00A426CE" w:rsidRDefault="00FA70A7" w:rsidP="00853C0E">
            <w:pPr>
              <w:jc w:val="both"/>
            </w:pPr>
            <w:r w:rsidRPr="00A426CE">
              <w:t>Следва да се отчете, че проектът е съгл</w:t>
            </w:r>
            <w:r w:rsidRPr="00A426CE">
              <w:t>а</w:t>
            </w:r>
            <w:r w:rsidRPr="00A426CE">
              <w:t>суван с министерство на здравеопазван</w:t>
            </w:r>
            <w:r w:rsidRPr="00A426CE">
              <w:t>е</w:t>
            </w:r>
            <w:r w:rsidRPr="00A426CE">
              <w:t>то, от където няма постъпили предлож</w:t>
            </w:r>
            <w:r w:rsidRPr="00A426CE">
              <w:t>е</w:t>
            </w:r>
            <w:r w:rsidRPr="00A426CE">
              <w:t>ния и препоръки за намаляване на досега приложимите стойности.</w:t>
            </w:r>
          </w:p>
          <w:p w:rsidR="00FA70A7" w:rsidRPr="00A426CE" w:rsidRDefault="00FA70A7" w:rsidP="00853C0E">
            <w:pPr>
              <w:jc w:val="both"/>
            </w:pPr>
            <w:r w:rsidRPr="00A426CE">
              <w:t>Поради изложеното не считаме за цел</w:t>
            </w:r>
            <w:r w:rsidRPr="00A426CE">
              <w:t>е</w:t>
            </w:r>
            <w:r w:rsidRPr="00A426CE">
              <w:t>съобразно предложението за намаляване на размера от 10 на 2 хектолитра за соб</w:t>
            </w:r>
            <w:r w:rsidRPr="00A426CE">
              <w:t>с</w:t>
            </w:r>
            <w:r w:rsidRPr="00A426CE">
              <w:t>твена консумация.</w:t>
            </w:r>
          </w:p>
          <w:p w:rsidR="00FA70A7" w:rsidRPr="00A426CE" w:rsidRDefault="00FA70A7" w:rsidP="00853C0E">
            <w:pPr>
              <w:jc w:val="both"/>
            </w:pPr>
          </w:p>
          <w:p w:rsidR="00FA70A7" w:rsidRPr="00A426CE" w:rsidRDefault="00FA70A7" w:rsidP="00853C0E">
            <w:pPr>
              <w:jc w:val="both"/>
            </w:pPr>
          </w:p>
        </w:tc>
      </w:tr>
      <w:tr w:rsidR="00FA70A7" w:rsidRPr="00A426CE" w:rsidTr="00E127B9">
        <w:trPr>
          <w:jc w:val="center"/>
        </w:trPr>
        <w:tc>
          <w:tcPr>
            <w:tcW w:w="622" w:type="dxa"/>
            <w:tcBorders>
              <w:top w:val="nil"/>
              <w:left w:val="single" w:sz="36" w:space="0" w:color="2E74B5"/>
              <w:bottom w:val="single" w:sz="4" w:space="0" w:color="auto"/>
              <w:right w:val="single" w:sz="18" w:space="0" w:color="2E74B5"/>
            </w:tcBorders>
            <w:shd w:val="clear" w:color="auto" w:fill="auto"/>
          </w:tcPr>
          <w:p w:rsidR="00FA70A7" w:rsidRPr="00A426CE" w:rsidRDefault="00FA70A7" w:rsidP="00853C0E">
            <w:pPr>
              <w:tabs>
                <w:tab w:val="left" w:pos="192"/>
              </w:tabs>
              <w:jc w:val="center"/>
              <w:rPr>
                <w:b/>
                <w:highlight w:val="yellow"/>
              </w:rPr>
            </w:pPr>
          </w:p>
        </w:tc>
        <w:tc>
          <w:tcPr>
            <w:tcW w:w="2410" w:type="dxa"/>
            <w:tcBorders>
              <w:top w:val="nil"/>
              <w:left w:val="single" w:sz="18" w:space="0" w:color="2E74B5"/>
              <w:bottom w:val="single" w:sz="4" w:space="0" w:color="auto"/>
              <w:right w:val="single" w:sz="18" w:space="0" w:color="2E74B5"/>
            </w:tcBorders>
            <w:shd w:val="clear" w:color="auto" w:fill="auto"/>
          </w:tcPr>
          <w:p w:rsidR="00FA70A7" w:rsidRPr="00A426CE" w:rsidRDefault="00FA70A7" w:rsidP="00853C0E">
            <w:pPr>
              <w:rPr>
                <w:b/>
                <w:bCs/>
                <w:color w:val="000000"/>
                <w:spacing w:val="-2"/>
                <w:w w:val="86"/>
                <w:highlight w:val="yellow"/>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4056C3" w:rsidRDefault="00FA70A7" w:rsidP="00853C0E">
            <w:pPr>
              <w:jc w:val="both"/>
              <w:rPr>
                <w:spacing w:val="-4"/>
              </w:rPr>
            </w:pPr>
            <w:r w:rsidRPr="004056C3">
              <w:rPr>
                <w:spacing w:val="-4"/>
              </w:rPr>
              <w:t>3. На последно място, но не и по значение желаем да обърнем внимание на възможността в законопроекта да бъдат доразв</w:t>
            </w:r>
            <w:r w:rsidRPr="004056C3">
              <w:rPr>
                <w:spacing w:val="-4"/>
              </w:rPr>
              <w:t>и</w:t>
            </w:r>
            <w:r w:rsidRPr="004056C3">
              <w:rPr>
                <w:spacing w:val="-4"/>
              </w:rPr>
              <w:t>ти в по-голяма стенен на изчерпателност разпоредбите и пр</w:t>
            </w:r>
            <w:r w:rsidRPr="004056C3">
              <w:rPr>
                <w:spacing w:val="-4"/>
              </w:rPr>
              <w:t>а</w:t>
            </w:r>
            <w:r w:rsidRPr="004056C3">
              <w:rPr>
                <w:spacing w:val="-4"/>
              </w:rPr>
              <w:t>вилата, касаещи допустимите загуби и фири при производс</w:t>
            </w:r>
            <w:r w:rsidRPr="004056C3">
              <w:rPr>
                <w:spacing w:val="-4"/>
              </w:rPr>
              <w:t>т</w:t>
            </w:r>
            <w:r w:rsidRPr="004056C3">
              <w:rPr>
                <w:spacing w:val="-4"/>
              </w:rPr>
              <w:t xml:space="preserve">вото, съхранението и транспорта на вино и спиртни напитки, </w:t>
            </w:r>
            <w:r w:rsidRPr="004056C3">
              <w:rPr>
                <w:spacing w:val="-4"/>
              </w:rPr>
              <w:lastRenderedPageBreak/>
              <w:t>при съобразяване, от една страна със съвременните технол</w:t>
            </w:r>
            <w:r w:rsidRPr="004056C3">
              <w:rPr>
                <w:spacing w:val="-4"/>
              </w:rPr>
              <w:t>о</w:t>
            </w:r>
            <w:r w:rsidRPr="004056C3">
              <w:rPr>
                <w:spacing w:val="-4"/>
              </w:rPr>
              <w:t>гични достижения при осъществяването на този вид дейности и от друга страна, със специфичните и общи компетенции на други органи като Министерството на икономиката и Агенция „Митници" по повод на тяхното регулиране и контрол:</w:t>
            </w:r>
          </w:p>
          <w:p w:rsidR="00FA70A7" w:rsidRPr="004056C3" w:rsidRDefault="00FA70A7" w:rsidP="00853C0E">
            <w:pPr>
              <w:jc w:val="both"/>
              <w:rPr>
                <w:spacing w:val="-4"/>
              </w:rPr>
            </w:pPr>
            <w:r w:rsidRPr="004056C3">
              <w:rPr>
                <w:spacing w:val="-4"/>
              </w:rPr>
              <w:t>В тази връзка, на първо място считаме, че най-удачното място за изчерпателно регламентиране на допустимите загуби  и фири при производството, съхранението и транспорта на вино и етилов алкохол (вкл. спиртни напитки) е именно ЗВСН, като „продуктов" закон, каквато е практиката в повечето други държави-членки на ЕС, решили да регламентират този спец</w:t>
            </w:r>
            <w:r w:rsidRPr="004056C3">
              <w:rPr>
                <w:spacing w:val="-4"/>
              </w:rPr>
              <w:t>и</w:t>
            </w:r>
            <w:r w:rsidRPr="004056C3">
              <w:rPr>
                <w:spacing w:val="-4"/>
              </w:rPr>
              <w:t>фичен елемент от материалната отчетност на лицата, осъщес</w:t>
            </w:r>
            <w:r w:rsidRPr="004056C3">
              <w:rPr>
                <w:spacing w:val="-4"/>
              </w:rPr>
              <w:t>т</w:t>
            </w:r>
            <w:r w:rsidRPr="004056C3">
              <w:rPr>
                <w:spacing w:val="-4"/>
              </w:rPr>
              <w:t xml:space="preserve">вяващи по занятие дейности по производство и търговия с вино и етилов алкохол, а не в нормативната уредба </w:t>
            </w:r>
            <w:proofErr w:type="spellStart"/>
            <w:r w:rsidRPr="004056C3">
              <w:rPr>
                <w:spacing w:val="-4"/>
              </w:rPr>
              <w:t>касаеща</w:t>
            </w:r>
            <w:proofErr w:type="spellEnd"/>
            <w:r w:rsidRPr="004056C3">
              <w:rPr>
                <w:spacing w:val="-4"/>
              </w:rPr>
              <w:t xml:space="preserve"> третирането на тези показатели за данъчни (акцизни) цели.</w:t>
            </w:r>
          </w:p>
          <w:p w:rsidR="00FA70A7" w:rsidRPr="004056C3" w:rsidRDefault="00FA70A7" w:rsidP="00853C0E">
            <w:pPr>
              <w:jc w:val="both"/>
              <w:rPr>
                <w:spacing w:val="-4"/>
              </w:rPr>
            </w:pPr>
            <w:r w:rsidRPr="004056C3">
              <w:rPr>
                <w:spacing w:val="-4"/>
              </w:rPr>
              <w:t>Понастоящем материята се регламентира частично и неизче</w:t>
            </w:r>
            <w:r w:rsidRPr="004056C3">
              <w:rPr>
                <w:spacing w:val="-4"/>
              </w:rPr>
              <w:t>р</w:t>
            </w:r>
            <w:r w:rsidRPr="004056C3">
              <w:rPr>
                <w:spacing w:val="-4"/>
              </w:rPr>
              <w:t>пателно в 3 отделни нормативни акта: в действащия ЗВСН, в Наредба №</w:t>
            </w:r>
            <w:r w:rsidR="00A426CE" w:rsidRPr="004056C3">
              <w:rPr>
                <w:spacing w:val="-4"/>
              </w:rPr>
              <w:t xml:space="preserve"> </w:t>
            </w:r>
            <w:r w:rsidRPr="004056C3">
              <w:rPr>
                <w:spacing w:val="-4"/>
              </w:rPr>
              <w:t>4 от 28.06.2006 г. за нормите на пределните разм</w:t>
            </w:r>
            <w:r w:rsidRPr="004056C3">
              <w:rPr>
                <w:spacing w:val="-4"/>
              </w:rPr>
              <w:t>е</w:t>
            </w:r>
            <w:r w:rsidRPr="004056C3">
              <w:rPr>
                <w:spacing w:val="-4"/>
              </w:rPr>
              <w:t>ри на естествените фири на акцизните стоки, издадена от м</w:t>
            </w:r>
            <w:r w:rsidRPr="004056C3">
              <w:rPr>
                <w:spacing w:val="-4"/>
              </w:rPr>
              <w:t>и</w:t>
            </w:r>
            <w:r w:rsidRPr="004056C3">
              <w:rPr>
                <w:spacing w:val="-4"/>
              </w:rPr>
              <w:t>нистъра на финансите и Наредба № 13а-10403 за пределните размери на естествените фири, брака и липсите на стоково-материалните ценности при съхраняването и транспортиран</w:t>
            </w:r>
            <w:r w:rsidRPr="004056C3">
              <w:rPr>
                <w:spacing w:val="-4"/>
              </w:rPr>
              <w:t>е</w:t>
            </w:r>
            <w:r w:rsidRPr="004056C3">
              <w:rPr>
                <w:spacing w:val="-4"/>
              </w:rPr>
              <w:t>то им (</w:t>
            </w:r>
            <w:proofErr w:type="spellStart"/>
            <w:r w:rsidRPr="004056C3">
              <w:rPr>
                <w:spacing w:val="-4"/>
              </w:rPr>
              <w:t>обн</w:t>
            </w:r>
            <w:proofErr w:type="spellEnd"/>
            <w:r w:rsidRPr="004056C3">
              <w:rPr>
                <w:spacing w:val="-4"/>
              </w:rPr>
              <w:t>.</w:t>
            </w:r>
            <w:r w:rsidR="00A426CE" w:rsidRPr="004056C3">
              <w:rPr>
                <w:spacing w:val="-4"/>
              </w:rPr>
              <w:t>,</w:t>
            </w:r>
            <w:r w:rsidRPr="004056C3">
              <w:rPr>
                <w:spacing w:val="-4"/>
              </w:rPr>
              <w:t xml:space="preserve"> ДВ</w:t>
            </w:r>
            <w:r w:rsidR="00A426CE" w:rsidRPr="004056C3">
              <w:rPr>
                <w:spacing w:val="-4"/>
              </w:rPr>
              <w:t>,</w:t>
            </w:r>
            <w:r w:rsidRPr="004056C3">
              <w:rPr>
                <w:spacing w:val="-4"/>
              </w:rPr>
              <w:t xml:space="preserve"> бр. 61 от 1959 г. Загл. до</w:t>
            </w:r>
            <w:r w:rsidR="00A426CE" w:rsidRPr="004056C3">
              <w:rPr>
                <w:spacing w:val="-4"/>
              </w:rPr>
              <w:t>п</w:t>
            </w:r>
            <w:r w:rsidRPr="004056C3">
              <w:rPr>
                <w:spacing w:val="-4"/>
              </w:rPr>
              <w:t>.</w:t>
            </w:r>
            <w:r w:rsidR="00A426CE" w:rsidRPr="004056C3">
              <w:rPr>
                <w:spacing w:val="-4"/>
              </w:rPr>
              <w:t>,</w:t>
            </w:r>
            <w:r w:rsidRPr="004056C3">
              <w:rPr>
                <w:spacing w:val="-4"/>
              </w:rPr>
              <w:t xml:space="preserve"> бр. 28 от 1980 г.), издадена от министъра на търговията, министъра на финанс</w:t>
            </w:r>
            <w:r w:rsidRPr="004056C3">
              <w:rPr>
                <w:spacing w:val="-4"/>
              </w:rPr>
              <w:t>и</w:t>
            </w:r>
            <w:r w:rsidRPr="004056C3">
              <w:rPr>
                <w:spacing w:val="-4"/>
              </w:rPr>
              <w:t>те, министъра на земеделието и горите и министъра на тран</w:t>
            </w:r>
            <w:r w:rsidRPr="004056C3">
              <w:rPr>
                <w:spacing w:val="-4"/>
              </w:rPr>
              <w:t>с</w:t>
            </w:r>
            <w:r w:rsidRPr="004056C3">
              <w:rPr>
                <w:spacing w:val="-4"/>
              </w:rPr>
              <w:t>порта и съобщенията. Действащата нормативна уредба не о</w:t>
            </w:r>
            <w:r w:rsidRPr="004056C3">
              <w:rPr>
                <w:spacing w:val="-4"/>
              </w:rPr>
              <w:t>т</w:t>
            </w:r>
            <w:r w:rsidRPr="004056C3">
              <w:rPr>
                <w:spacing w:val="-4"/>
              </w:rPr>
              <w:t>говаря по задоволителен начин на съвременните условия, при които се осъществява производството, съхранението и тран</w:t>
            </w:r>
            <w:r w:rsidRPr="004056C3">
              <w:rPr>
                <w:spacing w:val="-4"/>
              </w:rPr>
              <w:t>с</w:t>
            </w:r>
            <w:r w:rsidRPr="004056C3">
              <w:rPr>
                <w:spacing w:val="-4"/>
              </w:rPr>
              <w:t>порта на вино, спиртни напитки и етилов алкохол, което по</w:t>
            </w:r>
            <w:r w:rsidRPr="004056C3">
              <w:rPr>
                <w:spacing w:val="-4"/>
              </w:rPr>
              <w:t>с</w:t>
            </w:r>
            <w:r w:rsidRPr="004056C3">
              <w:rPr>
                <w:spacing w:val="-4"/>
              </w:rPr>
              <w:t>тавя в затруднение предприятията в сектора.</w:t>
            </w:r>
          </w:p>
          <w:p w:rsidR="00FA70A7" w:rsidRPr="004056C3" w:rsidRDefault="00FA70A7" w:rsidP="00853C0E">
            <w:pPr>
              <w:jc w:val="both"/>
              <w:rPr>
                <w:spacing w:val="-4"/>
              </w:rPr>
            </w:pPr>
            <w:r w:rsidRPr="004056C3">
              <w:rPr>
                <w:spacing w:val="-4"/>
              </w:rPr>
              <w:t xml:space="preserve">Същевременно отчитаме обстоятелството, че понастоящем на ниво Агенция „Митници" тече процедура по подготовка на </w:t>
            </w:r>
            <w:r w:rsidRPr="004056C3">
              <w:rPr>
                <w:spacing w:val="-4"/>
              </w:rPr>
              <w:lastRenderedPageBreak/>
              <w:t>проект на Наредба за изменение и допълнение на Наредба № 4 от 28.06.2006 г., поради което предлагаме, и в случай че одо</w:t>
            </w:r>
            <w:r w:rsidRPr="004056C3">
              <w:rPr>
                <w:spacing w:val="-4"/>
              </w:rPr>
              <w:t>б</w:t>
            </w:r>
            <w:r w:rsidRPr="004056C3">
              <w:rPr>
                <w:spacing w:val="-4"/>
              </w:rPr>
              <w:t>рите целесъобразността на този подход, евентуалното допъ</w:t>
            </w:r>
            <w:r w:rsidRPr="004056C3">
              <w:rPr>
                <w:spacing w:val="-4"/>
              </w:rPr>
              <w:t>л</w:t>
            </w:r>
            <w:r w:rsidRPr="004056C3">
              <w:rPr>
                <w:spacing w:val="-4"/>
              </w:rPr>
              <w:t>нение на проекта на нов ЗВСН с изчерпателни правила за д</w:t>
            </w:r>
            <w:r w:rsidRPr="004056C3">
              <w:rPr>
                <w:spacing w:val="-4"/>
              </w:rPr>
              <w:t>о</w:t>
            </w:r>
            <w:r w:rsidRPr="004056C3">
              <w:rPr>
                <w:spacing w:val="-4"/>
              </w:rPr>
              <w:t>пустимите загуби и фири при производството, съхранението и транспорта на вино и спиртни напитки да се осъществи в ра</w:t>
            </w:r>
            <w:r w:rsidRPr="004056C3">
              <w:rPr>
                <w:spacing w:val="-4"/>
              </w:rPr>
              <w:t>м</w:t>
            </w:r>
            <w:r w:rsidRPr="004056C3">
              <w:rPr>
                <w:spacing w:val="-4"/>
              </w:rPr>
              <w:t>ките на допълнително обсъждане във формат на „работна гр</w:t>
            </w:r>
            <w:r w:rsidRPr="004056C3">
              <w:rPr>
                <w:spacing w:val="-4"/>
              </w:rPr>
              <w:t>у</w:t>
            </w:r>
            <w:r w:rsidRPr="004056C3">
              <w:rPr>
                <w:spacing w:val="-4"/>
              </w:rPr>
              <w:t>па" (с участието на представители на МЗХГ, ИЛВЛ, НЛВК, Асоциацията на производителите, вносителите и търговците на спиртни напитки, Министерството на икономиката и Аге</w:t>
            </w:r>
            <w:r w:rsidRPr="004056C3">
              <w:rPr>
                <w:spacing w:val="-4"/>
              </w:rPr>
              <w:t>н</w:t>
            </w:r>
            <w:r w:rsidRPr="004056C3">
              <w:rPr>
                <w:spacing w:val="-4"/>
              </w:rPr>
              <w:t>ция „Митници") преди представянето на законопроекта за одобрение от Министерския съвет и внасянето му за обсъжд</w:t>
            </w:r>
            <w:r w:rsidRPr="004056C3">
              <w:rPr>
                <w:spacing w:val="-4"/>
              </w:rPr>
              <w:t>а</w:t>
            </w:r>
            <w:r w:rsidRPr="004056C3">
              <w:rPr>
                <w:spacing w:val="-4"/>
              </w:rPr>
              <w:t>не и гласуване на вниманието на Народното Събрание.</w:t>
            </w:r>
          </w:p>
          <w:p w:rsidR="00FA70A7" w:rsidRPr="004056C3" w:rsidRDefault="00FA70A7" w:rsidP="00853C0E">
            <w:pPr>
              <w:jc w:val="both"/>
              <w:rPr>
                <w:spacing w:val="-4"/>
                <w:highlight w:val="yellow"/>
              </w:rPr>
            </w:pPr>
            <w:r w:rsidRPr="004056C3">
              <w:rPr>
                <w:spacing w:val="-4"/>
              </w:rPr>
              <w:t>Считаме, че самостоятелно отправяне на предложение от страна на бранша в тази посока няма да бъде целесъобразно, доколкото този въпрос касае не само частния интерес на пр</w:t>
            </w:r>
            <w:r w:rsidRPr="004056C3">
              <w:rPr>
                <w:spacing w:val="-4"/>
              </w:rPr>
              <w:t>о</w:t>
            </w:r>
            <w:r w:rsidRPr="004056C3">
              <w:rPr>
                <w:spacing w:val="-4"/>
              </w:rPr>
              <w:t xml:space="preserve">изводителите на вино и </w:t>
            </w:r>
            <w:proofErr w:type="spellStart"/>
            <w:r w:rsidRPr="004056C3">
              <w:rPr>
                <w:spacing w:val="-4"/>
              </w:rPr>
              <w:t>високоалкохолни</w:t>
            </w:r>
            <w:proofErr w:type="spellEnd"/>
            <w:r w:rsidRPr="004056C3">
              <w:rPr>
                <w:spacing w:val="-4"/>
              </w:rPr>
              <w:t xml:space="preserve"> напитки, но и о</w:t>
            </w:r>
            <w:r w:rsidRPr="004056C3">
              <w:rPr>
                <w:spacing w:val="-4"/>
              </w:rPr>
              <w:t>б</w:t>
            </w:r>
            <w:r w:rsidRPr="004056C3">
              <w:rPr>
                <w:spacing w:val="-4"/>
              </w:rPr>
              <w:t xml:space="preserve">ществения интерес като цяло и интересите на </w:t>
            </w:r>
            <w:proofErr w:type="spellStart"/>
            <w:r w:rsidRPr="004056C3">
              <w:rPr>
                <w:spacing w:val="-4"/>
              </w:rPr>
              <w:t>фиска</w:t>
            </w:r>
            <w:proofErr w:type="spellEnd"/>
            <w:r w:rsidRPr="004056C3">
              <w:rPr>
                <w:spacing w:val="-4"/>
              </w:rPr>
              <w:t>, в час</w:t>
            </w:r>
            <w:r w:rsidRPr="004056C3">
              <w:rPr>
                <w:spacing w:val="-4"/>
              </w:rPr>
              <w:t>т</w:t>
            </w:r>
            <w:r w:rsidRPr="004056C3">
              <w:rPr>
                <w:spacing w:val="-4"/>
              </w:rPr>
              <w:t>ност. В тази връзка подчертаваме отново необходимостта от сформиране на експертна работна група в горепосочения фо</w:t>
            </w:r>
            <w:r w:rsidRPr="004056C3">
              <w:rPr>
                <w:spacing w:val="-4"/>
              </w:rPr>
              <w:t>р</w:t>
            </w:r>
            <w:r w:rsidRPr="004056C3">
              <w:rPr>
                <w:spacing w:val="-4"/>
              </w:rPr>
              <w:t>мат, която да предложи цялостно по обхват, експертно обо</w:t>
            </w:r>
            <w:r w:rsidRPr="004056C3">
              <w:rPr>
                <w:spacing w:val="-4"/>
              </w:rPr>
              <w:t>с</w:t>
            </w:r>
            <w:r w:rsidRPr="004056C3">
              <w:rPr>
                <w:spacing w:val="-4"/>
              </w:rPr>
              <w:t>новано и консенсусно решение по отношение определяне на нормативно признатите фири при производството, съхраняв</w:t>
            </w:r>
            <w:r w:rsidRPr="004056C3">
              <w:rPr>
                <w:spacing w:val="-4"/>
              </w:rPr>
              <w:t>а</w:t>
            </w:r>
            <w:r w:rsidRPr="004056C3">
              <w:rPr>
                <w:spacing w:val="-4"/>
              </w:rPr>
              <w:t>нето и транспорта на вино и етилов алкохол.</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A426CE" w:rsidRDefault="00FA70A7" w:rsidP="00853C0E">
            <w:r w:rsidRPr="00A426CE">
              <w:lastRenderedPageBreak/>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A05613" w:rsidRDefault="00A05613" w:rsidP="00601137">
            <w:pPr>
              <w:jc w:val="both"/>
            </w:pPr>
            <w:r w:rsidRPr="00A426CE">
              <w:t>В закона е предвидена препратка към действащата нормативна уредба.</w:t>
            </w:r>
          </w:p>
          <w:p w:rsidR="00A05613" w:rsidRDefault="00A05613" w:rsidP="00601137">
            <w:pPr>
              <w:jc w:val="both"/>
            </w:pPr>
          </w:p>
          <w:p w:rsidR="00A05613" w:rsidRDefault="00A05613" w:rsidP="00601137">
            <w:pPr>
              <w:jc w:val="both"/>
            </w:pPr>
          </w:p>
          <w:p w:rsidR="00FA70A7" w:rsidRPr="00A426CE" w:rsidRDefault="00FA70A7" w:rsidP="00601137">
            <w:pPr>
              <w:jc w:val="both"/>
            </w:pPr>
          </w:p>
        </w:tc>
      </w:tr>
      <w:tr w:rsidR="00FE1689" w:rsidRPr="00A426CE" w:rsidTr="00E127B9">
        <w:trPr>
          <w:jc w:val="center"/>
        </w:trPr>
        <w:tc>
          <w:tcPr>
            <w:tcW w:w="622" w:type="dxa"/>
            <w:tcBorders>
              <w:top w:val="single" w:sz="4" w:space="0" w:color="auto"/>
              <w:left w:val="single" w:sz="36" w:space="0" w:color="2E74B5"/>
              <w:bottom w:val="single" w:sz="18" w:space="0" w:color="2E74B5"/>
              <w:right w:val="single" w:sz="18" w:space="0" w:color="2E74B5"/>
            </w:tcBorders>
            <w:shd w:val="clear" w:color="auto" w:fill="auto"/>
          </w:tcPr>
          <w:p w:rsidR="00FE1689" w:rsidRPr="00FE1689" w:rsidRDefault="00FE1689" w:rsidP="00853C0E">
            <w:pPr>
              <w:tabs>
                <w:tab w:val="left" w:pos="192"/>
              </w:tabs>
              <w:jc w:val="center"/>
              <w:rPr>
                <w:b/>
                <w:highlight w:val="yellow"/>
                <w:lang w:val="en-GB"/>
              </w:rPr>
            </w:pPr>
            <w:r w:rsidRPr="00FE1689">
              <w:rPr>
                <w:b/>
                <w:lang w:val="en-GB"/>
              </w:rPr>
              <w:lastRenderedPageBreak/>
              <w:t>5.</w:t>
            </w:r>
          </w:p>
        </w:tc>
        <w:tc>
          <w:tcPr>
            <w:tcW w:w="2410" w:type="dxa"/>
            <w:tcBorders>
              <w:top w:val="single" w:sz="4" w:space="0" w:color="auto"/>
              <w:left w:val="single" w:sz="18" w:space="0" w:color="2E74B5"/>
              <w:bottom w:val="single" w:sz="18" w:space="0" w:color="2E74B5"/>
              <w:right w:val="single" w:sz="18" w:space="0" w:color="2E74B5"/>
            </w:tcBorders>
            <w:shd w:val="clear" w:color="auto" w:fill="auto"/>
          </w:tcPr>
          <w:p w:rsidR="00FE1689" w:rsidRPr="004056C3" w:rsidRDefault="00FE1689" w:rsidP="00E127B9">
            <w:pPr>
              <w:rPr>
                <w:b/>
                <w:bCs/>
                <w:color w:val="000000"/>
                <w:sz w:val="22"/>
                <w:szCs w:val="22"/>
              </w:rPr>
            </w:pPr>
            <w:r w:rsidRPr="004056C3">
              <w:rPr>
                <w:b/>
                <w:bCs/>
                <w:color w:val="000000"/>
                <w:sz w:val="22"/>
                <w:szCs w:val="22"/>
              </w:rPr>
              <w:t xml:space="preserve">Национална </w:t>
            </w:r>
            <w:proofErr w:type="spellStart"/>
            <w:r w:rsidRPr="004056C3">
              <w:rPr>
                <w:b/>
                <w:bCs/>
                <w:color w:val="000000"/>
                <w:sz w:val="22"/>
                <w:szCs w:val="22"/>
              </w:rPr>
              <w:t>лозаро-винарска</w:t>
            </w:r>
            <w:proofErr w:type="spellEnd"/>
            <w:r w:rsidRPr="004056C3">
              <w:rPr>
                <w:b/>
                <w:bCs/>
                <w:color w:val="000000"/>
                <w:sz w:val="22"/>
                <w:szCs w:val="22"/>
              </w:rPr>
              <w:t xml:space="preserve"> камара - постъпило в МЗХГ с регистрационен и</w:t>
            </w:r>
            <w:r w:rsidRPr="004056C3">
              <w:rPr>
                <w:b/>
                <w:bCs/>
                <w:color w:val="000000"/>
                <w:sz w:val="22"/>
                <w:szCs w:val="22"/>
              </w:rPr>
              <w:t>н</w:t>
            </w:r>
            <w:r w:rsidRPr="004056C3">
              <w:rPr>
                <w:b/>
                <w:bCs/>
                <w:color w:val="000000"/>
                <w:sz w:val="22"/>
                <w:szCs w:val="22"/>
              </w:rPr>
              <w:t xml:space="preserve">декс 17-106 от </w:t>
            </w:r>
            <w:r w:rsidRPr="004056C3">
              <w:rPr>
                <w:b/>
                <w:bCs/>
                <w:color w:val="000000"/>
                <w:sz w:val="22"/>
                <w:szCs w:val="22"/>
                <w:lang w:val="en-GB"/>
              </w:rPr>
              <w:t>25</w:t>
            </w:r>
            <w:r w:rsidRPr="004056C3">
              <w:rPr>
                <w:b/>
                <w:bCs/>
                <w:color w:val="000000"/>
                <w:sz w:val="22"/>
                <w:szCs w:val="22"/>
              </w:rPr>
              <w:t>.07.</w:t>
            </w:r>
            <w:r w:rsidRPr="004056C3">
              <w:rPr>
                <w:b/>
                <w:bCs/>
                <w:color w:val="000000"/>
                <w:sz w:val="22"/>
                <w:szCs w:val="22"/>
              </w:rPr>
              <w:br/>
              <w:t xml:space="preserve">2019 г. </w:t>
            </w:r>
          </w:p>
          <w:p w:rsidR="00FE1689" w:rsidRPr="004056C3" w:rsidRDefault="00FE1689" w:rsidP="00E127B9">
            <w:pPr>
              <w:rPr>
                <w:b/>
                <w:bCs/>
                <w:color w:val="000000"/>
                <w:sz w:val="22"/>
                <w:szCs w:val="22"/>
              </w:rPr>
            </w:pPr>
          </w:p>
          <w:p w:rsidR="00FE1689" w:rsidRPr="004056C3" w:rsidRDefault="00FE1689" w:rsidP="00E127B9">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E1689" w:rsidRDefault="00FE1689" w:rsidP="00E91F9E">
            <w:pPr>
              <w:jc w:val="both"/>
            </w:pPr>
            <w:r>
              <w:t>Допълнение към становище на Националната</w:t>
            </w:r>
            <w:r w:rsidR="004056C3">
              <w:t xml:space="preserve"> </w:t>
            </w:r>
            <w:proofErr w:type="spellStart"/>
            <w:r>
              <w:t>лозаро-винарска</w:t>
            </w:r>
            <w:proofErr w:type="spellEnd"/>
            <w:r>
              <w:t xml:space="preserve"> камара (НЛВК) по повод на проект на нов Закон за виното и спиртните напитки </w:t>
            </w:r>
          </w:p>
          <w:p w:rsidR="009754CA" w:rsidRDefault="00FE1689" w:rsidP="00E91F9E">
            <w:pPr>
              <w:jc w:val="both"/>
            </w:pPr>
            <w:r>
              <w:t xml:space="preserve">Във връзка с наше становище под горния номер, внесено от „Националната </w:t>
            </w:r>
            <w:proofErr w:type="spellStart"/>
            <w:r>
              <w:t>лозаро-винарска</w:t>
            </w:r>
            <w:proofErr w:type="spellEnd"/>
            <w:r>
              <w:t xml:space="preserve"> камара“ (НЛВК) на Вашето внимание на 16.07.2019 г., моля</w:t>
            </w:r>
            <w:r w:rsidR="009754CA">
              <w:rPr>
                <w:lang w:val="en-GB"/>
              </w:rPr>
              <w:t xml:space="preserve"> </w:t>
            </w:r>
            <w:r w:rsidR="009754CA">
              <w:t>да вземете предвид следн</w:t>
            </w:r>
            <w:r w:rsidR="009754CA">
              <w:t>о</w:t>
            </w:r>
            <w:r w:rsidR="009754CA">
              <w:t>то допълнение към т. 3 от същото:</w:t>
            </w:r>
          </w:p>
          <w:p w:rsidR="009754CA" w:rsidRDefault="009754CA" w:rsidP="00E91F9E">
            <w:pPr>
              <w:jc w:val="both"/>
            </w:pPr>
            <w:r>
              <w:t xml:space="preserve">По повод на изразената необходимост от регламентиране в </w:t>
            </w:r>
            <w:r>
              <w:lastRenderedPageBreak/>
              <w:t>Закона за виното и спиртните напитки (проект на ЗВСН) в по-голяма степен на изчерпателност на разпоредби и прав</w:t>
            </w:r>
            <w:r>
              <w:t>и</w:t>
            </w:r>
            <w:r>
              <w:t>лата, касаещи допустимите загуби и фири при производс</w:t>
            </w:r>
            <w:r>
              <w:t>т</w:t>
            </w:r>
            <w:r>
              <w:t xml:space="preserve">вото, съхранението и транспорта на </w:t>
            </w:r>
            <w:proofErr w:type="spellStart"/>
            <w:r>
              <w:t>вимо</w:t>
            </w:r>
            <w:proofErr w:type="spellEnd"/>
            <w:r>
              <w:t xml:space="preserve">, </w:t>
            </w:r>
            <w:proofErr w:type="spellStart"/>
            <w:r>
              <w:t>лозаро-винарски</w:t>
            </w:r>
            <w:proofErr w:type="spellEnd"/>
            <w:r>
              <w:t xml:space="preserve"> продукти, спиртни напитки и етилов алкохол от земеделски произход, предлагаме конкретни текстове за допълнение</w:t>
            </w:r>
            <w:r w:rsidR="00E91F9E">
              <w:t xml:space="preserve"> </w:t>
            </w:r>
            <w:r>
              <w:t xml:space="preserve">на проекта на ЗВСН, </w:t>
            </w:r>
            <w:proofErr w:type="spellStart"/>
            <w:r>
              <w:t>обективирани</w:t>
            </w:r>
            <w:proofErr w:type="spellEnd"/>
            <w:r>
              <w:t xml:space="preserve"> в приложение към насто</w:t>
            </w:r>
            <w:r>
              <w:t>я</w:t>
            </w:r>
            <w:r>
              <w:t>щото.</w:t>
            </w:r>
          </w:p>
          <w:p w:rsidR="009754CA" w:rsidRDefault="009754CA" w:rsidP="00E91F9E">
            <w:pPr>
              <w:jc w:val="both"/>
            </w:pPr>
            <w:r>
              <w:t>Предлаганите текстове в чл. 98 и 99 от проекта на ЗВСН, съответно допълнение на Приложение 8 и създаване на ново приложение към законопроекта ще позволят, а в съответс</w:t>
            </w:r>
            <w:r>
              <w:t>т</w:t>
            </w:r>
            <w:r>
              <w:t>вие със Закона за нормативните актове (въпросите урежд</w:t>
            </w:r>
            <w:r>
              <w:t>а</w:t>
            </w:r>
            <w:r>
              <w:t>щи една материя, да бъдат регламентирани в един нормат</w:t>
            </w:r>
            <w:r>
              <w:t>и</w:t>
            </w:r>
            <w:r>
              <w:t>вен акт), обединяването на разпокъсаната нормативна уре</w:t>
            </w:r>
            <w:r>
              <w:t>д</w:t>
            </w:r>
            <w:r>
              <w:t>ба по отношение на нормативно-призна</w:t>
            </w:r>
            <w:r w:rsidR="00E91F9E">
              <w:t>т</w:t>
            </w:r>
            <w:r>
              <w:t>ите фири и загуби при производство, транспорт и съхранение на горепосоч</w:t>
            </w:r>
            <w:r>
              <w:t>е</w:t>
            </w:r>
            <w:r>
              <w:t>ните продукти на едно място. Съответно ще способстват за приравняването на нормативно призна</w:t>
            </w:r>
            <w:r w:rsidR="00E91F9E">
              <w:t>т</w:t>
            </w:r>
            <w:r>
              <w:t>ите нива на фири и загуби с нивата, приложими в повечето д</w:t>
            </w:r>
            <w:r w:rsidR="00E91F9E">
              <w:t>ъ</w:t>
            </w:r>
            <w:r>
              <w:t>р</w:t>
            </w:r>
            <w:r w:rsidR="00E91F9E">
              <w:t>ж</w:t>
            </w:r>
            <w:r>
              <w:t>ави-членки на ЕС, с традиции в</w:t>
            </w:r>
            <w:r w:rsidR="00E91F9E">
              <w:t xml:space="preserve"> производството на подобен вид продукти.</w:t>
            </w:r>
          </w:p>
          <w:p w:rsidR="00FE1689" w:rsidRPr="00CB7068" w:rsidRDefault="00FE1689" w:rsidP="00A05613">
            <w:pPr>
              <w:rPr>
                <w:b/>
                <w:bCs/>
                <w:color w:val="000000" w:themeColor="text1"/>
              </w:rPr>
            </w:pPr>
            <w:r w:rsidRPr="00CB7068">
              <w:rPr>
                <w:b/>
                <w:bCs/>
                <w:color w:val="000000" w:themeColor="text1"/>
              </w:rPr>
              <w:t xml:space="preserve">Чл. 98 се изменя така: </w:t>
            </w:r>
          </w:p>
          <w:p w:rsidR="00FE1689" w:rsidRPr="00CB7068" w:rsidRDefault="00FE1689" w:rsidP="00A05613">
            <w:pPr>
              <w:rPr>
                <w:color w:val="000000" w:themeColor="text1"/>
              </w:rPr>
            </w:pPr>
            <w:r w:rsidRPr="00CB7068">
              <w:rPr>
                <w:color w:val="000000" w:themeColor="text1"/>
              </w:rPr>
              <w:t>„Допустимите размери на загуби и фири при манипулации, съхранение и транспортиране на етилов алкохол от земеде</w:t>
            </w:r>
            <w:r w:rsidRPr="00CB7068">
              <w:rPr>
                <w:color w:val="000000" w:themeColor="text1"/>
              </w:rPr>
              <w:t>л</w:t>
            </w:r>
            <w:r w:rsidRPr="00CB7068">
              <w:rPr>
                <w:color w:val="000000" w:themeColor="text1"/>
              </w:rPr>
              <w:t>ски произход, дестилати и спиртни напитки се определят съгласно приложение № 8“</w:t>
            </w:r>
          </w:p>
          <w:p w:rsidR="00FE1689" w:rsidRPr="00CB7068" w:rsidRDefault="00FE1689" w:rsidP="00A05613">
            <w:pPr>
              <w:widowControl w:val="0"/>
              <w:tabs>
                <w:tab w:val="right" w:pos="9404"/>
              </w:tabs>
              <w:autoSpaceDE w:val="0"/>
              <w:autoSpaceDN w:val="0"/>
              <w:adjustRightInd w:val="0"/>
              <w:rPr>
                <w:b/>
                <w:color w:val="000000" w:themeColor="text1"/>
              </w:rPr>
            </w:pPr>
            <w:r w:rsidRPr="00CB7068">
              <w:rPr>
                <w:b/>
                <w:color w:val="000000" w:themeColor="text1"/>
              </w:rPr>
              <w:t xml:space="preserve">Чл. 99 да отпадне или да придобие следното съдържание </w:t>
            </w:r>
          </w:p>
          <w:p w:rsidR="00FE1689" w:rsidRPr="00CB7068" w:rsidRDefault="00FE1689" w:rsidP="00A05613">
            <w:pPr>
              <w:rPr>
                <w:color w:val="000000" w:themeColor="text1"/>
              </w:rPr>
            </w:pPr>
            <w:r w:rsidRPr="00CB7068">
              <w:rPr>
                <w:color w:val="000000" w:themeColor="text1"/>
              </w:rPr>
              <w:t xml:space="preserve">„Допустимите размери на загуби и фири при манипулации, съхранение и транспортиране на </w:t>
            </w:r>
            <w:proofErr w:type="spellStart"/>
            <w:r w:rsidRPr="00CB7068">
              <w:rPr>
                <w:color w:val="000000" w:themeColor="text1"/>
              </w:rPr>
              <w:t>лозаро-винарски</w:t>
            </w:r>
            <w:proofErr w:type="spellEnd"/>
            <w:r w:rsidRPr="00CB7068">
              <w:rPr>
                <w:color w:val="000000" w:themeColor="text1"/>
              </w:rPr>
              <w:t xml:space="preserve"> продукти, ароматизирани </w:t>
            </w:r>
            <w:proofErr w:type="spellStart"/>
            <w:r w:rsidRPr="00CB7068">
              <w:rPr>
                <w:color w:val="000000" w:themeColor="text1"/>
              </w:rPr>
              <w:t>лозаро-винарски</w:t>
            </w:r>
            <w:proofErr w:type="spellEnd"/>
            <w:r w:rsidRPr="00CB7068">
              <w:rPr>
                <w:color w:val="000000" w:themeColor="text1"/>
              </w:rPr>
              <w:t xml:space="preserve"> продукти, плодови вина, продукти на основата на плодови вина и оцет се определят съгласно приложение № ……“</w:t>
            </w:r>
          </w:p>
          <w:p w:rsidR="00FE1689" w:rsidRDefault="00FE1689" w:rsidP="00A05613">
            <w:pPr>
              <w:widowControl w:val="0"/>
              <w:tabs>
                <w:tab w:val="right" w:pos="9404"/>
              </w:tabs>
              <w:autoSpaceDE w:val="0"/>
              <w:autoSpaceDN w:val="0"/>
              <w:adjustRightInd w:val="0"/>
              <w:rPr>
                <w:bCs/>
                <w:i/>
                <w:iCs/>
                <w:color w:val="000000" w:themeColor="text1"/>
                <w:u w:val="single"/>
              </w:rPr>
            </w:pPr>
            <w:r w:rsidRPr="00CB7068">
              <w:rPr>
                <w:bCs/>
                <w:i/>
                <w:iCs/>
                <w:color w:val="000000" w:themeColor="text1"/>
                <w:u w:val="single"/>
              </w:rPr>
              <w:t xml:space="preserve">макар и чл. 99 да не е точното систематично място за </w:t>
            </w:r>
            <w:r w:rsidRPr="00CB7068">
              <w:rPr>
                <w:bCs/>
                <w:i/>
                <w:iCs/>
                <w:color w:val="000000" w:themeColor="text1"/>
                <w:u w:val="single"/>
              </w:rPr>
              <w:lastRenderedPageBreak/>
              <w:t xml:space="preserve">този вид разпоредба (касае виното и </w:t>
            </w:r>
            <w:proofErr w:type="spellStart"/>
            <w:r w:rsidRPr="00CB7068">
              <w:rPr>
                <w:bCs/>
                <w:i/>
                <w:iCs/>
                <w:color w:val="000000" w:themeColor="text1"/>
                <w:u w:val="single"/>
              </w:rPr>
              <w:t>лозаро-винарските</w:t>
            </w:r>
            <w:proofErr w:type="spellEnd"/>
            <w:r w:rsidRPr="00CB7068">
              <w:rPr>
                <w:bCs/>
                <w:i/>
                <w:iCs/>
                <w:color w:val="000000" w:themeColor="text1"/>
                <w:u w:val="single"/>
              </w:rPr>
              <w:t xml:space="preserve"> продукти, вкл. оцета) </w:t>
            </w:r>
          </w:p>
          <w:p w:rsidR="00A4740D" w:rsidRPr="00CB7068" w:rsidRDefault="00A4740D" w:rsidP="00A05613">
            <w:pPr>
              <w:widowControl w:val="0"/>
              <w:tabs>
                <w:tab w:val="right" w:pos="9404"/>
              </w:tabs>
              <w:autoSpaceDE w:val="0"/>
              <w:autoSpaceDN w:val="0"/>
              <w:adjustRightInd w:val="0"/>
              <w:rPr>
                <w:bCs/>
                <w:i/>
                <w:iCs/>
                <w:color w:val="000000" w:themeColor="text1"/>
                <w:u w:val="single"/>
              </w:rPr>
            </w:pPr>
            <w:r>
              <w:rPr>
                <w:bCs/>
                <w:i/>
                <w:iCs/>
                <w:noProof/>
                <w:color w:val="000000" w:themeColor="text1"/>
                <w:u w:val="single"/>
              </w:rPr>
              <w:drawing>
                <wp:inline distT="0" distB="0" distL="0" distR="0" wp14:anchorId="540FBBFB" wp14:editId="7AAB6E09">
                  <wp:extent cx="3821373" cy="24429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6270" cy="2446081"/>
                          </a:xfrm>
                          <a:prstGeom prst="rect">
                            <a:avLst/>
                          </a:prstGeom>
                          <a:noFill/>
                          <a:ln>
                            <a:noFill/>
                          </a:ln>
                        </pic:spPr>
                      </pic:pic>
                    </a:graphicData>
                  </a:graphic>
                </wp:inline>
              </w:drawing>
            </w:r>
          </w:p>
          <w:p w:rsidR="00396080" w:rsidRDefault="00396080" w:rsidP="00E91F9E">
            <w:pPr>
              <w:widowControl w:val="0"/>
              <w:tabs>
                <w:tab w:val="right" w:pos="9404"/>
              </w:tabs>
              <w:autoSpaceDE w:val="0"/>
              <w:autoSpaceDN w:val="0"/>
              <w:adjustRightInd w:val="0"/>
              <w:rPr>
                <w:bCs/>
                <w:color w:val="000000" w:themeColor="text1"/>
                <w:lang w:val="en-GB"/>
              </w:rPr>
            </w:pPr>
          </w:p>
          <w:p w:rsidR="00A4740D" w:rsidRDefault="00396080" w:rsidP="00E91F9E">
            <w:pPr>
              <w:widowControl w:val="0"/>
              <w:tabs>
                <w:tab w:val="right" w:pos="9404"/>
              </w:tabs>
              <w:autoSpaceDE w:val="0"/>
              <w:autoSpaceDN w:val="0"/>
              <w:adjustRightInd w:val="0"/>
              <w:rPr>
                <w:bCs/>
                <w:color w:val="000000" w:themeColor="text1"/>
              </w:rPr>
            </w:pPr>
            <w:r>
              <w:rPr>
                <w:bCs/>
                <w:noProof/>
                <w:color w:val="000000" w:themeColor="text1"/>
              </w:rPr>
              <w:drawing>
                <wp:inline distT="0" distB="0" distL="0" distR="0" wp14:anchorId="1DA95804" wp14:editId="04A257F7">
                  <wp:extent cx="3848668" cy="1617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1692" cy="1618531"/>
                          </a:xfrm>
                          <a:prstGeom prst="rect">
                            <a:avLst/>
                          </a:prstGeom>
                          <a:noFill/>
                          <a:ln>
                            <a:noFill/>
                          </a:ln>
                        </pic:spPr>
                      </pic:pic>
                    </a:graphicData>
                  </a:graphic>
                </wp:inline>
              </w:drawing>
            </w:r>
          </w:p>
          <w:p w:rsidR="00E127B9" w:rsidRDefault="00396080" w:rsidP="00E91F9E">
            <w:pPr>
              <w:widowControl w:val="0"/>
              <w:tabs>
                <w:tab w:val="right" w:pos="9404"/>
              </w:tabs>
              <w:autoSpaceDE w:val="0"/>
              <w:autoSpaceDN w:val="0"/>
              <w:adjustRightInd w:val="0"/>
              <w:rPr>
                <w:bCs/>
                <w:color w:val="000000" w:themeColor="text1"/>
              </w:rPr>
            </w:pPr>
            <w:r>
              <w:rPr>
                <w:bCs/>
                <w:noProof/>
                <w:color w:val="000000" w:themeColor="text1"/>
              </w:rPr>
              <w:lastRenderedPageBreak/>
              <w:drawing>
                <wp:inline distT="0" distB="0" distL="0" distR="0" wp14:anchorId="63154F48" wp14:editId="438F71F8">
                  <wp:extent cx="3835020" cy="1880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2820" cy="1879556"/>
                          </a:xfrm>
                          <a:prstGeom prst="rect">
                            <a:avLst/>
                          </a:prstGeom>
                          <a:noFill/>
                          <a:ln>
                            <a:noFill/>
                          </a:ln>
                        </pic:spPr>
                      </pic:pic>
                    </a:graphicData>
                  </a:graphic>
                </wp:inline>
              </w:drawing>
            </w:r>
          </w:p>
          <w:p w:rsidR="00396080" w:rsidRPr="00396080" w:rsidRDefault="00396080" w:rsidP="00396080">
            <w:pPr>
              <w:rPr>
                <w:lang w:val="en-GB"/>
              </w:rPr>
            </w:pPr>
            <w:r>
              <w:rPr>
                <w:noProof/>
              </w:rPr>
              <w:drawing>
                <wp:inline distT="0" distB="0" distL="0" distR="0" wp14:anchorId="711417C0" wp14:editId="2AE006BB">
                  <wp:extent cx="3835020" cy="23507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4347" cy="2350381"/>
                          </a:xfrm>
                          <a:prstGeom prst="rect">
                            <a:avLst/>
                          </a:prstGeom>
                          <a:noFill/>
                          <a:ln>
                            <a:noFill/>
                          </a:ln>
                        </pic:spPr>
                      </pic:pic>
                    </a:graphicData>
                  </a:graphic>
                </wp:inline>
              </w:drawing>
            </w:r>
          </w:p>
          <w:p w:rsidR="00396080" w:rsidRDefault="00396080" w:rsidP="00396080">
            <w:pPr>
              <w:rPr>
                <w:lang w:val="en-GB"/>
              </w:rPr>
            </w:pPr>
            <w:r>
              <w:rPr>
                <w:noProof/>
              </w:rPr>
              <w:drawing>
                <wp:inline distT="0" distB="0" distL="0" distR="0" wp14:anchorId="6F6EEFA6" wp14:editId="0DECAA98">
                  <wp:extent cx="3962400" cy="1247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2400" cy="1247775"/>
                          </a:xfrm>
                          <a:prstGeom prst="rect">
                            <a:avLst/>
                          </a:prstGeom>
                          <a:noFill/>
                          <a:ln>
                            <a:noFill/>
                          </a:ln>
                        </pic:spPr>
                      </pic:pic>
                    </a:graphicData>
                  </a:graphic>
                </wp:inline>
              </w:drawing>
            </w:r>
          </w:p>
          <w:p w:rsidR="00396080" w:rsidRDefault="00396080" w:rsidP="00396080">
            <w:pPr>
              <w:rPr>
                <w:lang w:val="en-GB"/>
              </w:rPr>
            </w:pPr>
            <w:r>
              <w:rPr>
                <w:noProof/>
              </w:rPr>
              <w:lastRenderedPageBreak/>
              <w:drawing>
                <wp:inline distT="0" distB="0" distL="0" distR="0" wp14:anchorId="4B59434A" wp14:editId="3A773EF5">
                  <wp:extent cx="3964674" cy="49541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2400" cy="4951297"/>
                          </a:xfrm>
                          <a:prstGeom prst="rect">
                            <a:avLst/>
                          </a:prstGeom>
                          <a:noFill/>
                          <a:ln>
                            <a:noFill/>
                          </a:ln>
                        </pic:spPr>
                      </pic:pic>
                    </a:graphicData>
                  </a:graphic>
                </wp:inline>
              </w:drawing>
            </w:r>
          </w:p>
          <w:p w:rsidR="00396080" w:rsidRPr="00396080" w:rsidRDefault="00396080" w:rsidP="00396080">
            <w:pPr>
              <w:rPr>
                <w:lang w:val="en-GB"/>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E1689" w:rsidRPr="00A426CE" w:rsidRDefault="00E91F9E" w:rsidP="00853C0E">
            <w:r>
              <w:lastRenderedPageBreak/>
              <w:t>Приема се частично</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E1689" w:rsidRPr="00A426CE" w:rsidRDefault="00E91F9E" w:rsidP="00E91F9E">
            <w:pPr>
              <w:jc w:val="both"/>
            </w:pPr>
            <w:r w:rsidRPr="00A426CE">
              <w:t xml:space="preserve">В </w:t>
            </w:r>
            <w:r>
              <w:t xml:space="preserve">проекта на </w:t>
            </w:r>
            <w:r w:rsidRPr="00A426CE">
              <w:t xml:space="preserve">закона е предвидена </w:t>
            </w:r>
            <w:r>
              <w:t>уредба относно количество загуби</w:t>
            </w:r>
            <w:r w:rsidRPr="00601137">
              <w:t xml:space="preserve"> при манип</w:t>
            </w:r>
            <w:r w:rsidRPr="00601137">
              <w:t>у</w:t>
            </w:r>
            <w:r w:rsidRPr="00601137">
              <w:t xml:space="preserve">лации, съхранение и транспортиране за вино, </w:t>
            </w:r>
            <w:proofErr w:type="spellStart"/>
            <w:r w:rsidRPr="00601137">
              <w:t>лозаро-винарски</w:t>
            </w:r>
            <w:proofErr w:type="spellEnd"/>
            <w:r w:rsidRPr="00601137">
              <w:t xml:space="preserve"> продукти, аром</w:t>
            </w:r>
            <w:r w:rsidRPr="00601137">
              <w:t>а</w:t>
            </w:r>
            <w:r w:rsidRPr="00601137">
              <w:t xml:space="preserve">тизирани </w:t>
            </w:r>
            <w:proofErr w:type="spellStart"/>
            <w:r w:rsidRPr="00601137">
              <w:t>лозаро-винарски</w:t>
            </w:r>
            <w:proofErr w:type="spellEnd"/>
            <w:r w:rsidRPr="00601137">
              <w:t xml:space="preserve"> продукти, плодови вина, продукти на основата на плодови вина и оцет</w:t>
            </w:r>
            <w:r w:rsidRPr="00A426CE">
              <w:t>.</w:t>
            </w:r>
          </w:p>
        </w:tc>
      </w:tr>
    </w:tbl>
    <w:p w:rsidR="00E127B9" w:rsidRDefault="00E127B9" w:rsidP="00AF12B7">
      <w:pPr>
        <w:rPr>
          <w:b/>
          <w:bCs/>
          <w:caps/>
          <w:sz w:val="20"/>
          <w:szCs w:val="20"/>
        </w:rPr>
      </w:pPr>
      <w:bookmarkStart w:id="1" w:name="_GoBack"/>
      <w:bookmarkEnd w:id="1"/>
    </w:p>
    <w:sectPr w:rsidR="00E127B9" w:rsidSect="00763A65">
      <w:footerReference w:type="even" r:id="rId15"/>
      <w:footerReference w:type="default" r:id="rId16"/>
      <w:pgSz w:w="16838" w:h="11906" w:orient="landscape" w:code="9"/>
      <w:pgMar w:top="1021" w:right="1021" w:bottom="284" w:left="1021"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8E" w:rsidRDefault="00DA288E">
      <w:r>
        <w:separator/>
      </w:r>
    </w:p>
  </w:endnote>
  <w:endnote w:type="continuationSeparator" w:id="0">
    <w:p w:rsidR="00DA288E" w:rsidRDefault="00DA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B9" w:rsidRDefault="00E127B9"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27B9" w:rsidRDefault="00E127B9"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E127B9" w:rsidRPr="00AF12B7" w:rsidRDefault="00E127B9"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5C014A">
          <w:rPr>
            <w:noProof/>
            <w:sz w:val="18"/>
            <w:szCs w:val="18"/>
          </w:rPr>
          <w:t>37</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8E" w:rsidRDefault="00DA288E">
      <w:r>
        <w:separator/>
      </w:r>
    </w:p>
  </w:footnote>
  <w:footnote w:type="continuationSeparator" w:id="0">
    <w:p w:rsidR="00DA288E" w:rsidRDefault="00DA2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014EA"/>
    <w:multiLevelType w:val="hybridMultilevel"/>
    <w:tmpl w:val="90AC8510"/>
    <w:lvl w:ilvl="0" w:tplc="5C385DC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A2068"/>
    <w:multiLevelType w:val="hybridMultilevel"/>
    <w:tmpl w:val="B9B63148"/>
    <w:lvl w:ilvl="0" w:tplc="70D073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4"/>
  </w:num>
  <w:num w:numId="6">
    <w:abstractNumId w:val="1"/>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2CAB"/>
    <w:rsid w:val="00016086"/>
    <w:rsid w:val="000200AF"/>
    <w:rsid w:val="00024421"/>
    <w:rsid w:val="0002513E"/>
    <w:rsid w:val="000252C0"/>
    <w:rsid w:val="0002544E"/>
    <w:rsid w:val="000257AA"/>
    <w:rsid w:val="00025A23"/>
    <w:rsid w:val="00025DD3"/>
    <w:rsid w:val="000279C9"/>
    <w:rsid w:val="00033183"/>
    <w:rsid w:val="00033713"/>
    <w:rsid w:val="000357B4"/>
    <w:rsid w:val="00040AE0"/>
    <w:rsid w:val="000414B6"/>
    <w:rsid w:val="00044E65"/>
    <w:rsid w:val="0004610E"/>
    <w:rsid w:val="00046AB8"/>
    <w:rsid w:val="00046C3E"/>
    <w:rsid w:val="00051CC2"/>
    <w:rsid w:val="00052350"/>
    <w:rsid w:val="0005435E"/>
    <w:rsid w:val="0005470C"/>
    <w:rsid w:val="00055D5F"/>
    <w:rsid w:val="00057011"/>
    <w:rsid w:val="000572CA"/>
    <w:rsid w:val="0006038C"/>
    <w:rsid w:val="0006091E"/>
    <w:rsid w:val="00062907"/>
    <w:rsid w:val="00062ADE"/>
    <w:rsid w:val="00062F02"/>
    <w:rsid w:val="000632EC"/>
    <w:rsid w:val="00063709"/>
    <w:rsid w:val="00063E4B"/>
    <w:rsid w:val="000673CE"/>
    <w:rsid w:val="00070496"/>
    <w:rsid w:val="000718C7"/>
    <w:rsid w:val="00075594"/>
    <w:rsid w:val="000757FC"/>
    <w:rsid w:val="000769B1"/>
    <w:rsid w:val="0008079F"/>
    <w:rsid w:val="00082171"/>
    <w:rsid w:val="00084700"/>
    <w:rsid w:val="000902D1"/>
    <w:rsid w:val="00090401"/>
    <w:rsid w:val="000937D4"/>
    <w:rsid w:val="000953A8"/>
    <w:rsid w:val="00097783"/>
    <w:rsid w:val="000A1017"/>
    <w:rsid w:val="000A228F"/>
    <w:rsid w:val="000A3E16"/>
    <w:rsid w:val="000B298E"/>
    <w:rsid w:val="000B2EB1"/>
    <w:rsid w:val="000B3D5F"/>
    <w:rsid w:val="000B6D57"/>
    <w:rsid w:val="000C036A"/>
    <w:rsid w:val="000C1697"/>
    <w:rsid w:val="000C46A7"/>
    <w:rsid w:val="000C5E61"/>
    <w:rsid w:val="000D3F6C"/>
    <w:rsid w:val="000D4198"/>
    <w:rsid w:val="000E3570"/>
    <w:rsid w:val="000E38E0"/>
    <w:rsid w:val="000F02C5"/>
    <w:rsid w:val="000F31C8"/>
    <w:rsid w:val="000F3490"/>
    <w:rsid w:val="000F4E61"/>
    <w:rsid w:val="000F73D3"/>
    <w:rsid w:val="001012EC"/>
    <w:rsid w:val="0010687D"/>
    <w:rsid w:val="00110FB3"/>
    <w:rsid w:val="001143E4"/>
    <w:rsid w:val="0011484F"/>
    <w:rsid w:val="00115EDD"/>
    <w:rsid w:val="00116FC6"/>
    <w:rsid w:val="00120ABA"/>
    <w:rsid w:val="001311AD"/>
    <w:rsid w:val="00133A14"/>
    <w:rsid w:val="00134E1D"/>
    <w:rsid w:val="0013629D"/>
    <w:rsid w:val="00140C69"/>
    <w:rsid w:val="00141BFB"/>
    <w:rsid w:val="00144034"/>
    <w:rsid w:val="001440FE"/>
    <w:rsid w:val="0014437A"/>
    <w:rsid w:val="00152D3A"/>
    <w:rsid w:val="001551C4"/>
    <w:rsid w:val="00155CAF"/>
    <w:rsid w:val="001668E1"/>
    <w:rsid w:val="00170505"/>
    <w:rsid w:val="00172CCB"/>
    <w:rsid w:val="00175004"/>
    <w:rsid w:val="00177AA6"/>
    <w:rsid w:val="00177D2B"/>
    <w:rsid w:val="001808B4"/>
    <w:rsid w:val="0018509E"/>
    <w:rsid w:val="001948B0"/>
    <w:rsid w:val="00195AD0"/>
    <w:rsid w:val="001A0680"/>
    <w:rsid w:val="001A3D29"/>
    <w:rsid w:val="001B4CD8"/>
    <w:rsid w:val="001C6E95"/>
    <w:rsid w:val="001D362A"/>
    <w:rsid w:val="001E13F5"/>
    <w:rsid w:val="001E174B"/>
    <w:rsid w:val="001E4FE9"/>
    <w:rsid w:val="001E64F2"/>
    <w:rsid w:val="001F0567"/>
    <w:rsid w:val="001F1F60"/>
    <w:rsid w:val="001F314D"/>
    <w:rsid w:val="001F6BC2"/>
    <w:rsid w:val="001F718C"/>
    <w:rsid w:val="00200292"/>
    <w:rsid w:val="0020103A"/>
    <w:rsid w:val="00201455"/>
    <w:rsid w:val="00206678"/>
    <w:rsid w:val="0021035B"/>
    <w:rsid w:val="00212D43"/>
    <w:rsid w:val="00214B75"/>
    <w:rsid w:val="00215178"/>
    <w:rsid w:val="00221143"/>
    <w:rsid w:val="002217C0"/>
    <w:rsid w:val="00221B68"/>
    <w:rsid w:val="0023062F"/>
    <w:rsid w:val="00230E0E"/>
    <w:rsid w:val="00231D0F"/>
    <w:rsid w:val="00233C04"/>
    <w:rsid w:val="002348DC"/>
    <w:rsid w:val="002369C8"/>
    <w:rsid w:val="002375B3"/>
    <w:rsid w:val="00237A17"/>
    <w:rsid w:val="00241F4C"/>
    <w:rsid w:val="00243442"/>
    <w:rsid w:val="002440AF"/>
    <w:rsid w:val="0024444A"/>
    <w:rsid w:val="00245FCD"/>
    <w:rsid w:val="002472CF"/>
    <w:rsid w:val="002536A8"/>
    <w:rsid w:val="00257983"/>
    <w:rsid w:val="00260F55"/>
    <w:rsid w:val="002632C1"/>
    <w:rsid w:val="00263E76"/>
    <w:rsid w:val="002640E1"/>
    <w:rsid w:val="0027210E"/>
    <w:rsid w:val="00272EE3"/>
    <w:rsid w:val="00273219"/>
    <w:rsid w:val="00273678"/>
    <w:rsid w:val="002804CF"/>
    <w:rsid w:val="002820C6"/>
    <w:rsid w:val="00282A08"/>
    <w:rsid w:val="002854C9"/>
    <w:rsid w:val="002900C5"/>
    <w:rsid w:val="00291E9B"/>
    <w:rsid w:val="00293CA6"/>
    <w:rsid w:val="0029482B"/>
    <w:rsid w:val="00295B2B"/>
    <w:rsid w:val="002961A2"/>
    <w:rsid w:val="002964C1"/>
    <w:rsid w:val="00297DB0"/>
    <w:rsid w:val="002A0706"/>
    <w:rsid w:val="002A0A9B"/>
    <w:rsid w:val="002A0C5D"/>
    <w:rsid w:val="002A3B76"/>
    <w:rsid w:val="002A59D9"/>
    <w:rsid w:val="002A5A11"/>
    <w:rsid w:val="002A67D5"/>
    <w:rsid w:val="002C03AF"/>
    <w:rsid w:val="002C2EEA"/>
    <w:rsid w:val="002C5843"/>
    <w:rsid w:val="002C7F10"/>
    <w:rsid w:val="002D083C"/>
    <w:rsid w:val="002D2176"/>
    <w:rsid w:val="002E537C"/>
    <w:rsid w:val="002E57D4"/>
    <w:rsid w:val="002E5E3F"/>
    <w:rsid w:val="002E6ADF"/>
    <w:rsid w:val="002E73FF"/>
    <w:rsid w:val="002F0752"/>
    <w:rsid w:val="002F7B2A"/>
    <w:rsid w:val="00300B99"/>
    <w:rsid w:val="00300D63"/>
    <w:rsid w:val="003039A5"/>
    <w:rsid w:val="00306298"/>
    <w:rsid w:val="00312FB3"/>
    <w:rsid w:val="00314F63"/>
    <w:rsid w:val="003154C2"/>
    <w:rsid w:val="00316618"/>
    <w:rsid w:val="00321BD0"/>
    <w:rsid w:val="0032394D"/>
    <w:rsid w:val="00326B58"/>
    <w:rsid w:val="003302BD"/>
    <w:rsid w:val="003336CE"/>
    <w:rsid w:val="00333BD7"/>
    <w:rsid w:val="00340212"/>
    <w:rsid w:val="00345B9F"/>
    <w:rsid w:val="00346856"/>
    <w:rsid w:val="00351063"/>
    <w:rsid w:val="003628A2"/>
    <w:rsid w:val="003640F0"/>
    <w:rsid w:val="00367DA5"/>
    <w:rsid w:val="0037191E"/>
    <w:rsid w:val="00377A96"/>
    <w:rsid w:val="00377FE2"/>
    <w:rsid w:val="00384B8B"/>
    <w:rsid w:val="00387130"/>
    <w:rsid w:val="00387162"/>
    <w:rsid w:val="003903E2"/>
    <w:rsid w:val="00390D8E"/>
    <w:rsid w:val="00395655"/>
    <w:rsid w:val="00396080"/>
    <w:rsid w:val="003A060F"/>
    <w:rsid w:val="003A48EE"/>
    <w:rsid w:val="003C1F1E"/>
    <w:rsid w:val="003C557F"/>
    <w:rsid w:val="003C563D"/>
    <w:rsid w:val="003C5C7B"/>
    <w:rsid w:val="003D49CF"/>
    <w:rsid w:val="003D6231"/>
    <w:rsid w:val="003E361D"/>
    <w:rsid w:val="003F2026"/>
    <w:rsid w:val="003F29BC"/>
    <w:rsid w:val="003F3728"/>
    <w:rsid w:val="003F7612"/>
    <w:rsid w:val="003F7CD4"/>
    <w:rsid w:val="0040510D"/>
    <w:rsid w:val="004056C3"/>
    <w:rsid w:val="00407815"/>
    <w:rsid w:val="00414F26"/>
    <w:rsid w:val="00415D7B"/>
    <w:rsid w:val="00417315"/>
    <w:rsid w:val="00420A7D"/>
    <w:rsid w:val="00420F8B"/>
    <w:rsid w:val="0042418B"/>
    <w:rsid w:val="0042440B"/>
    <w:rsid w:val="00427EF4"/>
    <w:rsid w:val="00430245"/>
    <w:rsid w:val="00430323"/>
    <w:rsid w:val="004361F2"/>
    <w:rsid w:val="004376C2"/>
    <w:rsid w:val="004427B2"/>
    <w:rsid w:val="00442824"/>
    <w:rsid w:val="004444E8"/>
    <w:rsid w:val="004444F4"/>
    <w:rsid w:val="00446EC1"/>
    <w:rsid w:val="00450BCC"/>
    <w:rsid w:val="0045180F"/>
    <w:rsid w:val="00452217"/>
    <w:rsid w:val="00453C28"/>
    <w:rsid w:val="00453E7F"/>
    <w:rsid w:val="00453E85"/>
    <w:rsid w:val="00455D0B"/>
    <w:rsid w:val="0046759A"/>
    <w:rsid w:val="00467C52"/>
    <w:rsid w:val="0047261C"/>
    <w:rsid w:val="004739BA"/>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606"/>
    <w:rsid w:val="004C1080"/>
    <w:rsid w:val="004C420B"/>
    <w:rsid w:val="004D24E9"/>
    <w:rsid w:val="004D3191"/>
    <w:rsid w:val="004D5FF9"/>
    <w:rsid w:val="004E0260"/>
    <w:rsid w:val="004E4897"/>
    <w:rsid w:val="004E6D10"/>
    <w:rsid w:val="004F17EA"/>
    <w:rsid w:val="004F2B1B"/>
    <w:rsid w:val="004F4B94"/>
    <w:rsid w:val="004F70FF"/>
    <w:rsid w:val="004F7953"/>
    <w:rsid w:val="0050084D"/>
    <w:rsid w:val="00501E0F"/>
    <w:rsid w:val="00501E65"/>
    <w:rsid w:val="00506006"/>
    <w:rsid w:val="0050754B"/>
    <w:rsid w:val="00507B53"/>
    <w:rsid w:val="005121ED"/>
    <w:rsid w:val="005128EA"/>
    <w:rsid w:val="005130D6"/>
    <w:rsid w:val="00514AC6"/>
    <w:rsid w:val="00517A62"/>
    <w:rsid w:val="00520109"/>
    <w:rsid w:val="00520903"/>
    <w:rsid w:val="00521850"/>
    <w:rsid w:val="00522F73"/>
    <w:rsid w:val="00524038"/>
    <w:rsid w:val="0052467D"/>
    <w:rsid w:val="00524AA8"/>
    <w:rsid w:val="005260B9"/>
    <w:rsid w:val="00527393"/>
    <w:rsid w:val="0053103C"/>
    <w:rsid w:val="00532E4B"/>
    <w:rsid w:val="00534E66"/>
    <w:rsid w:val="00540693"/>
    <w:rsid w:val="00540C53"/>
    <w:rsid w:val="005424B9"/>
    <w:rsid w:val="00543E05"/>
    <w:rsid w:val="005462B1"/>
    <w:rsid w:val="005525EA"/>
    <w:rsid w:val="005531AA"/>
    <w:rsid w:val="00554B28"/>
    <w:rsid w:val="00554CC1"/>
    <w:rsid w:val="00563FA3"/>
    <w:rsid w:val="005644C8"/>
    <w:rsid w:val="00564E98"/>
    <w:rsid w:val="00573E06"/>
    <w:rsid w:val="005778C6"/>
    <w:rsid w:val="00583A7E"/>
    <w:rsid w:val="005913D0"/>
    <w:rsid w:val="00597BAA"/>
    <w:rsid w:val="00597D5D"/>
    <w:rsid w:val="005A01DD"/>
    <w:rsid w:val="005A1896"/>
    <w:rsid w:val="005A338B"/>
    <w:rsid w:val="005A4A9A"/>
    <w:rsid w:val="005A5DAE"/>
    <w:rsid w:val="005A6C42"/>
    <w:rsid w:val="005C014A"/>
    <w:rsid w:val="005C2DFD"/>
    <w:rsid w:val="005C43C6"/>
    <w:rsid w:val="005C7A87"/>
    <w:rsid w:val="005D0610"/>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1137"/>
    <w:rsid w:val="006040E1"/>
    <w:rsid w:val="006047CE"/>
    <w:rsid w:val="00604A61"/>
    <w:rsid w:val="00610231"/>
    <w:rsid w:val="00617D55"/>
    <w:rsid w:val="006240D8"/>
    <w:rsid w:val="00626132"/>
    <w:rsid w:val="00634DDD"/>
    <w:rsid w:val="006361E3"/>
    <w:rsid w:val="0063730A"/>
    <w:rsid w:val="00642470"/>
    <w:rsid w:val="00642D90"/>
    <w:rsid w:val="00645DFC"/>
    <w:rsid w:val="00656642"/>
    <w:rsid w:val="00662BFF"/>
    <w:rsid w:val="006712A6"/>
    <w:rsid w:val="00671E4E"/>
    <w:rsid w:val="0067456E"/>
    <w:rsid w:val="00675133"/>
    <w:rsid w:val="006802C1"/>
    <w:rsid w:val="00690FE6"/>
    <w:rsid w:val="00691BD4"/>
    <w:rsid w:val="00694141"/>
    <w:rsid w:val="006941C8"/>
    <w:rsid w:val="00697863"/>
    <w:rsid w:val="006A0D8A"/>
    <w:rsid w:val="006A36D7"/>
    <w:rsid w:val="006A512F"/>
    <w:rsid w:val="006A70E2"/>
    <w:rsid w:val="006B4070"/>
    <w:rsid w:val="006B5E2B"/>
    <w:rsid w:val="006C605F"/>
    <w:rsid w:val="006D1F20"/>
    <w:rsid w:val="006D2BDD"/>
    <w:rsid w:val="006D4254"/>
    <w:rsid w:val="006D5F6F"/>
    <w:rsid w:val="006D6C3E"/>
    <w:rsid w:val="006D745F"/>
    <w:rsid w:val="006D7881"/>
    <w:rsid w:val="006D7E56"/>
    <w:rsid w:val="006E23DE"/>
    <w:rsid w:val="006E32E7"/>
    <w:rsid w:val="006E3D3C"/>
    <w:rsid w:val="006E46A3"/>
    <w:rsid w:val="006E58C1"/>
    <w:rsid w:val="006E7B3B"/>
    <w:rsid w:val="006F282A"/>
    <w:rsid w:val="006F33DD"/>
    <w:rsid w:val="006F35F8"/>
    <w:rsid w:val="006F6420"/>
    <w:rsid w:val="007030A8"/>
    <w:rsid w:val="00704988"/>
    <w:rsid w:val="00707A8E"/>
    <w:rsid w:val="0071354E"/>
    <w:rsid w:val="00715FC7"/>
    <w:rsid w:val="007160B3"/>
    <w:rsid w:val="00716B72"/>
    <w:rsid w:val="00717394"/>
    <w:rsid w:val="00720625"/>
    <w:rsid w:val="0072098B"/>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516D1"/>
    <w:rsid w:val="0075213E"/>
    <w:rsid w:val="00756290"/>
    <w:rsid w:val="00756A19"/>
    <w:rsid w:val="0076108C"/>
    <w:rsid w:val="00761B5E"/>
    <w:rsid w:val="00763A65"/>
    <w:rsid w:val="0076408A"/>
    <w:rsid w:val="00773DD9"/>
    <w:rsid w:val="00774BE7"/>
    <w:rsid w:val="00777754"/>
    <w:rsid w:val="00781306"/>
    <w:rsid w:val="007836C8"/>
    <w:rsid w:val="007934F1"/>
    <w:rsid w:val="00794229"/>
    <w:rsid w:val="007970F0"/>
    <w:rsid w:val="007A4157"/>
    <w:rsid w:val="007B1141"/>
    <w:rsid w:val="007B24F7"/>
    <w:rsid w:val="007B3D33"/>
    <w:rsid w:val="007C6C8E"/>
    <w:rsid w:val="007D09DC"/>
    <w:rsid w:val="007D6B06"/>
    <w:rsid w:val="007D76D7"/>
    <w:rsid w:val="007E249E"/>
    <w:rsid w:val="007E633B"/>
    <w:rsid w:val="007E6AD6"/>
    <w:rsid w:val="007F135A"/>
    <w:rsid w:val="0080232E"/>
    <w:rsid w:val="00812789"/>
    <w:rsid w:val="00817D17"/>
    <w:rsid w:val="00826F86"/>
    <w:rsid w:val="00831124"/>
    <w:rsid w:val="00831D3C"/>
    <w:rsid w:val="00831E9A"/>
    <w:rsid w:val="00833124"/>
    <w:rsid w:val="00842C8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8605D"/>
    <w:rsid w:val="00887913"/>
    <w:rsid w:val="0089123B"/>
    <w:rsid w:val="00891BE7"/>
    <w:rsid w:val="00894526"/>
    <w:rsid w:val="00894946"/>
    <w:rsid w:val="0089506D"/>
    <w:rsid w:val="008A00BC"/>
    <w:rsid w:val="008A1687"/>
    <w:rsid w:val="008A2346"/>
    <w:rsid w:val="008A2DF5"/>
    <w:rsid w:val="008A3A73"/>
    <w:rsid w:val="008A52D8"/>
    <w:rsid w:val="008A5E27"/>
    <w:rsid w:val="008A721D"/>
    <w:rsid w:val="008B48E6"/>
    <w:rsid w:val="008C01F4"/>
    <w:rsid w:val="008C0503"/>
    <w:rsid w:val="008C4A55"/>
    <w:rsid w:val="008C5E5E"/>
    <w:rsid w:val="008D08F5"/>
    <w:rsid w:val="008D0DDB"/>
    <w:rsid w:val="008D2350"/>
    <w:rsid w:val="008D56D6"/>
    <w:rsid w:val="008D579B"/>
    <w:rsid w:val="008D583E"/>
    <w:rsid w:val="008D7657"/>
    <w:rsid w:val="008E1CC8"/>
    <w:rsid w:val="008E24D8"/>
    <w:rsid w:val="008E3AC0"/>
    <w:rsid w:val="008E6946"/>
    <w:rsid w:val="008E6E39"/>
    <w:rsid w:val="008E7705"/>
    <w:rsid w:val="008E77F4"/>
    <w:rsid w:val="008E7AF3"/>
    <w:rsid w:val="008E7E4D"/>
    <w:rsid w:val="008F35DB"/>
    <w:rsid w:val="008F39D3"/>
    <w:rsid w:val="008F4969"/>
    <w:rsid w:val="008F6393"/>
    <w:rsid w:val="00905EB8"/>
    <w:rsid w:val="00905F3A"/>
    <w:rsid w:val="0090679B"/>
    <w:rsid w:val="0090782D"/>
    <w:rsid w:val="00912765"/>
    <w:rsid w:val="0091523F"/>
    <w:rsid w:val="0091558A"/>
    <w:rsid w:val="00917058"/>
    <w:rsid w:val="00923C45"/>
    <w:rsid w:val="00924F7D"/>
    <w:rsid w:val="009312BE"/>
    <w:rsid w:val="00936B7F"/>
    <w:rsid w:val="009415CD"/>
    <w:rsid w:val="0094334A"/>
    <w:rsid w:val="00943E2F"/>
    <w:rsid w:val="00952D0A"/>
    <w:rsid w:val="00953FD7"/>
    <w:rsid w:val="00954732"/>
    <w:rsid w:val="009551F9"/>
    <w:rsid w:val="0096092A"/>
    <w:rsid w:val="00963058"/>
    <w:rsid w:val="00963AE2"/>
    <w:rsid w:val="00963E96"/>
    <w:rsid w:val="00972F4C"/>
    <w:rsid w:val="009754CA"/>
    <w:rsid w:val="00975F5E"/>
    <w:rsid w:val="00977612"/>
    <w:rsid w:val="009827FE"/>
    <w:rsid w:val="00983B09"/>
    <w:rsid w:val="00990860"/>
    <w:rsid w:val="00990FC4"/>
    <w:rsid w:val="00992009"/>
    <w:rsid w:val="0099513B"/>
    <w:rsid w:val="00996B48"/>
    <w:rsid w:val="009A19C4"/>
    <w:rsid w:val="009B1744"/>
    <w:rsid w:val="009B1EE9"/>
    <w:rsid w:val="009B3DAC"/>
    <w:rsid w:val="009B568A"/>
    <w:rsid w:val="009C08B5"/>
    <w:rsid w:val="009C4545"/>
    <w:rsid w:val="009C4DFC"/>
    <w:rsid w:val="009D0944"/>
    <w:rsid w:val="009D6D2E"/>
    <w:rsid w:val="009D753B"/>
    <w:rsid w:val="009E0CEB"/>
    <w:rsid w:val="009E6C5E"/>
    <w:rsid w:val="009E7717"/>
    <w:rsid w:val="009E7FF1"/>
    <w:rsid w:val="009F5722"/>
    <w:rsid w:val="009F7176"/>
    <w:rsid w:val="00A02072"/>
    <w:rsid w:val="00A05613"/>
    <w:rsid w:val="00A11D46"/>
    <w:rsid w:val="00A163D9"/>
    <w:rsid w:val="00A23452"/>
    <w:rsid w:val="00A26499"/>
    <w:rsid w:val="00A27F81"/>
    <w:rsid w:val="00A30636"/>
    <w:rsid w:val="00A31338"/>
    <w:rsid w:val="00A32258"/>
    <w:rsid w:val="00A3356F"/>
    <w:rsid w:val="00A342A5"/>
    <w:rsid w:val="00A3568B"/>
    <w:rsid w:val="00A377AE"/>
    <w:rsid w:val="00A426CE"/>
    <w:rsid w:val="00A428B2"/>
    <w:rsid w:val="00A4509D"/>
    <w:rsid w:val="00A46303"/>
    <w:rsid w:val="00A4740D"/>
    <w:rsid w:val="00A50CD4"/>
    <w:rsid w:val="00A53909"/>
    <w:rsid w:val="00A57A10"/>
    <w:rsid w:val="00A57F06"/>
    <w:rsid w:val="00A600FC"/>
    <w:rsid w:val="00A606F7"/>
    <w:rsid w:val="00A60884"/>
    <w:rsid w:val="00A610CB"/>
    <w:rsid w:val="00A643D6"/>
    <w:rsid w:val="00A64DC1"/>
    <w:rsid w:val="00A6623B"/>
    <w:rsid w:val="00A7058C"/>
    <w:rsid w:val="00A70B39"/>
    <w:rsid w:val="00A72224"/>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91A"/>
    <w:rsid w:val="00B11252"/>
    <w:rsid w:val="00B1358E"/>
    <w:rsid w:val="00B145B3"/>
    <w:rsid w:val="00B17C41"/>
    <w:rsid w:val="00B17FDB"/>
    <w:rsid w:val="00B24B51"/>
    <w:rsid w:val="00B31B92"/>
    <w:rsid w:val="00B320D9"/>
    <w:rsid w:val="00B321D4"/>
    <w:rsid w:val="00B330B9"/>
    <w:rsid w:val="00B3495F"/>
    <w:rsid w:val="00B34AF6"/>
    <w:rsid w:val="00B34CBF"/>
    <w:rsid w:val="00B37C7C"/>
    <w:rsid w:val="00B40DAD"/>
    <w:rsid w:val="00B42361"/>
    <w:rsid w:val="00B429D4"/>
    <w:rsid w:val="00B458D2"/>
    <w:rsid w:val="00B4660F"/>
    <w:rsid w:val="00B5191C"/>
    <w:rsid w:val="00B5758A"/>
    <w:rsid w:val="00B6355E"/>
    <w:rsid w:val="00B65B84"/>
    <w:rsid w:val="00B7272A"/>
    <w:rsid w:val="00B73133"/>
    <w:rsid w:val="00B74629"/>
    <w:rsid w:val="00B75F90"/>
    <w:rsid w:val="00B8036D"/>
    <w:rsid w:val="00B82C78"/>
    <w:rsid w:val="00B84A5C"/>
    <w:rsid w:val="00B87124"/>
    <w:rsid w:val="00B93841"/>
    <w:rsid w:val="00B948D2"/>
    <w:rsid w:val="00B95598"/>
    <w:rsid w:val="00BA478A"/>
    <w:rsid w:val="00BA66F5"/>
    <w:rsid w:val="00BA726F"/>
    <w:rsid w:val="00BD0FA0"/>
    <w:rsid w:val="00BD0FD6"/>
    <w:rsid w:val="00BD2B98"/>
    <w:rsid w:val="00BD7382"/>
    <w:rsid w:val="00BD7BD3"/>
    <w:rsid w:val="00BE0D0E"/>
    <w:rsid w:val="00BE1037"/>
    <w:rsid w:val="00BE395D"/>
    <w:rsid w:val="00BE482D"/>
    <w:rsid w:val="00BE5DB7"/>
    <w:rsid w:val="00BE6BFB"/>
    <w:rsid w:val="00BF0159"/>
    <w:rsid w:val="00BF5B8B"/>
    <w:rsid w:val="00C03495"/>
    <w:rsid w:val="00C11946"/>
    <w:rsid w:val="00C1385A"/>
    <w:rsid w:val="00C20CDA"/>
    <w:rsid w:val="00C20DC3"/>
    <w:rsid w:val="00C2421A"/>
    <w:rsid w:val="00C27D33"/>
    <w:rsid w:val="00C31286"/>
    <w:rsid w:val="00C31A5B"/>
    <w:rsid w:val="00C32478"/>
    <w:rsid w:val="00C34C0E"/>
    <w:rsid w:val="00C35EF2"/>
    <w:rsid w:val="00C403B4"/>
    <w:rsid w:val="00C406DE"/>
    <w:rsid w:val="00C41B61"/>
    <w:rsid w:val="00C434F9"/>
    <w:rsid w:val="00C45CCE"/>
    <w:rsid w:val="00C46170"/>
    <w:rsid w:val="00C467CA"/>
    <w:rsid w:val="00C467D4"/>
    <w:rsid w:val="00C46941"/>
    <w:rsid w:val="00C47381"/>
    <w:rsid w:val="00C5278E"/>
    <w:rsid w:val="00C538D8"/>
    <w:rsid w:val="00C550EA"/>
    <w:rsid w:val="00C63AA7"/>
    <w:rsid w:val="00C666AF"/>
    <w:rsid w:val="00C718DA"/>
    <w:rsid w:val="00C73873"/>
    <w:rsid w:val="00C75FCC"/>
    <w:rsid w:val="00C84B23"/>
    <w:rsid w:val="00C86431"/>
    <w:rsid w:val="00C91224"/>
    <w:rsid w:val="00C9316D"/>
    <w:rsid w:val="00C975B4"/>
    <w:rsid w:val="00C97FB9"/>
    <w:rsid w:val="00CA155E"/>
    <w:rsid w:val="00CA2E10"/>
    <w:rsid w:val="00CA3D9D"/>
    <w:rsid w:val="00CA7999"/>
    <w:rsid w:val="00CB4E0C"/>
    <w:rsid w:val="00CB6814"/>
    <w:rsid w:val="00CC0DD8"/>
    <w:rsid w:val="00CD056E"/>
    <w:rsid w:val="00CD1405"/>
    <w:rsid w:val="00CE2A7F"/>
    <w:rsid w:val="00CE3610"/>
    <w:rsid w:val="00CF00CF"/>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2742F"/>
    <w:rsid w:val="00D34D79"/>
    <w:rsid w:val="00D36CA4"/>
    <w:rsid w:val="00D37896"/>
    <w:rsid w:val="00D41A30"/>
    <w:rsid w:val="00D469E3"/>
    <w:rsid w:val="00D5313C"/>
    <w:rsid w:val="00D532DC"/>
    <w:rsid w:val="00D63557"/>
    <w:rsid w:val="00D63E9B"/>
    <w:rsid w:val="00D71C75"/>
    <w:rsid w:val="00D76AAD"/>
    <w:rsid w:val="00D76DCC"/>
    <w:rsid w:val="00D82A70"/>
    <w:rsid w:val="00D82B55"/>
    <w:rsid w:val="00D83702"/>
    <w:rsid w:val="00D838C4"/>
    <w:rsid w:val="00D96DF5"/>
    <w:rsid w:val="00DA0F8B"/>
    <w:rsid w:val="00DA288E"/>
    <w:rsid w:val="00DA4C8E"/>
    <w:rsid w:val="00DB5EFB"/>
    <w:rsid w:val="00DB75E1"/>
    <w:rsid w:val="00DC60E2"/>
    <w:rsid w:val="00DC61A2"/>
    <w:rsid w:val="00DD139E"/>
    <w:rsid w:val="00DD4DA6"/>
    <w:rsid w:val="00DD7AA4"/>
    <w:rsid w:val="00DE1C7B"/>
    <w:rsid w:val="00DE33B8"/>
    <w:rsid w:val="00DE370C"/>
    <w:rsid w:val="00DE48BE"/>
    <w:rsid w:val="00DE5489"/>
    <w:rsid w:val="00DF4AC7"/>
    <w:rsid w:val="00DF568A"/>
    <w:rsid w:val="00DF5EF4"/>
    <w:rsid w:val="00E00230"/>
    <w:rsid w:val="00E00442"/>
    <w:rsid w:val="00E015B8"/>
    <w:rsid w:val="00E02445"/>
    <w:rsid w:val="00E047E9"/>
    <w:rsid w:val="00E0521D"/>
    <w:rsid w:val="00E074E3"/>
    <w:rsid w:val="00E127B9"/>
    <w:rsid w:val="00E13B7B"/>
    <w:rsid w:val="00E158DF"/>
    <w:rsid w:val="00E2203D"/>
    <w:rsid w:val="00E220AD"/>
    <w:rsid w:val="00E222BB"/>
    <w:rsid w:val="00E26258"/>
    <w:rsid w:val="00E26463"/>
    <w:rsid w:val="00E27FFC"/>
    <w:rsid w:val="00E3454D"/>
    <w:rsid w:val="00E352D8"/>
    <w:rsid w:val="00E36D56"/>
    <w:rsid w:val="00E377AA"/>
    <w:rsid w:val="00E41613"/>
    <w:rsid w:val="00E41BB3"/>
    <w:rsid w:val="00E42966"/>
    <w:rsid w:val="00E47E16"/>
    <w:rsid w:val="00E52B88"/>
    <w:rsid w:val="00E53B43"/>
    <w:rsid w:val="00E54558"/>
    <w:rsid w:val="00E55296"/>
    <w:rsid w:val="00E61E3D"/>
    <w:rsid w:val="00E61F16"/>
    <w:rsid w:val="00E67755"/>
    <w:rsid w:val="00E72CDA"/>
    <w:rsid w:val="00E76BD1"/>
    <w:rsid w:val="00E7793E"/>
    <w:rsid w:val="00E7794B"/>
    <w:rsid w:val="00E804F0"/>
    <w:rsid w:val="00E8474D"/>
    <w:rsid w:val="00E87046"/>
    <w:rsid w:val="00E91F9E"/>
    <w:rsid w:val="00E9569E"/>
    <w:rsid w:val="00E959BD"/>
    <w:rsid w:val="00E96851"/>
    <w:rsid w:val="00EA151B"/>
    <w:rsid w:val="00EA28DD"/>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5DBC"/>
    <w:rsid w:val="00ED343A"/>
    <w:rsid w:val="00ED364A"/>
    <w:rsid w:val="00ED7690"/>
    <w:rsid w:val="00EE137A"/>
    <w:rsid w:val="00EE22E1"/>
    <w:rsid w:val="00EE3199"/>
    <w:rsid w:val="00EF21BC"/>
    <w:rsid w:val="00EF22DA"/>
    <w:rsid w:val="00EF3B04"/>
    <w:rsid w:val="00EF4920"/>
    <w:rsid w:val="00EF72B0"/>
    <w:rsid w:val="00F00C40"/>
    <w:rsid w:val="00F00CD5"/>
    <w:rsid w:val="00F03EE5"/>
    <w:rsid w:val="00F04A79"/>
    <w:rsid w:val="00F06310"/>
    <w:rsid w:val="00F12F9E"/>
    <w:rsid w:val="00F15297"/>
    <w:rsid w:val="00F23427"/>
    <w:rsid w:val="00F37E2C"/>
    <w:rsid w:val="00F43176"/>
    <w:rsid w:val="00F4439D"/>
    <w:rsid w:val="00F44CFD"/>
    <w:rsid w:val="00F456C2"/>
    <w:rsid w:val="00F4570D"/>
    <w:rsid w:val="00F5180C"/>
    <w:rsid w:val="00F51B36"/>
    <w:rsid w:val="00F521F4"/>
    <w:rsid w:val="00F54121"/>
    <w:rsid w:val="00F54AC6"/>
    <w:rsid w:val="00F61E91"/>
    <w:rsid w:val="00F73987"/>
    <w:rsid w:val="00F7694A"/>
    <w:rsid w:val="00F80CD3"/>
    <w:rsid w:val="00F80FDF"/>
    <w:rsid w:val="00F8787B"/>
    <w:rsid w:val="00F87E94"/>
    <w:rsid w:val="00F92145"/>
    <w:rsid w:val="00F93CB3"/>
    <w:rsid w:val="00F94C2A"/>
    <w:rsid w:val="00F94E39"/>
    <w:rsid w:val="00F96E87"/>
    <w:rsid w:val="00F97925"/>
    <w:rsid w:val="00F97DD0"/>
    <w:rsid w:val="00FA26A0"/>
    <w:rsid w:val="00FA2D8D"/>
    <w:rsid w:val="00FA3B4C"/>
    <w:rsid w:val="00FA54B3"/>
    <w:rsid w:val="00FA59CF"/>
    <w:rsid w:val="00FA70A7"/>
    <w:rsid w:val="00FB0D80"/>
    <w:rsid w:val="00FB1992"/>
    <w:rsid w:val="00FB4BB4"/>
    <w:rsid w:val="00FB55BD"/>
    <w:rsid w:val="00FC3975"/>
    <w:rsid w:val="00FC6F59"/>
    <w:rsid w:val="00FD0C75"/>
    <w:rsid w:val="00FD2E83"/>
    <w:rsid w:val="00FD49E9"/>
    <w:rsid w:val="00FD6185"/>
    <w:rsid w:val="00FE05A8"/>
    <w:rsid w:val="00FE1689"/>
    <w:rsid w:val="00FE49AA"/>
    <w:rsid w:val="00FF26F3"/>
    <w:rsid w:val="00FF2D34"/>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A0561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A056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09B81-02EE-428B-93A8-C101CFD0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10224</Words>
  <Characters>58277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68365</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2019-07-26T09:35:00Z</dcterms:created>
  <dcterms:modified xsi:type="dcterms:W3CDTF">2019-08-01T13:34:00Z</dcterms:modified>
</cp:coreProperties>
</file>